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69A47">
      <w:pPr>
        <w:spacing w:after="160" w:line="259" w:lineRule="auto"/>
        <w:jc w:val="center"/>
        <w:rPr>
          <w:rFonts w:ascii="宋体" w:hAnsi="宋体" w:eastAsia="宋体" w:cs="宋体"/>
          <w:b/>
          <w:bCs/>
          <w:sz w:val="36"/>
          <w:szCs w:val="36"/>
        </w:rPr>
      </w:pPr>
      <w:r>
        <w:rPr>
          <w:rFonts w:hint="eastAsia" w:ascii="宋体" w:hAnsi="宋体" w:eastAsia="宋体" w:cs="宋体"/>
          <w:b/>
          <w:bCs/>
          <w:sz w:val="36"/>
          <w:szCs w:val="36"/>
        </w:rPr>
        <w:t>技术</w:t>
      </w:r>
      <w:r>
        <w:rPr>
          <w:rFonts w:hint="eastAsia" w:ascii="宋体" w:hAnsi="宋体" w:eastAsia="宋体" w:cs="宋体"/>
          <w:b/>
          <w:bCs/>
          <w:sz w:val="36"/>
          <w:szCs w:val="36"/>
          <w:lang w:val="en-US" w:eastAsia="zh-CN"/>
        </w:rPr>
        <w:t>需求</w:t>
      </w:r>
      <w:r>
        <w:rPr>
          <w:rFonts w:hint="eastAsia" w:ascii="宋体" w:hAnsi="宋体" w:eastAsia="宋体" w:cs="宋体"/>
          <w:b/>
          <w:bCs/>
          <w:sz w:val="36"/>
          <w:szCs w:val="36"/>
        </w:rPr>
        <w:t>偏离表</w:t>
      </w:r>
    </w:p>
    <w:tbl>
      <w:tblPr>
        <w:tblStyle w:val="4"/>
        <w:tblpPr w:leftFromText="180" w:rightFromText="180" w:vertAnchor="text" w:horzAnchor="page" w:tblpX="1435" w:tblpY="293"/>
        <w:tblOverlap w:val="never"/>
        <w:tblW w:w="899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53"/>
        <w:gridCol w:w="1229"/>
        <w:gridCol w:w="1401"/>
        <w:gridCol w:w="2031"/>
        <w:gridCol w:w="1366"/>
        <w:gridCol w:w="1695"/>
        <w:gridCol w:w="518"/>
      </w:tblGrid>
      <w:tr w14:paraId="3B136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53" w:type="dxa"/>
            <w:noWrap/>
            <w:vAlign w:val="center"/>
          </w:tcPr>
          <w:p w14:paraId="40E9CB5D">
            <w:pPr>
              <w:adjustRightInd w:val="0"/>
              <w:snapToGrid w:val="0"/>
              <w:jc w:val="center"/>
              <w:rPr>
                <w:rFonts w:ascii="宋体" w:hAnsi="宋体" w:eastAsia="宋体" w:cs="宋体"/>
                <w:b/>
                <w:sz w:val="24"/>
                <w:szCs w:val="24"/>
              </w:rPr>
            </w:pPr>
            <w:r>
              <w:rPr>
                <w:rFonts w:hint="eastAsia" w:ascii="宋体" w:hAnsi="宋体" w:eastAsia="宋体" w:cs="宋体"/>
                <w:b/>
                <w:sz w:val="24"/>
                <w:szCs w:val="24"/>
              </w:rPr>
              <w:t>序号</w:t>
            </w:r>
          </w:p>
        </w:tc>
        <w:tc>
          <w:tcPr>
            <w:tcW w:w="1229" w:type="dxa"/>
            <w:noWrap/>
          </w:tcPr>
          <w:p w14:paraId="229E6923">
            <w:pPr>
              <w:adjustRightInd w:val="0"/>
              <w:snapToGrid w:val="0"/>
              <w:jc w:val="center"/>
              <w:rPr>
                <w:rFonts w:ascii="宋体" w:hAnsi="宋体" w:eastAsia="宋体" w:cs="宋体"/>
                <w:b/>
                <w:sz w:val="24"/>
                <w:szCs w:val="24"/>
              </w:rPr>
            </w:pPr>
            <w:r>
              <w:rPr>
                <w:rFonts w:hint="eastAsia" w:ascii="宋体" w:hAnsi="宋体" w:eastAsia="宋体" w:cs="宋体"/>
                <w:b/>
                <w:sz w:val="24"/>
                <w:szCs w:val="24"/>
              </w:rPr>
              <w:t>招标文件</w:t>
            </w:r>
          </w:p>
          <w:p w14:paraId="4FE654C5">
            <w:pPr>
              <w:adjustRightInd w:val="0"/>
              <w:snapToGrid w:val="0"/>
              <w:jc w:val="center"/>
              <w:rPr>
                <w:rFonts w:ascii="宋体" w:hAnsi="宋体" w:eastAsia="宋体" w:cs="宋体"/>
                <w:b/>
                <w:sz w:val="24"/>
                <w:szCs w:val="24"/>
              </w:rPr>
            </w:pPr>
            <w:r>
              <w:rPr>
                <w:rFonts w:hint="eastAsia" w:ascii="宋体" w:hAnsi="宋体" w:eastAsia="宋体" w:cs="宋体"/>
                <w:b/>
                <w:sz w:val="24"/>
                <w:szCs w:val="24"/>
              </w:rPr>
              <w:t>技术部分序号</w:t>
            </w:r>
          </w:p>
        </w:tc>
        <w:tc>
          <w:tcPr>
            <w:tcW w:w="1401" w:type="dxa"/>
            <w:noWrap/>
            <w:vAlign w:val="center"/>
          </w:tcPr>
          <w:p w14:paraId="239CFDB5">
            <w:pPr>
              <w:adjustRightInd w:val="0"/>
              <w:snapToGrid w:val="0"/>
              <w:spacing w:line="256"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bidi="ar"/>
              </w:rPr>
              <w:t>标注</w:t>
            </w:r>
            <w:r>
              <w:rPr>
                <w:rFonts w:hint="eastAsia" w:ascii="宋体" w:hAnsi="宋体" w:eastAsia="宋体" w:cs="宋体"/>
                <w:szCs w:val="21"/>
                <w:lang w:bidi="ar"/>
              </w:rPr>
              <w:t>★</w:t>
            </w:r>
            <w:r>
              <w:rPr>
                <w:rFonts w:hint="eastAsia" w:ascii="宋体" w:hAnsi="宋体" w:eastAsia="宋体" w:cs="宋体"/>
                <w:szCs w:val="21"/>
              </w:rPr>
              <w:t>号</w:t>
            </w:r>
            <w:r>
              <w:rPr>
                <w:rFonts w:hint="eastAsia" w:ascii="宋体" w:hAnsi="宋体" w:eastAsia="宋体" w:cs="宋体"/>
                <w:szCs w:val="21"/>
                <w:lang w:val="en-US" w:eastAsia="zh-CN"/>
              </w:rPr>
              <w:t>参数</w:t>
            </w:r>
            <w:r>
              <w:rPr>
                <w:rFonts w:hint="eastAsia" w:ascii="宋体" w:hAnsi="宋体" w:eastAsia="宋体" w:cs="宋体"/>
                <w:b/>
                <w:sz w:val="24"/>
                <w:szCs w:val="24"/>
                <w:lang w:val="en-US" w:eastAsia="zh-CN" w:bidi="ar"/>
              </w:rPr>
              <w:t>/非</w:t>
            </w:r>
            <w:r>
              <w:rPr>
                <w:rFonts w:hint="eastAsia" w:ascii="宋体" w:hAnsi="宋体" w:eastAsia="宋体" w:cs="宋体"/>
                <w:szCs w:val="21"/>
                <w:lang w:bidi="ar"/>
              </w:rPr>
              <w:t>★</w:t>
            </w:r>
            <w:r>
              <w:rPr>
                <w:rFonts w:hint="eastAsia" w:ascii="宋体" w:hAnsi="宋体" w:eastAsia="宋体" w:cs="宋体"/>
                <w:szCs w:val="21"/>
              </w:rPr>
              <w:t>号</w:t>
            </w:r>
            <w:r>
              <w:rPr>
                <w:rFonts w:hint="eastAsia" w:ascii="宋体" w:hAnsi="宋体" w:eastAsia="宋体" w:cs="宋体"/>
                <w:b/>
                <w:sz w:val="24"/>
                <w:szCs w:val="24"/>
                <w:lang w:val="en-US" w:eastAsia="zh-CN" w:bidi="ar"/>
              </w:rPr>
              <w:t>参数</w:t>
            </w:r>
          </w:p>
        </w:tc>
        <w:tc>
          <w:tcPr>
            <w:tcW w:w="2031" w:type="dxa"/>
            <w:noWrap/>
            <w:vAlign w:val="center"/>
          </w:tcPr>
          <w:p w14:paraId="55B08B22">
            <w:pPr>
              <w:adjustRightInd w:val="0"/>
              <w:snapToGrid w:val="0"/>
              <w:jc w:val="center"/>
              <w:rPr>
                <w:rFonts w:ascii="宋体" w:hAnsi="宋体" w:eastAsia="宋体" w:cs="宋体"/>
                <w:b/>
                <w:sz w:val="24"/>
                <w:szCs w:val="24"/>
              </w:rPr>
            </w:pPr>
            <w:r>
              <w:rPr>
                <w:rFonts w:hint="eastAsia" w:ascii="宋体" w:hAnsi="宋体" w:eastAsia="宋体" w:cs="宋体"/>
                <w:b/>
                <w:sz w:val="24"/>
                <w:szCs w:val="24"/>
              </w:rPr>
              <w:t>招标文件</w:t>
            </w:r>
          </w:p>
          <w:p w14:paraId="6A99776D">
            <w:pPr>
              <w:adjustRightInd w:val="0"/>
              <w:snapToGrid w:val="0"/>
              <w:jc w:val="center"/>
              <w:rPr>
                <w:rFonts w:ascii="宋体" w:hAnsi="宋体" w:eastAsia="宋体" w:cs="宋体"/>
                <w:b/>
                <w:sz w:val="24"/>
                <w:szCs w:val="24"/>
              </w:rPr>
            </w:pPr>
            <w:r>
              <w:rPr>
                <w:rFonts w:hint="eastAsia" w:ascii="宋体" w:hAnsi="宋体" w:eastAsia="宋体" w:cs="宋体"/>
                <w:b/>
                <w:sz w:val="24"/>
                <w:szCs w:val="24"/>
              </w:rPr>
              <w:t>技术部分内容要求</w:t>
            </w:r>
          </w:p>
        </w:tc>
        <w:tc>
          <w:tcPr>
            <w:tcW w:w="1366" w:type="dxa"/>
            <w:noWrap/>
            <w:vAlign w:val="center"/>
          </w:tcPr>
          <w:p w14:paraId="5BDDFC7C">
            <w:pPr>
              <w:adjustRightInd w:val="0"/>
              <w:snapToGrid w:val="0"/>
              <w:jc w:val="center"/>
              <w:rPr>
                <w:rFonts w:ascii="宋体" w:hAnsi="宋体" w:eastAsia="宋体" w:cs="宋体"/>
                <w:b/>
                <w:sz w:val="24"/>
                <w:szCs w:val="24"/>
              </w:rPr>
            </w:pPr>
            <w:r>
              <w:rPr>
                <w:rFonts w:hint="eastAsia" w:ascii="宋体" w:hAnsi="宋体" w:eastAsia="宋体" w:cs="宋体"/>
                <w:b/>
                <w:sz w:val="24"/>
                <w:szCs w:val="24"/>
              </w:rPr>
              <w:t>投标文件</w:t>
            </w:r>
          </w:p>
          <w:p w14:paraId="3E187E57">
            <w:pPr>
              <w:adjustRightInd w:val="0"/>
              <w:snapToGrid w:val="0"/>
              <w:jc w:val="center"/>
              <w:rPr>
                <w:rFonts w:ascii="宋体" w:hAnsi="宋体" w:eastAsia="宋体" w:cs="宋体"/>
                <w:b/>
                <w:sz w:val="24"/>
                <w:szCs w:val="24"/>
              </w:rPr>
            </w:pPr>
            <w:r>
              <w:rPr>
                <w:rFonts w:hint="eastAsia" w:ascii="宋体" w:hAnsi="宋体" w:eastAsia="宋体" w:cs="宋体"/>
                <w:b/>
                <w:sz w:val="24"/>
                <w:szCs w:val="24"/>
              </w:rPr>
              <w:t>应答情况</w:t>
            </w:r>
          </w:p>
        </w:tc>
        <w:tc>
          <w:tcPr>
            <w:tcW w:w="1695" w:type="dxa"/>
            <w:noWrap/>
            <w:vAlign w:val="center"/>
          </w:tcPr>
          <w:p w14:paraId="1A3982BA">
            <w:pPr>
              <w:adjustRightInd w:val="0"/>
              <w:snapToGrid w:val="0"/>
              <w:jc w:val="center"/>
              <w:rPr>
                <w:rFonts w:ascii="宋体" w:hAnsi="宋体" w:eastAsia="宋体" w:cs="宋体"/>
                <w:b/>
                <w:sz w:val="24"/>
                <w:szCs w:val="24"/>
              </w:rPr>
            </w:pPr>
            <w:r>
              <w:rPr>
                <w:rFonts w:hint="eastAsia" w:ascii="宋体" w:hAnsi="宋体" w:eastAsia="宋体" w:cs="宋体"/>
                <w:b/>
                <w:sz w:val="24"/>
                <w:szCs w:val="24"/>
              </w:rPr>
              <w:t>偏离</w:t>
            </w:r>
          </w:p>
          <w:p w14:paraId="719AFBB1">
            <w:pPr>
              <w:adjustRightInd w:val="0"/>
              <w:snapToGrid w:val="0"/>
              <w:jc w:val="center"/>
              <w:rPr>
                <w:rFonts w:ascii="宋体" w:hAnsi="宋体" w:eastAsia="宋体" w:cs="宋体"/>
                <w:b/>
                <w:sz w:val="24"/>
                <w:szCs w:val="24"/>
              </w:rPr>
            </w:pPr>
            <w:r>
              <w:rPr>
                <w:rFonts w:hint="eastAsia" w:ascii="宋体" w:hAnsi="宋体" w:eastAsia="宋体" w:cs="宋体"/>
                <w:b/>
                <w:sz w:val="24"/>
                <w:szCs w:val="24"/>
              </w:rPr>
              <w:t>（无/正/负）</w:t>
            </w:r>
          </w:p>
        </w:tc>
        <w:tc>
          <w:tcPr>
            <w:tcW w:w="518" w:type="dxa"/>
            <w:noWrap/>
            <w:vAlign w:val="center"/>
          </w:tcPr>
          <w:p w14:paraId="3B2D7E4B">
            <w:pPr>
              <w:adjustRightInd w:val="0"/>
              <w:snapToGrid w:val="0"/>
              <w:jc w:val="center"/>
              <w:rPr>
                <w:rFonts w:ascii="宋体" w:hAnsi="宋体" w:eastAsia="宋体" w:cs="宋体"/>
                <w:b/>
                <w:sz w:val="24"/>
                <w:szCs w:val="24"/>
              </w:rPr>
            </w:pPr>
            <w:r>
              <w:rPr>
                <w:rFonts w:hint="eastAsia" w:ascii="宋体" w:hAnsi="宋体" w:eastAsia="宋体" w:cs="宋体"/>
                <w:b/>
                <w:sz w:val="24"/>
                <w:szCs w:val="24"/>
              </w:rPr>
              <w:t>备注</w:t>
            </w:r>
          </w:p>
        </w:tc>
      </w:tr>
      <w:tr w14:paraId="2E4F5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53" w:type="dxa"/>
            <w:noWrap/>
            <w:vAlign w:val="center"/>
          </w:tcPr>
          <w:p w14:paraId="69C5373B">
            <w:pPr>
              <w:adjustRightInd w:val="0"/>
              <w:snapToGrid w:val="0"/>
              <w:jc w:val="center"/>
              <w:rPr>
                <w:rFonts w:ascii="宋体" w:hAnsi="宋体" w:eastAsia="宋体" w:cs="宋体"/>
                <w:sz w:val="24"/>
                <w:szCs w:val="24"/>
              </w:rPr>
            </w:pPr>
            <w:r>
              <w:rPr>
                <w:rFonts w:hint="eastAsia" w:ascii="宋体" w:hAnsi="宋体" w:eastAsia="宋体" w:cs="宋体"/>
                <w:sz w:val="24"/>
                <w:szCs w:val="24"/>
              </w:rPr>
              <w:t>1</w:t>
            </w:r>
          </w:p>
        </w:tc>
        <w:tc>
          <w:tcPr>
            <w:tcW w:w="1229" w:type="dxa"/>
            <w:noWrap/>
            <w:vAlign w:val="center"/>
          </w:tcPr>
          <w:p w14:paraId="0DF8170D">
            <w:pPr>
              <w:adjustRightInd w:val="0"/>
              <w:snapToGrid w:val="0"/>
              <w:ind w:left="50" w:leftChars="24" w:right="55" w:rightChars="26"/>
              <w:jc w:val="center"/>
              <w:rPr>
                <w:rFonts w:ascii="宋体" w:hAnsi="宋体" w:eastAsia="宋体" w:cs="宋体"/>
                <w:szCs w:val="21"/>
              </w:rPr>
            </w:pPr>
          </w:p>
        </w:tc>
        <w:tc>
          <w:tcPr>
            <w:tcW w:w="1401" w:type="dxa"/>
            <w:noWrap/>
            <w:vAlign w:val="center"/>
          </w:tcPr>
          <w:p w14:paraId="118D4CCB">
            <w:pPr>
              <w:adjustRightInd w:val="0"/>
              <w:snapToGrid w:val="0"/>
              <w:ind w:left="50" w:leftChars="24" w:right="55" w:rightChars="26"/>
              <w:jc w:val="center"/>
              <w:rPr>
                <w:rFonts w:ascii="宋体" w:hAnsi="宋体" w:eastAsia="宋体" w:cs="宋体"/>
                <w:szCs w:val="21"/>
              </w:rPr>
            </w:pPr>
          </w:p>
        </w:tc>
        <w:tc>
          <w:tcPr>
            <w:tcW w:w="2031" w:type="dxa"/>
            <w:noWrap/>
            <w:vAlign w:val="center"/>
          </w:tcPr>
          <w:p w14:paraId="38184AE2">
            <w:pPr>
              <w:adjustRightInd w:val="0"/>
              <w:snapToGrid w:val="0"/>
              <w:ind w:left="50" w:leftChars="24" w:right="55" w:rightChars="26"/>
              <w:jc w:val="center"/>
              <w:rPr>
                <w:rFonts w:ascii="宋体" w:hAnsi="宋体" w:eastAsia="宋体" w:cs="宋体"/>
                <w:szCs w:val="21"/>
              </w:rPr>
            </w:pPr>
            <w:bookmarkStart w:id="1" w:name="_GoBack"/>
            <w:bookmarkEnd w:id="1"/>
          </w:p>
        </w:tc>
        <w:tc>
          <w:tcPr>
            <w:tcW w:w="1366" w:type="dxa"/>
            <w:noWrap/>
            <w:vAlign w:val="center"/>
          </w:tcPr>
          <w:p w14:paraId="790A2588">
            <w:pPr>
              <w:adjustRightInd w:val="0"/>
              <w:snapToGrid w:val="0"/>
              <w:jc w:val="center"/>
              <w:rPr>
                <w:rFonts w:ascii="宋体" w:hAnsi="宋体" w:eastAsia="宋体" w:cs="宋体"/>
                <w:szCs w:val="21"/>
              </w:rPr>
            </w:pPr>
          </w:p>
        </w:tc>
        <w:tc>
          <w:tcPr>
            <w:tcW w:w="1695" w:type="dxa"/>
            <w:noWrap/>
            <w:vAlign w:val="center"/>
          </w:tcPr>
          <w:p w14:paraId="11ECD528">
            <w:pPr>
              <w:adjustRightInd w:val="0"/>
              <w:snapToGrid w:val="0"/>
              <w:jc w:val="center"/>
              <w:rPr>
                <w:rFonts w:ascii="宋体" w:hAnsi="宋体" w:eastAsia="宋体" w:cs="宋体"/>
                <w:szCs w:val="21"/>
              </w:rPr>
            </w:pPr>
          </w:p>
        </w:tc>
        <w:tc>
          <w:tcPr>
            <w:tcW w:w="518" w:type="dxa"/>
            <w:noWrap/>
            <w:vAlign w:val="center"/>
          </w:tcPr>
          <w:p w14:paraId="52040F64">
            <w:pPr>
              <w:adjustRightInd w:val="0"/>
              <w:snapToGrid w:val="0"/>
              <w:jc w:val="center"/>
              <w:rPr>
                <w:rFonts w:ascii="宋体" w:hAnsi="宋体" w:eastAsia="宋体" w:cs="宋体"/>
                <w:szCs w:val="21"/>
              </w:rPr>
            </w:pPr>
          </w:p>
        </w:tc>
      </w:tr>
      <w:tr w14:paraId="3770C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53" w:type="dxa"/>
            <w:noWrap/>
            <w:vAlign w:val="center"/>
          </w:tcPr>
          <w:p w14:paraId="7DADC5AF">
            <w:pPr>
              <w:adjustRightInd w:val="0"/>
              <w:snapToGrid w:val="0"/>
              <w:jc w:val="center"/>
              <w:rPr>
                <w:rFonts w:ascii="宋体" w:hAnsi="宋体" w:eastAsia="宋体" w:cs="宋体"/>
                <w:sz w:val="24"/>
                <w:szCs w:val="24"/>
              </w:rPr>
            </w:pPr>
            <w:r>
              <w:rPr>
                <w:rFonts w:hint="eastAsia" w:ascii="宋体" w:hAnsi="宋体" w:eastAsia="宋体" w:cs="宋体"/>
                <w:sz w:val="24"/>
                <w:szCs w:val="24"/>
              </w:rPr>
              <w:t>2</w:t>
            </w:r>
          </w:p>
        </w:tc>
        <w:tc>
          <w:tcPr>
            <w:tcW w:w="1229" w:type="dxa"/>
            <w:noWrap/>
            <w:vAlign w:val="center"/>
          </w:tcPr>
          <w:p w14:paraId="5FBF5D50">
            <w:pPr>
              <w:adjustRightInd w:val="0"/>
              <w:snapToGrid w:val="0"/>
              <w:ind w:left="50" w:leftChars="24" w:right="55" w:rightChars="26"/>
              <w:jc w:val="center"/>
              <w:rPr>
                <w:rFonts w:ascii="宋体" w:hAnsi="宋体" w:eastAsia="宋体" w:cs="宋体"/>
                <w:szCs w:val="21"/>
              </w:rPr>
            </w:pPr>
          </w:p>
        </w:tc>
        <w:tc>
          <w:tcPr>
            <w:tcW w:w="1401" w:type="dxa"/>
            <w:noWrap/>
            <w:vAlign w:val="center"/>
          </w:tcPr>
          <w:p w14:paraId="1171CC26">
            <w:pPr>
              <w:adjustRightInd w:val="0"/>
              <w:snapToGrid w:val="0"/>
              <w:ind w:left="50" w:leftChars="24" w:right="55" w:rightChars="26"/>
              <w:jc w:val="center"/>
              <w:rPr>
                <w:rFonts w:ascii="宋体" w:hAnsi="宋体" w:eastAsia="宋体" w:cs="宋体"/>
                <w:szCs w:val="21"/>
              </w:rPr>
            </w:pPr>
          </w:p>
        </w:tc>
        <w:tc>
          <w:tcPr>
            <w:tcW w:w="2031" w:type="dxa"/>
            <w:noWrap/>
            <w:vAlign w:val="center"/>
          </w:tcPr>
          <w:p w14:paraId="5EE0B886">
            <w:pPr>
              <w:adjustRightInd w:val="0"/>
              <w:snapToGrid w:val="0"/>
              <w:ind w:left="50" w:leftChars="24" w:right="55" w:rightChars="26"/>
              <w:jc w:val="center"/>
              <w:rPr>
                <w:rFonts w:ascii="宋体" w:hAnsi="宋体" w:eastAsia="宋体" w:cs="宋体"/>
                <w:szCs w:val="21"/>
              </w:rPr>
            </w:pPr>
          </w:p>
        </w:tc>
        <w:tc>
          <w:tcPr>
            <w:tcW w:w="1366" w:type="dxa"/>
            <w:noWrap/>
            <w:vAlign w:val="center"/>
          </w:tcPr>
          <w:p w14:paraId="49A3C18C">
            <w:pPr>
              <w:adjustRightInd w:val="0"/>
              <w:snapToGrid w:val="0"/>
              <w:jc w:val="center"/>
              <w:rPr>
                <w:rFonts w:ascii="宋体" w:hAnsi="宋体" w:eastAsia="宋体" w:cs="宋体"/>
                <w:szCs w:val="21"/>
              </w:rPr>
            </w:pPr>
          </w:p>
        </w:tc>
        <w:tc>
          <w:tcPr>
            <w:tcW w:w="1695" w:type="dxa"/>
            <w:noWrap/>
            <w:vAlign w:val="center"/>
          </w:tcPr>
          <w:p w14:paraId="55F61DD0">
            <w:pPr>
              <w:adjustRightInd w:val="0"/>
              <w:snapToGrid w:val="0"/>
              <w:jc w:val="center"/>
              <w:rPr>
                <w:rFonts w:ascii="宋体" w:hAnsi="宋体" w:eastAsia="宋体" w:cs="宋体"/>
                <w:szCs w:val="21"/>
              </w:rPr>
            </w:pPr>
          </w:p>
        </w:tc>
        <w:tc>
          <w:tcPr>
            <w:tcW w:w="518" w:type="dxa"/>
            <w:noWrap/>
            <w:vAlign w:val="center"/>
          </w:tcPr>
          <w:p w14:paraId="1E0D1589">
            <w:pPr>
              <w:adjustRightInd w:val="0"/>
              <w:snapToGrid w:val="0"/>
              <w:jc w:val="center"/>
              <w:rPr>
                <w:rFonts w:ascii="宋体" w:hAnsi="宋体" w:eastAsia="宋体" w:cs="宋体"/>
                <w:szCs w:val="21"/>
              </w:rPr>
            </w:pPr>
          </w:p>
        </w:tc>
      </w:tr>
      <w:tr w14:paraId="6DEAC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53" w:type="dxa"/>
            <w:noWrap/>
            <w:vAlign w:val="center"/>
          </w:tcPr>
          <w:p w14:paraId="2261D51E">
            <w:pPr>
              <w:adjustRightInd w:val="0"/>
              <w:snapToGrid w:val="0"/>
              <w:jc w:val="center"/>
              <w:rPr>
                <w:rFonts w:ascii="宋体" w:hAnsi="宋体" w:eastAsia="宋体" w:cs="宋体"/>
                <w:sz w:val="24"/>
                <w:szCs w:val="24"/>
              </w:rPr>
            </w:pPr>
            <w:r>
              <w:rPr>
                <w:rFonts w:hint="eastAsia" w:ascii="宋体" w:hAnsi="宋体" w:eastAsia="宋体" w:cs="宋体"/>
                <w:sz w:val="24"/>
                <w:szCs w:val="24"/>
              </w:rPr>
              <w:t>3</w:t>
            </w:r>
          </w:p>
        </w:tc>
        <w:tc>
          <w:tcPr>
            <w:tcW w:w="1229" w:type="dxa"/>
            <w:noWrap/>
            <w:vAlign w:val="center"/>
          </w:tcPr>
          <w:p w14:paraId="58616B88">
            <w:pPr>
              <w:adjustRightInd w:val="0"/>
              <w:snapToGrid w:val="0"/>
              <w:ind w:left="50" w:leftChars="24" w:right="55" w:rightChars="26"/>
              <w:jc w:val="center"/>
              <w:rPr>
                <w:rFonts w:ascii="宋体" w:hAnsi="宋体" w:eastAsia="宋体" w:cs="宋体"/>
                <w:szCs w:val="21"/>
              </w:rPr>
            </w:pPr>
          </w:p>
        </w:tc>
        <w:tc>
          <w:tcPr>
            <w:tcW w:w="1401" w:type="dxa"/>
            <w:noWrap/>
            <w:vAlign w:val="center"/>
          </w:tcPr>
          <w:p w14:paraId="029A283C">
            <w:pPr>
              <w:adjustRightInd w:val="0"/>
              <w:snapToGrid w:val="0"/>
              <w:ind w:left="50" w:leftChars="24" w:right="55" w:rightChars="26"/>
              <w:jc w:val="center"/>
              <w:rPr>
                <w:rFonts w:ascii="宋体" w:hAnsi="宋体" w:eastAsia="宋体" w:cs="宋体"/>
                <w:szCs w:val="21"/>
              </w:rPr>
            </w:pPr>
          </w:p>
        </w:tc>
        <w:tc>
          <w:tcPr>
            <w:tcW w:w="2031" w:type="dxa"/>
            <w:noWrap/>
            <w:vAlign w:val="center"/>
          </w:tcPr>
          <w:p w14:paraId="6264D70F">
            <w:pPr>
              <w:adjustRightInd w:val="0"/>
              <w:snapToGrid w:val="0"/>
              <w:ind w:left="50" w:leftChars="24" w:right="55" w:rightChars="26"/>
              <w:jc w:val="center"/>
              <w:rPr>
                <w:rFonts w:ascii="宋体" w:hAnsi="宋体" w:eastAsia="宋体" w:cs="宋体"/>
                <w:szCs w:val="21"/>
              </w:rPr>
            </w:pPr>
          </w:p>
        </w:tc>
        <w:tc>
          <w:tcPr>
            <w:tcW w:w="1366" w:type="dxa"/>
            <w:noWrap/>
            <w:vAlign w:val="center"/>
          </w:tcPr>
          <w:p w14:paraId="1B2A688C">
            <w:pPr>
              <w:adjustRightInd w:val="0"/>
              <w:snapToGrid w:val="0"/>
              <w:jc w:val="center"/>
              <w:rPr>
                <w:rFonts w:ascii="宋体" w:hAnsi="宋体" w:eastAsia="宋体" w:cs="宋体"/>
                <w:szCs w:val="21"/>
              </w:rPr>
            </w:pPr>
          </w:p>
        </w:tc>
        <w:tc>
          <w:tcPr>
            <w:tcW w:w="1695" w:type="dxa"/>
            <w:noWrap/>
            <w:vAlign w:val="center"/>
          </w:tcPr>
          <w:p w14:paraId="12562676">
            <w:pPr>
              <w:adjustRightInd w:val="0"/>
              <w:snapToGrid w:val="0"/>
              <w:jc w:val="center"/>
              <w:rPr>
                <w:rFonts w:ascii="宋体" w:hAnsi="宋体" w:eastAsia="宋体" w:cs="宋体"/>
                <w:szCs w:val="21"/>
              </w:rPr>
            </w:pPr>
          </w:p>
        </w:tc>
        <w:tc>
          <w:tcPr>
            <w:tcW w:w="518" w:type="dxa"/>
            <w:noWrap/>
            <w:vAlign w:val="center"/>
          </w:tcPr>
          <w:p w14:paraId="1AB2E5AA">
            <w:pPr>
              <w:adjustRightInd w:val="0"/>
              <w:snapToGrid w:val="0"/>
              <w:jc w:val="center"/>
              <w:rPr>
                <w:rFonts w:ascii="宋体" w:hAnsi="宋体" w:eastAsia="宋体" w:cs="宋体"/>
                <w:szCs w:val="21"/>
              </w:rPr>
            </w:pPr>
          </w:p>
        </w:tc>
      </w:tr>
      <w:tr w14:paraId="0D3FD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53" w:type="dxa"/>
            <w:noWrap/>
            <w:vAlign w:val="center"/>
          </w:tcPr>
          <w:p w14:paraId="56D347DA">
            <w:pPr>
              <w:adjustRightInd w:val="0"/>
              <w:snapToGrid w:val="0"/>
              <w:jc w:val="center"/>
              <w:rPr>
                <w:rFonts w:ascii="宋体" w:hAnsi="宋体" w:eastAsia="宋体" w:cs="宋体"/>
                <w:sz w:val="24"/>
                <w:szCs w:val="24"/>
              </w:rPr>
            </w:pPr>
            <w:r>
              <w:rPr>
                <w:rFonts w:hint="eastAsia" w:ascii="宋体" w:hAnsi="宋体" w:eastAsia="宋体" w:cs="宋体"/>
                <w:sz w:val="24"/>
                <w:szCs w:val="24"/>
              </w:rPr>
              <w:t>4</w:t>
            </w:r>
          </w:p>
        </w:tc>
        <w:tc>
          <w:tcPr>
            <w:tcW w:w="1229" w:type="dxa"/>
            <w:noWrap/>
            <w:vAlign w:val="center"/>
          </w:tcPr>
          <w:p w14:paraId="50742049">
            <w:pPr>
              <w:adjustRightInd w:val="0"/>
              <w:snapToGrid w:val="0"/>
              <w:ind w:left="50" w:leftChars="24" w:right="55" w:rightChars="26"/>
              <w:jc w:val="center"/>
              <w:rPr>
                <w:rFonts w:ascii="宋体" w:hAnsi="宋体" w:eastAsia="宋体" w:cs="宋体"/>
                <w:szCs w:val="21"/>
              </w:rPr>
            </w:pPr>
          </w:p>
        </w:tc>
        <w:tc>
          <w:tcPr>
            <w:tcW w:w="1401" w:type="dxa"/>
            <w:noWrap/>
            <w:vAlign w:val="center"/>
          </w:tcPr>
          <w:p w14:paraId="686665BC">
            <w:pPr>
              <w:adjustRightInd w:val="0"/>
              <w:snapToGrid w:val="0"/>
              <w:ind w:left="50" w:leftChars="24" w:right="55" w:rightChars="26"/>
              <w:jc w:val="center"/>
              <w:rPr>
                <w:rFonts w:ascii="宋体" w:hAnsi="宋体" w:eastAsia="宋体" w:cs="宋体"/>
                <w:szCs w:val="21"/>
              </w:rPr>
            </w:pPr>
          </w:p>
        </w:tc>
        <w:tc>
          <w:tcPr>
            <w:tcW w:w="2031" w:type="dxa"/>
            <w:noWrap/>
            <w:vAlign w:val="center"/>
          </w:tcPr>
          <w:p w14:paraId="17807D8A">
            <w:pPr>
              <w:adjustRightInd w:val="0"/>
              <w:snapToGrid w:val="0"/>
              <w:ind w:left="50" w:leftChars="24" w:right="55" w:rightChars="26"/>
              <w:jc w:val="left"/>
              <w:rPr>
                <w:rFonts w:ascii="宋体" w:hAnsi="宋体" w:eastAsia="宋体" w:cs="宋体"/>
                <w:szCs w:val="21"/>
              </w:rPr>
            </w:pPr>
          </w:p>
        </w:tc>
        <w:tc>
          <w:tcPr>
            <w:tcW w:w="1366" w:type="dxa"/>
            <w:noWrap/>
            <w:vAlign w:val="center"/>
          </w:tcPr>
          <w:p w14:paraId="6A18EB33">
            <w:pPr>
              <w:adjustRightInd w:val="0"/>
              <w:snapToGrid w:val="0"/>
              <w:jc w:val="center"/>
              <w:rPr>
                <w:rFonts w:ascii="宋体" w:hAnsi="宋体" w:eastAsia="宋体" w:cs="宋体"/>
                <w:szCs w:val="21"/>
              </w:rPr>
            </w:pPr>
          </w:p>
        </w:tc>
        <w:tc>
          <w:tcPr>
            <w:tcW w:w="1695" w:type="dxa"/>
            <w:noWrap/>
            <w:vAlign w:val="center"/>
          </w:tcPr>
          <w:p w14:paraId="71A7E2F4">
            <w:pPr>
              <w:adjustRightInd w:val="0"/>
              <w:snapToGrid w:val="0"/>
              <w:jc w:val="center"/>
              <w:rPr>
                <w:rFonts w:ascii="宋体" w:hAnsi="宋体" w:eastAsia="宋体" w:cs="宋体"/>
                <w:szCs w:val="21"/>
              </w:rPr>
            </w:pPr>
          </w:p>
        </w:tc>
        <w:tc>
          <w:tcPr>
            <w:tcW w:w="518" w:type="dxa"/>
            <w:noWrap/>
            <w:vAlign w:val="center"/>
          </w:tcPr>
          <w:p w14:paraId="37254BF7">
            <w:pPr>
              <w:adjustRightInd w:val="0"/>
              <w:snapToGrid w:val="0"/>
              <w:jc w:val="center"/>
              <w:rPr>
                <w:rFonts w:ascii="宋体" w:hAnsi="宋体" w:eastAsia="宋体" w:cs="宋体"/>
                <w:szCs w:val="21"/>
              </w:rPr>
            </w:pPr>
          </w:p>
        </w:tc>
      </w:tr>
      <w:tr w14:paraId="6CDF5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53" w:type="dxa"/>
            <w:noWrap/>
            <w:vAlign w:val="center"/>
          </w:tcPr>
          <w:p w14:paraId="171B716E">
            <w:pPr>
              <w:adjustRightInd w:val="0"/>
              <w:snapToGrid w:val="0"/>
              <w:jc w:val="center"/>
              <w:rPr>
                <w:rFonts w:ascii="宋体" w:hAnsi="宋体" w:eastAsia="宋体" w:cs="宋体"/>
                <w:sz w:val="24"/>
                <w:szCs w:val="24"/>
              </w:rPr>
            </w:pPr>
            <w:r>
              <w:rPr>
                <w:rFonts w:hint="eastAsia" w:ascii="宋体" w:hAnsi="宋体" w:eastAsia="宋体" w:cs="宋体"/>
                <w:sz w:val="24"/>
                <w:szCs w:val="24"/>
              </w:rPr>
              <w:t>5</w:t>
            </w:r>
          </w:p>
        </w:tc>
        <w:tc>
          <w:tcPr>
            <w:tcW w:w="1229" w:type="dxa"/>
            <w:noWrap/>
            <w:vAlign w:val="center"/>
          </w:tcPr>
          <w:p w14:paraId="66A064E4">
            <w:pPr>
              <w:autoSpaceDE w:val="0"/>
              <w:autoSpaceDN w:val="0"/>
              <w:adjustRightInd w:val="0"/>
              <w:spacing w:line="360" w:lineRule="auto"/>
              <w:outlineLvl w:val="0"/>
              <w:rPr>
                <w:rFonts w:ascii="宋体" w:hAnsi="宋体" w:eastAsia="宋体" w:cs="宋体"/>
                <w:b/>
                <w:bCs/>
                <w:color w:val="000000"/>
                <w:kern w:val="0"/>
                <w:szCs w:val="21"/>
              </w:rPr>
            </w:pPr>
            <w:bookmarkStart w:id="0" w:name="_Toc256000039"/>
            <w:r>
              <w:rPr>
                <w:rFonts w:hint="eastAsia" w:ascii="宋体" w:hAnsi="宋体" w:eastAsia="宋体" w:cs="宋体"/>
                <w:b/>
                <w:bCs/>
                <w:color w:val="000000"/>
                <w:kern w:val="36"/>
                <w:szCs w:val="21"/>
              </w:rPr>
              <w:t>（八）其他要求</w:t>
            </w:r>
            <w:bookmarkEnd w:id="0"/>
          </w:p>
          <w:p w14:paraId="219B31F0">
            <w:pPr>
              <w:adjustRightInd w:val="0"/>
              <w:snapToGrid w:val="0"/>
              <w:jc w:val="center"/>
              <w:rPr>
                <w:rFonts w:ascii="宋体" w:hAnsi="宋体" w:eastAsia="宋体" w:cs="宋体"/>
                <w:szCs w:val="21"/>
              </w:rPr>
            </w:pPr>
          </w:p>
        </w:tc>
        <w:tc>
          <w:tcPr>
            <w:tcW w:w="1401" w:type="dxa"/>
            <w:noWrap/>
            <w:vAlign w:val="center"/>
          </w:tcPr>
          <w:p w14:paraId="5BCC50B9">
            <w:pPr>
              <w:adjustRightInd w:val="0"/>
              <w:snapToGrid w:val="0"/>
              <w:jc w:val="center"/>
              <w:rPr>
                <w:rFonts w:ascii="宋体" w:hAnsi="宋体" w:eastAsia="宋体" w:cs="宋体"/>
                <w:szCs w:val="21"/>
              </w:rPr>
            </w:pPr>
            <w:r>
              <w:rPr>
                <w:rFonts w:hint="eastAsia" w:ascii="宋体" w:hAnsi="宋体" w:eastAsia="宋体" w:cs="宋体"/>
                <w:szCs w:val="21"/>
              </w:rPr>
              <w:t>★</w:t>
            </w:r>
          </w:p>
        </w:tc>
        <w:tc>
          <w:tcPr>
            <w:tcW w:w="2031" w:type="dxa"/>
            <w:noWrap/>
            <w:vAlign w:val="center"/>
          </w:tcPr>
          <w:p w14:paraId="0E0E1140">
            <w:pPr>
              <w:adjustRightInd w:val="0"/>
              <w:snapToGrid w:val="0"/>
              <w:jc w:val="left"/>
              <w:rPr>
                <w:rFonts w:hint="eastAsia" w:ascii="宋体" w:hAnsi="宋体" w:eastAsia="宋体" w:cs="宋体"/>
                <w:szCs w:val="21"/>
              </w:rPr>
            </w:pPr>
            <w:r>
              <w:rPr>
                <w:rFonts w:hint="eastAsia" w:ascii="宋体" w:hAnsi="宋体" w:eastAsia="宋体" w:cs="宋体"/>
                <w:szCs w:val="21"/>
              </w:rPr>
              <w:t>1、必备要求</w:t>
            </w:r>
          </w:p>
          <w:p w14:paraId="76B8E030">
            <w:pPr>
              <w:adjustRightInd w:val="0"/>
              <w:snapToGrid w:val="0"/>
              <w:jc w:val="left"/>
              <w:rPr>
                <w:rFonts w:hint="eastAsia" w:ascii="宋体" w:hAnsi="宋体" w:eastAsia="宋体" w:cs="宋体"/>
                <w:szCs w:val="21"/>
              </w:rPr>
            </w:pPr>
            <w:r>
              <w:rPr>
                <w:rFonts w:hint="eastAsia" w:ascii="宋体" w:hAnsi="宋体" w:eastAsia="宋体" w:cs="宋体"/>
                <w:szCs w:val="21"/>
              </w:rPr>
              <w:t>1.1★税收信息化项目开发和应用管理工作要求</w:t>
            </w:r>
          </w:p>
          <w:p w14:paraId="4C0BA18D">
            <w:pPr>
              <w:adjustRightInd w:val="0"/>
              <w:snapToGrid w:val="0"/>
              <w:jc w:val="left"/>
              <w:rPr>
                <w:rFonts w:ascii="宋体" w:hAnsi="宋体" w:eastAsia="宋体" w:cs="宋体"/>
                <w:szCs w:val="21"/>
              </w:rPr>
            </w:pPr>
            <w:r>
              <w:rPr>
                <w:rFonts w:hint="eastAsia" w:ascii="宋体" w:hAnsi="宋体" w:eastAsia="宋体" w:cs="宋体"/>
                <w:szCs w:val="21"/>
              </w:rPr>
              <w:t>供应商在采购以及后续项目实施过程中，应严格遵守税务总局税收信息化项目开发和应用管理工作要求。对于违反合同约定的，依据合同约定及政府采购有关规定，采购人可采取要求限期改正、在应付合同金额中扣除违约金、解除合同等措施；对于存在严重违法失信行为的，由采购人按规定推送财政部纳入政府采购严重违法失信行为记录名单。</w:t>
            </w:r>
          </w:p>
        </w:tc>
        <w:tc>
          <w:tcPr>
            <w:tcW w:w="1366" w:type="dxa"/>
            <w:noWrap/>
            <w:vAlign w:val="center"/>
          </w:tcPr>
          <w:p w14:paraId="7C07A9A4">
            <w:pPr>
              <w:adjustRightInd w:val="0"/>
              <w:snapToGrid w:val="0"/>
              <w:jc w:val="center"/>
              <w:rPr>
                <w:rFonts w:ascii="宋体" w:hAnsi="宋体" w:eastAsia="宋体" w:cs="宋体"/>
                <w:szCs w:val="21"/>
              </w:rPr>
            </w:pPr>
          </w:p>
        </w:tc>
        <w:tc>
          <w:tcPr>
            <w:tcW w:w="1695" w:type="dxa"/>
            <w:noWrap/>
            <w:vAlign w:val="center"/>
          </w:tcPr>
          <w:p w14:paraId="755CCADE">
            <w:pPr>
              <w:adjustRightInd w:val="0"/>
              <w:snapToGrid w:val="0"/>
              <w:jc w:val="center"/>
              <w:rPr>
                <w:rFonts w:ascii="宋体" w:hAnsi="宋体" w:eastAsia="宋体" w:cs="宋体"/>
                <w:szCs w:val="21"/>
              </w:rPr>
            </w:pPr>
          </w:p>
        </w:tc>
        <w:tc>
          <w:tcPr>
            <w:tcW w:w="518" w:type="dxa"/>
            <w:noWrap/>
            <w:vAlign w:val="center"/>
          </w:tcPr>
          <w:p w14:paraId="30AB93E9">
            <w:pPr>
              <w:adjustRightInd w:val="0"/>
              <w:snapToGrid w:val="0"/>
              <w:jc w:val="center"/>
              <w:rPr>
                <w:rFonts w:ascii="宋体" w:hAnsi="宋体" w:eastAsia="宋体" w:cs="宋体"/>
                <w:szCs w:val="21"/>
              </w:rPr>
            </w:pPr>
          </w:p>
        </w:tc>
      </w:tr>
      <w:tr w14:paraId="2E351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53" w:type="dxa"/>
            <w:noWrap/>
            <w:vAlign w:val="center"/>
          </w:tcPr>
          <w:p w14:paraId="4E4C4A7B">
            <w:pPr>
              <w:adjustRightInd w:val="0"/>
              <w:snapToGrid w:val="0"/>
              <w:jc w:val="center"/>
              <w:rPr>
                <w:rFonts w:ascii="宋体" w:hAnsi="宋体" w:eastAsia="宋体" w:cs="宋体"/>
                <w:sz w:val="24"/>
                <w:szCs w:val="24"/>
              </w:rPr>
            </w:pPr>
            <w:r>
              <w:rPr>
                <w:rFonts w:hint="eastAsia" w:ascii="宋体" w:hAnsi="宋体" w:eastAsia="宋体" w:cs="宋体"/>
                <w:sz w:val="24"/>
                <w:szCs w:val="24"/>
              </w:rPr>
              <w:t>……</w:t>
            </w:r>
          </w:p>
        </w:tc>
        <w:tc>
          <w:tcPr>
            <w:tcW w:w="1229" w:type="dxa"/>
            <w:noWrap/>
            <w:vAlign w:val="center"/>
          </w:tcPr>
          <w:p w14:paraId="13207A8A">
            <w:pPr>
              <w:adjustRightInd w:val="0"/>
              <w:snapToGrid w:val="0"/>
              <w:jc w:val="center"/>
              <w:rPr>
                <w:rFonts w:ascii="宋体" w:hAnsi="宋体" w:eastAsia="宋体" w:cs="宋体"/>
                <w:szCs w:val="21"/>
              </w:rPr>
            </w:pPr>
          </w:p>
        </w:tc>
        <w:tc>
          <w:tcPr>
            <w:tcW w:w="1401" w:type="dxa"/>
            <w:noWrap/>
            <w:vAlign w:val="center"/>
          </w:tcPr>
          <w:p w14:paraId="3DC0E090">
            <w:pPr>
              <w:spacing w:line="360" w:lineRule="auto"/>
              <w:ind w:firstLine="210" w:firstLineChars="100"/>
              <w:rPr>
                <w:rFonts w:ascii="宋体" w:hAnsi="宋体" w:eastAsia="宋体" w:cs="宋体"/>
                <w:szCs w:val="21"/>
              </w:rPr>
            </w:pPr>
            <w:r>
              <w:rPr>
                <w:rFonts w:hint="eastAsia" w:ascii="宋体" w:hAnsi="宋体" w:eastAsia="宋体" w:cs="宋体"/>
                <w:szCs w:val="21"/>
              </w:rPr>
              <w:t>★</w:t>
            </w:r>
          </w:p>
        </w:tc>
        <w:tc>
          <w:tcPr>
            <w:tcW w:w="2031" w:type="dxa"/>
            <w:noWrap/>
            <w:vAlign w:val="center"/>
          </w:tcPr>
          <w:p w14:paraId="77C7328A">
            <w:pPr>
              <w:adjustRightInd w:val="0"/>
              <w:snapToGrid w:val="0"/>
              <w:jc w:val="left"/>
              <w:rPr>
                <w:rFonts w:hint="eastAsia" w:ascii="宋体" w:hAnsi="宋体" w:eastAsia="宋体" w:cs="宋体"/>
                <w:szCs w:val="21"/>
              </w:rPr>
            </w:pPr>
            <w:r>
              <w:rPr>
                <w:rFonts w:hint="eastAsia" w:ascii="宋体" w:hAnsi="宋体" w:eastAsia="宋体" w:cs="宋体"/>
                <w:szCs w:val="21"/>
              </w:rPr>
              <w:t>1.2★供应链安全管理要求</w:t>
            </w:r>
          </w:p>
          <w:p w14:paraId="799CB2AD">
            <w:pPr>
              <w:adjustRightInd w:val="0"/>
              <w:snapToGrid w:val="0"/>
              <w:jc w:val="left"/>
              <w:rPr>
                <w:rFonts w:hint="eastAsia" w:ascii="宋体" w:hAnsi="宋体" w:eastAsia="宋体" w:cs="宋体"/>
                <w:szCs w:val="21"/>
              </w:rPr>
            </w:pPr>
            <w:r>
              <w:rPr>
                <w:rFonts w:hint="eastAsia" w:ascii="宋体" w:hAnsi="宋体" w:eastAsia="宋体" w:cs="宋体"/>
                <w:szCs w:val="21"/>
              </w:rPr>
              <w:t xml:space="preserve">1.2.1 人员资格要求 </w:t>
            </w:r>
          </w:p>
          <w:p w14:paraId="04C76928">
            <w:pPr>
              <w:adjustRightInd w:val="0"/>
              <w:snapToGrid w:val="0"/>
              <w:jc w:val="left"/>
              <w:rPr>
                <w:rFonts w:hint="eastAsia" w:ascii="宋体" w:hAnsi="宋体" w:eastAsia="宋体" w:cs="宋体"/>
                <w:szCs w:val="21"/>
              </w:rPr>
            </w:pPr>
            <w:r>
              <w:rPr>
                <w:rFonts w:hint="eastAsia" w:ascii="宋体" w:hAnsi="宋体" w:eastAsia="宋体" w:cs="宋体"/>
                <w:szCs w:val="21"/>
              </w:rPr>
              <w:t xml:space="preserve">（1）签订承诺书。供应商应严格落实国家税务总局网络安全和保密管理要求，承担技术支持人员的网络安全和保密管理责任，按采购人要求签订协议和承诺书。 </w:t>
            </w:r>
          </w:p>
          <w:p w14:paraId="5691EF5B">
            <w:pPr>
              <w:adjustRightInd w:val="0"/>
              <w:snapToGrid w:val="0"/>
              <w:jc w:val="left"/>
              <w:rPr>
                <w:rFonts w:hint="eastAsia" w:ascii="宋体" w:hAnsi="宋体" w:eastAsia="宋体" w:cs="宋体"/>
                <w:szCs w:val="21"/>
              </w:rPr>
            </w:pPr>
            <w:r>
              <w:rPr>
                <w:rFonts w:hint="eastAsia" w:ascii="宋体" w:hAnsi="宋体" w:eastAsia="宋体" w:cs="宋体"/>
                <w:szCs w:val="21"/>
              </w:rPr>
              <w:t xml:space="preserve">（2）开展背景审查。供应商承担技术支持人员背景审查工作，提供其身份证明、履历、家庭成员及主要社会关系、无犯罪记录证明等材料，并提交采购人进行备案。 </w:t>
            </w:r>
          </w:p>
          <w:p w14:paraId="49EC5854">
            <w:pPr>
              <w:adjustRightInd w:val="0"/>
              <w:snapToGrid w:val="0"/>
              <w:jc w:val="left"/>
              <w:rPr>
                <w:rFonts w:hint="eastAsia" w:ascii="宋体" w:hAnsi="宋体" w:eastAsia="宋体" w:cs="宋体"/>
                <w:szCs w:val="21"/>
              </w:rPr>
            </w:pPr>
            <w:r>
              <w:rPr>
                <w:rFonts w:hint="eastAsia" w:ascii="宋体" w:hAnsi="宋体" w:eastAsia="宋体" w:cs="宋体"/>
                <w:szCs w:val="21"/>
              </w:rPr>
              <w:t xml:space="preserve">（3）设置网络安全负责人（由驻场运维人员兼任）。供应商为本项目配备一名网络安全负责人，该负责人具备独立决策能力并保持相对稳定，在项目实施的全过程负责网络安全工作，组织落实各项网络安全要求。 </w:t>
            </w:r>
          </w:p>
          <w:p w14:paraId="2FEE77A0">
            <w:pPr>
              <w:adjustRightInd w:val="0"/>
              <w:snapToGrid w:val="0"/>
              <w:jc w:val="left"/>
              <w:rPr>
                <w:rFonts w:hint="eastAsia" w:ascii="宋体" w:hAnsi="宋体" w:eastAsia="宋体" w:cs="宋体"/>
                <w:szCs w:val="21"/>
              </w:rPr>
            </w:pPr>
            <w:r>
              <w:rPr>
                <w:rFonts w:hint="eastAsia" w:ascii="宋体" w:hAnsi="宋体" w:eastAsia="宋体" w:cs="宋体"/>
                <w:szCs w:val="21"/>
              </w:rPr>
              <w:t xml:space="preserve">1.2.2 日常行为规范要求 </w:t>
            </w:r>
          </w:p>
          <w:p w14:paraId="4C418FE7">
            <w:pPr>
              <w:adjustRightInd w:val="0"/>
              <w:snapToGrid w:val="0"/>
              <w:jc w:val="left"/>
              <w:rPr>
                <w:rFonts w:hint="eastAsia" w:ascii="宋体" w:hAnsi="宋体" w:eastAsia="宋体" w:cs="宋体"/>
                <w:szCs w:val="21"/>
              </w:rPr>
            </w:pPr>
            <w:r>
              <w:rPr>
                <w:rFonts w:hint="eastAsia" w:ascii="宋体" w:hAnsi="宋体" w:eastAsia="宋体" w:cs="宋体"/>
                <w:szCs w:val="21"/>
              </w:rPr>
              <w:t xml:space="preserve">（1）工作能力要求。供应商负责对技术支持人员进行资格条件、工作胜任力以及网络安全能力评估，对技术支持人员承担的工作进行安全保密风险分析，明确技术支持人员工作范围和边界，重点防范设备和资料失窃、误操作导致的软硬件故障、工作秘密和税费数据等信息泄露、信息系统越权访问和网络攻击等风险。 </w:t>
            </w:r>
          </w:p>
          <w:p w14:paraId="79C222DD">
            <w:pPr>
              <w:adjustRightInd w:val="0"/>
              <w:snapToGrid w:val="0"/>
              <w:jc w:val="left"/>
              <w:rPr>
                <w:rFonts w:hint="eastAsia" w:ascii="宋体" w:hAnsi="宋体" w:eastAsia="宋体" w:cs="宋体"/>
                <w:szCs w:val="21"/>
              </w:rPr>
            </w:pPr>
            <w:r>
              <w:rPr>
                <w:rFonts w:hint="eastAsia" w:ascii="宋体" w:hAnsi="宋体" w:eastAsia="宋体" w:cs="宋体"/>
                <w:szCs w:val="21"/>
              </w:rPr>
              <w:t xml:space="preserve">（2）教育培训要求。供应商负责对技术支持人员进行网络和数据安全法律法规、网络安全意识、网络安全管理、网络安全技能、保密意识以及网络安全警示教育等培训，上岗前对其进行考核。 </w:t>
            </w:r>
          </w:p>
          <w:p w14:paraId="17CB6774">
            <w:pPr>
              <w:adjustRightInd w:val="0"/>
              <w:snapToGrid w:val="0"/>
              <w:jc w:val="left"/>
              <w:rPr>
                <w:rFonts w:hint="eastAsia" w:ascii="宋体" w:hAnsi="宋体" w:eastAsia="宋体" w:cs="宋体"/>
                <w:szCs w:val="21"/>
              </w:rPr>
            </w:pPr>
            <w:r>
              <w:rPr>
                <w:rFonts w:hint="eastAsia" w:ascii="宋体" w:hAnsi="宋体" w:eastAsia="宋体" w:cs="宋体"/>
                <w:szCs w:val="21"/>
              </w:rPr>
              <w:t xml:space="preserve">1.2.3 违约惩戒措施 </w:t>
            </w:r>
          </w:p>
          <w:p w14:paraId="1EE43667">
            <w:pPr>
              <w:adjustRightInd w:val="0"/>
              <w:snapToGrid w:val="0"/>
              <w:jc w:val="left"/>
              <w:rPr>
                <w:rFonts w:hint="eastAsia" w:ascii="宋体" w:hAnsi="宋体" w:eastAsia="宋体" w:cs="宋体"/>
                <w:szCs w:val="21"/>
              </w:rPr>
            </w:pPr>
            <w:r>
              <w:rPr>
                <w:rFonts w:hint="eastAsia" w:ascii="宋体" w:hAnsi="宋体" w:eastAsia="宋体" w:cs="宋体"/>
                <w:szCs w:val="21"/>
              </w:rPr>
              <w:t>供应商对供应链安全管理责任落实不到位，造成安全事件或产生不良影响的，采购人按照法律法规及合同约定进行处理。</w:t>
            </w:r>
          </w:p>
          <w:p w14:paraId="06CA9663">
            <w:pPr>
              <w:adjustRightInd w:val="0"/>
              <w:snapToGrid w:val="0"/>
              <w:jc w:val="left"/>
              <w:rPr>
                <w:rFonts w:ascii="宋体" w:hAnsi="宋体" w:eastAsia="宋体" w:cs="宋体"/>
                <w:szCs w:val="21"/>
              </w:rPr>
            </w:pPr>
          </w:p>
        </w:tc>
        <w:tc>
          <w:tcPr>
            <w:tcW w:w="1366" w:type="dxa"/>
            <w:noWrap/>
            <w:vAlign w:val="center"/>
          </w:tcPr>
          <w:p w14:paraId="02602100">
            <w:pPr>
              <w:adjustRightInd w:val="0"/>
              <w:snapToGrid w:val="0"/>
              <w:jc w:val="center"/>
              <w:rPr>
                <w:rFonts w:ascii="宋体" w:hAnsi="宋体" w:eastAsia="宋体" w:cs="宋体"/>
                <w:szCs w:val="21"/>
              </w:rPr>
            </w:pPr>
          </w:p>
        </w:tc>
        <w:tc>
          <w:tcPr>
            <w:tcW w:w="1695" w:type="dxa"/>
            <w:noWrap/>
            <w:vAlign w:val="center"/>
          </w:tcPr>
          <w:p w14:paraId="3F3E1911">
            <w:pPr>
              <w:adjustRightInd w:val="0"/>
              <w:snapToGrid w:val="0"/>
              <w:jc w:val="center"/>
              <w:rPr>
                <w:rFonts w:ascii="宋体" w:hAnsi="宋体" w:eastAsia="宋体" w:cs="宋体"/>
                <w:szCs w:val="21"/>
              </w:rPr>
            </w:pPr>
          </w:p>
        </w:tc>
        <w:tc>
          <w:tcPr>
            <w:tcW w:w="518" w:type="dxa"/>
            <w:noWrap/>
            <w:vAlign w:val="center"/>
          </w:tcPr>
          <w:p w14:paraId="4A44643F">
            <w:pPr>
              <w:adjustRightInd w:val="0"/>
              <w:snapToGrid w:val="0"/>
              <w:jc w:val="center"/>
              <w:rPr>
                <w:rFonts w:ascii="宋体" w:hAnsi="宋体" w:eastAsia="宋体" w:cs="宋体"/>
                <w:szCs w:val="21"/>
              </w:rPr>
            </w:pPr>
          </w:p>
        </w:tc>
      </w:tr>
      <w:tr w14:paraId="49027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53" w:type="dxa"/>
            <w:noWrap/>
            <w:vAlign w:val="center"/>
          </w:tcPr>
          <w:p w14:paraId="7188B0E6">
            <w:pPr>
              <w:adjustRightInd w:val="0"/>
              <w:snapToGrid w:val="0"/>
              <w:jc w:val="center"/>
              <w:rPr>
                <w:rFonts w:ascii="宋体" w:hAnsi="宋体" w:eastAsia="宋体" w:cs="宋体"/>
                <w:sz w:val="24"/>
                <w:szCs w:val="24"/>
              </w:rPr>
            </w:pPr>
          </w:p>
        </w:tc>
        <w:tc>
          <w:tcPr>
            <w:tcW w:w="1229" w:type="dxa"/>
            <w:noWrap/>
            <w:vAlign w:val="center"/>
          </w:tcPr>
          <w:p w14:paraId="6E855499">
            <w:pPr>
              <w:adjustRightInd w:val="0"/>
              <w:snapToGrid w:val="0"/>
              <w:jc w:val="center"/>
              <w:rPr>
                <w:rFonts w:ascii="宋体" w:hAnsi="宋体" w:eastAsia="宋体" w:cs="宋体"/>
                <w:szCs w:val="21"/>
              </w:rPr>
            </w:pPr>
          </w:p>
        </w:tc>
        <w:tc>
          <w:tcPr>
            <w:tcW w:w="1401" w:type="dxa"/>
            <w:noWrap/>
            <w:vAlign w:val="center"/>
          </w:tcPr>
          <w:p w14:paraId="1144EC48">
            <w:pPr>
              <w:spacing w:line="360" w:lineRule="auto"/>
              <w:ind w:firstLine="420" w:firstLineChars="200"/>
              <w:rPr>
                <w:rFonts w:ascii="宋体" w:hAnsi="宋体" w:eastAsia="宋体" w:cs="宋体"/>
                <w:szCs w:val="21"/>
              </w:rPr>
            </w:pPr>
            <w:r>
              <w:rPr>
                <w:rFonts w:hint="eastAsia" w:ascii="宋体" w:hAnsi="宋体" w:eastAsia="宋体" w:cs="宋体"/>
                <w:szCs w:val="21"/>
              </w:rPr>
              <w:t>★</w:t>
            </w:r>
          </w:p>
        </w:tc>
        <w:tc>
          <w:tcPr>
            <w:tcW w:w="2031" w:type="dxa"/>
            <w:noWrap/>
            <w:vAlign w:val="center"/>
          </w:tcPr>
          <w:p w14:paraId="45856F4D">
            <w:pPr>
              <w:adjustRightInd w:val="0"/>
              <w:snapToGrid w:val="0"/>
              <w:jc w:val="left"/>
              <w:rPr>
                <w:rFonts w:hint="eastAsia" w:ascii="宋体" w:hAnsi="宋体" w:eastAsia="宋体" w:cs="宋体"/>
                <w:szCs w:val="21"/>
              </w:rPr>
            </w:pPr>
            <w:r>
              <w:rPr>
                <w:rFonts w:hint="eastAsia" w:ascii="宋体" w:hAnsi="宋体" w:eastAsia="宋体" w:cs="宋体"/>
                <w:szCs w:val="21"/>
              </w:rPr>
              <w:t>1.3★信息化服务运维人员要求</w:t>
            </w:r>
          </w:p>
          <w:p w14:paraId="3C655189">
            <w:pPr>
              <w:adjustRightInd w:val="0"/>
              <w:snapToGrid w:val="0"/>
              <w:jc w:val="left"/>
              <w:rPr>
                <w:rFonts w:ascii="宋体" w:hAnsi="宋体" w:eastAsia="宋体" w:cs="宋体"/>
                <w:szCs w:val="21"/>
              </w:rPr>
            </w:pPr>
            <w:r>
              <w:rPr>
                <w:rFonts w:hint="eastAsia" w:ascii="宋体" w:hAnsi="宋体" w:eastAsia="宋体" w:cs="宋体"/>
                <w:szCs w:val="21"/>
              </w:rPr>
              <w:t>本项目涉及信息化服务运维人员的，运维人员应当是运维单位的正式人员，或者是与运维单位签订1年或以上劳动合同且实际工作满1年的人员，常驻运维人员应当为技术骨干。</w:t>
            </w:r>
          </w:p>
        </w:tc>
        <w:tc>
          <w:tcPr>
            <w:tcW w:w="1366" w:type="dxa"/>
            <w:noWrap/>
            <w:vAlign w:val="center"/>
          </w:tcPr>
          <w:p w14:paraId="28A08AE3">
            <w:pPr>
              <w:adjustRightInd w:val="0"/>
              <w:snapToGrid w:val="0"/>
              <w:jc w:val="center"/>
              <w:rPr>
                <w:rFonts w:ascii="宋体" w:hAnsi="宋体" w:eastAsia="宋体" w:cs="宋体"/>
                <w:szCs w:val="21"/>
              </w:rPr>
            </w:pPr>
          </w:p>
        </w:tc>
        <w:tc>
          <w:tcPr>
            <w:tcW w:w="1695" w:type="dxa"/>
            <w:noWrap/>
            <w:vAlign w:val="center"/>
          </w:tcPr>
          <w:p w14:paraId="3B10EB65">
            <w:pPr>
              <w:adjustRightInd w:val="0"/>
              <w:snapToGrid w:val="0"/>
              <w:jc w:val="center"/>
              <w:rPr>
                <w:rFonts w:ascii="宋体" w:hAnsi="宋体" w:eastAsia="宋体" w:cs="宋体"/>
                <w:szCs w:val="21"/>
              </w:rPr>
            </w:pPr>
          </w:p>
        </w:tc>
        <w:tc>
          <w:tcPr>
            <w:tcW w:w="518" w:type="dxa"/>
            <w:noWrap/>
            <w:vAlign w:val="center"/>
          </w:tcPr>
          <w:p w14:paraId="06F59B3B">
            <w:pPr>
              <w:adjustRightInd w:val="0"/>
              <w:snapToGrid w:val="0"/>
              <w:jc w:val="center"/>
              <w:rPr>
                <w:rFonts w:ascii="宋体" w:hAnsi="宋体" w:eastAsia="宋体" w:cs="宋体"/>
                <w:szCs w:val="21"/>
              </w:rPr>
            </w:pPr>
          </w:p>
        </w:tc>
      </w:tr>
    </w:tbl>
    <w:p w14:paraId="2374CCAD">
      <w:pPr>
        <w:adjustRightInd w:val="0"/>
        <w:snapToGrid w:val="0"/>
        <w:spacing w:line="360" w:lineRule="auto"/>
        <w:ind w:firstLine="420" w:firstLineChars="200"/>
        <w:rPr>
          <w:rFonts w:ascii="宋体" w:hAnsi="宋体" w:eastAsia="宋体" w:cs="宋体"/>
          <w:szCs w:val="24"/>
        </w:rPr>
      </w:pPr>
    </w:p>
    <w:p w14:paraId="27850C3D">
      <w:pPr>
        <w:adjustRightInd w:val="0"/>
        <w:snapToGrid w:val="0"/>
        <w:rPr>
          <w:rFonts w:hint="eastAsia" w:ascii="宋体" w:hAnsi="宋体" w:eastAsia="宋体" w:cs="宋体"/>
          <w:szCs w:val="21"/>
        </w:rPr>
      </w:pPr>
    </w:p>
    <w:p w14:paraId="2188106D">
      <w:pPr>
        <w:adjustRightInd w:val="0"/>
        <w:snapToGrid w:val="0"/>
        <w:ind w:firstLine="420" w:firstLineChars="200"/>
        <w:rPr>
          <w:rFonts w:ascii="宋体" w:hAnsi="宋体" w:eastAsia="宋体" w:cs="宋体"/>
          <w:szCs w:val="21"/>
        </w:rPr>
      </w:pPr>
      <w:r>
        <w:rPr>
          <w:rFonts w:hint="eastAsia" w:ascii="宋体" w:hAnsi="宋体" w:eastAsia="宋体" w:cs="宋体"/>
          <w:szCs w:val="21"/>
        </w:rPr>
        <w:t>特别说明：</w:t>
      </w:r>
    </w:p>
    <w:p w14:paraId="16111418">
      <w:pPr>
        <w:adjustRightInd w:val="0"/>
        <w:snapToGrid w:val="0"/>
        <w:ind w:firstLine="420" w:firstLineChars="200"/>
        <w:rPr>
          <w:rFonts w:ascii="宋体" w:hAnsi="宋体" w:eastAsia="宋体" w:cs="宋体"/>
          <w:szCs w:val="21"/>
        </w:rPr>
      </w:pPr>
      <w:r>
        <w:rPr>
          <w:rFonts w:hint="eastAsia" w:ascii="宋体" w:hAnsi="宋体" w:eastAsia="宋体" w:cs="宋体"/>
          <w:szCs w:val="21"/>
        </w:rPr>
        <w:t>1.按照《招标文件-第六章 项目采购需求-第三节  技术需求》内容要求，一一对应填写。如果对《招标文件-技术部分》内容不做一一响应，而将“投标文件应答情况”简单笼统描述为“无偏离”，则视为无效应答。</w:t>
      </w:r>
    </w:p>
    <w:p w14:paraId="03AD69A3">
      <w:pPr>
        <w:adjustRightInd w:val="0"/>
        <w:snapToGrid w:val="0"/>
        <w:ind w:firstLine="420" w:firstLineChars="200"/>
        <w:rPr>
          <w:rFonts w:ascii="宋体" w:hAnsi="宋体" w:eastAsia="宋体" w:cs="宋体"/>
          <w:szCs w:val="21"/>
        </w:rPr>
      </w:pPr>
      <w:r>
        <w:rPr>
          <w:rFonts w:hint="eastAsia" w:ascii="宋体" w:hAnsi="宋体" w:eastAsia="宋体" w:cs="宋体"/>
          <w:szCs w:val="21"/>
        </w:rPr>
        <w:t>2.《招标文件-第六章 项目采购需求-第三节  技术需求》内容须条对条应答，不得遗漏。如无偏离，请在此表中填写“无偏离”。如有偏离，请在此表中应答为“正/负偏离”并说明偏离情况；</w:t>
      </w:r>
    </w:p>
    <w:p w14:paraId="151D2E31">
      <w:pPr>
        <w:adjustRightInd w:val="0"/>
        <w:snapToGrid w:val="0"/>
        <w:ind w:firstLine="420" w:firstLineChars="200"/>
        <w:rPr>
          <w:rFonts w:ascii="宋体" w:hAnsi="宋体" w:eastAsia="宋体" w:cs="宋体"/>
          <w:szCs w:val="21"/>
        </w:rPr>
      </w:pPr>
      <w:r>
        <w:rPr>
          <w:rFonts w:hint="eastAsia" w:ascii="宋体" w:hAnsi="宋体" w:eastAsia="宋体" w:cs="宋体"/>
          <w:szCs w:val="21"/>
        </w:rPr>
        <w:t>3.如《招标文件-第六章 项目采购需求-第三节  技术需求》中有标注★号的，则为实质性要求，必须满足，如应答为“负偏离”或未应答，将导致投标无效。</w:t>
      </w:r>
    </w:p>
    <w:p w14:paraId="1A96F4D7">
      <w:pPr>
        <w:adjustRightInd w:val="0"/>
        <w:snapToGrid w:val="0"/>
        <w:ind w:firstLine="420" w:firstLineChars="200"/>
        <w:rPr>
          <w:rFonts w:ascii="Times New Roman" w:hAnsi="宋体" w:eastAsia="宋体" w:cs="宋体"/>
          <w:szCs w:val="21"/>
        </w:rPr>
      </w:pPr>
      <w:r>
        <w:rPr>
          <w:rFonts w:hint="eastAsia" w:ascii="宋体" w:hAnsi="宋体" w:eastAsia="宋体" w:cs="宋体"/>
          <w:szCs w:val="21"/>
        </w:rPr>
        <w:t>4.</w:t>
      </w:r>
      <w:r>
        <w:rPr>
          <w:rFonts w:hint="eastAsia" w:ascii="宋体" w:hAnsi="宋体" w:eastAsia="宋体" w:cs="宋体"/>
          <w:szCs w:val="21"/>
          <w:lang w:bidi="ar"/>
        </w:rPr>
        <w:t>投标文件应答情况列可注明响应内容所在的投标文件页码代表响应情况。</w:t>
      </w:r>
    </w:p>
    <w:p w14:paraId="305C9B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DE"/>
    <w:rsid w:val="0048414F"/>
    <w:rsid w:val="00861A37"/>
    <w:rsid w:val="00A32EDE"/>
    <w:rsid w:val="00E528A4"/>
    <w:rsid w:val="5BAE00C9"/>
    <w:rsid w:val="64266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1190</Words>
  <Characters>1212</Characters>
  <Lines>9</Lines>
  <Paragraphs>2</Paragraphs>
  <TotalTime>1</TotalTime>
  <ScaleCrop>false</ScaleCrop>
  <LinksUpToDate>false</LinksUpToDate>
  <CharactersWithSpaces>1232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2025-09-09T07:07:00Z</dcterms:created>
  <dc:creator>apple</dc:creator>
  <cp:lastModifiedBy>中正--绮</cp:lastModifiedBy>
  <dcterms:modified xsi:type="dcterms:W3CDTF">2025-09-09T07:35:53Z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eyJoZGlkIjoiY2Y5OTA2MGI3MGFmOGU0NTE2YWU2ZGI5ZDJmMmNkMGUiLCJ1c2VySWQiOiI3MDgxMTIyMzEifQ==</vt:lpwstr>
  </property>
  <property fmtid="{D5CDD505-2E9C-101B-9397-08002B2CF9AE}" pid="3" name="KSOProductBuildVer">
    <vt:lpwstr>2052-12.1.0.22529</vt:lpwstr>
  </property>
  <property fmtid="{D5CDD505-2E9C-101B-9397-08002B2CF9AE}" pid="4" name="ICV">
    <vt:lpwstr>7C2258C2C59D447EB78CFE2BE5369155_12</vt:lpwstr>
  </property>
</Properties>
</file>