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0A605F">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1026" o:spt="202" type="#_x0000_t202" style="position:absolute;left:0pt;margin-left:45.7pt;margin-top:-3.3pt;height:46.8pt;width:294.8pt;z-index:251659264;mso-width-relative:margin;mso-height-relative:margin;"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DqqxfAIAgAAOAQAAA4AAAAAAAAAAQAgAAAA&#10;JgEAAGRycy9lMm9Eb2MueG1sUEsFBgAAAAAGAAYAWQEAAKAFAAAAAA==&#10;">
            <v:path/>
            <v:fill focussize="0,0"/>
            <v:stroke color="#FFFFFF" joinstyle="miter"/>
            <v:imagedata o:title=""/>
            <o:lock v:ext="edit"/>
            <v:textbox>
              <w:txbxContent>
                <w:p w14:paraId="6BBC7B2D">
                  <w:pPr>
                    <w:spacing w:line="400" w:lineRule="exact"/>
                    <w:rPr>
                      <w:rFonts w:ascii="仿宋_GB2312" w:eastAsia="仿宋_GB2312"/>
                      <w:b/>
                      <w:sz w:val="26"/>
                      <w:szCs w:val="26"/>
                    </w:rPr>
                  </w:pPr>
                  <w:r>
                    <w:rPr>
                      <w:rFonts w:hint="eastAsia" w:ascii="仿宋_GB2312" w:eastAsia="仿宋_GB2312"/>
                      <w:b/>
                      <w:sz w:val="26"/>
                      <w:szCs w:val="26"/>
                    </w:rPr>
                    <w:t>深 圳 市 中 正 招 标 有 限 公 司</w:t>
                  </w:r>
                </w:p>
                <w:p w14:paraId="05D45D6A">
                  <w:pPr>
                    <w:spacing w:line="400" w:lineRule="exact"/>
                    <w:rPr>
                      <w:rFonts w:ascii="仿宋_GB2312" w:eastAsia="仿宋_GB2312"/>
                      <w:sz w:val="22"/>
                    </w:rPr>
                  </w:pPr>
                  <w:r>
                    <w:rPr>
                      <w:rFonts w:hint="eastAsia" w:ascii="仿宋_GB2312" w:eastAsia="仿宋_GB2312"/>
                      <w:sz w:val="22"/>
                    </w:rPr>
                    <w:t>SHENZHEN ZHONGZHENG TENDERING CO.,LTD.</w:t>
                  </w:r>
                </w:p>
              </w:txbxContent>
            </v:textbox>
          </v:shape>
        </w:pict>
      </w:r>
      <w:r>
        <w:rPr>
          <w:b/>
          <w:kern w:val="0"/>
          <w:sz w:val="28"/>
          <w:szCs w:val="28"/>
        </w:rPr>
        <w:drawing>
          <wp:inline distT="0" distB="0" distL="0" distR="0">
            <wp:extent cx="552450" cy="476250"/>
            <wp:effectExtent l="57150" t="19050" r="190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rcRect/>
                    <a:stretch>
                      <a:fillRect/>
                    </a:stretch>
                  </pic:blipFill>
                  <pic:spPr>
                    <a:xfrm>
                      <a:off x="0" y="0"/>
                      <a:ext cx="552450" cy="476250"/>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58B100BD">
      <w:pPr>
        <w:adjustRightInd w:val="0"/>
        <w:snapToGrid w:val="0"/>
        <w:spacing w:line="300" w:lineRule="auto"/>
        <w:jc w:val="left"/>
        <w:rPr>
          <w:b/>
          <w:bCs/>
          <w:snapToGrid w:val="0"/>
          <w:kern w:val="0"/>
          <w:sz w:val="28"/>
          <w:szCs w:val="28"/>
        </w:rPr>
      </w:pPr>
    </w:p>
    <w:p w14:paraId="158AAC9C">
      <w:pPr>
        <w:adjustRightInd w:val="0"/>
        <w:snapToGrid w:val="0"/>
        <w:spacing w:line="300" w:lineRule="auto"/>
        <w:jc w:val="left"/>
        <w:rPr>
          <w:b/>
          <w:bCs/>
          <w:snapToGrid w:val="0"/>
          <w:kern w:val="0"/>
          <w:sz w:val="28"/>
          <w:szCs w:val="28"/>
        </w:rPr>
      </w:pPr>
    </w:p>
    <w:p w14:paraId="13439BC7">
      <w:pPr>
        <w:adjustRightInd w:val="0"/>
        <w:snapToGrid w:val="0"/>
        <w:spacing w:line="300" w:lineRule="auto"/>
        <w:jc w:val="center"/>
        <w:rPr>
          <w:rFonts w:hint="eastAsia" w:asciiTheme="minorEastAsia" w:hAnsiTheme="minorEastAsia" w:eastAsiaTheme="minorEastAsia"/>
          <w:b/>
          <w:snapToGrid w:val="0"/>
          <w:kern w:val="0"/>
          <w:sz w:val="72"/>
          <w:szCs w:val="72"/>
          <w:lang w:eastAsia="zh-CN"/>
        </w:rPr>
      </w:pPr>
      <w:r>
        <w:rPr>
          <w:rFonts w:hint="eastAsia" w:asciiTheme="minorEastAsia" w:hAnsiTheme="minorEastAsia" w:eastAsiaTheme="minorEastAsia"/>
          <w:b/>
          <w:bCs/>
          <w:snapToGrid w:val="0"/>
          <w:kern w:val="0"/>
          <w:sz w:val="72"/>
          <w:szCs w:val="72"/>
          <w:lang w:eastAsia="zh-CN"/>
        </w:rPr>
        <w:t>圳品工程--“圳品”标准体系建设和评价监督推广项目（</w:t>
      </w:r>
      <w:r>
        <w:rPr>
          <w:rFonts w:hint="eastAsia" w:asciiTheme="minorEastAsia" w:hAnsiTheme="minorEastAsia" w:eastAsiaTheme="minorEastAsia"/>
          <w:b/>
          <w:bCs/>
          <w:snapToGrid w:val="0"/>
          <w:kern w:val="0"/>
          <w:sz w:val="72"/>
          <w:szCs w:val="72"/>
          <w:lang w:val="en-US" w:eastAsia="zh-CN"/>
        </w:rPr>
        <w:t>G包</w:t>
      </w:r>
      <w:r>
        <w:rPr>
          <w:rFonts w:hint="eastAsia" w:asciiTheme="minorEastAsia" w:hAnsiTheme="minorEastAsia" w:eastAsiaTheme="minorEastAsia"/>
          <w:b/>
          <w:bCs/>
          <w:snapToGrid w:val="0"/>
          <w:kern w:val="0"/>
          <w:sz w:val="72"/>
          <w:szCs w:val="72"/>
          <w:lang w:eastAsia="zh-CN"/>
        </w:rPr>
        <w:t>）</w:t>
      </w:r>
    </w:p>
    <w:p w14:paraId="7F9EF994">
      <w:pPr>
        <w:adjustRightInd w:val="0"/>
        <w:snapToGrid w:val="0"/>
        <w:spacing w:line="300" w:lineRule="auto"/>
        <w:jc w:val="center"/>
        <w:rPr>
          <w:rFonts w:asciiTheme="minorEastAsia" w:hAnsiTheme="minorEastAsia" w:eastAsiaTheme="minorEastAsia"/>
          <w:b/>
          <w:snapToGrid w:val="0"/>
          <w:kern w:val="0"/>
          <w:sz w:val="44"/>
          <w:szCs w:val="44"/>
        </w:rPr>
      </w:pPr>
    </w:p>
    <w:p w14:paraId="1DE5DEBA">
      <w:pPr>
        <w:adjustRightInd w:val="0"/>
        <w:snapToGrid w:val="0"/>
        <w:spacing w:line="300" w:lineRule="auto"/>
        <w:jc w:val="center"/>
        <w:rPr>
          <w:rFonts w:asciiTheme="minorEastAsia" w:hAnsiTheme="minorEastAsia" w:eastAsiaTheme="minorEastAsia"/>
          <w:b/>
          <w:snapToGrid w:val="0"/>
          <w:kern w:val="0"/>
          <w:sz w:val="44"/>
          <w:szCs w:val="44"/>
        </w:rPr>
      </w:pPr>
    </w:p>
    <w:p w14:paraId="1E9989D0">
      <w:pPr>
        <w:adjustRightInd w:val="0"/>
        <w:snapToGrid w:val="0"/>
        <w:spacing w:line="300" w:lineRule="auto"/>
        <w:jc w:val="center"/>
        <w:rPr>
          <w:rFonts w:asciiTheme="minorEastAsia" w:hAnsiTheme="minorEastAsia" w:eastAsiaTheme="minorEastAsia"/>
          <w:b/>
          <w:snapToGrid w:val="0"/>
          <w:kern w:val="0"/>
          <w:sz w:val="44"/>
          <w:szCs w:val="44"/>
        </w:rPr>
      </w:pPr>
    </w:p>
    <w:p w14:paraId="39E12D2F">
      <w:pPr>
        <w:adjustRightInd w:val="0"/>
        <w:snapToGrid w:val="0"/>
        <w:spacing w:line="300" w:lineRule="auto"/>
        <w:jc w:val="center"/>
        <w:rPr>
          <w:rFonts w:asciiTheme="minorEastAsia" w:hAnsiTheme="minorEastAsia" w:eastAsiaTheme="minorEastAsia"/>
          <w:b/>
          <w:snapToGrid w:val="0"/>
          <w:kern w:val="0"/>
          <w:sz w:val="32"/>
        </w:rPr>
      </w:pPr>
      <w:r>
        <w:rPr>
          <w:rFonts w:hint="eastAsia" w:asciiTheme="minorEastAsia" w:hAnsiTheme="minorEastAsia" w:eastAsiaTheme="minorEastAsia"/>
          <w:b/>
          <w:snapToGrid w:val="0"/>
          <w:kern w:val="0"/>
          <w:sz w:val="90"/>
        </w:rPr>
        <w:t>服务类招标文件</w:t>
      </w:r>
    </w:p>
    <w:p w14:paraId="47ED21A3">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SZDL2026000760</w:t>
      </w:r>
    </w:p>
    <w:p w14:paraId="77DF31E0">
      <w:pPr>
        <w:adjustRightInd w:val="0"/>
        <w:snapToGrid w:val="0"/>
        <w:spacing w:line="300" w:lineRule="auto"/>
        <w:jc w:val="center"/>
        <w:rPr>
          <w:rFonts w:asciiTheme="minorEastAsia" w:hAnsiTheme="minorEastAsia" w:eastAsiaTheme="minorEastAsia"/>
          <w:b/>
          <w:snapToGrid w:val="0"/>
          <w:kern w:val="0"/>
          <w:sz w:val="18"/>
          <w:szCs w:val="18"/>
        </w:rPr>
      </w:pPr>
    </w:p>
    <w:p w14:paraId="65809DE7">
      <w:pPr>
        <w:adjustRightInd w:val="0"/>
        <w:snapToGrid w:val="0"/>
        <w:spacing w:line="300" w:lineRule="auto"/>
        <w:jc w:val="center"/>
        <w:rPr>
          <w:rFonts w:asciiTheme="minorEastAsia" w:hAnsiTheme="minorEastAsia" w:eastAsiaTheme="minorEastAsia"/>
          <w:b/>
          <w:snapToGrid w:val="0"/>
          <w:kern w:val="0"/>
          <w:sz w:val="44"/>
        </w:rPr>
      </w:pPr>
    </w:p>
    <w:p w14:paraId="76DF2933">
      <w:pPr>
        <w:adjustRightInd w:val="0"/>
        <w:snapToGrid w:val="0"/>
        <w:spacing w:line="300" w:lineRule="auto"/>
        <w:jc w:val="center"/>
        <w:rPr>
          <w:rFonts w:asciiTheme="minorEastAsia" w:hAnsiTheme="minorEastAsia" w:eastAsiaTheme="minorEastAsia"/>
          <w:b/>
          <w:snapToGrid w:val="0"/>
          <w:kern w:val="0"/>
          <w:sz w:val="44"/>
        </w:rPr>
      </w:pPr>
      <w:r>
        <w:rPr>
          <w:rFonts w:asciiTheme="minorEastAsia" w:hAnsiTheme="minorEastAsia" w:eastAsiaTheme="minorEastAsia"/>
          <w:b/>
          <w:snapToGrid w:val="0"/>
          <w:kern w:val="0"/>
          <w:sz w:val="44"/>
        </w:rPr>
        <w:t xml:space="preserve"> </w:t>
      </w:r>
    </w:p>
    <w:p w14:paraId="1F0F0607">
      <w:pPr>
        <w:pStyle w:val="24"/>
        <w:adjustRightInd w:val="0"/>
        <w:snapToGrid w:val="0"/>
        <w:spacing w:line="300" w:lineRule="auto"/>
        <w:jc w:val="center"/>
        <w:rPr>
          <w:rFonts w:asciiTheme="minorEastAsia" w:hAnsiTheme="minorEastAsia" w:eastAsiaTheme="minorEastAsia"/>
          <w:b/>
          <w:snapToGrid w:val="0"/>
          <w:sz w:val="30"/>
        </w:rPr>
      </w:pPr>
    </w:p>
    <w:p w14:paraId="1D9C4EDA">
      <w:pPr>
        <w:rPr>
          <w:rFonts w:asciiTheme="minorEastAsia" w:hAnsiTheme="minorEastAsia" w:eastAsiaTheme="minorEastAsia"/>
        </w:rPr>
      </w:pPr>
    </w:p>
    <w:p w14:paraId="1F9D48D5">
      <w:pPr>
        <w:rPr>
          <w:rFonts w:asciiTheme="minorEastAsia" w:hAnsiTheme="minorEastAsia" w:eastAsiaTheme="minorEastAsia"/>
        </w:rPr>
      </w:pPr>
    </w:p>
    <w:p w14:paraId="3FD9DC91">
      <w:pPr>
        <w:rPr>
          <w:rFonts w:asciiTheme="minorEastAsia" w:hAnsiTheme="minorEastAsia" w:eastAsiaTheme="minorEastAsia"/>
        </w:rPr>
      </w:pPr>
    </w:p>
    <w:p w14:paraId="09857ACA">
      <w:pPr>
        <w:rPr>
          <w:rFonts w:asciiTheme="minorEastAsia" w:hAnsiTheme="minorEastAsia" w:eastAsiaTheme="minorEastAsia"/>
        </w:rPr>
      </w:pPr>
    </w:p>
    <w:p w14:paraId="56BC3683">
      <w:pPr>
        <w:pStyle w:val="24"/>
        <w:adjustRightInd w:val="0"/>
        <w:snapToGrid w:val="0"/>
        <w:spacing w:line="300" w:lineRule="auto"/>
        <w:jc w:val="center"/>
        <w:rPr>
          <w:sz w:val="40"/>
          <w:szCs w:val="40"/>
        </w:rPr>
      </w:pPr>
      <w:r>
        <w:rPr>
          <w:rFonts w:hint="eastAsia" w:asciiTheme="minorEastAsia" w:hAnsiTheme="minorEastAsia" w:eastAsiaTheme="minorEastAsia"/>
          <w:b/>
          <w:snapToGrid w:val="0"/>
          <w:sz w:val="30"/>
        </w:rPr>
        <w:t>二〇二</w:t>
      </w:r>
      <w:r>
        <w:rPr>
          <w:rFonts w:hint="eastAsia" w:asciiTheme="minorEastAsia" w:hAnsiTheme="minorEastAsia" w:eastAsiaTheme="minorEastAsia"/>
          <w:b/>
          <w:snapToGrid w:val="0"/>
          <w:sz w:val="30"/>
          <w:lang w:eastAsia="zh-CN"/>
        </w:rPr>
        <w:t>六</w:t>
      </w:r>
      <w:r>
        <w:rPr>
          <w:rFonts w:hint="eastAsia" w:asciiTheme="minorEastAsia" w:hAnsiTheme="minorEastAsia" w:eastAsiaTheme="minorEastAsia"/>
          <w:b/>
          <w:snapToGrid w:val="0"/>
          <w:sz w:val="30"/>
        </w:rPr>
        <w:t>年</w:t>
      </w:r>
      <w:r>
        <w:rPr>
          <w:rFonts w:hint="eastAsia" w:asciiTheme="minorEastAsia" w:hAnsiTheme="minorEastAsia" w:eastAsiaTheme="minorEastAsia"/>
          <w:b/>
          <w:snapToGrid w:val="0"/>
          <w:sz w:val="30"/>
          <w:lang w:val="en-US" w:eastAsia="zh-CN"/>
        </w:rPr>
        <w:t>五</w:t>
      </w:r>
      <w:r>
        <w:rPr>
          <w:rFonts w:hint="eastAsia" w:asciiTheme="minorEastAsia" w:hAnsiTheme="minorEastAsia" w:eastAsiaTheme="minorEastAsia"/>
          <w:b/>
          <w:snapToGrid w:val="0"/>
          <w:sz w:val="30"/>
        </w:rPr>
        <w:t>月</w:t>
      </w:r>
    </w:p>
    <w:p w14:paraId="03CB1C01">
      <w:pPr>
        <w:jc w:val="center"/>
        <w:rPr>
          <w:rFonts w:ascii="仿宋" w:hAnsi="仿宋" w:eastAsia="仿宋"/>
          <w:sz w:val="24"/>
        </w:rPr>
      </w:pPr>
      <w:r>
        <w:rPr>
          <w:rFonts w:hint="eastAsia" w:asciiTheme="minorEastAsia" w:hAnsiTheme="minorEastAsia" w:eastAsiaTheme="minorEastAsia"/>
          <w:b/>
          <w:bCs/>
          <w:sz w:val="44"/>
          <w:szCs w:val="44"/>
        </w:rPr>
        <w:t>特别警示条款</w:t>
      </w:r>
    </w:p>
    <w:p w14:paraId="5E15A38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一、《深圳经济特区政府采购条例》</w:t>
      </w:r>
    </w:p>
    <w:p w14:paraId="6A51DF24">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第五十七条</w:t>
      </w:r>
      <w:r>
        <w:rPr>
          <w:rFonts w:asciiTheme="minorEastAsia" w:hAnsiTheme="minorEastAsia" w:eastAsiaTheme="minorEastAsia"/>
          <w:szCs w:val="21"/>
        </w:rPr>
        <w:t xml:space="preserve"> </w:t>
      </w:r>
      <w:r>
        <w:rPr>
          <w:rFonts w:hint="eastAsia" w:asciiTheme="minorEastAsia" w:hAnsiTheme="minorEastAsia" w:eastAsiaTheme="minorEastAsia"/>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0BAF0F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（一）在采购活动中应当回避而未回避的；</w:t>
      </w:r>
    </w:p>
    <w:p w14:paraId="294A216B">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（二）未按本条例规定签订、履行采购合同，造成严重后果的；</w:t>
      </w:r>
    </w:p>
    <w:p w14:paraId="64D788C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（三）隐瞒真实情况，提供虚假资料的；</w:t>
      </w:r>
    </w:p>
    <w:p w14:paraId="694610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（四）以非法手段排斥其他供应商参与竞争的；</w:t>
      </w:r>
    </w:p>
    <w:p w14:paraId="2118D256">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（五）与其他采购参加人串通投标的；</w:t>
      </w:r>
    </w:p>
    <w:p w14:paraId="5556CD5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（六）恶意投诉的；</w:t>
      </w:r>
    </w:p>
    <w:p w14:paraId="35EA48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（七）向采购项目相关人行贿或者提供其他不当利益的；</w:t>
      </w:r>
    </w:p>
    <w:p w14:paraId="5189471D">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（八）阻碍、抗拒主管部门监督检查的；</w:t>
      </w:r>
    </w:p>
    <w:p w14:paraId="3BBABDE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（九）其他违反本条例规定的行为。</w:t>
      </w:r>
    </w:p>
    <w:p w14:paraId="351E4A27">
      <w:pPr>
        <w:widowControl/>
        <w:spacing w:after="120"/>
        <w:jc w:val="left"/>
        <w:rPr>
          <w:rFonts w:ascii="Times New Roman" w:hAnsi="Times New Roman" w:eastAsiaTheme="minorEastAsia"/>
          <w:kern w:val="0"/>
          <w:sz w:val="24"/>
          <w:szCs w:val="24"/>
        </w:rPr>
      </w:pPr>
    </w:p>
    <w:p w14:paraId="5A7696B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二、《深圳经济特区政府采购条例实施细则》</w:t>
      </w:r>
    </w:p>
    <w:p w14:paraId="66B7BB0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第七十五条 供应商有下列情形的，属于采购条例所称的串通投标行为，按照采购条例第五十七条有关规定处理：</w:t>
      </w:r>
    </w:p>
    <w:p w14:paraId="2A365839">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（一）投标供应商之间相互约定给予未中标的供应商利益补偿；</w:t>
      </w:r>
    </w:p>
    <w:p w14:paraId="738E96C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 xml:space="preserve">（二）不同投标供应商的法定代表人、主要经营负责人、项目投标授权代表人、项目负责人、主要技术人员为同一人、属同一单位或者在同一单位缴纳社会保险；          </w:t>
      </w:r>
    </w:p>
    <w:p w14:paraId="014A5286">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（三）不同投标供应商的投标文件由同一单位或者同一人编制，或者由同一人分阶段参与编制的；</w:t>
      </w:r>
    </w:p>
    <w:p w14:paraId="418205C5">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（四）不同投标供应商的投标文件或部分投标文件相互混装；</w:t>
      </w:r>
    </w:p>
    <w:p w14:paraId="72349AE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（五）不同投标供应商的投标文件内容存在非正常一致；</w:t>
      </w:r>
    </w:p>
    <w:p w14:paraId="56AFE704">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（六）由同一单位工作人员为两家以上（含两家）供应商进行同一项投标活动的；</w:t>
      </w:r>
    </w:p>
    <w:p w14:paraId="124A17EA">
      <w:pPr>
        <w:spacing w:line="440" w:lineRule="exact"/>
        <w:ind w:firstLine="422" w:firstLineChars="20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rPr>
        <w:t>（七）主管部门依照法律、法规认定的其他情形。</w:t>
      </w:r>
    </w:p>
    <w:p w14:paraId="2C3604F1">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第七十七条 供应商有下列情形之一的，属于隐瞒真实情况，提供虚假资料，按照采购条例第五十七的有关规定处理：</w:t>
      </w:r>
    </w:p>
    <w:p w14:paraId="20CBF518">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（一）通过转让或者租借等方式从其他单位获取资格或者资质证书投标的；</w:t>
      </w:r>
    </w:p>
    <w:p w14:paraId="7E01E1DA">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（二）由其他单位或者其他单位负责人在投标供应商编制的投标文件上加盖印章或者签字的；</w:t>
      </w:r>
    </w:p>
    <w:p w14:paraId="44C057C3">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（三）项目负责人或者主要技术人员不是本单位人员的；</w:t>
      </w:r>
    </w:p>
    <w:p w14:paraId="0939EB52">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（四）投标保证金不是从投标供应商基本账户转出的；</w:t>
      </w:r>
    </w:p>
    <w:p w14:paraId="2E16A370">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（五）其他隐瞒真实情况、提供虚假资料的行为。</w:t>
      </w:r>
    </w:p>
    <w:p w14:paraId="4170EBA2">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投标供应商不能提供项目负责人或者主要技术人员的劳动合同、社会保险等劳动关系证明材料的，视为存在前款第（三）项规定的情形。</w:t>
      </w:r>
    </w:p>
    <w:p w14:paraId="624CB054">
      <w:pPr>
        <w:widowControl/>
        <w:spacing w:after="120"/>
        <w:jc w:val="left"/>
        <w:rPr>
          <w:rFonts w:ascii="Times New Roman" w:hAnsi="Times New Roman" w:eastAsiaTheme="minorEastAsia"/>
          <w:kern w:val="0"/>
          <w:sz w:val="24"/>
          <w:szCs w:val="24"/>
        </w:rPr>
      </w:pPr>
    </w:p>
    <w:p w14:paraId="68AACED7">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三、《中华人民共和国政府采购法实施条例》</w:t>
      </w:r>
    </w:p>
    <w:p w14:paraId="34CAF885">
      <w:pPr>
        <w:spacing w:line="440" w:lineRule="exact"/>
        <w:ind w:firstLine="371" w:firstLineChars="177"/>
        <w:rPr>
          <w:rFonts w:asciiTheme="minorEastAsia" w:hAnsiTheme="minorEastAsia" w:eastAsiaTheme="minorEastAsia"/>
          <w:szCs w:val="21"/>
        </w:rPr>
      </w:pPr>
      <w:r>
        <w:rPr>
          <w:rFonts w:hint="eastAsia" w:asciiTheme="minorEastAsia" w:hAnsiTheme="minorEastAsia" w:eastAsiaTheme="minorEastAsia"/>
          <w:szCs w:val="21"/>
        </w:rPr>
        <w:t>第十八条 单位负责人为同一人或者存在直接控股、管理关系的不同供应商，不得参加同一合同项下的政府采购活动。</w:t>
      </w:r>
    </w:p>
    <w:p w14:paraId="3465E2DA">
      <w:pPr>
        <w:spacing w:line="440" w:lineRule="exact"/>
        <w:ind w:firstLine="371" w:firstLineChars="177"/>
        <w:rPr>
          <w:rFonts w:hint="eastAsia" w:asciiTheme="minorEastAsia" w:hAnsiTheme="minorEastAsia" w:eastAsiaTheme="minorEastAsia"/>
          <w:szCs w:val="21"/>
        </w:rPr>
      </w:pPr>
      <w:r>
        <w:rPr>
          <w:rFonts w:hint="eastAsia" w:asciiTheme="minorEastAsia" w:hAnsiTheme="minorEastAsia" w:eastAsiaTheme="minorEastAsia"/>
          <w:szCs w:val="21"/>
        </w:rPr>
        <w:t>除单一来源采购项目外，为采购项目提供整体设计、规范编制或者项目管理、监理、检测等服务的供应商，不得再参加该采购项目的其他采购活动。</w:t>
      </w:r>
    </w:p>
    <w:p w14:paraId="46C6857F">
      <w:pPr>
        <w:spacing w:line="440" w:lineRule="exact"/>
        <w:ind w:left="0" w:leftChars="0" w:firstLine="420" w:firstLineChars="200"/>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711"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711"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711"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711"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711"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711"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711"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lang w:val="en-US" w:eastAsia="zh-CN"/>
              </w:rPr>
              <w:t>电子营业执照出借他人使用或未妥善保管。</w:t>
            </w:r>
          </w:p>
        </w:tc>
      </w:tr>
    </w:tbl>
    <w:p w14:paraId="1B1B4111">
      <w:pPr>
        <w:widowControl/>
        <w:jc w:val="left"/>
        <w:rPr>
          <w:rFonts w:ascii="宋体" w:hAnsi="宋体" w:cs="宋体"/>
          <w:kern w:val="0"/>
          <w:sz w:val="40"/>
          <w:szCs w:val="40"/>
        </w:rPr>
      </w:pPr>
      <w:r>
        <w:rPr>
          <w:sz w:val="40"/>
          <w:szCs w:val="40"/>
        </w:rPr>
        <w:br w:type="page"/>
      </w:r>
    </w:p>
    <w:p w14:paraId="2D4D52EF">
      <w:pPr>
        <w:pStyle w:val="37"/>
        <w:spacing w:before="454" w:beforeAutospacing="0" w:after="454" w:afterAutospacing="0"/>
        <w:ind w:left="454" w:right="454"/>
        <w:jc w:val="center"/>
        <w:outlineLvl w:val="0"/>
        <w:rPr>
          <w:rFonts w:hint="eastAsia" w:eastAsia="宋体"/>
          <w:sz w:val="40"/>
          <w:szCs w:val="40"/>
          <w:lang w:eastAsia="zh-CN"/>
        </w:rPr>
      </w:pPr>
      <w:r>
        <w:rPr>
          <w:rFonts w:hint="eastAsia"/>
          <w:sz w:val="40"/>
          <w:szCs w:val="40"/>
          <w:lang w:eastAsia="zh-CN"/>
        </w:rPr>
        <w:t>圳品工程--“圳品”标准体系建设和评价监督推广项目</w:t>
      </w:r>
    </w:p>
    <w:p w14:paraId="58833B09">
      <w:pPr>
        <w:pStyle w:val="37"/>
        <w:jc w:val="center"/>
        <w:outlineLvl w:val="1"/>
        <w:rPr>
          <w:rFonts w:ascii="黑体" w:hAnsi="黑体" w:eastAsia="黑体"/>
          <w:sz w:val="40"/>
          <w:szCs w:val="40"/>
        </w:rPr>
      </w:pPr>
      <w:r>
        <w:rPr>
          <w:rFonts w:hint="eastAsia" w:ascii="黑体" w:hAnsi="黑体" w:eastAsia="黑体"/>
          <w:sz w:val="40"/>
          <w:szCs w:val="40"/>
        </w:rPr>
        <w:t>招标文件信息</w:t>
      </w:r>
    </w:p>
    <w:tbl>
      <w:tblPr>
        <w:tblStyle w:val="42"/>
        <w:tblW w:w="7938" w:type="dxa"/>
        <w:jc w:val="center"/>
        <w:tblCellSpacing w:w="0" w:type="dxa"/>
        <w:tblLayout w:type="autofit"/>
        <w:tblCellMar>
          <w:top w:w="45" w:type="dxa"/>
          <w:left w:w="45" w:type="dxa"/>
          <w:bottom w:w="45" w:type="dxa"/>
          <w:right w:w="45" w:type="dxa"/>
        </w:tblCellMar>
      </w:tblPr>
      <w:tblGrid>
        <w:gridCol w:w="2722"/>
        <w:gridCol w:w="5216"/>
      </w:tblGrid>
      <w:tr w14:paraId="29634068">
        <w:tblPrEx>
          <w:tblCellMar>
            <w:top w:w="45" w:type="dxa"/>
            <w:left w:w="45" w:type="dxa"/>
            <w:bottom w:w="45" w:type="dxa"/>
            <w:right w:w="45" w:type="dxa"/>
          </w:tblCellMar>
        </w:tblPrEx>
        <w:trPr>
          <w:trHeight w:val="737" w:hRule="atLeast"/>
          <w:tblCellSpacing w:w="0" w:type="dxa"/>
          <w:jc w:val="center"/>
        </w:trPr>
        <w:tc>
          <w:tcPr>
            <w:tcW w:w="2722" w:type="dxa"/>
            <w:vAlign w:val="center"/>
          </w:tcPr>
          <w:p w14:paraId="05983414">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项目编号：</w:t>
            </w:r>
          </w:p>
        </w:tc>
        <w:tc>
          <w:tcPr>
            <w:tcW w:w="0" w:type="auto"/>
            <w:vAlign w:val="center"/>
          </w:tcPr>
          <w:p w14:paraId="0C92543A">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SZDL2026000760</w:t>
            </w:r>
          </w:p>
        </w:tc>
      </w:tr>
      <w:tr w14:paraId="6830196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C9DE1D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项目名称：</w:t>
            </w:r>
          </w:p>
        </w:tc>
        <w:tc>
          <w:tcPr>
            <w:tcW w:w="0" w:type="auto"/>
            <w:vAlign w:val="center"/>
          </w:tcPr>
          <w:p w14:paraId="631F910E">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eastAsia="zh-CN"/>
              </w:rPr>
              <w:t>圳品工程--“圳品”标准体系建设和评价监督推广项目</w:t>
            </w:r>
          </w:p>
        </w:tc>
      </w:tr>
      <w:tr w14:paraId="079321F1">
        <w:tblPrEx>
          <w:tblCellMar>
            <w:top w:w="45" w:type="dxa"/>
            <w:left w:w="45" w:type="dxa"/>
            <w:bottom w:w="45" w:type="dxa"/>
            <w:right w:w="45" w:type="dxa"/>
          </w:tblCellMar>
        </w:tblPrEx>
        <w:trPr>
          <w:trHeight w:val="737" w:hRule="atLeast"/>
          <w:tblCellSpacing w:w="0" w:type="dxa"/>
          <w:jc w:val="center"/>
        </w:trPr>
        <w:tc>
          <w:tcPr>
            <w:tcW w:w="0" w:type="auto"/>
            <w:vAlign w:val="center"/>
          </w:tcPr>
          <w:p w14:paraId="66E0F421">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包 号：</w:t>
            </w:r>
          </w:p>
        </w:tc>
        <w:tc>
          <w:tcPr>
            <w:tcW w:w="0" w:type="auto"/>
            <w:vAlign w:val="center"/>
          </w:tcPr>
          <w:p w14:paraId="17D205EF">
            <w:pPr>
              <w:rPr>
                <w:rFonts w:hint="eastAsia" w:cs="宋体" w:asciiTheme="minorEastAsia" w:hAnsiTheme="minorEastAsia" w:eastAsiaTheme="minorEastAsia"/>
                <w:sz w:val="30"/>
                <w:szCs w:val="30"/>
                <w:lang w:eastAsia="zh-CN"/>
              </w:rPr>
            </w:pPr>
            <w:r>
              <w:rPr>
                <w:rFonts w:hint="eastAsia" w:asciiTheme="minorEastAsia" w:hAnsiTheme="minorEastAsia" w:eastAsiaTheme="minorEastAsia"/>
                <w:sz w:val="30"/>
                <w:szCs w:val="30"/>
                <w:lang w:val="en-US" w:eastAsia="zh-CN"/>
              </w:rPr>
              <w:t>G</w:t>
            </w:r>
          </w:p>
        </w:tc>
      </w:tr>
      <w:tr w14:paraId="52F0B10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A078EE">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项目类型：</w:t>
            </w:r>
          </w:p>
        </w:tc>
        <w:tc>
          <w:tcPr>
            <w:tcW w:w="0" w:type="auto"/>
            <w:vAlign w:val="center"/>
          </w:tcPr>
          <w:p w14:paraId="0DE22449">
            <w:pPr>
              <w:rPr>
                <w:rFonts w:cs="宋体" w:asciiTheme="minorEastAsia" w:hAnsiTheme="minorEastAsia" w:eastAsiaTheme="minorEastAsia"/>
                <w:sz w:val="30"/>
                <w:szCs w:val="30"/>
              </w:rPr>
            </w:pPr>
            <w:r>
              <w:rPr>
                <w:rFonts w:asciiTheme="minorEastAsia" w:hAnsiTheme="minorEastAsia" w:eastAsiaTheme="minorEastAsia"/>
                <w:sz w:val="30"/>
                <w:szCs w:val="30"/>
              </w:rPr>
              <w:t>服务类</w:t>
            </w:r>
          </w:p>
        </w:tc>
      </w:tr>
      <w:tr w14:paraId="6938D41F">
        <w:tblPrEx>
          <w:tblCellMar>
            <w:top w:w="45" w:type="dxa"/>
            <w:left w:w="45" w:type="dxa"/>
            <w:bottom w:w="45" w:type="dxa"/>
            <w:right w:w="45" w:type="dxa"/>
          </w:tblCellMar>
        </w:tblPrEx>
        <w:trPr>
          <w:trHeight w:val="737" w:hRule="atLeast"/>
          <w:tblCellSpacing w:w="0" w:type="dxa"/>
          <w:jc w:val="center"/>
        </w:trPr>
        <w:tc>
          <w:tcPr>
            <w:tcW w:w="0" w:type="auto"/>
            <w:vAlign w:val="center"/>
          </w:tcPr>
          <w:p w14:paraId="2FDA4DE6">
            <w:pPr>
              <w:jc w:val="right"/>
              <w:rPr>
                <w:rFonts w:cs="宋体" w:asciiTheme="minorEastAsia" w:hAnsiTheme="minorEastAsia" w:eastAsiaTheme="minorEastAsia"/>
                <w:sz w:val="30"/>
                <w:szCs w:val="30"/>
              </w:rPr>
            </w:pPr>
            <w:r>
              <w:rPr>
                <w:rFonts w:asciiTheme="minorEastAsia" w:hAnsiTheme="minorEastAsia" w:eastAsiaTheme="minorEastAsia"/>
                <w:sz w:val="30"/>
                <w:szCs w:val="30"/>
              </w:rPr>
              <w:t>采购方式：</w:t>
            </w:r>
          </w:p>
        </w:tc>
        <w:tc>
          <w:tcPr>
            <w:tcW w:w="0" w:type="auto"/>
            <w:vAlign w:val="center"/>
          </w:tcPr>
          <w:p w14:paraId="207E6E45">
            <w:pPr>
              <w:rPr>
                <w:rFonts w:cs="宋体" w:asciiTheme="minorEastAsia" w:hAnsiTheme="minorEastAsia" w:eastAsiaTheme="minorEastAsia"/>
                <w:sz w:val="30"/>
                <w:szCs w:val="30"/>
              </w:rPr>
            </w:pPr>
            <w:r>
              <w:rPr>
                <w:rFonts w:asciiTheme="minorEastAsia" w:hAnsiTheme="minorEastAsia" w:eastAsiaTheme="minorEastAsia"/>
                <w:sz w:val="30"/>
                <w:szCs w:val="30"/>
              </w:rPr>
              <w:t>公开招标</w:t>
            </w:r>
          </w:p>
        </w:tc>
      </w:tr>
      <w:tr w14:paraId="117EEEFD">
        <w:tblPrEx>
          <w:tblCellMar>
            <w:top w:w="45" w:type="dxa"/>
            <w:left w:w="45" w:type="dxa"/>
            <w:bottom w:w="45" w:type="dxa"/>
            <w:right w:w="45" w:type="dxa"/>
          </w:tblCellMar>
        </w:tblPrEx>
        <w:trPr>
          <w:trHeight w:val="737" w:hRule="atLeast"/>
          <w:tblCellSpacing w:w="0" w:type="dxa"/>
          <w:jc w:val="center"/>
        </w:trPr>
        <w:tc>
          <w:tcPr>
            <w:tcW w:w="0" w:type="auto"/>
            <w:vAlign w:val="center"/>
          </w:tcPr>
          <w:p w14:paraId="7F1B22BC">
            <w:pPr>
              <w:jc w:val="right"/>
              <w:rPr>
                <w:rFonts w:ascii="宋体" w:hAnsi="宋体" w:cs="宋体"/>
                <w:sz w:val="30"/>
                <w:szCs w:val="30"/>
              </w:rPr>
            </w:pPr>
            <w:r>
              <w:rPr>
                <w:sz w:val="30"/>
                <w:szCs w:val="30"/>
              </w:rPr>
              <w:t>货币类型：</w:t>
            </w:r>
          </w:p>
        </w:tc>
        <w:tc>
          <w:tcPr>
            <w:tcW w:w="0" w:type="auto"/>
            <w:vAlign w:val="center"/>
          </w:tcPr>
          <w:p w14:paraId="3227442A">
            <w:pPr>
              <w:rPr>
                <w:rFonts w:ascii="宋体" w:hAnsi="宋体" w:cs="宋体"/>
                <w:sz w:val="30"/>
                <w:szCs w:val="30"/>
              </w:rPr>
            </w:pPr>
            <w:r>
              <w:rPr>
                <w:sz w:val="30"/>
                <w:szCs w:val="30"/>
              </w:rPr>
              <w:t>人民币</w:t>
            </w:r>
          </w:p>
        </w:tc>
      </w:tr>
      <w:tr w14:paraId="30E1B99E">
        <w:tblPrEx>
          <w:tblCellMar>
            <w:top w:w="45" w:type="dxa"/>
            <w:left w:w="45" w:type="dxa"/>
            <w:bottom w:w="45" w:type="dxa"/>
            <w:right w:w="45" w:type="dxa"/>
          </w:tblCellMar>
        </w:tblPrEx>
        <w:trPr>
          <w:trHeight w:val="737" w:hRule="atLeast"/>
          <w:tblCellSpacing w:w="0" w:type="dxa"/>
          <w:jc w:val="center"/>
        </w:trPr>
        <w:tc>
          <w:tcPr>
            <w:tcW w:w="0" w:type="auto"/>
            <w:vAlign w:val="center"/>
          </w:tcPr>
          <w:p w14:paraId="3D612645">
            <w:pPr>
              <w:jc w:val="right"/>
              <w:rPr>
                <w:rFonts w:ascii="宋体" w:hAnsi="宋体" w:cs="宋体"/>
                <w:sz w:val="30"/>
                <w:szCs w:val="30"/>
              </w:rPr>
            </w:pPr>
            <w:r>
              <w:rPr>
                <w:sz w:val="30"/>
                <w:szCs w:val="30"/>
              </w:rPr>
              <w:t>评标方法：</w:t>
            </w:r>
          </w:p>
        </w:tc>
        <w:tc>
          <w:tcPr>
            <w:tcW w:w="0" w:type="auto"/>
            <w:vAlign w:val="center"/>
          </w:tcPr>
          <w:p w14:paraId="61392236">
            <w:pPr>
              <w:rPr>
                <w:rFonts w:ascii="宋体" w:hAnsi="宋体" w:cs="宋体"/>
                <w:sz w:val="30"/>
                <w:szCs w:val="30"/>
              </w:rPr>
            </w:pPr>
            <w:r>
              <w:rPr>
                <w:sz w:val="30"/>
                <w:szCs w:val="30"/>
              </w:rPr>
              <w:t>综合评分法（新价格分算法）</w:t>
            </w:r>
          </w:p>
        </w:tc>
      </w:tr>
    </w:tbl>
    <w:p w14:paraId="537582D5">
      <w:pPr>
        <w:pStyle w:val="37"/>
        <w:jc w:val="center"/>
        <w:outlineLvl w:val="1"/>
        <w:rPr>
          <w:rFonts w:ascii="黑体" w:hAnsi="黑体" w:eastAsia="黑体"/>
          <w:sz w:val="40"/>
          <w:szCs w:val="40"/>
        </w:rPr>
      </w:pPr>
      <w:r>
        <w:rPr>
          <w:rFonts w:hint="eastAsia" w:ascii="黑体" w:hAnsi="黑体" w:eastAsia="黑体"/>
          <w:sz w:val="40"/>
          <w:szCs w:val="40"/>
        </w:rPr>
        <w:t>资格性审查表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5CD42C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45776932">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0" w:type="auto"/>
            <w:tcBorders>
              <w:top w:val="single" w:color="000000" w:sz="8" w:space="0"/>
              <w:left w:val="single" w:color="000000" w:sz="8" w:space="0"/>
              <w:bottom w:val="single" w:color="000000" w:sz="8" w:space="0"/>
              <w:right w:val="single" w:color="000000" w:sz="8" w:space="0"/>
            </w:tcBorders>
            <w:shd w:val="clear" w:color="auto" w:fill="E6EFFA"/>
            <w:vAlign w:val="center"/>
          </w:tcPr>
          <w:p w14:paraId="6389880B">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1DEF0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C49B5EE">
            <w:pPr>
              <w:jc w:val="center"/>
              <w:rPr>
                <w:rFonts w:hint="eastAsia" w:ascii="宋体" w:hAnsi="宋体" w:eastAsia="宋体" w:cs="宋体"/>
                <w:szCs w:val="21"/>
              </w:rPr>
            </w:pPr>
            <w:r>
              <w:rPr>
                <w:rFonts w:hint="eastAsia" w:ascii="宋体" w:hAnsi="宋体" w:eastAsia="宋体" w:cs="宋体"/>
                <w:szCs w:val="21"/>
              </w:rPr>
              <w:t>1</w:t>
            </w:r>
          </w:p>
        </w:tc>
        <w:tc>
          <w:tcPr>
            <w:tcW w:w="0" w:type="auto"/>
            <w:tcBorders>
              <w:top w:val="single" w:color="000000" w:sz="8" w:space="0"/>
              <w:left w:val="single" w:color="000000" w:sz="8" w:space="0"/>
              <w:bottom w:val="single" w:color="000000" w:sz="8" w:space="0"/>
              <w:right w:val="single" w:color="000000" w:sz="8" w:space="0"/>
            </w:tcBorders>
          </w:tcPr>
          <w:p w14:paraId="71617355">
            <w:pPr>
              <w:rPr>
                <w:rFonts w:hint="eastAsia" w:ascii="宋体" w:hAnsi="宋体" w:eastAsia="宋体" w:cs="宋体"/>
                <w:szCs w:val="21"/>
              </w:rPr>
            </w:pPr>
            <w:r>
              <w:rPr>
                <w:rFonts w:hint="eastAsia" w:ascii="宋体" w:hAnsi="宋体" w:eastAsia="宋体" w:cs="宋体"/>
                <w:szCs w:val="21"/>
              </w:rPr>
              <w:t>投标人具备招标文件所列的资格要求，且提交相应的资格证明资料（详见招标公告</w:t>
            </w:r>
            <w:r>
              <w:rPr>
                <w:rFonts w:hint="eastAsia" w:ascii="宋体" w:hAnsi="宋体" w:eastAsia="宋体" w:cs="宋体"/>
              </w:rPr>
              <w:t>申请人的资格要求</w:t>
            </w:r>
            <w:r>
              <w:rPr>
                <w:rFonts w:hint="eastAsia" w:ascii="宋体" w:hAnsi="宋体" w:eastAsia="宋体" w:cs="宋体"/>
                <w:szCs w:val="21"/>
              </w:rPr>
              <w:t>）</w:t>
            </w:r>
          </w:p>
        </w:tc>
      </w:tr>
    </w:tbl>
    <w:p w14:paraId="3F18401D">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符合性审查表</w:t>
      </w:r>
    </w:p>
    <w:tbl>
      <w:tblPr>
        <w:tblStyle w:val="42"/>
        <w:tblW w:w="907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794"/>
        <w:gridCol w:w="8278"/>
      </w:tblGrid>
      <w:tr w14:paraId="4B676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6EE1B101">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8278"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160F4F1C">
            <w:pPr>
              <w:jc w:val="center"/>
              <w:rPr>
                <w:rFonts w:hint="eastAsia" w:ascii="宋体" w:hAnsi="宋体" w:eastAsia="宋体" w:cs="宋体"/>
                <w:sz w:val="28"/>
                <w:szCs w:val="28"/>
              </w:rPr>
            </w:pPr>
            <w:r>
              <w:rPr>
                <w:rFonts w:hint="eastAsia" w:ascii="宋体" w:hAnsi="宋体" w:eastAsia="宋体" w:cs="宋体"/>
                <w:sz w:val="28"/>
                <w:szCs w:val="28"/>
              </w:rPr>
              <w:t>内容</w:t>
            </w:r>
          </w:p>
        </w:tc>
      </w:tr>
      <w:tr w14:paraId="4F06F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7C265A0">
            <w:pPr>
              <w:jc w:val="center"/>
              <w:rPr>
                <w:rFonts w:hint="eastAsia" w:ascii="宋体" w:hAnsi="宋体" w:eastAsia="宋体" w:cs="宋体"/>
                <w:szCs w:val="21"/>
              </w:rPr>
            </w:pPr>
            <w:r>
              <w:rPr>
                <w:rFonts w:hint="eastAsia" w:ascii="宋体" w:hAnsi="宋体" w:eastAsia="宋体" w:cs="宋体"/>
                <w:szCs w:val="21"/>
              </w:rPr>
              <w:t>1</w:t>
            </w:r>
          </w:p>
        </w:tc>
        <w:tc>
          <w:tcPr>
            <w:tcW w:w="8278" w:type="dxa"/>
            <w:tcBorders>
              <w:top w:val="single" w:color="000000" w:sz="8" w:space="0"/>
              <w:left w:val="single" w:color="000000" w:sz="8" w:space="0"/>
              <w:bottom w:val="single" w:color="000000" w:sz="8" w:space="0"/>
              <w:right w:val="single" w:color="000000" w:sz="8" w:space="0"/>
            </w:tcBorders>
          </w:tcPr>
          <w:p w14:paraId="732AEF73">
            <w:pPr>
              <w:rPr>
                <w:rFonts w:hint="eastAsia" w:ascii="宋体" w:hAnsi="宋体" w:eastAsia="宋体" w:cs="宋体"/>
                <w:szCs w:val="21"/>
              </w:rPr>
            </w:pPr>
            <w:r>
              <w:rPr>
                <w:rFonts w:hint="eastAsia" w:ascii="宋体" w:hAnsi="宋体" w:eastAsia="宋体" w:cs="宋体"/>
                <w:szCs w:val="21"/>
              </w:rPr>
              <w:t>未将一个包或一个标段的内容拆开投标</w:t>
            </w:r>
          </w:p>
        </w:tc>
      </w:tr>
      <w:tr w14:paraId="52A372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D7B4EB8">
            <w:pPr>
              <w:jc w:val="center"/>
              <w:rPr>
                <w:rFonts w:hint="eastAsia" w:ascii="宋体" w:hAnsi="宋体" w:eastAsia="宋体" w:cs="宋体"/>
                <w:szCs w:val="21"/>
              </w:rPr>
            </w:pPr>
            <w:r>
              <w:rPr>
                <w:rFonts w:hint="eastAsia" w:ascii="宋体" w:hAnsi="宋体" w:eastAsia="宋体" w:cs="宋体"/>
                <w:szCs w:val="21"/>
              </w:rPr>
              <w:t>2</w:t>
            </w:r>
          </w:p>
        </w:tc>
        <w:tc>
          <w:tcPr>
            <w:tcW w:w="8278" w:type="dxa"/>
            <w:tcBorders>
              <w:top w:val="single" w:color="000000" w:sz="8" w:space="0"/>
              <w:left w:val="single" w:color="000000" w:sz="8" w:space="0"/>
              <w:bottom w:val="single" w:color="000000" w:sz="8" w:space="0"/>
              <w:right w:val="single" w:color="000000" w:sz="8" w:space="0"/>
            </w:tcBorders>
          </w:tcPr>
          <w:p w14:paraId="7937D497">
            <w:pPr>
              <w:rPr>
                <w:rFonts w:hint="eastAsia" w:ascii="宋体" w:hAnsi="宋体" w:eastAsia="宋体" w:cs="宋体"/>
                <w:szCs w:val="21"/>
              </w:rPr>
            </w:pPr>
            <w:r>
              <w:rPr>
                <w:rFonts w:hint="eastAsia" w:ascii="宋体" w:hAnsi="宋体" w:eastAsia="宋体" w:cs="宋体"/>
                <w:szCs w:val="21"/>
              </w:rPr>
              <w:t>对同一项目投标时，未提供两套及以上的投标方案（招标文件另有规定的除外）</w:t>
            </w:r>
          </w:p>
        </w:tc>
      </w:tr>
      <w:tr w14:paraId="5B28F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0F0E7BB">
            <w:pPr>
              <w:jc w:val="center"/>
              <w:rPr>
                <w:rFonts w:hint="eastAsia" w:ascii="宋体" w:hAnsi="宋体" w:eastAsia="宋体" w:cs="宋体"/>
                <w:szCs w:val="21"/>
              </w:rPr>
            </w:pPr>
            <w:r>
              <w:rPr>
                <w:rFonts w:hint="eastAsia" w:ascii="宋体" w:hAnsi="宋体" w:eastAsia="宋体" w:cs="宋体"/>
                <w:szCs w:val="21"/>
              </w:rPr>
              <w:t>3</w:t>
            </w:r>
          </w:p>
        </w:tc>
        <w:tc>
          <w:tcPr>
            <w:tcW w:w="8278" w:type="dxa"/>
            <w:tcBorders>
              <w:top w:val="single" w:color="000000" w:sz="8" w:space="0"/>
              <w:left w:val="single" w:color="000000" w:sz="8" w:space="0"/>
              <w:bottom w:val="single" w:color="000000" w:sz="8" w:space="0"/>
              <w:right w:val="single" w:color="000000" w:sz="8" w:space="0"/>
            </w:tcBorders>
          </w:tcPr>
          <w:p w14:paraId="1D857C02">
            <w:pPr>
              <w:rPr>
                <w:rFonts w:hint="eastAsia" w:ascii="宋体" w:hAnsi="宋体" w:eastAsia="宋体" w:cs="宋体"/>
                <w:szCs w:val="21"/>
              </w:rPr>
            </w:pPr>
            <w:r>
              <w:rPr>
                <w:rFonts w:hint="eastAsia" w:ascii="宋体" w:hAnsi="宋体" w:eastAsia="宋体" w:cs="宋体"/>
                <w:szCs w:val="21"/>
              </w:rPr>
              <w:t>分项报价或投标总价未超过相应预算金额或最高投标限价</w:t>
            </w:r>
          </w:p>
        </w:tc>
      </w:tr>
      <w:tr w14:paraId="3E335B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2DA6E6F">
            <w:pPr>
              <w:jc w:val="center"/>
              <w:rPr>
                <w:rFonts w:hint="eastAsia" w:ascii="宋体" w:hAnsi="宋体" w:eastAsia="宋体" w:cs="宋体"/>
                <w:szCs w:val="21"/>
                <w:lang w:eastAsia="zh-CN"/>
              </w:rPr>
            </w:pPr>
            <w:r>
              <w:rPr>
                <w:rFonts w:hint="eastAsia" w:ascii="宋体" w:hAnsi="宋体" w:cs="宋体"/>
                <w:szCs w:val="21"/>
                <w:lang w:val="en-US" w:eastAsia="zh-CN"/>
              </w:rPr>
              <w:t>4</w:t>
            </w:r>
          </w:p>
        </w:tc>
        <w:tc>
          <w:tcPr>
            <w:tcW w:w="8278" w:type="dxa"/>
            <w:tcBorders>
              <w:top w:val="single" w:color="000000" w:sz="8" w:space="0"/>
              <w:left w:val="single" w:color="000000" w:sz="8" w:space="0"/>
              <w:bottom w:val="single" w:color="000000" w:sz="8" w:space="0"/>
              <w:right w:val="single" w:color="000000" w:sz="8" w:space="0"/>
            </w:tcBorders>
          </w:tcPr>
          <w:p w14:paraId="4B284412">
            <w:pPr>
              <w:rPr>
                <w:rFonts w:hint="eastAsia" w:ascii="宋体" w:hAnsi="宋体" w:eastAsia="宋体" w:cs="宋体"/>
                <w:szCs w:val="21"/>
              </w:rPr>
            </w:pPr>
            <w:r>
              <w:rPr>
                <w:rFonts w:hint="eastAsia" w:ascii="宋体" w:hAnsi="宋体" w:eastAsia="宋体" w:cs="宋体"/>
                <w:szCs w:val="21"/>
              </w:rPr>
              <w:t xml:space="preserve">投标报价满足招标文件报价要求且无缺漏项目 </w:t>
            </w:r>
          </w:p>
        </w:tc>
      </w:tr>
      <w:tr w14:paraId="6B2FEC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257197A8">
            <w:pPr>
              <w:jc w:val="center"/>
              <w:rPr>
                <w:rFonts w:hint="eastAsia" w:ascii="宋体" w:hAnsi="宋体" w:eastAsia="宋体" w:cs="宋体"/>
                <w:szCs w:val="21"/>
                <w:lang w:eastAsia="zh-CN"/>
              </w:rPr>
            </w:pPr>
            <w:r>
              <w:rPr>
                <w:rFonts w:hint="eastAsia" w:ascii="宋体" w:hAnsi="宋体" w:cs="宋体"/>
                <w:szCs w:val="21"/>
                <w:lang w:val="en-US" w:eastAsia="zh-CN"/>
              </w:rPr>
              <w:t>5</w:t>
            </w:r>
          </w:p>
        </w:tc>
        <w:tc>
          <w:tcPr>
            <w:tcW w:w="8278" w:type="dxa"/>
            <w:tcBorders>
              <w:top w:val="single" w:color="000000" w:sz="8" w:space="0"/>
              <w:left w:val="single" w:color="000000" w:sz="8" w:space="0"/>
              <w:bottom w:val="single" w:color="000000" w:sz="8" w:space="0"/>
              <w:right w:val="single" w:color="000000" w:sz="8" w:space="0"/>
            </w:tcBorders>
          </w:tcPr>
          <w:p w14:paraId="4047ECC7">
            <w:pPr>
              <w:rPr>
                <w:rFonts w:hint="eastAsia" w:ascii="宋体" w:hAnsi="宋体" w:eastAsia="宋体" w:cs="宋体"/>
                <w:szCs w:val="21"/>
              </w:rPr>
            </w:pPr>
            <w:r>
              <w:rPr>
                <w:rFonts w:hint="eastAsia" w:ascii="宋体" w:hAnsi="宋体" w:eastAsia="宋体" w:cs="宋体"/>
                <w:szCs w:val="21"/>
              </w:rPr>
              <w:t>投标文件不存在</w:t>
            </w:r>
            <w:r>
              <w:rPr>
                <w:rFonts w:hint="eastAsia" w:ascii="宋体" w:hAnsi="宋体" w:eastAsia="宋体" w:cs="宋体"/>
              </w:rPr>
              <w:t>对招标文件规定的货物或服务或工程量清单的项目或数量进行修改，评标委员会判定投标响应不满足采购需求的情形</w:t>
            </w:r>
          </w:p>
        </w:tc>
      </w:tr>
      <w:tr w14:paraId="030351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727E4F0">
            <w:pPr>
              <w:jc w:val="center"/>
              <w:rPr>
                <w:rFonts w:hint="eastAsia" w:ascii="宋体" w:hAnsi="宋体" w:eastAsia="宋体" w:cs="宋体"/>
                <w:szCs w:val="21"/>
                <w:lang w:eastAsia="zh-CN"/>
              </w:rPr>
            </w:pPr>
            <w:r>
              <w:rPr>
                <w:rFonts w:hint="eastAsia" w:ascii="宋体" w:hAnsi="宋体" w:cs="宋体"/>
                <w:szCs w:val="21"/>
                <w:lang w:val="en-US" w:eastAsia="zh-CN"/>
              </w:rPr>
              <w:t>6</w:t>
            </w:r>
          </w:p>
        </w:tc>
        <w:tc>
          <w:tcPr>
            <w:tcW w:w="8278" w:type="dxa"/>
            <w:tcBorders>
              <w:top w:val="single" w:color="000000" w:sz="8" w:space="0"/>
              <w:left w:val="single" w:color="000000" w:sz="8" w:space="0"/>
              <w:bottom w:val="single" w:color="000000" w:sz="8" w:space="0"/>
              <w:right w:val="single" w:color="000000" w:sz="8" w:space="0"/>
            </w:tcBorders>
          </w:tcPr>
          <w:p w14:paraId="2370F657">
            <w:pPr>
              <w:rPr>
                <w:rFonts w:hint="eastAsia" w:ascii="宋体" w:hAnsi="宋体" w:eastAsia="宋体" w:cs="宋体"/>
                <w:szCs w:val="21"/>
              </w:rPr>
            </w:pPr>
            <w:r>
              <w:rPr>
                <w:rFonts w:hint="eastAsia" w:ascii="宋体" w:hAnsi="宋体" w:eastAsia="宋体" w:cs="宋体"/>
                <w:szCs w:val="21"/>
              </w:rPr>
              <w:t>所投产品、工程、服务在商务、技术等方面实质性满足招标文件要求（是否实质性满足招标文件要求，由评标委员会根据《实质性条款响应情况表》做出评判）</w:t>
            </w:r>
          </w:p>
        </w:tc>
      </w:tr>
      <w:tr w14:paraId="179EA4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1ED04F8F">
            <w:pPr>
              <w:jc w:val="center"/>
              <w:rPr>
                <w:rFonts w:hint="eastAsia" w:ascii="宋体" w:hAnsi="宋体" w:eastAsia="宋体" w:cs="宋体"/>
                <w:szCs w:val="21"/>
                <w:lang w:eastAsia="zh-CN"/>
              </w:rPr>
            </w:pPr>
            <w:r>
              <w:rPr>
                <w:rFonts w:hint="eastAsia" w:ascii="宋体" w:hAnsi="宋体" w:cs="宋体"/>
                <w:szCs w:val="21"/>
                <w:lang w:val="en-US" w:eastAsia="zh-CN"/>
              </w:rPr>
              <w:t>7</w:t>
            </w:r>
          </w:p>
        </w:tc>
        <w:tc>
          <w:tcPr>
            <w:tcW w:w="8278" w:type="dxa"/>
            <w:tcBorders>
              <w:top w:val="single" w:color="000000" w:sz="8" w:space="0"/>
              <w:left w:val="single" w:color="000000" w:sz="8" w:space="0"/>
              <w:bottom w:val="single" w:color="000000" w:sz="8" w:space="0"/>
              <w:right w:val="single" w:color="000000" w:sz="8" w:space="0"/>
            </w:tcBorders>
          </w:tcPr>
          <w:p w14:paraId="714B5C52">
            <w:pPr>
              <w:rPr>
                <w:rFonts w:hint="eastAsia" w:ascii="宋体" w:hAnsi="宋体" w:eastAsia="宋体" w:cs="宋体"/>
                <w:szCs w:val="21"/>
              </w:rPr>
            </w:pPr>
            <w:r>
              <w:rPr>
                <w:rFonts w:hint="eastAsia" w:ascii="宋体" w:hAnsi="宋体" w:eastAsia="宋体" w:cs="宋体"/>
                <w:szCs w:val="21"/>
              </w:rPr>
              <w:t>按招标文件所提供的样式填写《投标函》；按招标文件所提供的《政府采购投标及履约承诺函》进行承诺；</w:t>
            </w:r>
            <w:r>
              <w:rPr>
                <w:rFonts w:hint="eastAsia"/>
                <w:szCs w:val="21"/>
              </w:rPr>
              <w:t>并</w:t>
            </w:r>
            <w:r>
              <w:rPr>
                <w:szCs w:val="21"/>
              </w:rPr>
              <w:t>按招标文件对投标文件组成的要求提供投标文件（投标文件组成完整）</w:t>
            </w:r>
          </w:p>
        </w:tc>
      </w:tr>
      <w:tr w14:paraId="0576D5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3CD1022A">
            <w:pPr>
              <w:jc w:val="center"/>
              <w:rPr>
                <w:rFonts w:hint="eastAsia" w:ascii="宋体" w:hAnsi="宋体" w:eastAsia="宋体" w:cs="宋体"/>
                <w:szCs w:val="21"/>
                <w:lang w:eastAsia="zh-CN"/>
              </w:rPr>
            </w:pPr>
            <w:r>
              <w:rPr>
                <w:rFonts w:hint="eastAsia" w:ascii="宋体" w:hAnsi="宋体" w:cs="宋体"/>
                <w:szCs w:val="21"/>
                <w:lang w:val="en-US" w:eastAsia="zh-CN"/>
              </w:rPr>
              <w:t>8</w:t>
            </w:r>
          </w:p>
        </w:tc>
        <w:tc>
          <w:tcPr>
            <w:tcW w:w="8278" w:type="dxa"/>
            <w:tcBorders>
              <w:top w:val="single" w:color="000000" w:sz="8" w:space="0"/>
              <w:left w:val="single" w:color="000000" w:sz="8" w:space="0"/>
              <w:bottom w:val="single" w:color="000000" w:sz="8" w:space="0"/>
              <w:right w:val="single" w:color="000000" w:sz="8" w:space="0"/>
            </w:tcBorders>
          </w:tcPr>
          <w:p w14:paraId="5B7F22B0">
            <w:pPr>
              <w:rPr>
                <w:rFonts w:hint="eastAsia" w:ascii="宋体" w:hAnsi="宋体" w:eastAsia="宋体" w:cs="宋体"/>
                <w:szCs w:val="21"/>
              </w:rPr>
            </w:pPr>
            <w:r>
              <w:rPr>
                <w:rFonts w:hint="eastAsia" w:ascii="宋体" w:hAnsi="宋体" w:eastAsia="宋体" w:cs="宋体"/>
                <w:szCs w:val="21"/>
              </w:rPr>
              <w:t>投标文件不存在列放位置错误，导致属于信息公开内容没有被公开的情形</w:t>
            </w:r>
          </w:p>
        </w:tc>
      </w:tr>
      <w:tr w14:paraId="419BB0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5583ABA5">
            <w:pPr>
              <w:jc w:val="center"/>
              <w:rPr>
                <w:rFonts w:hint="eastAsia" w:ascii="宋体" w:hAnsi="宋体" w:eastAsia="宋体" w:cs="宋体"/>
                <w:szCs w:val="21"/>
                <w:lang w:eastAsia="zh-CN"/>
              </w:rPr>
            </w:pPr>
            <w:r>
              <w:rPr>
                <w:rFonts w:hint="eastAsia" w:ascii="宋体" w:hAnsi="宋体" w:cs="宋体"/>
                <w:szCs w:val="21"/>
                <w:lang w:val="en-US" w:eastAsia="zh-CN"/>
              </w:rPr>
              <w:t>9</w:t>
            </w:r>
          </w:p>
        </w:tc>
        <w:tc>
          <w:tcPr>
            <w:tcW w:w="8278" w:type="dxa"/>
            <w:tcBorders>
              <w:top w:val="single" w:color="000000" w:sz="8" w:space="0"/>
              <w:left w:val="single" w:color="000000" w:sz="8" w:space="0"/>
              <w:bottom w:val="single" w:color="000000" w:sz="8" w:space="0"/>
              <w:right w:val="single" w:color="000000" w:sz="8" w:space="0"/>
            </w:tcBorders>
          </w:tcPr>
          <w:p w14:paraId="35A89CAE">
            <w:pPr>
              <w:rPr>
                <w:rFonts w:hint="eastAsia" w:ascii="宋体" w:hAnsi="宋体" w:eastAsia="宋体" w:cs="宋体"/>
                <w:szCs w:val="21"/>
              </w:rPr>
            </w:pPr>
            <w:r>
              <w:rPr>
                <w:rFonts w:hint="eastAsia" w:ascii="宋体" w:hAnsi="宋体" w:eastAsia="宋体" w:cs="宋体"/>
                <w:szCs w:val="21"/>
              </w:rPr>
              <w:t>投标文件不存在电子文档带病毒或使用其他投标人的电子密钥</w:t>
            </w:r>
            <w:r>
              <w:rPr>
                <w:rFonts w:hint="eastAsia" w:ascii="宋体" w:hAnsi="宋体" w:eastAsia="宋体" w:cs="宋体"/>
              </w:rPr>
              <w:t>或电子营业执照</w:t>
            </w:r>
            <w:r>
              <w:rPr>
                <w:rFonts w:hint="eastAsia" w:ascii="宋体" w:hAnsi="宋体" w:eastAsia="宋体" w:cs="宋体"/>
                <w:szCs w:val="21"/>
              </w:rPr>
              <w:t>进行加密的情形</w:t>
            </w:r>
          </w:p>
        </w:tc>
      </w:tr>
      <w:tr w14:paraId="1EA788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668CA2A1">
            <w:pPr>
              <w:jc w:val="center"/>
              <w:rPr>
                <w:rFonts w:hint="default" w:ascii="宋体" w:hAnsi="宋体" w:eastAsia="宋体" w:cs="宋体"/>
                <w:szCs w:val="21"/>
                <w:lang w:val="en-US" w:eastAsia="zh-CN"/>
              </w:rPr>
            </w:pPr>
            <w:r>
              <w:rPr>
                <w:rFonts w:hint="eastAsia" w:ascii="宋体" w:hAnsi="宋体" w:cs="宋体"/>
                <w:szCs w:val="21"/>
                <w:lang w:val="en-US" w:eastAsia="zh-CN"/>
              </w:rPr>
              <w:t>10</w:t>
            </w:r>
          </w:p>
        </w:tc>
        <w:tc>
          <w:tcPr>
            <w:tcW w:w="8278" w:type="dxa"/>
            <w:tcBorders>
              <w:top w:val="single" w:color="000000" w:sz="8" w:space="0"/>
              <w:left w:val="single" w:color="000000" w:sz="8" w:space="0"/>
              <w:bottom w:val="single" w:color="000000" w:sz="8" w:space="0"/>
              <w:right w:val="single" w:color="000000" w:sz="8" w:space="0"/>
            </w:tcBorders>
          </w:tcPr>
          <w:p w14:paraId="45CC97AF">
            <w:pPr>
              <w:rPr>
                <w:rFonts w:hint="eastAsia" w:ascii="宋体" w:hAnsi="宋体" w:eastAsia="宋体" w:cs="宋体"/>
                <w:szCs w:val="21"/>
              </w:rPr>
            </w:pPr>
            <w:r>
              <w:rPr>
                <w:rFonts w:hint="eastAsia" w:ascii="宋体" w:hAnsi="宋体" w:eastAsia="宋体" w:cs="宋体"/>
              </w:rPr>
              <w:t>不同投标人的投标文件不存在“文件制作机器码”一致或</w:t>
            </w:r>
            <w:r>
              <w:rPr>
                <w:rFonts w:hint="eastAsia" w:ascii="宋体" w:hAnsi="宋体" w:eastAsia="宋体" w:cs="宋体"/>
                <w:szCs w:val="24"/>
              </w:rPr>
              <w:t>“文件创建标识码”一致的情形</w:t>
            </w:r>
          </w:p>
        </w:tc>
      </w:tr>
      <w:tr w14:paraId="445F05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794" w:type="dxa"/>
            <w:tcBorders>
              <w:top w:val="single" w:color="000000" w:sz="8" w:space="0"/>
              <w:left w:val="single" w:color="000000" w:sz="8" w:space="0"/>
              <w:bottom w:val="single" w:color="000000" w:sz="8" w:space="0"/>
              <w:right w:val="single" w:color="000000" w:sz="8" w:space="0"/>
            </w:tcBorders>
            <w:vAlign w:val="center"/>
          </w:tcPr>
          <w:p w14:paraId="4A8E1E4D">
            <w:pPr>
              <w:jc w:val="center"/>
              <w:rPr>
                <w:rFonts w:hint="default" w:ascii="宋体" w:hAnsi="宋体" w:eastAsia="宋体" w:cs="宋体"/>
                <w:szCs w:val="21"/>
                <w:lang w:val="en-US" w:eastAsia="zh-CN"/>
              </w:rPr>
            </w:pPr>
            <w:r>
              <w:rPr>
                <w:rFonts w:hint="eastAsia" w:ascii="宋体" w:hAnsi="宋体" w:cs="宋体"/>
                <w:szCs w:val="21"/>
                <w:lang w:val="en-US" w:eastAsia="zh-CN"/>
              </w:rPr>
              <w:t>11</w:t>
            </w:r>
          </w:p>
        </w:tc>
        <w:tc>
          <w:tcPr>
            <w:tcW w:w="8278" w:type="dxa"/>
            <w:tcBorders>
              <w:top w:val="single" w:color="000000" w:sz="8" w:space="0"/>
              <w:left w:val="single" w:color="000000" w:sz="8" w:space="0"/>
              <w:bottom w:val="single" w:color="000000" w:sz="8" w:space="0"/>
              <w:right w:val="single" w:color="000000" w:sz="8" w:space="0"/>
            </w:tcBorders>
          </w:tcPr>
          <w:p w14:paraId="63C8D618">
            <w:pPr>
              <w:rPr>
                <w:rFonts w:hint="eastAsia" w:ascii="宋体" w:hAnsi="宋体" w:eastAsia="宋体" w:cs="宋体"/>
                <w:szCs w:val="21"/>
              </w:rPr>
            </w:pPr>
            <w:r>
              <w:rPr>
                <w:rFonts w:hint="eastAsia" w:ascii="宋体" w:hAnsi="宋体" w:eastAsia="宋体" w:cs="宋体"/>
                <w:szCs w:val="24"/>
              </w:rPr>
              <w:t>法律、法规、规章、规范性文件规定的其他情形</w:t>
            </w:r>
          </w:p>
        </w:tc>
      </w:tr>
    </w:tbl>
    <w:p w14:paraId="70B87841">
      <w:pPr>
        <w:pStyle w:val="37"/>
        <w:spacing w:before="280" w:beforeAutospacing="0"/>
        <w:jc w:val="center"/>
        <w:outlineLvl w:val="1"/>
        <w:rPr>
          <w:rFonts w:ascii="黑体" w:hAnsi="黑体" w:eastAsia="黑体"/>
          <w:sz w:val="40"/>
          <w:szCs w:val="40"/>
        </w:rPr>
      </w:pPr>
      <w:r>
        <w:rPr>
          <w:rFonts w:hint="eastAsia" w:ascii="黑体" w:hAnsi="黑体" w:eastAsia="黑体"/>
          <w:sz w:val="40"/>
          <w:szCs w:val="40"/>
        </w:rPr>
        <w:t>异常低价审查</w:t>
      </w:r>
    </w:p>
    <w:p w14:paraId="601F6C92">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评审中出现下列情形之一的，评审委员会应当启动异常低价投标（响应）审查程序：</w:t>
      </w:r>
    </w:p>
    <w:p w14:paraId="5CE7913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0A9D87C">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1BBC7BE7">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179D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72BBEFD9">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0D0915C5">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28221E49">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D7BC097">
      <w:pPr>
        <w:spacing w:line="324" w:lineRule="auto"/>
        <w:ind w:firstLine="420"/>
        <w:rPr>
          <w:rFonts w:hint="eastAsia" w:ascii="Times New Roman" w:hAnsi="Times New Roman"/>
          <w:b/>
          <w:color w:val="FF0000"/>
          <w:szCs w:val="21"/>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24EECF7F">
      <w:pPr>
        <w:spacing w:line="324" w:lineRule="auto"/>
        <w:ind w:firstLine="420"/>
        <w:rPr>
          <w:rFonts w:hint="eastAsia" w:ascii="Times New Roman" w:hAnsi="Times New Roman"/>
          <w:b/>
          <w:color w:val="FF0000"/>
          <w:szCs w:val="21"/>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rPr>
        <w:t>不符合《资格性审查表》或《符合性审查表》中任一情形的，</w:t>
      </w:r>
      <w:r>
        <w:rPr>
          <w:rFonts w:hint="eastAsia" w:asciiTheme="minorEastAsia" w:hAnsiTheme="minorEastAsia" w:eastAsiaTheme="minorEastAsia"/>
          <w:b/>
          <w:color w:val="FF0000"/>
          <w:szCs w:val="21"/>
          <w:lang w:val="en-US" w:eastAsia="zh-CN"/>
        </w:rPr>
        <w:t>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w:t>
      </w:r>
      <w:r>
        <w:rPr>
          <w:rFonts w:hint="eastAsia" w:asciiTheme="minorEastAsia" w:hAnsiTheme="minorEastAsia" w:eastAsiaTheme="minorEastAsia"/>
          <w:b/>
          <w:color w:val="FF0000"/>
          <w:szCs w:val="21"/>
          <w:lang w:eastAsia="zh-CN"/>
        </w:rPr>
        <w:t>（响应）</w:t>
      </w:r>
      <w:r>
        <w:rPr>
          <w:rFonts w:hint="eastAsia" w:asciiTheme="minorEastAsia" w:hAnsiTheme="minorEastAsia" w:eastAsiaTheme="minorEastAsia"/>
          <w:b/>
          <w:color w:val="FF0000"/>
          <w:szCs w:val="21"/>
          <w:lang w:val="en-US" w:eastAsia="zh-CN"/>
        </w:rPr>
        <w:t>无效处理。</w:t>
      </w:r>
    </w:p>
    <w:p w14:paraId="369ED182">
      <w:pPr>
        <w:spacing w:line="324" w:lineRule="auto"/>
        <w:ind w:firstLine="420"/>
        <w:rPr>
          <w:rFonts w:asciiTheme="minorEastAsia" w:hAnsiTheme="minorEastAsia" w:eastAsiaTheme="minorEastAsia"/>
          <w:b/>
          <w:color w:val="FF0000"/>
          <w:szCs w:val="21"/>
        </w:rPr>
      </w:pPr>
    </w:p>
    <w:p w14:paraId="0BF6D41C">
      <w:pPr>
        <w:pStyle w:val="37"/>
        <w:jc w:val="center"/>
        <w:outlineLvl w:val="1"/>
        <w:rPr>
          <w:rFonts w:ascii="黑体" w:hAnsi="黑体" w:eastAsia="黑体"/>
          <w:sz w:val="40"/>
          <w:szCs w:val="40"/>
        </w:rPr>
      </w:pPr>
      <w:r>
        <w:rPr>
          <w:rFonts w:hint="eastAsia" w:ascii="黑体" w:hAnsi="黑体" w:eastAsia="黑体"/>
          <w:sz w:val="40"/>
          <w:szCs w:val="40"/>
        </w:rPr>
        <w:t>评标信息</w:t>
      </w:r>
    </w:p>
    <w:tbl>
      <w:tblPr>
        <w:tblStyle w:val="42"/>
        <w:tblW w:w="9072" w:type="dxa"/>
        <w:jc w:val="center"/>
        <w:tblCellSpacing w:w="0" w:type="dxa"/>
        <w:tblLayout w:type="autofit"/>
        <w:tblCellMar>
          <w:top w:w="45" w:type="dxa"/>
          <w:left w:w="45" w:type="dxa"/>
          <w:bottom w:w="45" w:type="dxa"/>
          <w:right w:w="45" w:type="dxa"/>
        </w:tblCellMar>
      </w:tblPr>
      <w:tblGrid>
        <w:gridCol w:w="8824"/>
        <w:gridCol w:w="248"/>
      </w:tblGrid>
      <w:tr w14:paraId="61973B73">
        <w:trPr>
          <w:tblCellSpacing w:w="0" w:type="dxa"/>
          <w:jc w:val="center"/>
        </w:trPr>
        <w:tc>
          <w:tcPr>
            <w:tcW w:w="0" w:type="auto"/>
            <w:tcBorders>
              <w:top w:val="nil"/>
              <w:left w:val="nil"/>
              <w:bottom w:val="nil"/>
              <w:right w:val="nil"/>
            </w:tcBorders>
            <w:vAlign w:val="center"/>
          </w:tcPr>
          <w:p w14:paraId="7AC905CA">
            <w:pPr>
              <w:rPr>
                <w:rFonts w:ascii="宋体" w:hAnsi="宋体" w:cs="宋体"/>
                <w:b/>
                <w:bCs/>
                <w:sz w:val="24"/>
                <w:szCs w:val="24"/>
              </w:rPr>
            </w:pPr>
            <w:r>
              <w:rPr>
                <w:b/>
                <w:bCs/>
              </w:rPr>
              <w:t>评标方法：综合评分法（新价格分算法）</w:t>
            </w:r>
          </w:p>
        </w:tc>
        <w:tc>
          <w:tcPr>
            <w:tcW w:w="0" w:type="auto"/>
            <w:tcBorders>
              <w:top w:val="nil"/>
              <w:left w:val="nil"/>
              <w:bottom w:val="nil"/>
              <w:right w:val="nil"/>
            </w:tcBorders>
            <w:vAlign w:val="center"/>
          </w:tcPr>
          <w:p w14:paraId="14BDF8C5">
            <w:pPr>
              <w:jc w:val="right"/>
              <w:rPr>
                <w:rFonts w:ascii="宋体" w:hAnsi="宋体" w:cs="宋体"/>
                <w:b/>
                <w:bCs/>
                <w:sz w:val="24"/>
                <w:szCs w:val="24"/>
              </w:rPr>
            </w:pPr>
          </w:p>
        </w:tc>
      </w:tr>
      <w:tr w14:paraId="57668ECB">
        <w:tblPrEx>
          <w:tblCellMar>
            <w:top w:w="45" w:type="dxa"/>
            <w:left w:w="45" w:type="dxa"/>
            <w:bottom w:w="45" w:type="dxa"/>
            <w:right w:w="45" w:type="dxa"/>
          </w:tblCellMar>
        </w:tblPrEx>
        <w:trPr>
          <w:tblCellSpacing w:w="0" w:type="dxa"/>
          <w:jc w:val="center"/>
        </w:trPr>
        <w:tc>
          <w:tcPr>
            <w:tcW w:w="0" w:type="auto"/>
            <w:gridSpan w:val="2"/>
            <w:tcBorders>
              <w:top w:val="nil"/>
              <w:left w:val="nil"/>
              <w:bottom w:val="nil"/>
              <w:right w:val="nil"/>
            </w:tcBorders>
            <w:vAlign w:val="center"/>
          </w:tcPr>
          <w:p w14:paraId="30590C49">
            <w:pPr>
              <w:pStyle w:val="37"/>
              <w:spacing w:line="324" w:lineRule="auto"/>
              <w:ind w:firstLine="420"/>
              <w:rPr>
                <w:sz w:val="21"/>
                <w:szCs w:val="21"/>
              </w:rPr>
            </w:pPr>
            <w:r>
              <w:rPr>
                <w:sz w:val="21"/>
                <w:szCs w:val="21"/>
              </w:rPr>
              <w:t>综合评分法，是指</w:t>
            </w:r>
            <w:r>
              <w:rPr>
                <w:rFonts w:hint="eastAsia"/>
                <w:sz w:val="21"/>
                <w:szCs w:val="21"/>
              </w:rPr>
              <w:t>在最大限度地满足招标文件实质性要求的前提下，按照招标文件中规定的各项因素进行综合评审，评标总得分排名前列的投标人，作为推荐的候选中标供应商</w:t>
            </w:r>
            <w:r>
              <w:rPr>
                <w:sz w:val="21"/>
                <w:szCs w:val="21"/>
              </w:rPr>
              <w:t xml:space="preserve">。 </w:t>
            </w:r>
          </w:p>
          <w:p w14:paraId="19CF142F">
            <w:pPr>
              <w:pStyle w:val="37"/>
              <w:ind w:firstLine="420"/>
              <w:rPr>
                <w:sz w:val="21"/>
                <w:szCs w:val="21"/>
              </w:rPr>
            </w:pPr>
            <w:r>
              <w:rPr>
                <w:sz w:val="21"/>
                <w:szCs w:val="21"/>
              </w:rPr>
              <w:t>价格分计算方法：</w:t>
            </w:r>
          </w:p>
          <w:p w14:paraId="4E700542">
            <w:pPr>
              <w:pStyle w:val="37"/>
              <w:spacing w:line="324" w:lineRule="auto"/>
              <w:ind w:left="420"/>
              <w:rPr>
                <w:sz w:val="21"/>
                <w:szCs w:val="21"/>
              </w:rPr>
            </w:pPr>
            <w:r>
              <w:rPr>
                <w:sz w:val="21"/>
                <w:szCs w:val="21"/>
              </w:rPr>
              <w:t xml:space="preserve">采用低价优先法计算，即满足招标文件要求且投标价格最低的投标报价为评标基准价，其价格分为满分。其他投标人的价格分统一按照下列公式计算： </w:t>
            </w:r>
            <w:r>
              <w:rPr>
                <w:sz w:val="21"/>
                <w:szCs w:val="21"/>
              </w:rPr>
              <w:br w:type="textWrapping"/>
            </w:r>
            <w:r>
              <w:rPr>
                <w:sz w:val="21"/>
                <w:szCs w:val="21"/>
              </w:rPr>
              <w:t xml:space="preserve">投标报价得分=(评标基准价／投标报价)×100 </w:t>
            </w:r>
            <w:r>
              <w:rPr>
                <w:sz w:val="21"/>
                <w:szCs w:val="21"/>
              </w:rPr>
              <w:br w:type="textWrapping"/>
            </w:r>
            <w:r>
              <w:rPr>
                <w:sz w:val="21"/>
                <w:szCs w:val="21"/>
              </w:rPr>
              <w:t xml:space="preserve">评标总得分＝F1×A1＋F2×A2＋……＋Fn×An </w:t>
            </w:r>
            <w:r>
              <w:rPr>
                <w:sz w:val="21"/>
                <w:szCs w:val="21"/>
              </w:rPr>
              <w:br w:type="textWrapping"/>
            </w:r>
            <w:r>
              <w:rPr>
                <w:sz w:val="21"/>
                <w:szCs w:val="21"/>
              </w:rPr>
              <w:t xml:space="preserve">F1、F2……Fn分别为各项评审因素的得分； </w:t>
            </w:r>
            <w:r>
              <w:rPr>
                <w:sz w:val="21"/>
                <w:szCs w:val="21"/>
              </w:rPr>
              <w:br w:type="textWrapping"/>
            </w:r>
            <w:r>
              <w:rPr>
                <w:sz w:val="21"/>
                <w:szCs w:val="21"/>
              </w:rPr>
              <w:t xml:space="preserve">A1、A2、……An 分别为各项评审因素所占的权重(A1＋A2＋……＋An＝1)。 </w:t>
            </w:r>
            <w:r>
              <w:rPr>
                <w:sz w:val="21"/>
                <w:szCs w:val="21"/>
              </w:rPr>
              <w:br w:type="textWrapping"/>
            </w:r>
            <w:r>
              <w:rPr>
                <w:sz w:val="21"/>
                <w:szCs w:val="21"/>
              </w:rPr>
              <w:t xml:space="preserve">评标过程中，不得去掉报价中的最高报价和最低报价。 </w:t>
            </w:r>
            <w:r>
              <w:rPr>
                <w:sz w:val="21"/>
                <w:szCs w:val="21"/>
              </w:rPr>
              <w:br w:type="textWrapping"/>
            </w:r>
            <w:r>
              <w:rPr>
                <w:rFonts w:hint="eastAsia"/>
                <w:sz w:val="21"/>
                <w:szCs w:val="21"/>
              </w:rPr>
              <w:t>因落实政府采购政策进行价格调整的，以调整后的价格计算评标基准价和投标报价</w:t>
            </w:r>
            <w:r>
              <w:rPr>
                <w:sz w:val="21"/>
                <w:szCs w:val="21"/>
              </w:rPr>
              <w:t xml:space="preserve">。 </w:t>
            </w:r>
          </w:p>
        </w:tc>
      </w:tr>
    </w:tbl>
    <w:p w14:paraId="5654881C">
      <w:pPr>
        <w:rPr>
          <w:vanish/>
        </w:rPr>
      </w:pPr>
    </w:p>
    <w:tbl>
      <w:tblPr>
        <w:tblStyle w:val="42"/>
        <w:tblW w:w="963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20" w:type="dxa"/>
          <w:left w:w="108" w:type="dxa"/>
          <w:bottom w:w="20" w:type="dxa"/>
          <w:right w:w="108" w:type="dxa"/>
        </w:tblCellMar>
      </w:tblPr>
      <w:tblGrid>
        <w:gridCol w:w="680"/>
        <w:gridCol w:w="680"/>
        <w:gridCol w:w="1495"/>
        <w:gridCol w:w="820"/>
        <w:gridCol w:w="5964"/>
      </w:tblGrid>
      <w:tr w14:paraId="67E0DC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75C03E3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序号</w:t>
            </w:r>
          </w:p>
        </w:tc>
        <w:tc>
          <w:tcPr>
            <w:tcW w:w="2995" w:type="dxa"/>
            <w:gridSpan w:val="3"/>
            <w:tcBorders>
              <w:top w:val="single" w:color="000000" w:sz="8" w:space="0"/>
              <w:left w:val="single" w:color="000000" w:sz="8" w:space="0"/>
              <w:bottom w:val="single" w:color="000000" w:sz="8" w:space="0"/>
              <w:right w:val="single" w:color="000000" w:sz="8" w:space="0"/>
            </w:tcBorders>
            <w:shd w:val="clear" w:color="auto" w:fill="E6EFFA"/>
            <w:vAlign w:val="center"/>
          </w:tcPr>
          <w:p w14:paraId="663CCBFE">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评分项</w:t>
            </w:r>
          </w:p>
        </w:tc>
        <w:tc>
          <w:tcPr>
            <w:tcW w:w="5964"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0B655B71">
            <w:pPr>
              <w:spacing w:line="360" w:lineRule="exact"/>
              <w:jc w:val="center"/>
              <w:rPr>
                <w:rFonts w:cs="宋体" w:asciiTheme="minorEastAsia" w:hAnsiTheme="minorEastAsia" w:eastAsiaTheme="minorEastAsia"/>
                <w:b/>
                <w:bCs/>
                <w:sz w:val="24"/>
                <w:szCs w:val="24"/>
              </w:rPr>
            </w:pPr>
            <w:r>
              <w:rPr>
                <w:rFonts w:asciiTheme="minorEastAsia" w:hAnsiTheme="minorEastAsia" w:eastAsiaTheme="minorEastAsia"/>
                <w:b/>
                <w:bCs/>
              </w:rPr>
              <w:t>权重(%)</w:t>
            </w:r>
          </w:p>
        </w:tc>
      </w:tr>
      <w:tr w14:paraId="436C67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single" w:color="000000" w:sz="8" w:space="0"/>
              <w:right w:val="single" w:color="000000" w:sz="8" w:space="0"/>
            </w:tcBorders>
          </w:tcPr>
          <w:p w14:paraId="2C929EB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1</w:t>
            </w:r>
          </w:p>
        </w:tc>
        <w:tc>
          <w:tcPr>
            <w:tcW w:w="2995" w:type="dxa"/>
            <w:gridSpan w:val="3"/>
            <w:tcBorders>
              <w:top w:val="single" w:color="000000" w:sz="8" w:space="0"/>
              <w:left w:val="single" w:color="000000" w:sz="8" w:space="0"/>
              <w:bottom w:val="single" w:color="000000" w:sz="8" w:space="0"/>
              <w:right w:val="single" w:color="000000" w:sz="8" w:space="0"/>
            </w:tcBorders>
          </w:tcPr>
          <w:p w14:paraId="055296A2">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价格</w:t>
            </w:r>
          </w:p>
        </w:tc>
        <w:tc>
          <w:tcPr>
            <w:tcW w:w="5964" w:type="dxa"/>
            <w:tcBorders>
              <w:top w:val="single" w:color="000000" w:sz="8" w:space="0"/>
              <w:left w:val="single" w:color="000000" w:sz="8" w:space="0"/>
              <w:bottom w:val="single" w:color="000000" w:sz="8" w:space="0"/>
              <w:right w:val="single" w:color="000000" w:sz="8" w:space="0"/>
            </w:tcBorders>
          </w:tcPr>
          <w:p w14:paraId="089CA04F">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10</w:t>
            </w:r>
          </w:p>
        </w:tc>
      </w:tr>
      <w:tr w14:paraId="369EBB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396B902D">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2</w:t>
            </w:r>
          </w:p>
        </w:tc>
        <w:tc>
          <w:tcPr>
            <w:tcW w:w="2995" w:type="dxa"/>
            <w:gridSpan w:val="3"/>
            <w:tcBorders>
              <w:top w:val="single" w:color="000000" w:sz="8" w:space="0"/>
              <w:left w:val="single" w:color="000000" w:sz="8" w:space="0"/>
              <w:bottom w:val="single" w:color="000000" w:sz="8" w:space="0"/>
              <w:right w:val="single" w:color="000000" w:sz="8" w:space="0"/>
            </w:tcBorders>
          </w:tcPr>
          <w:p w14:paraId="187E3D5B">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技术</w:t>
            </w:r>
          </w:p>
        </w:tc>
        <w:tc>
          <w:tcPr>
            <w:tcW w:w="5964" w:type="dxa"/>
            <w:tcBorders>
              <w:top w:val="single" w:color="000000" w:sz="8" w:space="0"/>
              <w:left w:val="single" w:color="000000" w:sz="8" w:space="0"/>
              <w:bottom w:val="single" w:color="000000" w:sz="8" w:space="0"/>
              <w:right w:val="single" w:color="000000" w:sz="8" w:space="0"/>
            </w:tcBorders>
          </w:tcPr>
          <w:p w14:paraId="3CE14FEF">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67</w:t>
            </w:r>
          </w:p>
        </w:tc>
      </w:tr>
      <w:tr w14:paraId="3AB8A1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F0024CE">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3DB9AAB">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34A7B45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42C903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34830D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0A37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3A63EAA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463A213">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6FC88F77">
            <w:pPr>
              <w:spacing w:line="360" w:lineRule="exact"/>
              <w:jc w:val="center"/>
              <w:rPr>
                <w:rFonts w:cs="宋体" w:asciiTheme="minorEastAsia" w:hAnsiTheme="minorEastAsia" w:eastAsiaTheme="minorEastAsia"/>
                <w:szCs w:val="21"/>
              </w:rPr>
            </w:pPr>
            <w:r>
              <w:rPr>
                <w:rFonts w:hint="eastAsia" w:ascii="宋体" w:hAnsi="宋体" w:cs="宋体"/>
                <w:szCs w:val="21"/>
              </w:rPr>
              <w:t>实施方案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07289964">
            <w:pPr>
              <w:spacing w:line="360" w:lineRule="exact"/>
              <w:jc w:val="center"/>
              <w:rPr>
                <w:rFonts w:cs="宋体" w:asciiTheme="minorEastAsia" w:hAnsiTheme="minorEastAsia" w:eastAsiaTheme="minorEastAsia"/>
                <w:szCs w:val="21"/>
              </w:rPr>
            </w:pPr>
            <w:r>
              <w:rPr>
                <w:rFonts w:hint="eastAsia" w:ascii="宋体" w:hAnsi="宋体" w:cs="宋体"/>
                <w:szCs w:val="21"/>
              </w:rPr>
              <w:t>14</w:t>
            </w:r>
          </w:p>
        </w:tc>
        <w:tc>
          <w:tcPr>
            <w:tcW w:w="5964" w:type="dxa"/>
            <w:tcBorders>
              <w:top w:val="single" w:color="000000" w:sz="8" w:space="0"/>
              <w:left w:val="single" w:color="000000" w:sz="8" w:space="0"/>
              <w:bottom w:val="single" w:color="000000" w:sz="8" w:space="0"/>
              <w:right w:val="single" w:color="000000" w:sz="8" w:space="0"/>
            </w:tcBorders>
            <w:vAlign w:val="top"/>
          </w:tcPr>
          <w:p w14:paraId="65A72CB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473FC7C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投标人应结合其工作经历及项目需求制定实施方案，具体内容包括但不限于：</w:t>
            </w:r>
          </w:p>
          <w:p w14:paraId="2266F02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1.检测工作流程和工作制度；</w:t>
            </w:r>
          </w:p>
          <w:p w14:paraId="7A76F04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2.制定检测计划和风险管控；</w:t>
            </w:r>
          </w:p>
          <w:p w14:paraId="558DE1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3.抽样方案；</w:t>
            </w:r>
          </w:p>
          <w:p w14:paraId="13808E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4.检验方案；</w:t>
            </w:r>
          </w:p>
          <w:p w14:paraId="376DD4D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5.报告判定原则；</w:t>
            </w:r>
          </w:p>
          <w:p w14:paraId="5C5FFFA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6.结果报送要求；</w:t>
            </w:r>
          </w:p>
          <w:p w14:paraId="5E67063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7.异议及后处理；</w:t>
            </w:r>
          </w:p>
          <w:p w14:paraId="324374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8.检验过程的质量控制体系及方法；</w:t>
            </w:r>
          </w:p>
          <w:p w14:paraId="36DDDA4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9.应急预案；</w:t>
            </w:r>
          </w:p>
          <w:p w14:paraId="21D4012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10.后续服务（含数据录入、统计分析报告）等相关内容。</w:t>
            </w:r>
          </w:p>
          <w:p w14:paraId="1F545DE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4563798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方案每满足以上一项内容得7分，满足以上全部10项，得70分。</w:t>
            </w:r>
          </w:p>
          <w:p w14:paraId="2A5D976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7B29DD0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1.评审为优：</w:t>
            </w:r>
            <w:r>
              <w:rPr>
                <w:rFonts w:hint="eastAsia" w:asciiTheme="minorEastAsia" w:hAnsiTheme="minorEastAsia" w:eastAsiaTheme="minorEastAsia"/>
                <w:szCs w:val="21"/>
                <w:lang w:val="en"/>
              </w:rPr>
              <w:t>实施方案内容具体、针对性强、科学合理、可操作性强且提出应急预案不少于</w:t>
            </w:r>
            <w:r>
              <w:rPr>
                <w:rFonts w:hint="eastAsia" w:asciiTheme="minorEastAsia" w:hAnsiTheme="minorEastAsia" w:eastAsiaTheme="minorEastAsia"/>
                <w:szCs w:val="21"/>
              </w:rPr>
              <w:t>4项的，加30分；</w:t>
            </w:r>
          </w:p>
          <w:p w14:paraId="6207196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2.评审为良：</w:t>
            </w:r>
            <w:r>
              <w:rPr>
                <w:rFonts w:hint="eastAsia" w:asciiTheme="minorEastAsia" w:hAnsiTheme="minorEastAsia" w:eastAsiaTheme="minorEastAsia"/>
                <w:szCs w:val="21"/>
                <w:lang w:val="en"/>
              </w:rPr>
              <w:t>实施方案内容较具体、针对性较强、较科学合理、可操作性较强且提出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不少于</w:t>
            </w:r>
            <w:r>
              <w:rPr>
                <w:rFonts w:hint="eastAsia" w:asciiTheme="minorEastAsia" w:hAnsiTheme="minorEastAsia" w:eastAsiaTheme="minorEastAsia"/>
                <w:szCs w:val="21"/>
              </w:rPr>
              <w:t>3项的，加20分；</w:t>
            </w:r>
          </w:p>
          <w:p w14:paraId="2976014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3.评审为中：</w:t>
            </w:r>
            <w:r>
              <w:rPr>
                <w:rFonts w:hint="eastAsia" w:asciiTheme="minorEastAsia" w:hAnsiTheme="minorEastAsia" w:eastAsiaTheme="minorEastAsia"/>
                <w:szCs w:val="21"/>
                <w:lang w:val="en"/>
              </w:rPr>
              <w:t>实施方案内容具体性一般、针对性一般、科学合理性一般、可操作性一般且提出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不少于</w:t>
            </w:r>
            <w:r>
              <w:rPr>
                <w:rFonts w:hint="eastAsia" w:asciiTheme="minorEastAsia" w:hAnsiTheme="minorEastAsia" w:eastAsiaTheme="minorEastAsia"/>
                <w:szCs w:val="21"/>
              </w:rPr>
              <w:t>2项的，加10分；</w:t>
            </w:r>
          </w:p>
          <w:p w14:paraId="2E04501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4.评审为差：</w:t>
            </w:r>
            <w:r>
              <w:rPr>
                <w:rFonts w:hint="eastAsia" w:asciiTheme="minorEastAsia" w:hAnsiTheme="minorEastAsia" w:eastAsiaTheme="minorEastAsia"/>
                <w:szCs w:val="21"/>
                <w:lang w:val="en"/>
              </w:rPr>
              <w:t>实施方案思路清晰性差、内容具体性差、科学合理性差、针对性及可操作性差或提出</w:t>
            </w:r>
            <w:r>
              <w:rPr>
                <w:rFonts w:hint="eastAsia" w:asciiTheme="minorEastAsia" w:hAnsiTheme="minorEastAsia" w:eastAsiaTheme="minorEastAsia"/>
                <w:szCs w:val="21"/>
              </w:rPr>
              <w:t>应急预案</w:t>
            </w:r>
            <w:r>
              <w:rPr>
                <w:rFonts w:hint="eastAsia" w:asciiTheme="minorEastAsia" w:hAnsiTheme="minorEastAsia" w:eastAsiaTheme="minorEastAsia"/>
                <w:szCs w:val="21"/>
                <w:lang w:val="en"/>
              </w:rPr>
              <w:t>少于</w:t>
            </w:r>
            <w:r>
              <w:rPr>
                <w:rFonts w:hint="eastAsia" w:asciiTheme="minorEastAsia" w:hAnsiTheme="minorEastAsia" w:eastAsiaTheme="minorEastAsia"/>
                <w:szCs w:val="21"/>
              </w:rPr>
              <w:t>2项的，不加分。</w:t>
            </w:r>
          </w:p>
          <w:p w14:paraId="2A5CB47F">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如果评审为差，要求评委书面说明理由，并记录在档。未提供实施方案的不得分。本项最高得分100分。</w:t>
            </w:r>
          </w:p>
        </w:tc>
      </w:tr>
      <w:tr w14:paraId="14D5CC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CAB386E">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6364D07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41A03DA5">
            <w:pPr>
              <w:spacing w:line="360" w:lineRule="exact"/>
              <w:jc w:val="center"/>
              <w:rPr>
                <w:rFonts w:cs="宋体" w:asciiTheme="minorEastAsia" w:hAnsiTheme="minorEastAsia" w:eastAsiaTheme="minorEastAsia"/>
                <w:szCs w:val="21"/>
              </w:rPr>
            </w:pPr>
            <w:r>
              <w:rPr>
                <w:rFonts w:hint="eastAsia" w:ascii="宋体" w:hAnsi="宋体" w:cs="宋体"/>
                <w:szCs w:val="21"/>
              </w:rPr>
              <w:t>项目重点难点分析、应对措施及相关的合理化建议</w:t>
            </w:r>
          </w:p>
        </w:tc>
        <w:tc>
          <w:tcPr>
            <w:tcW w:w="820" w:type="dxa"/>
            <w:tcBorders>
              <w:top w:val="single" w:color="000000" w:sz="8" w:space="0"/>
              <w:left w:val="single" w:color="000000" w:sz="8" w:space="0"/>
              <w:bottom w:val="single" w:color="000000" w:sz="8" w:space="0"/>
              <w:right w:val="single" w:color="000000" w:sz="8" w:space="0"/>
            </w:tcBorders>
            <w:vAlign w:val="center"/>
          </w:tcPr>
          <w:p w14:paraId="1873C774">
            <w:pPr>
              <w:spacing w:line="360" w:lineRule="exact"/>
              <w:jc w:val="center"/>
              <w:rPr>
                <w:rFonts w:cs="宋体" w:asciiTheme="minorEastAsia" w:hAnsiTheme="minorEastAsia" w:eastAsiaTheme="minorEastAsia"/>
                <w:szCs w:val="21"/>
              </w:rPr>
            </w:pPr>
            <w:r>
              <w:rPr>
                <w:rFonts w:hint="eastAsia" w:ascii="宋体" w:hAnsi="宋体" w:cs="宋体"/>
                <w:szCs w:val="21"/>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493E139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22AE2F7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投标人应结合其工作经历及项目需求进行重点难点分析并提出合理化建议，内容包括但不限于:</w:t>
            </w:r>
          </w:p>
          <w:p w14:paraId="333B87A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1.针对项目实施过程重点难点问题，进行逐一分析；</w:t>
            </w:r>
          </w:p>
          <w:p w14:paraId="5490592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2.应对措施及相应的建议。</w:t>
            </w:r>
          </w:p>
          <w:p w14:paraId="7286891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18680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满足以上两项要求得</w:t>
            </w:r>
            <w:r>
              <w:rPr>
                <w:rFonts w:hint="eastAsia" w:asciiTheme="minorEastAsia" w:hAnsiTheme="minorEastAsia" w:eastAsiaTheme="minorEastAsia"/>
                <w:szCs w:val="21"/>
                <w:lang w:val="en-US" w:eastAsia="zh-CN"/>
              </w:rPr>
              <w:t>7</w:t>
            </w:r>
            <w:r>
              <w:rPr>
                <w:rFonts w:hint="eastAsia" w:asciiTheme="minorEastAsia" w:hAnsiTheme="minorEastAsia" w:eastAsiaTheme="minorEastAsia"/>
                <w:szCs w:val="21"/>
              </w:rPr>
              <w:t>0分，满足以上任意一项要求得</w:t>
            </w:r>
            <w:r>
              <w:rPr>
                <w:rFonts w:hint="eastAsia" w:asciiTheme="minorEastAsia" w:hAnsiTheme="minorEastAsia" w:eastAsiaTheme="minorEastAsia"/>
                <w:szCs w:val="21"/>
                <w:lang w:val="en-US" w:eastAsia="zh-CN"/>
              </w:rPr>
              <w:t>4</w:t>
            </w:r>
            <w:r>
              <w:rPr>
                <w:rFonts w:hint="eastAsia" w:asciiTheme="minorEastAsia" w:hAnsiTheme="minorEastAsia" w:eastAsiaTheme="minorEastAsia"/>
                <w:szCs w:val="21"/>
              </w:rPr>
              <w:t>0分，其他情况不得分。</w:t>
            </w:r>
          </w:p>
          <w:p w14:paraId="5B1A7CD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13F289D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1.评审为优：</w:t>
            </w:r>
            <w:r>
              <w:rPr>
                <w:rFonts w:hint="eastAsia" w:asciiTheme="minorEastAsia" w:hAnsiTheme="minorEastAsia" w:eastAsiaTheme="minorEastAsia"/>
                <w:szCs w:val="21"/>
              </w:rPr>
              <w:t>项目重难点分析内容具体、针对性强、科学合理、可操作性强，且相关的合理化建议（对后续工作的开展具有针对性的指导和建议）不少于4项的加</w:t>
            </w:r>
            <w:r>
              <w:rPr>
                <w:rFonts w:hint="eastAsia" w:asciiTheme="minorEastAsia" w:hAnsiTheme="minorEastAsia" w:eastAsiaTheme="minorEastAsia"/>
                <w:szCs w:val="21"/>
                <w:lang w:val="en-US" w:eastAsia="zh-CN"/>
              </w:rPr>
              <w:t>30</w:t>
            </w:r>
            <w:r>
              <w:rPr>
                <w:rFonts w:hint="eastAsia" w:asciiTheme="minorEastAsia" w:hAnsiTheme="minorEastAsia" w:eastAsiaTheme="minorEastAsia"/>
                <w:szCs w:val="21"/>
              </w:rPr>
              <w:t>分；</w:t>
            </w:r>
          </w:p>
          <w:p w14:paraId="17E4B24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项目重难点分析内容较具体、针对性较强、较科学合理、可操作性较强，且相关的合理化建议（对后续工作的开展具有针对性的指导和建议）不少于3项加</w:t>
            </w:r>
            <w:r>
              <w:rPr>
                <w:rFonts w:hint="eastAsia" w:asciiTheme="minorEastAsia" w:hAnsiTheme="minorEastAsia" w:eastAsiaTheme="minorEastAsia"/>
                <w:szCs w:val="21"/>
                <w:lang w:val="en-US" w:eastAsia="zh-CN"/>
              </w:rPr>
              <w:t>20</w:t>
            </w:r>
            <w:r>
              <w:rPr>
                <w:rFonts w:hint="eastAsia" w:asciiTheme="minorEastAsia" w:hAnsiTheme="minorEastAsia" w:eastAsiaTheme="minorEastAsia"/>
                <w:szCs w:val="21"/>
              </w:rPr>
              <w:t>分；</w:t>
            </w:r>
          </w:p>
          <w:p w14:paraId="6636486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项目重难点分析内容具体性一般、针对性一般、科学合理性一般、可操作性一般，且相关的合理化建议（对后续工作的开展具有针对性的指导和建议）不少于2项的加</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分；</w:t>
            </w:r>
          </w:p>
          <w:p w14:paraId="09DFE54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项目重难点分析内容具体性差、针对性差、科学合理性差、可操作性差，且相关的合理化建议（对后续工作的开展具有针对性的指导和建议）不少于2项</w:t>
            </w:r>
            <w:r>
              <w:rPr>
                <w:rFonts w:hint="eastAsia" w:asciiTheme="minorEastAsia" w:hAnsiTheme="minorEastAsia" w:eastAsiaTheme="minorEastAsia"/>
                <w:szCs w:val="21"/>
                <w:lang w:val="en"/>
              </w:rPr>
              <w:t>的</w:t>
            </w:r>
            <w:r>
              <w:rPr>
                <w:rFonts w:hint="eastAsia" w:asciiTheme="minorEastAsia" w:hAnsiTheme="minorEastAsia" w:eastAsiaTheme="minorEastAsia"/>
                <w:szCs w:val="21"/>
              </w:rPr>
              <w:t>加</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0432784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5BE842B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未提供实施方案的不得分。</w:t>
            </w:r>
          </w:p>
        </w:tc>
      </w:tr>
      <w:tr w14:paraId="268343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491CDB9">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970B2D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78226297">
            <w:pPr>
              <w:spacing w:line="360" w:lineRule="exact"/>
              <w:jc w:val="center"/>
              <w:rPr>
                <w:rFonts w:cs="宋体" w:asciiTheme="minorEastAsia" w:hAnsiTheme="minorEastAsia" w:eastAsiaTheme="minorEastAsia"/>
                <w:szCs w:val="21"/>
              </w:rPr>
            </w:pPr>
            <w:r>
              <w:rPr>
                <w:rFonts w:hint="eastAsia" w:ascii="宋体" w:hAnsi="宋体" w:cs="宋体"/>
                <w:szCs w:val="21"/>
              </w:rPr>
              <w:t>质量（完成时间、安全、环保）保障措施及方案</w:t>
            </w:r>
          </w:p>
        </w:tc>
        <w:tc>
          <w:tcPr>
            <w:tcW w:w="820" w:type="dxa"/>
            <w:tcBorders>
              <w:top w:val="single" w:color="000000" w:sz="8" w:space="0"/>
              <w:left w:val="single" w:color="000000" w:sz="8" w:space="0"/>
              <w:bottom w:val="single" w:color="000000" w:sz="8" w:space="0"/>
              <w:right w:val="single" w:color="000000" w:sz="8" w:space="0"/>
            </w:tcBorders>
            <w:vAlign w:val="center"/>
          </w:tcPr>
          <w:p w14:paraId="5AC86562">
            <w:pPr>
              <w:spacing w:line="360" w:lineRule="exact"/>
              <w:jc w:val="center"/>
              <w:rPr>
                <w:rFonts w:cs="宋体" w:asciiTheme="minorEastAsia" w:hAnsiTheme="minorEastAsia" w:eastAsiaTheme="minorEastAsia"/>
                <w:szCs w:val="21"/>
              </w:rPr>
            </w:pPr>
            <w:r>
              <w:rPr>
                <w:rFonts w:hint="eastAsia" w:ascii="宋体" w:hAnsi="宋体" w:cs="宋体"/>
                <w:szCs w:val="21"/>
              </w:rPr>
              <w:t>4</w:t>
            </w:r>
          </w:p>
        </w:tc>
        <w:tc>
          <w:tcPr>
            <w:tcW w:w="5964" w:type="dxa"/>
            <w:tcBorders>
              <w:top w:val="single" w:color="000000" w:sz="8" w:space="0"/>
              <w:left w:val="single" w:color="000000" w:sz="8" w:space="0"/>
              <w:bottom w:val="single" w:color="000000" w:sz="8" w:space="0"/>
              <w:right w:val="single" w:color="000000" w:sz="8" w:space="0"/>
            </w:tcBorders>
            <w:vAlign w:val="top"/>
          </w:tcPr>
          <w:p w14:paraId="1D6F693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9158AD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投标人应结合其工作经历及项目需求进行质量保障措施及方案，内容包括但不限于：</w:t>
            </w:r>
          </w:p>
          <w:p w14:paraId="7DDA1C1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1.保障项目质量的人力资源方案;</w:t>
            </w:r>
          </w:p>
          <w:p w14:paraId="4B60C32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2.保障项目质量的设备、技术等资源方案；</w:t>
            </w:r>
          </w:p>
          <w:p w14:paraId="5FA638A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3.保障项目质量的内部监督工作方案；</w:t>
            </w:r>
          </w:p>
          <w:p w14:paraId="795110B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4.保障项目质量的紧急资源调配以及应急响应工作方案；</w:t>
            </w:r>
          </w:p>
          <w:p w14:paraId="47118B8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5.保障项目质量的安全措施（包括但不限于舆情处置、突发情况处理、数据安全、操作安全等内容）。</w:t>
            </w:r>
          </w:p>
          <w:p w14:paraId="39A2E4E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22F0AEE">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满足以上五项要求得70分，满足以上任意四项要求得50分，满足以上任意三项要求得30分，其他情况不得分。</w:t>
            </w:r>
          </w:p>
          <w:p w14:paraId="3CCED5E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在此基础上，评审委员会根据各投标供应商的具体响应内容进一步评审：</w:t>
            </w:r>
          </w:p>
          <w:p w14:paraId="4E056A5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eastAsia="zh-CN"/>
              </w:rPr>
              <w:t>评审为优：</w:t>
            </w:r>
            <w:r>
              <w:rPr>
                <w:rFonts w:hint="eastAsia" w:asciiTheme="minorEastAsia" w:hAnsiTheme="minorEastAsia" w:eastAsiaTheme="minorEastAsia"/>
                <w:szCs w:val="21"/>
              </w:rPr>
              <w:t>质量保障措施内容具体、针对性强、科学合理、可操作性强的加30分;</w:t>
            </w:r>
          </w:p>
          <w:p w14:paraId="61627F4B">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w:t>
            </w:r>
            <w:r>
              <w:rPr>
                <w:rFonts w:hint="eastAsia" w:asciiTheme="minorEastAsia" w:hAnsiTheme="minorEastAsia" w:eastAsiaTheme="minorEastAsia"/>
                <w:szCs w:val="21"/>
                <w:lang w:val="en-US" w:eastAsia="zh-CN"/>
              </w:rPr>
              <w:t>评审为良：</w:t>
            </w:r>
            <w:r>
              <w:rPr>
                <w:rFonts w:hint="eastAsia" w:asciiTheme="minorEastAsia" w:hAnsiTheme="minorEastAsia" w:eastAsiaTheme="minorEastAsia"/>
                <w:szCs w:val="21"/>
              </w:rPr>
              <w:t>质量保障措施内容较具体、针对性较强、较科学合理、可操作性较强加20分;</w:t>
            </w:r>
          </w:p>
          <w:p w14:paraId="649C0CB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评审为中：</w:t>
            </w:r>
            <w:r>
              <w:rPr>
                <w:rFonts w:hint="eastAsia" w:asciiTheme="minorEastAsia" w:hAnsiTheme="minorEastAsia" w:eastAsiaTheme="minorEastAsia"/>
                <w:szCs w:val="21"/>
              </w:rPr>
              <w:t>质量保障措施内容具体性一般、针对性一般、科学合理性一般、可操作性一般的加10分；</w:t>
            </w:r>
          </w:p>
          <w:p w14:paraId="4443705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szCs w:val="21"/>
                <w:lang w:val="en-US" w:eastAsia="zh-CN"/>
              </w:rPr>
              <w:t>评审为差：</w:t>
            </w:r>
            <w:r>
              <w:rPr>
                <w:rFonts w:hint="eastAsia" w:asciiTheme="minorEastAsia" w:hAnsiTheme="minorEastAsia" w:eastAsiaTheme="minorEastAsia"/>
                <w:szCs w:val="21"/>
              </w:rPr>
              <w:t>质量保障措施内容具体性差、针对性差、科学合理性差、可操作性差的不加分；</w:t>
            </w:r>
          </w:p>
          <w:p w14:paraId="5959810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评审为差的，专家须书面说明理由，并记录在档。</w:t>
            </w:r>
          </w:p>
          <w:p w14:paraId="2BF8253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未提供质量保障措施及方案的不得分。</w:t>
            </w:r>
          </w:p>
        </w:tc>
      </w:tr>
      <w:tr w14:paraId="27C9B7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0BB53AB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20D3D2D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7961511B">
            <w:pPr>
              <w:spacing w:line="360" w:lineRule="exact"/>
              <w:jc w:val="center"/>
              <w:rPr>
                <w:rFonts w:cs="宋体" w:asciiTheme="minorEastAsia" w:hAnsiTheme="minorEastAsia" w:eastAsiaTheme="minorEastAsia"/>
                <w:szCs w:val="21"/>
              </w:rPr>
            </w:pPr>
            <w:r>
              <w:rPr>
                <w:rFonts w:hint="eastAsia" w:ascii="宋体" w:hAnsi="宋体" w:cs="宋体"/>
                <w:szCs w:val="21"/>
              </w:rPr>
              <w:t>拟安排的项目负责人情况（仅限一人）</w:t>
            </w:r>
          </w:p>
        </w:tc>
        <w:tc>
          <w:tcPr>
            <w:tcW w:w="820" w:type="dxa"/>
            <w:tcBorders>
              <w:top w:val="single" w:color="000000" w:sz="8" w:space="0"/>
              <w:left w:val="single" w:color="000000" w:sz="8" w:space="0"/>
              <w:bottom w:val="single" w:color="000000" w:sz="8" w:space="0"/>
              <w:right w:val="single" w:color="000000" w:sz="8" w:space="0"/>
            </w:tcBorders>
            <w:vAlign w:val="center"/>
          </w:tcPr>
          <w:p w14:paraId="08E11E10">
            <w:pPr>
              <w:spacing w:line="360" w:lineRule="exact"/>
              <w:jc w:val="center"/>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02898BB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76A2808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拟安排的项目负责人（仅限1人）需为投标人自有员工，否则本项不得分。在此基础上：</w:t>
            </w:r>
          </w:p>
          <w:p w14:paraId="49C0F32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1.具有食品检验或质量或质量管理或化学或生物或微生物学或农学或检验检疫相关专业</w:t>
            </w:r>
            <w:r>
              <w:rPr>
                <w:rFonts w:hint="eastAsia" w:asciiTheme="minorEastAsia" w:hAnsiTheme="minorEastAsia" w:eastAsiaTheme="minorEastAsia"/>
                <w:szCs w:val="21"/>
                <w:lang w:val="en-US" w:eastAsia="zh-CN"/>
              </w:rPr>
              <w:t>职称：</w:t>
            </w:r>
            <w:r>
              <w:rPr>
                <w:rFonts w:hint="eastAsia" w:asciiTheme="minorEastAsia" w:hAnsiTheme="minorEastAsia" w:eastAsiaTheme="minorEastAsia"/>
                <w:szCs w:val="21"/>
              </w:rPr>
              <w:t>高级（正高）职称的，得40分；高级（副高）职称的，得20分；中级职称的得10分。本小项最高得40分。（如同时具有多个职称证书的，只按最高职称证书计分）。</w:t>
            </w:r>
          </w:p>
          <w:p w14:paraId="309C241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具有食品或食品检验或质量或质量管理或化学或生物或微生物学或农学或检验检疫相关专业，硕士研究生（或以上）学历的，得40分；本科及以上学历的得20分。本小项最高得40分。（如同时具有多个学历证书的，只按最高学历证书计分）</w:t>
            </w:r>
          </w:p>
          <w:p w14:paraId="01C1895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3.为省级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以上检验检测机构资质认定主任评审员的，得20分；为省级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以上检验检测机构资质认定评审员的，得10分。此项最高得20分。</w:t>
            </w:r>
          </w:p>
          <w:p w14:paraId="0B8870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以上三项累计得分，本项最高得100分。</w:t>
            </w:r>
          </w:p>
          <w:p w14:paraId="37452C9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046DC3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项目负责人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6A17D74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2.第一项评分：职称证书要求提供人力资源和社会保障部门或国家职能部门颁发的职称证书。</w:t>
            </w:r>
          </w:p>
          <w:p w14:paraId="5067A1C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0DD6998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4.第3项评分：需提供省级</w:t>
            </w:r>
            <w:r>
              <w:rPr>
                <w:rFonts w:hint="eastAsia" w:asciiTheme="minorEastAsia" w:hAnsiTheme="minorEastAsia" w:eastAsiaTheme="minorEastAsia"/>
                <w:szCs w:val="21"/>
                <w:lang w:eastAsia="zh-CN"/>
              </w:rPr>
              <w:t>或</w:t>
            </w:r>
            <w:r>
              <w:rPr>
                <w:rFonts w:hint="eastAsia" w:asciiTheme="minorEastAsia" w:hAnsiTheme="minorEastAsia" w:eastAsiaTheme="minorEastAsia"/>
                <w:szCs w:val="21"/>
              </w:rPr>
              <w:t>以上市场监督管理部门颁发的检验检测机构资质认定主任评审员聘书或相关备案或公示文件扫描件，或省级资质认定管理部门官网评审员名单查询截图作为证明材料，否则不得分。</w:t>
            </w:r>
          </w:p>
          <w:p w14:paraId="407C2EB3">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5.以上资料均要求提供扫描件，如涉及网站截图或照片等证明材料,需提供清晰图片。评分中出现无证明资料或专家无法凭所提供资料判断是否得分的情况，一律作不得分处理。</w:t>
            </w:r>
          </w:p>
        </w:tc>
      </w:tr>
      <w:tr w14:paraId="306764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54E3CED3">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245BB79">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5</w:t>
            </w:r>
          </w:p>
        </w:tc>
        <w:tc>
          <w:tcPr>
            <w:tcW w:w="1495" w:type="dxa"/>
            <w:tcBorders>
              <w:top w:val="single" w:color="000000" w:sz="8" w:space="0"/>
              <w:left w:val="single" w:color="000000" w:sz="8" w:space="0"/>
              <w:bottom w:val="single" w:color="000000" w:sz="8" w:space="0"/>
              <w:right w:val="single" w:color="000000" w:sz="8" w:space="0"/>
            </w:tcBorders>
            <w:vAlign w:val="center"/>
          </w:tcPr>
          <w:p w14:paraId="0CF80289">
            <w:pPr>
              <w:spacing w:line="360" w:lineRule="exact"/>
              <w:jc w:val="center"/>
              <w:rPr>
                <w:rFonts w:hint="eastAsia" w:ascii="宋体" w:hAnsi="宋体" w:cs="宋体"/>
                <w:szCs w:val="21"/>
              </w:rPr>
            </w:pPr>
            <w:r>
              <w:rPr>
                <w:rFonts w:hint="eastAsia" w:ascii="宋体" w:hAnsi="宋体" w:cs="宋体"/>
                <w:szCs w:val="21"/>
              </w:rPr>
              <w:t>拟安排的项目主要团队成员（主要技术人员）情况（项目负责人除外）</w:t>
            </w:r>
          </w:p>
        </w:tc>
        <w:tc>
          <w:tcPr>
            <w:tcW w:w="820" w:type="dxa"/>
            <w:tcBorders>
              <w:top w:val="single" w:color="000000" w:sz="8" w:space="0"/>
              <w:left w:val="single" w:color="000000" w:sz="8" w:space="0"/>
              <w:bottom w:val="single" w:color="000000" w:sz="8" w:space="0"/>
              <w:right w:val="single" w:color="000000" w:sz="8" w:space="0"/>
            </w:tcBorders>
            <w:vAlign w:val="center"/>
          </w:tcPr>
          <w:p w14:paraId="6B4D5697">
            <w:pPr>
              <w:spacing w:line="360" w:lineRule="exact"/>
              <w:jc w:val="center"/>
              <w:rPr>
                <w:rFonts w:hint="eastAsia" w:ascii="宋体" w:hAnsi="宋体" w:cs="宋体"/>
                <w:szCs w:val="21"/>
              </w:rPr>
            </w:pPr>
            <w:r>
              <w:rPr>
                <w:rFonts w:hint="eastAsia" w:ascii="宋体" w:hAnsi="宋体" w:cs="宋体"/>
                <w:szCs w:val="21"/>
              </w:rPr>
              <w:t>8</w:t>
            </w:r>
          </w:p>
        </w:tc>
        <w:tc>
          <w:tcPr>
            <w:tcW w:w="5964" w:type="dxa"/>
            <w:tcBorders>
              <w:top w:val="single" w:color="000000" w:sz="8" w:space="0"/>
              <w:left w:val="single" w:color="000000" w:sz="8" w:space="0"/>
              <w:bottom w:val="single" w:color="000000" w:sz="8" w:space="0"/>
              <w:right w:val="single" w:color="000000" w:sz="8" w:space="0"/>
            </w:tcBorders>
            <w:vAlign w:val="top"/>
          </w:tcPr>
          <w:p w14:paraId="0BF73E7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DAF67D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拟安排的项目主要团队成员（主要技术人员）情况（项目负责人除外）需为投标人自有员工，否则本项不得分。在此基础上：</w:t>
            </w:r>
          </w:p>
          <w:p w14:paraId="1C9088F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1.每有1人具有食品检验或质量或化学或生物或微生物学或农学或检验检疫或管理相关专业中级或以上职称的，得10分；本小项最高得40分；</w:t>
            </w:r>
          </w:p>
          <w:p w14:paraId="1102E0D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2.每有1人具有食品或食品检验或质量或质量管理或化学或生物或微生物学或农学或检验检疫相关专业，本科（含）以上学历或学士（含）以上学位，得10分，本小项最高得分60分。</w:t>
            </w:r>
          </w:p>
          <w:p w14:paraId="76CE236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如一人同时满足以上要求（职称、学历）可重复计分，以上两项累计得分，本项最高得100分。</w:t>
            </w:r>
          </w:p>
          <w:p w14:paraId="692B3F7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167204F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项目负团队成员通过投标单位缴纳的载有社保部门或税务部门公章的近三个月（含投标当月）内任意一个月的个人社保证明；如供应商为新成立单位且成立时间不足一个月或人员入职不足一个月的，可提供加盖公章的情况说明或者证明材料，无需提供相关人员社保亦视为符合；如为退休返聘人员则提供劳动合同或返聘协议，无需提供相关人员社保亦视为符合；</w:t>
            </w:r>
          </w:p>
          <w:p w14:paraId="7FDD5FE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2.第1项评分：提供人员职称证书。</w:t>
            </w:r>
          </w:p>
          <w:p w14:paraId="2FFD9BD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2项评分：如涉及考察人员学历或学位及专业，要求提供毕业证书（或学位证书）、学信网查询记录以及教育部发布的《普通高等学校本科专业目录》《研究生教育学科专业目录》中对应专业所在页截图，用以证明其所学专业属于评审内容规定的专业类别，对于学信网无法查询的，还需提供毕业院校或人社部门或教育部门等颁发机构或监管机构出具的证明，海外留学人员学历无法通过学信网站查询的，需提供教育部留学服务中心出具的学历学位认证书及教育部留学服务中心官网查询截图，否则无效。</w:t>
            </w:r>
          </w:p>
          <w:p w14:paraId="2975243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4.材料均要求提供扫描件，如涉及网站截图或照片等证明材料,需提供清晰图片。评分中出现无证明资料或专家无法凭所提供资料判断是否得分的情况，一律作不得分处理。</w:t>
            </w:r>
          </w:p>
        </w:tc>
      </w:tr>
      <w:tr w14:paraId="7CD8AC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126977E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1167DE7">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6</w:t>
            </w:r>
          </w:p>
        </w:tc>
        <w:tc>
          <w:tcPr>
            <w:tcW w:w="1495" w:type="dxa"/>
            <w:tcBorders>
              <w:top w:val="single" w:color="000000" w:sz="8" w:space="0"/>
              <w:left w:val="single" w:color="000000" w:sz="8" w:space="0"/>
              <w:bottom w:val="single" w:color="000000" w:sz="8" w:space="0"/>
              <w:right w:val="single" w:color="000000" w:sz="8" w:space="0"/>
            </w:tcBorders>
            <w:vAlign w:val="center"/>
          </w:tcPr>
          <w:p w14:paraId="2A625C69">
            <w:pPr>
              <w:widowControl/>
              <w:spacing w:line="400" w:lineRule="exact"/>
              <w:jc w:val="center"/>
              <w:textAlignment w:val="baseline"/>
              <w:rPr>
                <w:rFonts w:hint="eastAsia" w:ascii="宋体" w:hAnsi="宋体" w:cs="宋体"/>
                <w:szCs w:val="21"/>
              </w:rPr>
            </w:pPr>
            <w:r>
              <w:rPr>
                <w:rFonts w:hint="eastAsia" w:ascii="宋体" w:hAnsi="宋体" w:cs="宋体"/>
                <w:szCs w:val="21"/>
                <w:lang w:bidi="ar"/>
              </w:rPr>
              <w:t>拟投入的服务资源（工具、机器等）情况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06ECB8F9">
            <w:pPr>
              <w:widowControl/>
              <w:spacing w:line="560" w:lineRule="exact"/>
              <w:jc w:val="center"/>
              <w:textAlignment w:val="baseline"/>
              <w:rPr>
                <w:rFonts w:hint="eastAsia" w:ascii="宋体" w:hAnsi="宋体" w:cs="宋体"/>
                <w:szCs w:val="21"/>
                <w:lang w:bidi="ar"/>
              </w:rPr>
            </w:pPr>
            <w:r>
              <w:rPr>
                <w:rFonts w:hint="eastAsia" w:ascii="宋体" w:hAnsi="宋体" w:cs="宋体"/>
                <w:szCs w:val="21"/>
                <w:lang w:bidi="ar"/>
              </w:rPr>
              <w:t>10</w:t>
            </w:r>
          </w:p>
        </w:tc>
        <w:tc>
          <w:tcPr>
            <w:tcW w:w="5964" w:type="dxa"/>
            <w:tcBorders>
              <w:top w:val="single" w:color="000000" w:sz="8" w:space="0"/>
              <w:left w:val="single" w:color="000000" w:sz="8" w:space="0"/>
              <w:bottom w:val="single" w:color="000000" w:sz="8" w:space="0"/>
              <w:right w:val="single" w:color="000000" w:sz="8" w:space="0"/>
            </w:tcBorders>
            <w:vAlign w:val="top"/>
          </w:tcPr>
          <w:p w14:paraId="2EC005A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B42653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本项考察内容为本项目投入使用的设备情况：</w:t>
            </w:r>
          </w:p>
          <w:p w14:paraId="490A50C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1.投入使用的设备情况</w:t>
            </w:r>
          </w:p>
          <w:p w14:paraId="09C823C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1）液相色谱质谱联用仪（LC-MS）【含液相色谱串联质谱仪（LC-MS-MS）】3台套；</w:t>
            </w:r>
          </w:p>
          <w:p w14:paraId="656BA5B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2）电感耦合等离子体质谱仪（ICP-MS）1台套；</w:t>
            </w:r>
          </w:p>
          <w:p w14:paraId="09A2590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3）气相色谱质谱联用仪（GC-MS）【含气相色谱串联质谱仪（GC-MS-MS）】4台套；</w:t>
            </w:r>
          </w:p>
          <w:p w14:paraId="0E19271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4）液相色谱仪（LC）2台套；（不与液质联用仪重复计算） </w:t>
            </w:r>
          </w:p>
          <w:p w14:paraId="0C85C15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5）气相色谱仪（GC）2台套；（不与气质联用仪重复计算）</w:t>
            </w:r>
          </w:p>
          <w:p w14:paraId="1FD076D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6）全自动QuEChERS前处理工作站1台套；</w:t>
            </w:r>
          </w:p>
          <w:p w14:paraId="4555DEF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7）全自动固相萃取仪3台套；</w:t>
            </w:r>
          </w:p>
          <w:p w14:paraId="41B18A4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8）超级微波消解仪1台套；</w:t>
            </w:r>
          </w:p>
          <w:p w14:paraId="2EA96AC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9）全自动平行浓缩仪3台套；</w:t>
            </w:r>
          </w:p>
          <w:p w14:paraId="2928AD8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以上九项都满足得100分，满足以上任意八项得80分，满足以上任意七项得60分，满足以上任意六项得40分，满足以上任意五项得20分，其余情况不得分。</w:t>
            </w:r>
          </w:p>
          <w:p w14:paraId="1A2B0B8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6248F0C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投标人以上设备如为供应商自有设备，须提供相应仪器设备购置发票及有效的计量检定或校准证书扫描件，以上设备如为租赁的提供设备租赁合同（租赁期限须覆盖整个项目服务期）、租金发票及有效计量检定或校准证书扫描件，未提供或提供不全的不得分。</w:t>
            </w:r>
          </w:p>
          <w:p w14:paraId="7758608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2.提供以上证明文件扫描件，如涉及网站截图或照片等证明材料,需提供清晰图片。未按要求提供有效证明材料或提供不清晰导致评委无法识别的不计得分。</w:t>
            </w:r>
          </w:p>
        </w:tc>
      </w:tr>
      <w:tr w14:paraId="6CB24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6D5F5C3C">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47AADE2">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7</w:t>
            </w:r>
          </w:p>
        </w:tc>
        <w:tc>
          <w:tcPr>
            <w:tcW w:w="1495" w:type="dxa"/>
            <w:tcBorders>
              <w:top w:val="single" w:color="000000" w:sz="8" w:space="0"/>
              <w:left w:val="single" w:color="000000" w:sz="8" w:space="0"/>
              <w:bottom w:val="single" w:color="000000" w:sz="8" w:space="0"/>
              <w:right w:val="single" w:color="000000" w:sz="8" w:space="0"/>
            </w:tcBorders>
            <w:vAlign w:val="center"/>
          </w:tcPr>
          <w:p w14:paraId="601F0149">
            <w:pPr>
              <w:widowControl/>
              <w:spacing w:line="560" w:lineRule="exact"/>
              <w:jc w:val="center"/>
              <w:textAlignment w:val="baseline"/>
              <w:rPr>
                <w:rFonts w:hint="eastAsia" w:ascii="宋体" w:hAnsi="宋体" w:cs="宋体"/>
                <w:szCs w:val="21"/>
                <w:lang w:bidi="ar"/>
              </w:rPr>
            </w:pPr>
            <w:r>
              <w:rPr>
                <w:rFonts w:hint="eastAsia" w:ascii="宋体" w:hAnsi="宋体" w:cs="宋体"/>
                <w:szCs w:val="21"/>
              </w:rPr>
              <w:t>投标人检验领域情况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5185DDF">
            <w:pPr>
              <w:widowControl/>
              <w:spacing w:line="560" w:lineRule="exact"/>
              <w:jc w:val="center"/>
              <w:textAlignment w:val="baseline"/>
              <w:rPr>
                <w:rFonts w:hint="eastAsia" w:ascii="宋体" w:hAnsi="宋体" w:cs="宋体"/>
                <w:szCs w:val="21"/>
                <w:lang w:bidi="ar"/>
              </w:rPr>
            </w:pPr>
            <w:r>
              <w:rPr>
                <w:rFonts w:hint="eastAsia" w:ascii="宋体" w:hAnsi="宋体" w:cs="宋体"/>
                <w:szCs w:val="21"/>
              </w:rPr>
              <w:t>12</w:t>
            </w:r>
          </w:p>
        </w:tc>
        <w:tc>
          <w:tcPr>
            <w:tcW w:w="5964" w:type="dxa"/>
            <w:tcBorders>
              <w:top w:val="single" w:color="000000" w:sz="8" w:space="0"/>
              <w:left w:val="single" w:color="000000" w:sz="8" w:space="0"/>
              <w:bottom w:val="single" w:color="000000" w:sz="8" w:space="0"/>
              <w:right w:val="single" w:color="000000" w:sz="8" w:space="0"/>
            </w:tcBorders>
            <w:vAlign w:val="top"/>
          </w:tcPr>
          <w:p w14:paraId="7F1B99E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1EAE607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1.投标人自2024年1月1日至本项目投标截止之日，参加省级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以上市场监督管理部门</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农业农村部门等食品或农产品行政主管部门组织的食品或农产品质量安全检测能力验证，考核结果为“合格”“满意”或“A级”（如印证能力验证结果的佐证材料中涉及分类的，以A级为准；不涉及分类的，以合格或满意为准）或其他同等考核结果的的：每提供1项不同检测类别的检测能力验证项目（如种植业产品中农药残留、种植业产品中重金属、畜禽产品中药物残留及违禁添加物、水产品中药物残留及违禁添加物、重金属或有机污染物、添加剂、非法添加物、微生物等，以当年度各地开展的能力验证项目为准），得5分；本项最高得40分。同一年度的同一类别项目不重复计分，不同年度的同一类别项目可以重复计分。</w:t>
            </w:r>
          </w:p>
          <w:p w14:paraId="5726BBE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自2024年1月1日至本项目开标之日，参加国家农业主管部门或其直属部门组织的农产品质量安全检验检测技术社会化能力验证活动，考核结果为“合格”或“满意”的：每提供1项不同检测类别的社会化验证项目（如种植业产品农药残留、畜禽产品兽药残留、水产品药物残留、重金属、营养品质等），得10分；本项累计最高得60分。同一年度的同一类别项目不重复计分，不同年度的同一类别项目可以重复计分。</w:t>
            </w:r>
          </w:p>
          <w:p w14:paraId="69EEAFB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8B13B1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1.要求提供省级及</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以上市场监督管理部门、</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农业农村部门等食品或农产品行政主管部门或其直属部门出具的食品或农产品质量安全检测技术能力验证结果截图或通知作为得分依据。</w:t>
            </w:r>
          </w:p>
          <w:p w14:paraId="2C569D87">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2.以上资料均要求提供扫描件（或官方网站截图）</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如涉及网站截图或照片等证明材料,需提供清晰图片。。评分中出现无证明资料或专家无法凭所提供资料判断是否得分的情况，一律作不得分处理。</w:t>
            </w:r>
          </w:p>
          <w:p w14:paraId="77BE20E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eastAsia="zh-CN"/>
              </w:rPr>
              <w:t>3.如投标人为新成立企业且成立时间不足12个月，可提供加盖公章的情况说明或者证明材料亦可视为符合。</w:t>
            </w:r>
          </w:p>
        </w:tc>
      </w:tr>
      <w:tr w14:paraId="73CC68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BB8952A">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998E3C8">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8</w:t>
            </w:r>
          </w:p>
        </w:tc>
        <w:tc>
          <w:tcPr>
            <w:tcW w:w="1495" w:type="dxa"/>
            <w:tcBorders>
              <w:top w:val="single" w:color="000000" w:sz="8" w:space="0"/>
              <w:left w:val="single" w:color="000000" w:sz="8" w:space="0"/>
              <w:bottom w:val="single" w:color="000000" w:sz="8" w:space="0"/>
              <w:right w:val="single" w:color="000000" w:sz="8" w:space="0"/>
            </w:tcBorders>
            <w:vAlign w:val="center"/>
          </w:tcPr>
          <w:p w14:paraId="4694D290">
            <w:pPr>
              <w:spacing w:line="360" w:lineRule="exact"/>
              <w:jc w:val="center"/>
              <w:rPr>
                <w:rFonts w:hint="eastAsia" w:ascii="宋体" w:hAnsi="宋体" w:cs="宋体"/>
                <w:szCs w:val="21"/>
              </w:rPr>
            </w:pPr>
            <w:r>
              <w:rPr>
                <w:rFonts w:hint="eastAsia" w:ascii="宋体" w:hAnsi="宋体" w:cs="宋体"/>
                <w:szCs w:val="21"/>
              </w:rPr>
              <w:t>项目完成（服务期满）后的服务承诺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4154E77C">
            <w:pPr>
              <w:spacing w:line="360" w:lineRule="exact"/>
              <w:jc w:val="center"/>
              <w:rPr>
                <w:rFonts w:hint="eastAsia" w:ascii="宋体" w:hAnsi="宋体" w:cs="宋体"/>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1D161CE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0458C4A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投标人承诺以下全部两项的得100分，否则不得分。</w:t>
            </w:r>
          </w:p>
          <w:p w14:paraId="5FDACD0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1.服务期满后主动离岗；</w:t>
            </w:r>
          </w:p>
          <w:p w14:paraId="06A627BD">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2.与后续服务公司进行交接。</w:t>
            </w:r>
          </w:p>
          <w:p w14:paraId="77A5893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07218BF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要求提供</w:t>
            </w:r>
            <w:r>
              <w:rPr>
                <w:rFonts w:hint="eastAsia" w:asciiTheme="minorEastAsia" w:hAnsiTheme="minorEastAsia" w:eastAsiaTheme="minorEastAsia"/>
                <w:szCs w:val="21"/>
                <w:lang w:eastAsia="zh-CN"/>
              </w:rPr>
              <w:t>《</w:t>
            </w:r>
            <w:r>
              <w:rPr>
                <w:rFonts w:hint="eastAsia" w:ascii="宋体" w:hAnsi="宋体" w:cs="宋体"/>
                <w:szCs w:val="21"/>
              </w:rPr>
              <w:t>项目完成（服务期满）后的服务承诺</w:t>
            </w:r>
            <w:r>
              <w:rPr>
                <w:rFonts w:hint="eastAsia" w:asciiTheme="minorEastAsia" w:hAnsiTheme="minorEastAsia" w:eastAsiaTheme="minorEastAsia"/>
                <w:szCs w:val="21"/>
              </w:rPr>
              <w:t>函</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（格式自定）作为得分依据，未提供承诺函或承诺内容不满足要求不得分。</w:t>
            </w:r>
          </w:p>
        </w:tc>
      </w:tr>
      <w:tr w14:paraId="4B5D9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44C4CC7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BCF328C">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9</w:t>
            </w:r>
          </w:p>
        </w:tc>
        <w:tc>
          <w:tcPr>
            <w:tcW w:w="1495" w:type="dxa"/>
            <w:tcBorders>
              <w:top w:val="single" w:color="000000" w:sz="8" w:space="0"/>
              <w:left w:val="single" w:color="000000" w:sz="8" w:space="0"/>
              <w:bottom w:val="single" w:color="000000" w:sz="8" w:space="0"/>
              <w:right w:val="single" w:color="000000" w:sz="8" w:space="0"/>
            </w:tcBorders>
            <w:vAlign w:val="center"/>
          </w:tcPr>
          <w:p w14:paraId="5A8531DC">
            <w:pPr>
              <w:spacing w:line="360" w:lineRule="exact"/>
              <w:jc w:val="center"/>
              <w:rPr>
                <w:rFonts w:hint="eastAsia" w:ascii="宋体" w:hAnsi="宋体" w:cs="宋体"/>
                <w:bCs/>
                <w:szCs w:val="21"/>
              </w:rPr>
            </w:pPr>
            <w:r>
              <w:rPr>
                <w:rFonts w:hint="eastAsia" w:ascii="宋体" w:hAnsi="宋体" w:cs="宋体"/>
                <w:szCs w:val="21"/>
              </w:rPr>
              <w:t>违约承诺</w:t>
            </w:r>
          </w:p>
        </w:tc>
        <w:tc>
          <w:tcPr>
            <w:tcW w:w="820" w:type="dxa"/>
            <w:tcBorders>
              <w:top w:val="single" w:color="000000" w:sz="8" w:space="0"/>
              <w:left w:val="single" w:color="000000" w:sz="8" w:space="0"/>
              <w:bottom w:val="single" w:color="000000" w:sz="8" w:space="0"/>
              <w:right w:val="single" w:color="000000" w:sz="8" w:space="0"/>
            </w:tcBorders>
            <w:vAlign w:val="center"/>
          </w:tcPr>
          <w:p w14:paraId="345EC820">
            <w:pPr>
              <w:spacing w:line="360" w:lineRule="exact"/>
              <w:jc w:val="center"/>
              <w:rPr>
                <w:rFonts w:hint="eastAsia" w:ascii="宋体" w:hAnsi="宋体" w:cs="宋体"/>
                <w:bCs/>
                <w:szCs w:val="21"/>
              </w:rPr>
            </w:pPr>
            <w:r>
              <w:rPr>
                <w:rFonts w:hint="eastAsia" w:ascii="宋体" w:hAnsi="宋体" w:cs="宋体"/>
                <w:szCs w:val="21"/>
              </w:rPr>
              <w:t>1</w:t>
            </w:r>
          </w:p>
        </w:tc>
        <w:tc>
          <w:tcPr>
            <w:tcW w:w="5964" w:type="dxa"/>
            <w:tcBorders>
              <w:top w:val="single" w:color="000000" w:sz="8" w:space="0"/>
              <w:left w:val="single" w:color="000000" w:sz="8" w:space="0"/>
              <w:bottom w:val="single" w:color="000000" w:sz="8" w:space="0"/>
              <w:right w:val="single" w:color="000000" w:sz="8" w:space="0"/>
            </w:tcBorders>
            <w:vAlign w:val="top"/>
          </w:tcPr>
          <w:p w14:paraId="2C7261F9">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0E68D254">
            <w:pPr>
              <w:spacing w:line="360" w:lineRule="exact"/>
              <w:rPr>
                <w:rFonts w:hint="eastAsia" w:ascii="宋体" w:hAnsi="宋体" w:cs="宋体"/>
                <w:szCs w:val="21"/>
              </w:rPr>
            </w:pPr>
            <w:r>
              <w:rPr>
                <w:rFonts w:hint="eastAsia" w:ascii="宋体" w:hAnsi="宋体" w:cs="宋体"/>
                <w:szCs w:val="21"/>
              </w:rPr>
              <w:t>投标人承诺以下全部三项的得100分，否则不得分。</w:t>
            </w:r>
          </w:p>
          <w:p w14:paraId="36EDD0CF">
            <w:pPr>
              <w:spacing w:line="360" w:lineRule="exact"/>
              <w:rPr>
                <w:rFonts w:hint="eastAsia" w:ascii="宋体" w:hAnsi="宋体" w:cs="宋体"/>
                <w:szCs w:val="21"/>
              </w:rPr>
            </w:pPr>
            <w:r>
              <w:rPr>
                <w:rFonts w:hint="eastAsia" w:ascii="宋体" w:hAnsi="宋体" w:cs="宋体"/>
                <w:szCs w:val="21"/>
              </w:rPr>
              <w:t>1.人员严格按照招标文件及投标承诺配置；</w:t>
            </w:r>
          </w:p>
          <w:p w14:paraId="4F9A58E0">
            <w:pPr>
              <w:spacing w:line="360" w:lineRule="exact"/>
              <w:rPr>
                <w:rFonts w:hint="eastAsia" w:ascii="宋体" w:hAnsi="宋体" w:cs="宋体"/>
                <w:szCs w:val="21"/>
              </w:rPr>
            </w:pPr>
            <w:r>
              <w:rPr>
                <w:rFonts w:hint="eastAsia" w:ascii="宋体" w:hAnsi="宋体" w:cs="宋体"/>
                <w:szCs w:val="21"/>
              </w:rPr>
              <w:t>2.服务质量达到招标文件要求；</w:t>
            </w:r>
          </w:p>
          <w:p w14:paraId="5110AE7F">
            <w:pPr>
              <w:spacing w:line="360" w:lineRule="exact"/>
              <w:rPr>
                <w:rFonts w:hint="eastAsia" w:ascii="宋体" w:hAnsi="宋体" w:cs="宋体"/>
                <w:szCs w:val="21"/>
              </w:rPr>
            </w:pPr>
            <w:r>
              <w:rPr>
                <w:rFonts w:hint="eastAsia" w:ascii="宋体" w:hAnsi="宋体" w:cs="宋体"/>
                <w:szCs w:val="21"/>
              </w:rPr>
              <w:t>3.对未能达到的管理要求承担管理责任。</w:t>
            </w:r>
          </w:p>
          <w:p w14:paraId="394B4C15">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二</w:t>
            </w:r>
            <w:r>
              <w:rPr>
                <w:rFonts w:hint="eastAsia" w:ascii="宋体" w:hAnsi="宋体" w:cs="宋体"/>
                <w:szCs w:val="21"/>
                <w:lang w:eastAsia="zh-CN"/>
              </w:rPr>
              <w:t>）</w:t>
            </w:r>
            <w:r>
              <w:rPr>
                <w:rFonts w:hint="eastAsia" w:ascii="宋体" w:hAnsi="宋体" w:cs="宋体"/>
                <w:szCs w:val="21"/>
              </w:rPr>
              <w:t>评审依据：</w:t>
            </w:r>
          </w:p>
          <w:p w14:paraId="277B35F5">
            <w:pPr>
              <w:spacing w:line="360" w:lineRule="exact"/>
              <w:rPr>
                <w:rFonts w:hint="eastAsia" w:asciiTheme="minorEastAsia" w:hAnsiTheme="minorEastAsia" w:eastAsiaTheme="minorEastAsia"/>
                <w:szCs w:val="21"/>
                <w:lang w:val="en-US" w:eastAsia="zh-CN"/>
              </w:rPr>
            </w:pPr>
            <w:r>
              <w:rPr>
                <w:rFonts w:hint="eastAsia" w:ascii="宋体" w:hAnsi="宋体" w:cs="宋体"/>
                <w:szCs w:val="21"/>
              </w:rPr>
              <w:t>要求提供</w:t>
            </w:r>
            <w:r>
              <w:rPr>
                <w:rFonts w:hint="eastAsia" w:ascii="宋体" w:hAnsi="宋体" w:cs="宋体"/>
                <w:szCs w:val="21"/>
                <w:lang w:eastAsia="zh-CN"/>
              </w:rPr>
              <w:t>《</w:t>
            </w:r>
            <w:r>
              <w:rPr>
                <w:rFonts w:hint="eastAsia" w:ascii="宋体" w:hAnsi="宋体" w:cs="宋体"/>
                <w:szCs w:val="21"/>
              </w:rPr>
              <w:t>违约承诺函</w:t>
            </w:r>
            <w:r>
              <w:rPr>
                <w:rFonts w:hint="eastAsia" w:ascii="宋体" w:hAnsi="宋体" w:cs="宋体"/>
                <w:szCs w:val="21"/>
                <w:lang w:eastAsia="zh-CN"/>
              </w:rPr>
              <w:t>》</w:t>
            </w:r>
            <w:r>
              <w:rPr>
                <w:rFonts w:hint="eastAsia" w:ascii="宋体" w:hAnsi="宋体" w:cs="宋体"/>
                <w:szCs w:val="21"/>
              </w:rPr>
              <w:t>（格式自定）作为得分依据，未提供承诺函或承诺内容不满足要求不得分。</w:t>
            </w:r>
          </w:p>
        </w:tc>
      </w:tr>
      <w:tr w14:paraId="14D22E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single" w:color="000000" w:sz="8" w:space="0"/>
              <w:left w:val="single" w:color="000000" w:sz="8" w:space="0"/>
              <w:bottom w:val="nil"/>
              <w:right w:val="single" w:color="000000" w:sz="8" w:space="0"/>
            </w:tcBorders>
          </w:tcPr>
          <w:p w14:paraId="46A8983E">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3</w:t>
            </w:r>
          </w:p>
        </w:tc>
        <w:tc>
          <w:tcPr>
            <w:tcW w:w="2995" w:type="dxa"/>
            <w:gridSpan w:val="3"/>
            <w:tcBorders>
              <w:top w:val="single" w:color="000000" w:sz="8" w:space="0"/>
              <w:left w:val="single" w:color="000000" w:sz="8" w:space="0"/>
              <w:bottom w:val="single" w:color="000000" w:sz="8" w:space="0"/>
              <w:right w:val="single" w:color="000000" w:sz="8" w:space="0"/>
            </w:tcBorders>
          </w:tcPr>
          <w:p w14:paraId="0E48E696">
            <w:pPr>
              <w:spacing w:line="360" w:lineRule="exact"/>
              <w:jc w:val="center"/>
              <w:rPr>
                <w:rFonts w:cs="宋体" w:asciiTheme="minorEastAsia" w:hAnsiTheme="minorEastAsia" w:eastAsiaTheme="minorEastAsia"/>
                <w:b/>
                <w:bCs/>
                <w:color w:val="0000FF"/>
                <w:sz w:val="24"/>
                <w:szCs w:val="24"/>
              </w:rPr>
            </w:pPr>
            <w:r>
              <w:rPr>
                <w:rFonts w:asciiTheme="minorEastAsia" w:hAnsiTheme="minorEastAsia" w:eastAsiaTheme="minorEastAsia"/>
                <w:b/>
                <w:bCs/>
                <w:color w:val="0000FF"/>
              </w:rPr>
              <w:t>商务</w:t>
            </w:r>
          </w:p>
        </w:tc>
        <w:tc>
          <w:tcPr>
            <w:tcW w:w="5964" w:type="dxa"/>
            <w:tcBorders>
              <w:top w:val="single" w:color="000000" w:sz="8" w:space="0"/>
              <w:left w:val="single" w:color="000000" w:sz="8" w:space="0"/>
              <w:bottom w:val="single" w:color="000000" w:sz="8" w:space="0"/>
              <w:right w:val="single" w:color="000000" w:sz="8" w:space="0"/>
            </w:tcBorders>
          </w:tcPr>
          <w:p w14:paraId="346A444D">
            <w:pPr>
              <w:spacing w:line="360" w:lineRule="exact"/>
              <w:jc w:val="center"/>
              <w:rPr>
                <w:rFonts w:hint="default" w:cs="宋体" w:asciiTheme="minorEastAsia" w:hAnsiTheme="minorEastAsia" w:eastAsiaTheme="minorEastAsia"/>
                <w:b/>
                <w:bCs/>
                <w:color w:val="0000FF"/>
                <w:sz w:val="24"/>
                <w:szCs w:val="24"/>
                <w:lang w:val="en-US" w:eastAsia="zh-CN"/>
              </w:rPr>
            </w:pPr>
            <w:r>
              <w:rPr>
                <w:rFonts w:hint="eastAsia" w:asciiTheme="minorEastAsia" w:hAnsiTheme="minorEastAsia" w:eastAsiaTheme="minorEastAsia"/>
                <w:b/>
                <w:bCs/>
                <w:color w:val="0000FF"/>
                <w:lang w:val="en-US" w:eastAsia="zh-CN"/>
              </w:rPr>
              <w:t>20</w:t>
            </w:r>
          </w:p>
        </w:tc>
      </w:tr>
      <w:tr w14:paraId="178E6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tcBorders>
              <w:top w:val="nil"/>
              <w:left w:val="single" w:color="000000" w:sz="8" w:space="0"/>
              <w:bottom w:val="nil"/>
              <w:right w:val="single" w:color="000000" w:sz="8" w:space="0"/>
            </w:tcBorders>
            <w:vAlign w:val="center"/>
          </w:tcPr>
          <w:p w14:paraId="7E990306">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5A3D09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C31A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2A539C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169AA324">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378CB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685" w:hRule="atLeast"/>
          <w:jc w:val="center"/>
        </w:trPr>
        <w:tc>
          <w:tcPr>
            <w:tcW w:w="680" w:type="dxa"/>
            <w:tcBorders>
              <w:top w:val="nil"/>
              <w:left w:val="single" w:color="000000" w:sz="8" w:space="0"/>
              <w:bottom w:val="nil"/>
              <w:right w:val="single" w:color="000000" w:sz="8" w:space="0"/>
            </w:tcBorders>
            <w:vAlign w:val="center"/>
          </w:tcPr>
          <w:p w14:paraId="07958686">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D4AC3A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6C4DD">
            <w:pPr>
              <w:spacing w:line="360" w:lineRule="exact"/>
              <w:jc w:val="center"/>
              <w:rPr>
                <w:rFonts w:cs="宋体" w:asciiTheme="minorEastAsia" w:hAnsiTheme="minorEastAsia" w:eastAsiaTheme="minorEastAsia"/>
                <w:szCs w:val="21"/>
              </w:rPr>
            </w:pPr>
            <w:r>
              <w:rPr>
                <w:rFonts w:hint="eastAsia" w:ascii="宋体" w:hAnsi="宋体" w:cs="宋体"/>
                <w:szCs w:val="21"/>
              </w:rPr>
              <w:t>供应商认证情况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444EDC54">
            <w:pPr>
              <w:widowControl/>
              <w:spacing w:line="560" w:lineRule="exact"/>
              <w:jc w:val="center"/>
              <w:textAlignment w:val="baseline"/>
              <w:rPr>
                <w:rFonts w:cs="宋体" w:asciiTheme="minorEastAsia" w:hAnsiTheme="minorEastAsia" w:eastAsiaTheme="minorEastAsia"/>
                <w:szCs w:val="21"/>
              </w:rPr>
            </w:pPr>
            <w:r>
              <w:rPr>
                <w:rFonts w:hint="eastAsia" w:ascii="宋体" w:hAnsi="宋体" w:cs="宋体"/>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766745A3">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4258411E">
            <w:pPr>
              <w:spacing w:line="360" w:lineRule="exact"/>
              <w:rPr>
                <w:rFonts w:hint="eastAsia" w:ascii="宋体" w:hAnsi="宋体" w:cs="宋体"/>
                <w:szCs w:val="21"/>
              </w:rPr>
            </w:pPr>
            <w:r>
              <w:rPr>
                <w:rFonts w:hint="eastAsia" w:ascii="宋体" w:hAnsi="宋体" w:cs="宋体"/>
                <w:szCs w:val="21"/>
              </w:rPr>
              <w:t>具有在有效期内的质量管理体系证书或环境管理体系认证证书或职业安全健康管理体系，取得1项得</w:t>
            </w:r>
            <w:r>
              <w:rPr>
                <w:rFonts w:hint="eastAsia" w:ascii="宋体" w:hAnsi="宋体" w:cs="宋体"/>
                <w:szCs w:val="21"/>
                <w:lang w:val="en-US" w:eastAsia="zh-CN"/>
              </w:rPr>
              <w:t>33</w:t>
            </w:r>
            <w:r>
              <w:rPr>
                <w:rFonts w:hint="eastAsia" w:ascii="宋体" w:hAnsi="宋体" w:cs="宋体"/>
                <w:szCs w:val="21"/>
              </w:rPr>
              <w:t>分，取得2项得6</w:t>
            </w:r>
            <w:r>
              <w:rPr>
                <w:rFonts w:hint="eastAsia" w:ascii="宋体" w:hAnsi="宋体" w:cs="宋体"/>
                <w:szCs w:val="21"/>
                <w:lang w:val="en-US" w:eastAsia="zh-CN"/>
              </w:rPr>
              <w:t>6</w:t>
            </w:r>
            <w:r>
              <w:rPr>
                <w:rFonts w:hint="eastAsia" w:ascii="宋体" w:hAnsi="宋体" w:cs="宋体"/>
                <w:szCs w:val="21"/>
              </w:rPr>
              <w:t>分，取得3项100分。</w:t>
            </w:r>
          </w:p>
          <w:p w14:paraId="13897B34">
            <w:pPr>
              <w:spacing w:line="360" w:lineRule="exact"/>
              <w:rPr>
                <w:rFonts w:hint="eastAsia" w:ascii="宋体" w:hAnsi="宋体" w:cs="宋体"/>
                <w:szCs w:val="21"/>
              </w:rPr>
            </w:pPr>
            <w:r>
              <w:rPr>
                <w:rFonts w:hint="eastAsia" w:ascii="宋体" w:hAnsi="宋体" w:cs="宋体"/>
                <w:szCs w:val="21"/>
              </w:rPr>
              <w:t>二、评审依据：</w:t>
            </w:r>
          </w:p>
          <w:p w14:paraId="2BB0AD79">
            <w:pPr>
              <w:spacing w:line="360" w:lineRule="exact"/>
              <w:rPr>
                <w:rFonts w:hint="eastAsia" w:ascii="宋体" w:hAnsi="宋体" w:cs="宋体"/>
                <w:szCs w:val="21"/>
              </w:rPr>
            </w:pPr>
            <w:r>
              <w:rPr>
                <w:rFonts w:hint="eastAsia" w:ascii="宋体" w:hAnsi="宋体" w:cs="宋体"/>
                <w:szCs w:val="21"/>
              </w:rPr>
              <w:t>1.提供有效认证证书（如认证证书注明年审要求的，必须按规定年审且证书在有效期内的方为有效；如未注明年审要求的，证书必须在有效期内的方为有效）；</w:t>
            </w:r>
          </w:p>
          <w:p w14:paraId="2268672C">
            <w:pPr>
              <w:spacing w:line="360" w:lineRule="exact"/>
              <w:rPr>
                <w:rFonts w:hint="eastAsia" w:ascii="宋体" w:hAnsi="宋体" w:cs="宋体"/>
                <w:szCs w:val="21"/>
              </w:rPr>
            </w:pPr>
            <w:r>
              <w:rPr>
                <w:rFonts w:hint="eastAsia" w:ascii="宋体" w:hAnsi="宋体" w:cs="宋体"/>
                <w:szCs w:val="21"/>
              </w:rPr>
              <w:t>2.提供证书官网或权威机构【如：全国认证认可信息公共服务平台（</w:t>
            </w:r>
            <w:r>
              <w:rPr>
                <w:rFonts w:hint="eastAsia" w:ascii="宋体" w:hAnsi="宋体" w:cs="宋体"/>
                <w:szCs w:val="21"/>
              </w:rPr>
              <w:fldChar w:fldCharType="begin"/>
            </w:r>
            <w:r>
              <w:rPr>
                <w:rFonts w:hint="eastAsia" w:ascii="宋体" w:hAnsi="宋体" w:cs="宋体"/>
                <w:szCs w:val="21"/>
              </w:rPr>
              <w:instrText xml:space="preserve">HYPERLINK "https://cx.cnca.cn"</w:instrText>
            </w:r>
            <w:r>
              <w:rPr>
                <w:rFonts w:hint="eastAsia" w:ascii="宋体" w:hAnsi="宋体" w:cs="宋体"/>
                <w:szCs w:val="21"/>
              </w:rPr>
              <w:fldChar w:fldCharType="separate"/>
            </w:r>
            <w:r>
              <w:rPr>
                <w:rFonts w:hint="eastAsia" w:ascii="宋体" w:hAnsi="宋体" w:cs="宋体"/>
                <w:szCs w:val="21"/>
              </w:rPr>
              <w:t>cx.cnca.cn</w:t>
            </w:r>
            <w:r>
              <w:rPr>
                <w:rFonts w:hint="eastAsia" w:ascii="宋体" w:hAnsi="宋体" w:cs="宋体"/>
                <w:szCs w:val="21"/>
              </w:rPr>
              <w:fldChar w:fldCharType="end"/>
            </w:r>
            <w:r>
              <w:rPr>
                <w:rFonts w:hint="eastAsia" w:ascii="宋体" w:hAnsi="宋体" w:cs="宋体"/>
                <w:szCs w:val="21"/>
              </w:rPr>
              <w:t>）】认证信息查询截图（截图需显示证书状态为有效）。相关证书在公开渠道无法查询的，投标人需提供颁发部门或者监管机构的证明材料，证明证书真实有效且为合法机构颁发。</w:t>
            </w:r>
          </w:p>
          <w:p w14:paraId="5581630D">
            <w:pPr>
              <w:spacing w:line="360" w:lineRule="exact"/>
              <w:rPr>
                <w:rFonts w:hint="eastAsia" w:ascii="宋体" w:hAnsi="宋体" w:cs="宋体"/>
                <w:szCs w:val="21"/>
              </w:rPr>
            </w:pPr>
            <w:r>
              <w:rPr>
                <w:rFonts w:hint="eastAsia" w:ascii="宋体" w:hAnsi="宋体" w:cs="宋体"/>
                <w:szCs w:val="21"/>
              </w:rPr>
              <w:t>3.证书由行业协会颁发的，需提供该行业协会在“中国社会组织政务服务平台”（网址：</w:t>
            </w:r>
            <w:r>
              <w:rPr>
                <w:rFonts w:hint="eastAsia" w:ascii="宋体" w:hAnsi="宋体" w:cs="宋体"/>
                <w:szCs w:val="21"/>
              </w:rPr>
              <w:fldChar w:fldCharType="begin"/>
            </w:r>
            <w:r>
              <w:rPr>
                <w:rFonts w:hint="eastAsia" w:ascii="宋体" w:hAnsi="宋体" w:cs="宋体"/>
                <w:szCs w:val="21"/>
              </w:rPr>
              <w:instrText xml:space="preserve">HYPERLINK "https://chinanpo.mca.gov.cn/"</w:instrText>
            </w:r>
            <w:r>
              <w:rPr>
                <w:rFonts w:hint="eastAsia" w:ascii="宋体" w:hAnsi="宋体" w:cs="宋体"/>
                <w:szCs w:val="21"/>
              </w:rPr>
              <w:fldChar w:fldCharType="separate"/>
            </w:r>
            <w:r>
              <w:rPr>
                <w:rFonts w:hint="eastAsia" w:ascii="宋体" w:hAnsi="宋体" w:cs="宋体"/>
                <w:szCs w:val="21"/>
              </w:rPr>
              <w:t>https://chinanpo.mca.gov.cn/</w:t>
            </w:r>
            <w:r>
              <w:rPr>
                <w:rFonts w:hint="eastAsia" w:ascii="宋体" w:hAnsi="宋体" w:cs="宋体"/>
                <w:szCs w:val="21"/>
              </w:rPr>
              <w:fldChar w:fldCharType="end"/>
            </w:r>
            <w:r>
              <w:rPr>
                <w:rFonts w:hint="eastAsia" w:ascii="宋体" w:hAnsi="宋体" w:cs="宋体"/>
                <w:szCs w:val="21"/>
              </w:rPr>
              <w:t>）查询的已合法登记且状态正常截图，否则不予认可，视为无效证书。</w:t>
            </w:r>
          </w:p>
          <w:p w14:paraId="710CA891">
            <w:pPr>
              <w:spacing w:line="360" w:lineRule="exact"/>
              <w:rPr>
                <w:rFonts w:hint="eastAsia" w:ascii="宋体" w:hAnsi="宋体" w:cs="宋体"/>
                <w:szCs w:val="21"/>
              </w:rPr>
            </w:pPr>
            <w:r>
              <w:rPr>
                <w:rFonts w:hint="eastAsia" w:ascii="宋体" w:hAnsi="宋体" w:cs="宋体"/>
                <w:szCs w:val="21"/>
              </w:rPr>
              <w:t>4.如投标人成立时间不足三个月，可提供情况说明作为佐证材料，无需提供证书和认证信息查询截图亦视为满足评分要求。</w:t>
            </w:r>
          </w:p>
          <w:p w14:paraId="2F51249A">
            <w:pPr>
              <w:spacing w:line="360" w:lineRule="exact"/>
              <w:rPr>
                <w:rFonts w:hint="eastAsia" w:ascii="宋体" w:hAnsi="宋体" w:cs="宋体"/>
                <w:szCs w:val="21"/>
              </w:rPr>
            </w:pPr>
            <w:r>
              <w:rPr>
                <w:rFonts w:hint="eastAsia" w:ascii="宋体" w:hAnsi="宋体" w:cs="宋体"/>
                <w:szCs w:val="21"/>
              </w:rPr>
              <w:t>5.提供以上证明文件扫描件，如涉及网站截图或照片等证明材料，需提供清晰图片。</w:t>
            </w:r>
            <w:r>
              <w:rPr>
                <w:rFonts w:hint="eastAsia" w:ascii="宋体" w:hAnsi="宋体" w:cs="宋体"/>
                <w:szCs w:val="21"/>
                <w:lang w:val="zh-CN"/>
              </w:rPr>
              <w:t>对于未提供证明文件，未提供查询记录且无其他证明材料的，或者提供不清晰导致评委无法判断的，均作不得分处理。</w:t>
            </w:r>
          </w:p>
        </w:tc>
      </w:tr>
      <w:tr w14:paraId="277016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2C49E3F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42BA8FFE">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2</w:t>
            </w:r>
          </w:p>
        </w:tc>
        <w:tc>
          <w:tcPr>
            <w:tcW w:w="1495" w:type="dxa"/>
            <w:tcBorders>
              <w:top w:val="single" w:color="000000" w:sz="8" w:space="0"/>
              <w:left w:val="single" w:color="000000" w:sz="8" w:space="0"/>
              <w:bottom w:val="single" w:color="000000" w:sz="8" w:space="0"/>
              <w:right w:val="single" w:color="000000" w:sz="8" w:space="0"/>
            </w:tcBorders>
            <w:vAlign w:val="center"/>
          </w:tcPr>
          <w:p w14:paraId="050E37F0">
            <w:pPr>
              <w:spacing w:line="360" w:lineRule="exact"/>
              <w:jc w:val="center"/>
              <w:rPr>
                <w:rFonts w:cs="宋体" w:asciiTheme="minorEastAsia" w:hAnsiTheme="minorEastAsia" w:eastAsiaTheme="minorEastAsia"/>
                <w:szCs w:val="21"/>
              </w:rPr>
            </w:pPr>
            <w:r>
              <w:rPr>
                <w:rFonts w:hint="eastAsia" w:ascii="宋体" w:hAnsi="宋体" w:cs="宋体"/>
                <w:szCs w:val="21"/>
              </w:rPr>
              <w:t>供应商同类项目业绩情况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10D8BAC6">
            <w:pPr>
              <w:spacing w:line="360" w:lineRule="exact"/>
              <w:jc w:val="center"/>
              <w:rPr>
                <w:rFonts w:cs="宋体" w:asciiTheme="minorEastAsia" w:hAnsiTheme="minorEastAsia" w:eastAsiaTheme="minorEastAsia"/>
                <w:szCs w:val="21"/>
              </w:rPr>
            </w:pPr>
            <w:r>
              <w:rPr>
                <w:rFonts w:hint="eastAsia" w:ascii="宋体" w:hAnsi="宋体" w:cs="宋体"/>
                <w:szCs w:val="21"/>
              </w:rPr>
              <w:t>7</w:t>
            </w:r>
          </w:p>
        </w:tc>
        <w:tc>
          <w:tcPr>
            <w:tcW w:w="5964" w:type="dxa"/>
            <w:tcBorders>
              <w:top w:val="single" w:color="000000" w:sz="8" w:space="0"/>
              <w:left w:val="single" w:color="000000" w:sz="8" w:space="0"/>
              <w:bottom w:val="single" w:color="000000" w:sz="8" w:space="0"/>
              <w:right w:val="single" w:color="000000" w:sz="8" w:space="0"/>
            </w:tcBorders>
            <w:vAlign w:val="top"/>
          </w:tcPr>
          <w:p w14:paraId="521EE2B4">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一</w:t>
            </w:r>
            <w:r>
              <w:rPr>
                <w:rFonts w:hint="eastAsia" w:ascii="宋体" w:hAnsi="宋体" w:cs="宋体"/>
                <w:szCs w:val="21"/>
                <w:lang w:eastAsia="zh-CN"/>
              </w:rPr>
              <w:t>）</w:t>
            </w:r>
            <w:r>
              <w:rPr>
                <w:rFonts w:hint="eastAsia" w:ascii="宋体" w:hAnsi="宋体" w:cs="宋体"/>
                <w:szCs w:val="21"/>
              </w:rPr>
              <w:t>评审内容：</w:t>
            </w:r>
          </w:p>
          <w:p w14:paraId="6C89024E">
            <w:pPr>
              <w:spacing w:line="360" w:lineRule="exact"/>
              <w:rPr>
                <w:rFonts w:hint="eastAsia" w:ascii="宋体" w:hAnsi="宋体" w:cs="宋体"/>
                <w:szCs w:val="21"/>
              </w:rPr>
            </w:pPr>
            <w:r>
              <w:rPr>
                <w:rFonts w:hint="eastAsia" w:ascii="宋体" w:hAnsi="宋体" w:cs="宋体"/>
                <w:szCs w:val="21"/>
              </w:rPr>
              <w:t>投标人自2021年1月1日起至本项目投标截止之日（以合同签订日期为准），承担食品（不含食品快检）或食用农产品（不含农产品快检）抽检同类业绩情况：</w:t>
            </w:r>
          </w:p>
          <w:p w14:paraId="1B6D8BA2">
            <w:pPr>
              <w:spacing w:line="360" w:lineRule="exact"/>
              <w:rPr>
                <w:rFonts w:hint="eastAsia" w:ascii="宋体" w:hAnsi="宋体" w:cs="宋体"/>
                <w:szCs w:val="21"/>
              </w:rPr>
            </w:pPr>
            <w:r>
              <w:rPr>
                <w:rFonts w:hint="eastAsia" w:ascii="宋体" w:hAnsi="宋体" w:cs="宋体"/>
                <w:szCs w:val="21"/>
              </w:rPr>
              <w:t>1.承担国家级政府部门或事业单位食品或食用农产品安全抽检监测任务，每提供1份合同得40分；</w:t>
            </w:r>
          </w:p>
          <w:p w14:paraId="1750CF5B">
            <w:pPr>
              <w:spacing w:line="360" w:lineRule="exact"/>
              <w:rPr>
                <w:rFonts w:hint="eastAsia" w:ascii="宋体" w:hAnsi="宋体" w:cs="宋体"/>
                <w:szCs w:val="21"/>
              </w:rPr>
            </w:pPr>
            <w:r>
              <w:rPr>
                <w:rFonts w:hint="eastAsia" w:ascii="宋体" w:hAnsi="宋体" w:cs="宋体"/>
                <w:szCs w:val="21"/>
              </w:rPr>
              <w:t>2.承担省级（含副省级）或以上政府部门或事业单位食品或食用农产品安全抽检监测任务，每提供1份合同得30分；</w:t>
            </w:r>
          </w:p>
          <w:p w14:paraId="4C05EEE6">
            <w:pPr>
              <w:spacing w:line="360" w:lineRule="exact"/>
              <w:rPr>
                <w:rFonts w:hint="eastAsia" w:ascii="宋体" w:hAnsi="宋体" w:cs="宋体"/>
                <w:szCs w:val="21"/>
              </w:rPr>
            </w:pPr>
            <w:r>
              <w:rPr>
                <w:rFonts w:hint="eastAsia" w:ascii="宋体" w:hAnsi="宋体" w:cs="宋体"/>
                <w:szCs w:val="21"/>
              </w:rPr>
              <w:t>3.承担市级政府部门或事业单位食品或食用农产品安全抽检监测任务的，每提供1份合同得20分；</w:t>
            </w:r>
          </w:p>
          <w:p w14:paraId="12F4BE37">
            <w:pPr>
              <w:spacing w:line="360" w:lineRule="exact"/>
              <w:rPr>
                <w:rFonts w:hint="eastAsia" w:ascii="宋体" w:hAnsi="宋体" w:cs="宋体"/>
                <w:szCs w:val="21"/>
              </w:rPr>
            </w:pPr>
            <w:r>
              <w:rPr>
                <w:rFonts w:hint="eastAsia" w:ascii="宋体" w:hAnsi="宋体" w:cs="宋体"/>
                <w:szCs w:val="21"/>
              </w:rPr>
              <w:t>4.承担区县级政府部门或事业单位食品或食用农产品安全抽检监测任务的，每提供1份合同得10分；</w:t>
            </w:r>
          </w:p>
          <w:p w14:paraId="0ECDA40B">
            <w:pPr>
              <w:spacing w:line="360" w:lineRule="exact"/>
              <w:rPr>
                <w:rFonts w:hint="eastAsia" w:ascii="宋体" w:hAnsi="宋体" w:cs="宋体"/>
                <w:szCs w:val="21"/>
              </w:rPr>
            </w:pPr>
            <w:r>
              <w:rPr>
                <w:rFonts w:hint="eastAsia" w:ascii="宋体" w:hAnsi="宋体" w:cs="宋体"/>
                <w:szCs w:val="21"/>
              </w:rPr>
              <w:t>5.以上四项可累加计分，最高得100分。</w:t>
            </w:r>
          </w:p>
          <w:p w14:paraId="18A593AB">
            <w:pPr>
              <w:spacing w:line="36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二</w:t>
            </w:r>
            <w:r>
              <w:rPr>
                <w:rFonts w:hint="eastAsia" w:ascii="宋体" w:hAnsi="宋体" w:cs="宋体"/>
                <w:szCs w:val="21"/>
                <w:lang w:eastAsia="zh-CN"/>
              </w:rPr>
              <w:t>）</w:t>
            </w:r>
            <w:r>
              <w:rPr>
                <w:rFonts w:hint="eastAsia" w:ascii="宋体" w:hAnsi="宋体" w:cs="宋体"/>
                <w:szCs w:val="21"/>
              </w:rPr>
              <w:t>评审依据：</w:t>
            </w:r>
          </w:p>
          <w:p w14:paraId="4CD8F9D0">
            <w:pPr>
              <w:spacing w:line="360" w:lineRule="exact"/>
              <w:rPr>
                <w:rFonts w:hint="eastAsia" w:ascii="宋体" w:hAnsi="宋体" w:cs="宋体"/>
                <w:szCs w:val="21"/>
              </w:rPr>
            </w:pPr>
            <w:r>
              <w:rPr>
                <w:rFonts w:hint="eastAsia" w:ascii="宋体" w:hAnsi="宋体" w:cs="宋体"/>
                <w:szCs w:val="21"/>
              </w:rPr>
              <w:t>1.要求提供合同关键信息（包含但不限于合同签订时间、服务时间、服务内容、服务人员信息、双方盖章页等）作为得分依据。</w:t>
            </w:r>
          </w:p>
          <w:p w14:paraId="3DC44209">
            <w:pPr>
              <w:spacing w:line="360" w:lineRule="exact"/>
              <w:rPr>
                <w:rFonts w:hint="eastAsia" w:ascii="宋体" w:hAnsi="宋体" w:cs="宋体"/>
                <w:szCs w:val="21"/>
              </w:rPr>
            </w:pPr>
            <w:r>
              <w:rPr>
                <w:rFonts w:hint="eastAsia" w:ascii="宋体" w:hAnsi="宋体" w:cs="宋体"/>
                <w:szCs w:val="21"/>
              </w:rPr>
              <w:t>2.通过合同关键信息无法判断是否得分的，还须同时提供能证明得分的其他证明资料，如项目报告或合同甲方出具的证明文件等。</w:t>
            </w:r>
          </w:p>
          <w:p w14:paraId="3F29E50F">
            <w:pPr>
              <w:spacing w:line="360" w:lineRule="exact"/>
              <w:rPr>
                <w:rFonts w:hint="eastAsia" w:ascii="宋体" w:hAnsi="宋体" w:cs="宋体"/>
                <w:szCs w:val="21"/>
              </w:rPr>
            </w:pPr>
            <w:r>
              <w:rPr>
                <w:rFonts w:hint="eastAsia" w:ascii="宋体" w:hAnsi="宋体" w:cs="宋体"/>
                <w:szCs w:val="21"/>
              </w:rPr>
              <w:t>3.以上资料均要求提供扫描件，如涉及网站截图或照片等证明材料，需提供清晰图片。评分中出现无证明资料或专家无法凭所提供资料判断是否得分的情况，一律作不得分处理。</w:t>
            </w:r>
          </w:p>
        </w:tc>
      </w:tr>
      <w:tr w14:paraId="2C750C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157BF814">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7583E826">
            <w:pPr>
              <w:spacing w:line="360" w:lineRule="exact"/>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w:t>
            </w:r>
          </w:p>
        </w:tc>
        <w:tc>
          <w:tcPr>
            <w:tcW w:w="1495" w:type="dxa"/>
            <w:tcBorders>
              <w:top w:val="single" w:color="000000" w:sz="8" w:space="0"/>
              <w:left w:val="single" w:color="000000" w:sz="8" w:space="0"/>
              <w:bottom w:val="single" w:color="000000" w:sz="8" w:space="0"/>
              <w:right w:val="single" w:color="000000" w:sz="8" w:space="0"/>
            </w:tcBorders>
            <w:vAlign w:val="center"/>
          </w:tcPr>
          <w:p w14:paraId="5EA01264">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供应商获奖情况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57A8993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5964" w:type="dxa"/>
            <w:tcBorders>
              <w:top w:val="single" w:color="000000" w:sz="8" w:space="0"/>
              <w:left w:val="single" w:color="000000" w:sz="8" w:space="0"/>
              <w:bottom w:val="single" w:color="000000" w:sz="8" w:space="0"/>
              <w:right w:val="single" w:color="000000" w:sz="8" w:space="0"/>
            </w:tcBorders>
            <w:vAlign w:val="top"/>
          </w:tcPr>
          <w:p w14:paraId="4D59D2B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61D4D47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投标人或投标人自有员工自2021年1月1日起至本项目开标之日（以获奖人员名单或证明材料落款时间为准）获得的食品或农产品相关的荣誉或获奖情况：</w:t>
            </w:r>
          </w:p>
          <w:p w14:paraId="5089EFF9">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每获得1个省级（含副省级）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以上荣誉或奖项的得50分，每获得1个市级荣誉或奖项的得25分，每获得1个区县级荣誉或奖项的得10分，以上累计加分，最高得100分。</w:t>
            </w:r>
          </w:p>
          <w:p w14:paraId="2826FC52">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22EC021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1.要求提供奖项照片、政府官网截图或获奖（荣誉）证书等证明材料作为得分依据。以上资料均要求提供扫描件。</w:t>
            </w:r>
          </w:p>
          <w:p w14:paraId="6416EB1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2.省级（含副省级）</w:t>
            </w:r>
            <w:r>
              <w:rPr>
                <w:rFonts w:hint="eastAsia" w:asciiTheme="minorEastAsia" w:hAnsiTheme="minorEastAsia" w:eastAsiaTheme="minorEastAsia"/>
                <w:szCs w:val="21"/>
                <w:lang w:val="en-US" w:eastAsia="zh-CN"/>
              </w:rPr>
              <w:t>或</w:t>
            </w:r>
            <w:r>
              <w:rPr>
                <w:rFonts w:hint="eastAsia" w:asciiTheme="minorEastAsia" w:hAnsiTheme="minorEastAsia" w:eastAsiaTheme="minorEastAsia"/>
                <w:szCs w:val="21"/>
              </w:rPr>
              <w:t>以上荣誉要求颁发单位为国务院（或其直接所属的行政机关）、省（自治区、直辖市）人民政府（或其直接所属的行政机关）；市级荣誉要求颁发单位为市人民政府（或市级行政机关单位）；区（县）级荣誉要求颁发单位为区（县）人民政府（或区（县）行政机关单位）。</w:t>
            </w:r>
          </w:p>
          <w:p w14:paraId="40504141">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3.奖项颁发单位为协会、学会、网络平台、报刊杂志等单位的不得分。</w:t>
            </w:r>
          </w:p>
          <w:p w14:paraId="263CFC1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个人获奖的提供近三个月中的任意一个月的社保证明（因社保部门原因无法取得开标日当月社保缴纳证明材料的，可往前顺延一个月），以获奖人员名单累计计分，同一人获得多个奖项的按最高奖项计分，如不能体现的需提供其它证明资料。</w:t>
            </w:r>
          </w:p>
          <w:p w14:paraId="326F8565">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5.以上资料均要求提供扫描件</w:t>
            </w:r>
            <w:r>
              <w:rPr>
                <w:rFonts w:hint="eastAsia" w:asciiTheme="minorEastAsia" w:hAnsiTheme="minorEastAsia" w:eastAsiaTheme="minorEastAsia"/>
                <w:szCs w:val="21"/>
                <w:lang w:eastAsia="zh-CN"/>
              </w:rPr>
              <w:t>，</w:t>
            </w:r>
            <w:r>
              <w:rPr>
                <w:rFonts w:hint="eastAsia" w:ascii="宋体" w:hAnsi="宋体" w:cs="宋体"/>
                <w:szCs w:val="21"/>
              </w:rPr>
              <w:t>如涉及网站截图或照片等证明材料，需提供清晰图片。</w:t>
            </w:r>
            <w:r>
              <w:rPr>
                <w:rFonts w:hint="eastAsia" w:asciiTheme="minorEastAsia" w:hAnsiTheme="minorEastAsia" w:eastAsiaTheme="minorEastAsia"/>
                <w:szCs w:val="21"/>
              </w:rPr>
              <w:t>评分中出现无证明资料或专家无法凭所提供资料判断是否得分的情况，一律作不得分处理。</w:t>
            </w:r>
          </w:p>
        </w:tc>
      </w:tr>
      <w:tr w14:paraId="5F8AF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794" w:hRule="atLeast"/>
          <w:jc w:val="center"/>
        </w:trPr>
        <w:tc>
          <w:tcPr>
            <w:tcW w:w="680" w:type="dxa"/>
            <w:tcBorders>
              <w:top w:val="nil"/>
              <w:left w:val="single" w:color="000000" w:sz="8" w:space="0"/>
              <w:bottom w:val="nil"/>
              <w:right w:val="single" w:color="000000" w:sz="8" w:space="0"/>
            </w:tcBorders>
            <w:vAlign w:val="center"/>
          </w:tcPr>
          <w:p w14:paraId="599DEE45">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3759B2D5">
            <w:pPr>
              <w:spacing w:line="36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4</w:t>
            </w:r>
          </w:p>
        </w:tc>
        <w:tc>
          <w:tcPr>
            <w:tcW w:w="1495" w:type="dxa"/>
            <w:tcBorders>
              <w:top w:val="single" w:color="000000" w:sz="8" w:space="0"/>
              <w:left w:val="single" w:color="000000" w:sz="8" w:space="0"/>
              <w:bottom w:val="single" w:color="000000" w:sz="8" w:space="0"/>
              <w:right w:val="single" w:color="000000" w:sz="8" w:space="0"/>
            </w:tcBorders>
            <w:vAlign w:val="center"/>
          </w:tcPr>
          <w:p w14:paraId="200CF935">
            <w:pPr>
              <w:spacing w:line="360" w:lineRule="exact"/>
              <w:jc w:val="center"/>
              <w:rPr>
                <w:rFonts w:hint="eastAsia" w:ascii="宋体" w:hAnsi="宋体" w:cs="宋体"/>
                <w:szCs w:val="21"/>
              </w:rPr>
            </w:pPr>
            <w:r>
              <w:rPr>
                <w:rFonts w:hint="eastAsia" w:ascii="宋体" w:hAnsi="宋体" w:cs="宋体"/>
                <w:szCs w:val="21"/>
              </w:rPr>
              <w:t>供应商自主知识产权产品（创新、设计）情况</w:t>
            </w:r>
          </w:p>
        </w:tc>
        <w:tc>
          <w:tcPr>
            <w:tcW w:w="820" w:type="dxa"/>
            <w:tcBorders>
              <w:top w:val="single" w:color="000000" w:sz="8" w:space="0"/>
              <w:left w:val="single" w:color="000000" w:sz="8" w:space="0"/>
              <w:bottom w:val="single" w:color="000000" w:sz="8" w:space="0"/>
              <w:right w:val="single" w:color="000000" w:sz="8" w:space="0"/>
            </w:tcBorders>
            <w:vAlign w:val="center"/>
          </w:tcPr>
          <w:p w14:paraId="7BAC2446">
            <w:pPr>
              <w:spacing w:line="360" w:lineRule="exact"/>
              <w:jc w:val="center"/>
              <w:rPr>
                <w:rFonts w:hint="eastAsia" w:ascii="宋体" w:hAnsi="宋体" w:cs="宋体"/>
                <w:szCs w:val="21"/>
              </w:rPr>
            </w:pPr>
            <w:r>
              <w:rPr>
                <w:rFonts w:hint="eastAsia" w:ascii="宋体" w:hAnsi="宋体" w:cs="宋体"/>
                <w:szCs w:val="21"/>
              </w:rPr>
              <w:t>3</w:t>
            </w:r>
          </w:p>
        </w:tc>
        <w:tc>
          <w:tcPr>
            <w:tcW w:w="5964" w:type="dxa"/>
            <w:tcBorders>
              <w:top w:val="single" w:color="000000" w:sz="8" w:space="0"/>
              <w:left w:val="single" w:color="000000" w:sz="8" w:space="0"/>
              <w:bottom w:val="single" w:color="000000" w:sz="8" w:space="0"/>
              <w:right w:val="single" w:color="000000" w:sz="8" w:space="0"/>
            </w:tcBorders>
            <w:vAlign w:val="top"/>
          </w:tcPr>
          <w:p w14:paraId="25EDEE2C">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一</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评审内容：</w:t>
            </w:r>
          </w:p>
          <w:p w14:paraId="5129FAB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1.投标人具有食品或食用农产品或检测技术或装备相关的发明专利或实用新型专利的，每提供1项得8分，本项最高得40分。</w:t>
            </w:r>
          </w:p>
          <w:p w14:paraId="3151BFF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2.投标人参与制定或修订食品或食用农产品类国家、行业、地方标准，每提供1项得10分，本项最高得20分。</w:t>
            </w:r>
          </w:p>
          <w:p w14:paraId="6C691C0F">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3.投标人具有实验室食品检测或食品类管理系统相关软件著作权的，每提供1项得10分，本项最高得40分。</w:t>
            </w:r>
          </w:p>
          <w:p w14:paraId="58C1FF80">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以上三项实行累计加分，本项总分最高得100分。</w:t>
            </w:r>
          </w:p>
          <w:p w14:paraId="7D2D023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二</w:t>
            </w:r>
            <w:r>
              <w:rPr>
                <w:rFonts w:hint="eastAsia" w:asciiTheme="minorEastAsia" w:hAnsiTheme="minorEastAsia" w:eastAsiaTheme="minorEastAsia"/>
                <w:szCs w:val="21"/>
                <w:lang w:eastAsia="zh-CN"/>
              </w:rPr>
              <w:t>）</w:t>
            </w:r>
            <w:r>
              <w:rPr>
                <w:rFonts w:hint="eastAsia" w:asciiTheme="minorEastAsia" w:hAnsiTheme="minorEastAsia" w:eastAsiaTheme="minorEastAsia"/>
                <w:szCs w:val="21"/>
              </w:rPr>
              <w:t>评审依据：</w:t>
            </w:r>
          </w:p>
          <w:p w14:paraId="34F64158">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1.第1项需提供有效的发明专利或实用新型专利证书扫描件；属购买或转让的，还需提供专利权转移备案证明或转让合同关键页。</w:t>
            </w:r>
          </w:p>
          <w:p w14:paraId="466195F3">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2.第2项需提供标准文本首页及参编单位页等相关证明材料。</w:t>
            </w:r>
          </w:p>
          <w:p w14:paraId="38B6D1F6">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3.第3项需提供软件著作权登记证书扫描件（如为投标人自有软件，著作权人需为投标人；如为投标人通过购买或租赁等形式获得软件使用权的，需同时提供著作权人与投标人签订的相关合同或协议或购买发票扫描件）。</w:t>
            </w:r>
          </w:p>
          <w:p w14:paraId="604A860A">
            <w:pPr>
              <w:spacing w:line="360" w:lineRule="exact"/>
              <w:rPr>
                <w:rFonts w:hint="eastAsia" w:asciiTheme="minorEastAsia" w:hAnsiTheme="minorEastAsia" w:eastAsiaTheme="minorEastAsia"/>
                <w:szCs w:val="21"/>
              </w:rPr>
            </w:pPr>
            <w:r>
              <w:rPr>
                <w:rFonts w:hint="eastAsia" w:asciiTheme="minorEastAsia" w:hAnsiTheme="minorEastAsia" w:eastAsiaTheme="minorEastAsia"/>
                <w:szCs w:val="21"/>
              </w:rPr>
              <w:t>4.以上资料均需提供扫描件</w:t>
            </w:r>
            <w:r>
              <w:rPr>
                <w:rFonts w:hint="eastAsia" w:asciiTheme="minorEastAsia" w:hAnsiTheme="minorEastAsia" w:eastAsiaTheme="minorEastAsia"/>
                <w:szCs w:val="21"/>
                <w:lang w:eastAsia="zh-CN"/>
              </w:rPr>
              <w:t>，</w:t>
            </w:r>
            <w:r>
              <w:rPr>
                <w:rFonts w:hint="eastAsia" w:ascii="宋体" w:hAnsi="宋体" w:cs="宋体"/>
                <w:szCs w:val="21"/>
              </w:rPr>
              <w:t>如涉及网站截图或照片等证明材料，需提供清晰图片。</w:t>
            </w:r>
            <w:r>
              <w:rPr>
                <w:rFonts w:hint="eastAsia" w:asciiTheme="minorEastAsia" w:hAnsiTheme="minorEastAsia" w:eastAsiaTheme="minorEastAsia"/>
                <w:szCs w:val="21"/>
              </w:rPr>
              <w:t>评分时如未提供相关证明资料，或专家依据所提供资料无法判定是否符合得分条件的，一律不予计分。</w:t>
            </w:r>
          </w:p>
        </w:tc>
      </w:tr>
      <w:tr w14:paraId="496BCF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80" w:type="dxa"/>
            <w:vMerge w:val="restart"/>
            <w:tcBorders>
              <w:top w:val="single" w:color="000000" w:sz="8" w:space="0"/>
              <w:left w:val="single" w:color="000000" w:sz="8" w:space="0"/>
              <w:right w:val="single" w:color="000000" w:sz="8" w:space="0"/>
            </w:tcBorders>
          </w:tcPr>
          <w:p w14:paraId="4E920BEC">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4</w:t>
            </w:r>
          </w:p>
        </w:tc>
        <w:tc>
          <w:tcPr>
            <w:tcW w:w="2995" w:type="dxa"/>
            <w:gridSpan w:val="3"/>
            <w:tcBorders>
              <w:top w:val="single" w:color="000000" w:sz="8" w:space="0"/>
              <w:left w:val="single" w:color="000000" w:sz="8" w:space="0"/>
              <w:bottom w:val="single" w:color="000000" w:sz="8" w:space="0"/>
              <w:right w:val="single" w:color="000000" w:sz="8" w:space="0"/>
            </w:tcBorders>
          </w:tcPr>
          <w:p w14:paraId="5FFA0BB1">
            <w:pPr>
              <w:spacing w:line="360" w:lineRule="exact"/>
              <w:jc w:val="center"/>
              <w:rPr>
                <w:rFonts w:cs="宋体" w:asciiTheme="minorEastAsia" w:hAnsiTheme="minorEastAsia" w:eastAsiaTheme="minorEastAsia"/>
                <w:b/>
                <w:bCs/>
                <w:color w:val="0000FF"/>
                <w:sz w:val="24"/>
                <w:szCs w:val="24"/>
              </w:rPr>
            </w:pPr>
            <w:r>
              <w:rPr>
                <w:rFonts w:hint="eastAsia" w:asciiTheme="minorEastAsia" w:hAnsiTheme="minorEastAsia" w:eastAsiaTheme="minorEastAsia"/>
                <w:b/>
                <w:bCs/>
                <w:color w:val="0000FF"/>
              </w:rPr>
              <w:t>其他</w:t>
            </w:r>
          </w:p>
        </w:tc>
        <w:tc>
          <w:tcPr>
            <w:tcW w:w="5964" w:type="dxa"/>
            <w:tcBorders>
              <w:top w:val="single" w:color="000000" w:sz="8" w:space="0"/>
              <w:left w:val="single" w:color="000000" w:sz="8" w:space="0"/>
              <w:bottom w:val="single" w:color="000000" w:sz="8" w:space="0"/>
              <w:right w:val="single" w:color="000000" w:sz="8" w:space="0"/>
            </w:tcBorders>
          </w:tcPr>
          <w:p w14:paraId="693F1DEF">
            <w:pPr>
              <w:spacing w:line="360" w:lineRule="exact"/>
              <w:jc w:val="center"/>
              <w:rPr>
                <w:rFonts w:hint="eastAsia" w:cs="宋体" w:asciiTheme="minorEastAsia" w:hAnsiTheme="minorEastAsia" w:eastAsiaTheme="minorEastAsia"/>
                <w:b/>
                <w:bCs/>
                <w:color w:val="0000FF"/>
                <w:sz w:val="24"/>
                <w:szCs w:val="24"/>
                <w:lang w:eastAsia="zh-CN"/>
              </w:rPr>
            </w:pPr>
            <w:r>
              <w:rPr>
                <w:rFonts w:hint="eastAsia" w:asciiTheme="minorEastAsia" w:hAnsiTheme="minorEastAsia" w:eastAsiaTheme="minorEastAsia"/>
                <w:b/>
                <w:bCs/>
                <w:color w:val="0000FF"/>
                <w:lang w:val="en-US" w:eastAsia="zh-CN"/>
              </w:rPr>
              <w:t>3</w:t>
            </w:r>
          </w:p>
        </w:tc>
      </w:tr>
      <w:tr w14:paraId="4092B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6F553A39">
            <w:pPr>
              <w:spacing w:line="360" w:lineRule="exact"/>
              <w:rPr>
                <w:rFonts w:cs="宋体" w:asciiTheme="minorEastAsia" w:hAnsiTheme="minorEastAsia" w:eastAsiaTheme="minorEastAsia"/>
                <w:b/>
                <w:bCs/>
                <w:color w:val="0000FF"/>
                <w:sz w:val="24"/>
                <w:szCs w:val="24"/>
              </w:rPr>
            </w:pPr>
          </w:p>
        </w:tc>
        <w:tc>
          <w:tcPr>
            <w:tcW w:w="68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CC47F8F">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序号</w:t>
            </w:r>
          </w:p>
        </w:tc>
        <w:tc>
          <w:tcPr>
            <w:tcW w:w="1495"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2B16980">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评分因素</w:t>
            </w:r>
          </w:p>
        </w:tc>
        <w:tc>
          <w:tcPr>
            <w:tcW w:w="820"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084D21C1">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权重(%)</w:t>
            </w:r>
          </w:p>
        </w:tc>
        <w:tc>
          <w:tcPr>
            <w:tcW w:w="5964" w:type="dxa"/>
            <w:tcBorders>
              <w:top w:val="outset" w:color="000000" w:sz="6" w:space="0"/>
              <w:left w:val="outset" w:color="000000" w:sz="6" w:space="0"/>
              <w:bottom w:val="outset" w:color="000000" w:sz="6" w:space="0"/>
              <w:right w:val="outset" w:color="000000" w:sz="6" w:space="0"/>
            </w:tcBorders>
            <w:shd w:val="clear" w:color="auto" w:fill="E6EFFA"/>
            <w:vAlign w:val="center"/>
          </w:tcPr>
          <w:p w14:paraId="6E747E19">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评分准则</w:t>
            </w:r>
          </w:p>
        </w:tc>
      </w:tr>
      <w:tr w14:paraId="123D80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0" w:type="auto"/>
            <w:vMerge w:val="continue"/>
            <w:tcBorders>
              <w:left w:val="single" w:color="000000" w:sz="8" w:space="0"/>
              <w:right w:val="single" w:color="000000" w:sz="8" w:space="0"/>
            </w:tcBorders>
            <w:vAlign w:val="center"/>
          </w:tcPr>
          <w:p w14:paraId="40527E8F">
            <w:pPr>
              <w:spacing w:line="360" w:lineRule="exact"/>
              <w:rPr>
                <w:rFonts w:cs="宋体" w:asciiTheme="minorEastAsia" w:hAnsiTheme="minorEastAsia" w:eastAsiaTheme="minorEastAsia"/>
                <w:b/>
                <w:bCs/>
                <w:color w:val="0000FF"/>
                <w:sz w:val="24"/>
                <w:szCs w:val="24"/>
              </w:rPr>
            </w:pPr>
          </w:p>
        </w:tc>
        <w:tc>
          <w:tcPr>
            <w:tcW w:w="680" w:type="dxa"/>
            <w:tcBorders>
              <w:top w:val="single" w:color="000000" w:sz="8" w:space="0"/>
              <w:left w:val="single" w:color="000000" w:sz="8" w:space="0"/>
              <w:bottom w:val="single" w:color="000000" w:sz="8" w:space="0"/>
              <w:right w:val="single" w:color="000000" w:sz="8" w:space="0"/>
            </w:tcBorders>
            <w:vAlign w:val="center"/>
          </w:tcPr>
          <w:p w14:paraId="0B629433">
            <w:pPr>
              <w:spacing w:line="360" w:lineRule="exact"/>
              <w:jc w:val="center"/>
              <w:rPr>
                <w:rFonts w:cs="宋体" w:asciiTheme="minorEastAsia" w:hAnsiTheme="minorEastAsia" w:eastAsiaTheme="minorEastAsia"/>
                <w:szCs w:val="21"/>
              </w:rPr>
            </w:pPr>
            <w:r>
              <w:rPr>
                <w:rFonts w:hint="eastAsia" w:asciiTheme="minorEastAsia" w:hAnsiTheme="minorEastAsia" w:eastAsiaTheme="minorEastAsia"/>
                <w:szCs w:val="21"/>
              </w:rPr>
              <w:t>1</w:t>
            </w:r>
          </w:p>
        </w:tc>
        <w:tc>
          <w:tcPr>
            <w:tcW w:w="1495" w:type="dxa"/>
            <w:tcBorders>
              <w:top w:val="single" w:color="000000" w:sz="8" w:space="0"/>
              <w:left w:val="single" w:color="000000" w:sz="8" w:space="0"/>
              <w:bottom w:val="single" w:color="000000" w:sz="8" w:space="0"/>
              <w:right w:val="single" w:color="000000" w:sz="8" w:space="0"/>
            </w:tcBorders>
            <w:vAlign w:val="center"/>
          </w:tcPr>
          <w:p w14:paraId="2BCE6C42">
            <w:pPr>
              <w:spacing w:line="360" w:lineRule="exact"/>
              <w:jc w:val="center"/>
              <w:rPr>
                <w:rFonts w:cs="宋体" w:asciiTheme="minorEastAsia" w:hAnsiTheme="minorEastAsia" w:eastAsiaTheme="minorEastAsia"/>
                <w:szCs w:val="21"/>
              </w:rPr>
            </w:pPr>
            <w:r>
              <w:rPr>
                <w:rFonts w:asciiTheme="minorEastAsia" w:hAnsiTheme="minorEastAsia" w:eastAsiaTheme="minorEastAsia"/>
                <w:szCs w:val="21"/>
              </w:rPr>
              <w:t>诚信</w:t>
            </w:r>
            <w:r>
              <w:rPr>
                <w:rFonts w:hint="eastAsia" w:asciiTheme="minorEastAsia" w:hAnsiTheme="minorEastAsia" w:eastAsiaTheme="minorEastAsia"/>
                <w:szCs w:val="21"/>
              </w:rPr>
              <w:t>评审</w:t>
            </w:r>
          </w:p>
        </w:tc>
        <w:tc>
          <w:tcPr>
            <w:tcW w:w="820" w:type="dxa"/>
            <w:tcBorders>
              <w:top w:val="single" w:color="000000" w:sz="8" w:space="0"/>
              <w:left w:val="single" w:color="000000" w:sz="8" w:space="0"/>
              <w:bottom w:val="single" w:color="000000" w:sz="8" w:space="0"/>
              <w:right w:val="single" w:color="000000" w:sz="8" w:space="0"/>
            </w:tcBorders>
            <w:vAlign w:val="center"/>
          </w:tcPr>
          <w:p w14:paraId="22B7AE62">
            <w:pPr>
              <w:spacing w:line="360" w:lineRule="exact"/>
              <w:jc w:val="center"/>
              <w:rPr>
                <w:rFonts w:hint="eastAsia" w:cs="宋体" w:asciiTheme="minorEastAsia" w:hAnsiTheme="minorEastAsia" w:eastAsiaTheme="minorEastAsia"/>
                <w:szCs w:val="21"/>
                <w:lang w:eastAsia="zh-CN"/>
              </w:rPr>
            </w:pPr>
            <w:r>
              <w:rPr>
                <w:rFonts w:hint="eastAsia" w:asciiTheme="minorEastAsia" w:hAnsiTheme="minorEastAsia" w:eastAsiaTheme="minorEastAsia"/>
                <w:szCs w:val="21"/>
                <w:lang w:val="en-US" w:eastAsia="zh-CN"/>
              </w:rPr>
              <w:t>3</w:t>
            </w:r>
          </w:p>
        </w:tc>
        <w:tc>
          <w:tcPr>
            <w:tcW w:w="5964" w:type="dxa"/>
            <w:tcBorders>
              <w:top w:val="single" w:color="000000" w:sz="8" w:space="0"/>
              <w:left w:val="single" w:color="000000" w:sz="8" w:space="0"/>
              <w:bottom w:val="single" w:color="000000" w:sz="8" w:space="0"/>
              <w:right w:val="single" w:color="000000" w:sz="8" w:space="0"/>
            </w:tcBorders>
          </w:tcPr>
          <w:p w14:paraId="269F44F4">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100分。</w:t>
            </w:r>
          </w:p>
          <w:p w14:paraId="77652777">
            <w:pPr>
              <w:spacing w:line="360" w:lineRule="exact"/>
              <w:rPr>
                <w:rFonts w:cs="宋体"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r>
    </w:tbl>
    <w:p w14:paraId="02B35431"/>
    <w:p w14:paraId="10A48FF4"/>
    <w:p w14:paraId="2BD9F4DF">
      <w:pPr>
        <w:widowControl/>
        <w:jc w:val="left"/>
        <w:rPr>
          <w:rFonts w:asciiTheme="minorEastAsia" w:hAnsiTheme="minorEastAsia" w:eastAsiaTheme="minorEastAsia"/>
          <w:b/>
          <w:bCs/>
          <w:kern w:val="44"/>
          <w:sz w:val="28"/>
          <w:szCs w:val="44"/>
        </w:rPr>
      </w:pPr>
      <w:r>
        <w:rPr>
          <w:rFonts w:asciiTheme="minorEastAsia" w:hAnsiTheme="minorEastAsia" w:eastAsiaTheme="minorEastAsia"/>
        </w:rPr>
        <w:br w:type="page"/>
      </w:r>
    </w:p>
    <w:p w14:paraId="124B4B54">
      <w:pPr>
        <w:pStyle w:val="2"/>
        <w:spacing w:before="0" w:after="0"/>
        <w:rPr>
          <w:rFonts w:asciiTheme="minorEastAsia" w:hAnsiTheme="minorEastAsia" w:eastAsiaTheme="minorEastAsia"/>
        </w:rPr>
      </w:pPr>
      <w:r>
        <w:rPr>
          <w:rFonts w:hint="eastAsia" w:asciiTheme="minorEastAsia" w:hAnsiTheme="minorEastAsia" w:eastAsiaTheme="minorEastAsia"/>
        </w:rPr>
        <w:t>其它关键信息</w:t>
      </w:r>
    </w:p>
    <w:p w14:paraId="0BD9FFFB">
      <w:pPr>
        <w:spacing w:line="360" w:lineRule="auto"/>
        <w:ind w:firstLine="413" w:firstLineChars="196"/>
        <w:rPr>
          <w:rFonts w:ascii="宋体" w:hAnsi="宋体"/>
          <w:szCs w:val="21"/>
        </w:rPr>
      </w:pPr>
      <w:r>
        <w:rPr>
          <w:rFonts w:hint="eastAsia" w:ascii="宋体" w:hAnsi="宋体"/>
          <w:b/>
          <w:szCs w:val="21"/>
        </w:rPr>
        <w:t>一</w:t>
      </w:r>
      <w:r>
        <w:rPr>
          <w:rFonts w:hint="eastAsia" w:asciiTheme="minorEastAsia" w:hAnsiTheme="minorEastAsia" w:eastAsiaTheme="minorEastAsia"/>
          <w:b/>
          <w:szCs w:val="21"/>
        </w:rPr>
        <w:t>、</w:t>
      </w:r>
      <w:r>
        <w:rPr>
          <w:rFonts w:hint="eastAsia"/>
          <w:b/>
          <w:szCs w:val="21"/>
        </w:rPr>
        <w:t>评标定标信息</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261"/>
        <w:gridCol w:w="4261"/>
      </w:tblGrid>
      <w:tr w14:paraId="3ADF9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325D781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是否评标定标分离</w:t>
            </w:r>
          </w:p>
        </w:tc>
        <w:tc>
          <w:tcPr>
            <w:tcW w:w="4265" w:type="dxa"/>
          </w:tcPr>
          <w:p w14:paraId="3DAA2EA6">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非评定分离</w:t>
            </w:r>
          </w:p>
        </w:tc>
      </w:tr>
      <w:tr w14:paraId="1F4CA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2CFA434">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定标方法</w:t>
            </w:r>
          </w:p>
        </w:tc>
        <w:tc>
          <w:tcPr>
            <w:tcW w:w="4265" w:type="dxa"/>
          </w:tcPr>
          <w:p w14:paraId="2638ACD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w:t>
            </w:r>
          </w:p>
        </w:tc>
      </w:tr>
      <w:tr w14:paraId="5436D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54CD614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评标方法</w:t>
            </w:r>
          </w:p>
        </w:tc>
        <w:tc>
          <w:tcPr>
            <w:tcW w:w="4265" w:type="dxa"/>
          </w:tcPr>
          <w:p w14:paraId="6BE43E3E">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综合评分法</w:t>
            </w:r>
          </w:p>
        </w:tc>
      </w:tr>
      <w:tr w14:paraId="771DE0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451FD8E3">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中标供应商家数</w:t>
            </w:r>
          </w:p>
        </w:tc>
        <w:tc>
          <w:tcPr>
            <w:tcW w:w="4265" w:type="dxa"/>
          </w:tcPr>
          <w:p w14:paraId="0A5F8C0D">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1</w:t>
            </w:r>
          </w:p>
        </w:tc>
      </w:tr>
      <w:tr w14:paraId="60BB0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264" w:type="dxa"/>
          </w:tcPr>
          <w:p w14:paraId="701AE1E0">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候选中标供应商家数</w:t>
            </w:r>
          </w:p>
        </w:tc>
        <w:tc>
          <w:tcPr>
            <w:tcW w:w="4265" w:type="dxa"/>
          </w:tcPr>
          <w:p w14:paraId="7429EDA2">
            <w:pPr>
              <w:spacing w:after="60"/>
              <w:jc w:val="center"/>
              <w:rPr>
                <w:rFonts w:asciiTheme="minorEastAsia" w:hAnsiTheme="minorEastAsia" w:eastAsiaTheme="minorEastAsia"/>
                <w:szCs w:val="21"/>
              </w:rPr>
            </w:pPr>
            <w:r>
              <w:rPr>
                <w:rFonts w:hint="eastAsia" w:asciiTheme="minorEastAsia" w:hAnsiTheme="minorEastAsia" w:eastAsiaTheme="minorEastAsia"/>
                <w:szCs w:val="21"/>
              </w:rPr>
              <w:t>3</w:t>
            </w:r>
          </w:p>
        </w:tc>
      </w:tr>
    </w:tbl>
    <w:p w14:paraId="7C1743F2">
      <w:pPr>
        <w:spacing w:line="360" w:lineRule="auto"/>
        <w:ind w:firstLine="411" w:firstLineChars="196"/>
        <w:rPr>
          <w:rFonts w:ascii="宋体" w:hAnsi="宋体"/>
        </w:rPr>
      </w:pPr>
    </w:p>
    <w:p w14:paraId="7CA40743">
      <w:pPr>
        <w:spacing w:line="360" w:lineRule="auto"/>
        <w:ind w:firstLine="413" w:firstLineChars="196"/>
        <w:rPr>
          <w:rFonts w:ascii="宋体" w:hAnsi="宋体"/>
          <w:b/>
          <w:szCs w:val="21"/>
        </w:rPr>
      </w:pPr>
      <w:r>
        <w:rPr>
          <w:rFonts w:hint="eastAsia" w:ascii="宋体" w:hAnsi="宋体"/>
          <w:b/>
          <w:szCs w:val="21"/>
        </w:rPr>
        <w:t>二</w:t>
      </w:r>
      <w:r>
        <w:rPr>
          <w:rFonts w:hint="eastAsia" w:asciiTheme="minorEastAsia" w:hAnsiTheme="minorEastAsia" w:eastAsiaTheme="minorEastAsia"/>
          <w:b/>
          <w:szCs w:val="21"/>
        </w:rPr>
        <w:t>、</w:t>
      </w:r>
      <w:r>
        <w:rPr>
          <w:rFonts w:hint="eastAsia" w:ascii="宋体" w:hAnsi="宋体"/>
          <w:b/>
          <w:szCs w:val="21"/>
        </w:rPr>
        <w:t>报价明显偏低的合理性说明</w:t>
      </w:r>
    </w:p>
    <w:p w14:paraId="1AFEF965">
      <w:pPr>
        <w:spacing w:line="360" w:lineRule="auto"/>
        <w:ind w:firstLine="420" w:firstLineChars="200"/>
        <w:rPr>
          <w:rFonts w:ascii="宋体" w:hAnsi="宋体"/>
          <w:szCs w:val="21"/>
        </w:rPr>
      </w:pP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hAns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8372B76">
      <w:pPr>
        <w:spacing w:line="360" w:lineRule="auto"/>
        <w:ind w:firstLine="420" w:firstLineChars="200"/>
        <w:rPr>
          <w:rFonts w:ascii="宋体" w:hAnsi="宋体"/>
          <w:szCs w:val="21"/>
        </w:rPr>
      </w:pPr>
    </w:p>
    <w:p w14:paraId="07125C0A">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szCs w:val="21"/>
        </w:rPr>
        <w:t>三、</w:t>
      </w:r>
      <w:r>
        <w:rPr>
          <w:rFonts w:hint="eastAsia" w:asciiTheme="minorEastAsia" w:hAnsiTheme="minorEastAsia" w:eastAsiaTheme="minorEastAsia"/>
          <w:b/>
          <w:bCs/>
        </w:rPr>
        <w:t>关于享受政府采购扶持政策的主体及价格扣除比例</w:t>
      </w:r>
    </w:p>
    <w:p w14:paraId="5B3CAE75">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321A0CFD">
      <w:pPr>
        <w:spacing w:line="360" w:lineRule="auto"/>
        <w:ind w:firstLine="422" w:firstLineChars="200"/>
        <w:rPr>
          <w:rFonts w:asciiTheme="minorEastAsia" w:hAnsiTheme="minorEastAsia" w:eastAsiaTheme="minorEastAsia"/>
          <w:b/>
          <w:bCs/>
        </w:rPr>
      </w:pPr>
      <w:r>
        <w:rPr>
          <w:rFonts w:hint="eastAsia" w:asciiTheme="minorEastAsia" w:hAnsiTheme="minorEastAsia" w:eastAsiaTheme="minorEastAsia"/>
          <w:b/>
          <w:bCs/>
        </w:rPr>
        <w:t>（二）价格评审优惠</w:t>
      </w:r>
    </w:p>
    <w:p w14:paraId="0F599429">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hAnsi="宋体"/>
          <w:szCs w:val="24"/>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4D749400">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szCs w:val="24"/>
        </w:rPr>
        <w:t>未</w:t>
      </w:r>
      <w:r>
        <w:rPr>
          <w:rFonts w:hint="eastAsia" w:hAnsi="宋体"/>
          <w:szCs w:val="24"/>
        </w:rPr>
        <w:t>预留份额专门面向中小企业采购的采购项目或采购包</w:t>
      </w:r>
      <w:r>
        <w:rPr>
          <w:rFonts w:hint="eastAsia" w:asciiTheme="minorEastAsia" w:hAnsiTheme="minorEastAsia" w:eastAsiaTheme="minorEastAsia"/>
          <w:szCs w:val="21"/>
        </w:rPr>
        <w:t>：</w:t>
      </w:r>
    </w:p>
    <w:p w14:paraId="4F3F8E03">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rPr>
        <w:t>其投标报价扣除</w:t>
      </w:r>
      <w:r>
        <w:rPr>
          <w:rFonts w:hint="eastAsia" w:asciiTheme="minorEastAsia" w:hAnsiTheme="minorEastAsia" w:eastAsiaTheme="minorEastAsia"/>
          <w:b/>
          <w:u w:val="single"/>
        </w:rPr>
        <w:t xml:space="preserve"> 10 </w:t>
      </w:r>
      <w:r>
        <w:rPr>
          <w:rFonts w:hint="eastAsia" w:asciiTheme="minorEastAsia" w:hAnsiTheme="minorEastAsia" w:eastAsiaTheme="minorEastAsia"/>
          <w:b/>
        </w:rPr>
        <w:t>%（请在10%-20%范围内选择）后参与评审</w:t>
      </w:r>
      <w:r>
        <w:rPr>
          <w:rFonts w:hint="eastAsia" w:asciiTheme="minorEastAsia" w:hAnsiTheme="minorEastAsia" w:eastAsiaTheme="minorEastAsia"/>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3FB09241">
      <w:pPr>
        <w:spacing w:after="60" w:line="360" w:lineRule="auto"/>
        <w:ind w:firstLine="424" w:firstLineChars="202"/>
        <w:rPr>
          <w:rFonts w:ascii="宋体" w:hAnsi="宋体"/>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宋体" w:hAnsi="宋体"/>
        </w:rPr>
        <w:t>。</w:t>
      </w:r>
    </w:p>
    <w:p w14:paraId="146D1F1A">
      <w:pPr>
        <w:spacing w:after="60" w:line="360" w:lineRule="auto"/>
        <w:ind w:firstLine="424" w:firstLineChars="202"/>
        <w:rPr>
          <w:rFonts w:ascii="宋体" w:hAnsi="宋体"/>
        </w:rPr>
      </w:pPr>
      <w:r>
        <w:rPr>
          <w:rFonts w:hint="eastAsia" w:ascii="宋体" w:hAnsi="宋体"/>
        </w:rPr>
        <w:t>（4）</w:t>
      </w:r>
      <w:r>
        <w:rPr>
          <w:rFonts w:hint="eastAsia" w:asciiTheme="minorEastAsia" w:hAnsiTheme="minorEastAsia" w:eastAsiaTheme="minorEastAsia"/>
        </w:rPr>
        <w:t>如供应商为</w:t>
      </w:r>
      <w:r>
        <w:rPr>
          <w:rFonts w:hint="eastAsia" w:hAnsi="宋体"/>
        </w:rPr>
        <w:t>监狱企业</w:t>
      </w:r>
      <w:r>
        <w:rPr>
          <w:rFonts w:hint="eastAsia" w:hAnsi="宋体"/>
          <w:szCs w:val="21"/>
        </w:rPr>
        <w:t>或残疾人福利性单位，</w:t>
      </w:r>
      <w:r>
        <w:rPr>
          <w:rFonts w:hint="eastAsia" w:hAnsi="宋体"/>
        </w:rPr>
        <w:t>视同</w:t>
      </w:r>
      <w:r>
        <w:rPr>
          <w:rFonts w:hint="eastAsia" w:asciiTheme="minorEastAsia" w:hAnsiTheme="minorEastAsia" w:eastAsiaTheme="minorEastAsia"/>
        </w:rPr>
        <w:t>小型、微型企业，</w:t>
      </w:r>
      <w:r>
        <w:rPr>
          <w:rFonts w:hint="eastAsia" w:hAnsi="宋体"/>
        </w:rPr>
        <w:t>享受以上预留份额、评审中价格扣除等政府采购促进中小企业发展的政府采购政策；</w:t>
      </w:r>
      <w:r>
        <w:rPr>
          <w:rFonts w:hint="eastAsia" w:asciiTheme="minorEastAsia" w:hAnsiTheme="minorEastAsia" w:eastAsiaTheme="minorEastAsia"/>
        </w:rPr>
        <w:t>对于同时属于小型、微型企业、监狱企业或残疾人福利性单位的供应商，不重复享受政策。</w:t>
      </w:r>
    </w:p>
    <w:p w14:paraId="6373C3BC">
      <w:pPr>
        <w:spacing w:after="60" w:line="360" w:lineRule="auto"/>
        <w:ind w:firstLine="424" w:firstLineChars="202"/>
        <w:rPr>
          <w:rFonts w:ascii="宋体" w:hAnsi="宋体"/>
        </w:rPr>
      </w:pPr>
      <w:r>
        <w:rPr>
          <w:rFonts w:hint="eastAsia" w:ascii="宋体" w:hAnsi="宋体"/>
        </w:rPr>
        <w:t>（5）优惠主体资格的认定资料为《中小企业声明函》、《残疾人福利性单位声明函》以及《监狱企业声明函》等承诺性质的资料（</w:t>
      </w:r>
      <w:r>
        <w:rPr>
          <w:rFonts w:hint="eastAsia" w:ascii="宋体" w:hAnsi="宋体" w:cs="宋体"/>
          <w:szCs w:val="21"/>
        </w:rPr>
        <w:t>格式详见招标文件第三章</w:t>
      </w:r>
      <w:r>
        <w:rPr>
          <w:rFonts w:hint="eastAsia" w:ascii="宋体" w:hAnsi="宋体"/>
        </w:rPr>
        <w:t>）；监狱企业或者代理提供监狱企业货物的供应商如需享受优惠政策，除上述资料外，还须提供省级以上监狱管理局、戒毒管理局出具的监狱企业证明文件。</w:t>
      </w:r>
    </w:p>
    <w:p w14:paraId="4BF1531F">
      <w:pPr>
        <w:spacing w:line="360" w:lineRule="auto"/>
        <w:ind w:firstLine="422" w:firstLineChars="200"/>
        <w:rPr>
          <w:rFonts w:asciiTheme="minorEastAsia" w:hAnsiTheme="minorEastAsia" w:eastAsiaTheme="minorEastAsia"/>
          <w:b/>
          <w:szCs w:val="21"/>
        </w:rPr>
      </w:pPr>
    </w:p>
    <w:p w14:paraId="0C84B7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宋体" w:hAnsi="宋体"/>
          <w:b/>
          <w:szCs w:val="21"/>
        </w:rPr>
      </w:pPr>
      <w:r>
        <w:rPr>
          <w:rFonts w:hint="eastAsia" w:ascii="宋体" w:hAnsi="宋体" w:eastAsia="宋体" w:cs="宋体"/>
          <w:b/>
          <w:sz w:val="21"/>
          <w:szCs w:val="21"/>
          <w:lang w:eastAsia="zh-CN"/>
        </w:rPr>
        <w:t>四</w:t>
      </w:r>
      <w:r>
        <w:rPr>
          <w:rFonts w:hint="eastAsia" w:asciiTheme="minorEastAsia" w:hAnsiTheme="minorEastAsia" w:eastAsiaTheme="minorEastAsia"/>
          <w:b/>
          <w:szCs w:val="21"/>
        </w:rPr>
        <w:t>、</w:t>
      </w:r>
      <w:r>
        <w:rPr>
          <w:rFonts w:hint="eastAsia" w:ascii="Times New Roman" w:hAnsi="Times New Roman"/>
          <w:b/>
          <w:szCs w:val="24"/>
        </w:rPr>
        <w:t>绿色采购</w:t>
      </w:r>
    </w:p>
    <w:p w14:paraId="68A24306">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4"/>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szCs w:val="24"/>
        </w:rPr>
        <w:t>应依据</w:t>
      </w:r>
      <w:r>
        <w:rPr>
          <w:rFonts w:hint="eastAsia" w:asciiTheme="minorEastAsia" w:hAnsiTheme="minorEastAsia" w:eastAsiaTheme="minorEastAsia"/>
          <w:szCs w:val="24"/>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szCs w:val="24"/>
        </w:rPr>
        <w:t>出具的、处于有效期之内的节能产品、环境标志产品认证证书，对获得证书的产品实施政府优先采购或强制采购。</w:t>
      </w:r>
      <w:r>
        <w:rPr>
          <w:rFonts w:hint="eastAsia" w:asciiTheme="minorEastAsia" w:hAnsiTheme="minorEastAsia" w:eastAsiaTheme="minorEastAsia"/>
          <w:b/>
          <w:szCs w:val="24"/>
        </w:rPr>
        <w:t>对</w:t>
      </w:r>
      <w:r>
        <w:rPr>
          <w:rFonts w:hint="eastAsia" w:asciiTheme="minorEastAsia" w:hAnsiTheme="minorEastAsia" w:eastAsiaTheme="minorEastAsia"/>
          <w:b/>
          <w:szCs w:val="24"/>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06BF77A8">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7250D96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Style w:val="45"/>
          <w:rFonts w:hint="eastAsia" w:ascii="宋体" w:hAnsi="宋体" w:eastAsia="宋体" w:cs="宋体"/>
          <w:i w:val="0"/>
          <w:iCs w:val="0"/>
          <w:caps w:val="0"/>
          <w:color w:val="000000"/>
          <w:spacing w:val="0"/>
          <w:sz w:val="21"/>
          <w:szCs w:val="21"/>
          <w:u w:val="none"/>
          <w:shd w:val="clear" w:fill="FFFFFF"/>
          <w:vertAlign w:val="baseline"/>
          <w:lang w:eastAsia="zh-CN"/>
        </w:rPr>
      </w:pPr>
    </w:p>
    <w:p w14:paraId="4397569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Style w:val="45"/>
          <w:rFonts w:hint="eastAsia" w:ascii="宋体" w:hAnsi="宋体" w:eastAsia="宋体" w:cs="宋体"/>
          <w:i w:val="0"/>
          <w:iCs w:val="0"/>
          <w:caps w:val="0"/>
          <w:color w:val="000000"/>
          <w:spacing w:val="0"/>
          <w:sz w:val="21"/>
          <w:szCs w:val="21"/>
          <w:u w:val="none"/>
          <w:shd w:val="clear" w:fill="FFFFFF"/>
          <w:vertAlign w:val="baseline"/>
          <w:lang w:eastAsia="zh-CN"/>
        </w:rPr>
        <w:t>五</w:t>
      </w:r>
      <w:r>
        <w:rPr>
          <w:rStyle w:val="45"/>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747140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0455042">
      <w:pPr>
        <w:spacing w:line="360" w:lineRule="auto"/>
        <w:ind w:firstLine="487"/>
        <w:rPr>
          <w:rFonts w:ascii="Times New Roman" w:hAnsi="Times New Roman"/>
          <w:b/>
          <w:bCs/>
          <w:sz w:val="24"/>
          <w:szCs w:val="24"/>
        </w:rPr>
      </w:pPr>
    </w:p>
    <w:p w14:paraId="3798E697">
      <w:pPr>
        <w:spacing w:line="360" w:lineRule="auto"/>
        <w:ind w:firstLine="422" w:firstLineChars="200"/>
        <w:rPr>
          <w:rFonts w:ascii="宋体" w:hAnsi="宋体"/>
          <w:b/>
          <w:szCs w:val="21"/>
        </w:rPr>
      </w:pPr>
      <w:r>
        <w:rPr>
          <w:rFonts w:hint="eastAsia" w:asciiTheme="minorEastAsia" w:hAnsiTheme="minorEastAsia" w:eastAsiaTheme="minorEastAsia"/>
          <w:b/>
          <w:szCs w:val="21"/>
          <w:lang w:eastAsia="zh-CN"/>
        </w:rPr>
        <w:t>六</w:t>
      </w:r>
      <w:r>
        <w:rPr>
          <w:rFonts w:hint="eastAsia" w:asciiTheme="minorEastAsia" w:hAnsiTheme="minorEastAsia" w:eastAsiaTheme="minorEastAsia"/>
          <w:b/>
          <w:szCs w:val="21"/>
        </w:rPr>
        <w:t>、</w:t>
      </w:r>
      <w:r>
        <w:rPr>
          <w:rFonts w:hint="eastAsia" w:ascii="Times New Roman" w:hAnsi="Times New Roman"/>
          <w:b/>
          <w:szCs w:val="24"/>
        </w:rPr>
        <w:t>其他说明</w:t>
      </w:r>
    </w:p>
    <w:p w14:paraId="691E08D4">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szCs w:val="24"/>
        </w:rPr>
        <w:t>。</w:t>
      </w:r>
    </w:p>
    <w:p w14:paraId="3B9E8511">
      <w:pPr>
        <w:widowControl/>
        <w:jc w:val="left"/>
        <w:rPr>
          <w:rFonts w:ascii="宋体" w:hAnsi="宋体" w:eastAsia="黑体"/>
          <w:b/>
          <w:bCs/>
          <w:kern w:val="44"/>
          <w:sz w:val="28"/>
          <w:szCs w:val="44"/>
        </w:rPr>
      </w:pPr>
      <w:r>
        <w:rPr>
          <w:rFonts w:ascii="宋体" w:hAnsi="宋体" w:eastAsia="黑体"/>
          <w:b/>
          <w:bCs/>
          <w:kern w:val="44"/>
          <w:sz w:val="28"/>
          <w:szCs w:val="44"/>
        </w:rPr>
        <w:br w:type="page"/>
      </w:r>
    </w:p>
    <w:p w14:paraId="6228357C">
      <w:pPr>
        <w:keepNext/>
        <w:keepLines/>
        <w:spacing w:before="340" w:after="330" w:line="360" w:lineRule="auto"/>
        <w:jc w:val="center"/>
        <w:outlineLvl w:val="0"/>
        <w:rPr>
          <w:rFonts w:ascii="宋体" w:hAnsi="宋体" w:eastAsia="黑体"/>
          <w:b/>
          <w:bCs/>
          <w:kern w:val="44"/>
          <w:sz w:val="28"/>
          <w:szCs w:val="44"/>
        </w:rPr>
      </w:pPr>
      <w:r>
        <w:rPr>
          <w:rFonts w:hint="eastAsia" w:ascii="宋体" w:hAnsi="宋体" w:eastAsia="黑体"/>
          <w:b/>
          <w:bCs/>
          <w:kern w:val="44"/>
          <w:sz w:val="28"/>
          <w:szCs w:val="44"/>
        </w:rPr>
        <w:t>目   录</w:t>
      </w:r>
    </w:p>
    <w:p w14:paraId="06D51CBD">
      <w:pPr>
        <w:rPr>
          <w:rFonts w:ascii="Times New Roman" w:hAnsi="Times New Roman"/>
          <w:b/>
          <w:sz w:val="24"/>
          <w:szCs w:val="24"/>
        </w:rPr>
      </w:pPr>
      <w:r>
        <w:rPr>
          <w:rFonts w:hint="eastAsia" w:ascii="Times New Roman" w:hAnsi="Times New Roman"/>
          <w:b/>
          <w:sz w:val="24"/>
          <w:szCs w:val="24"/>
        </w:rPr>
        <w:t>第一册  专用条款</w:t>
      </w:r>
    </w:p>
    <w:p w14:paraId="1D73005F">
      <w:pPr>
        <w:ind w:left="630" w:leftChars="300" w:firstLine="411" w:firstLineChars="196"/>
        <w:rPr>
          <w:rFonts w:ascii="宋体" w:hAnsi="宋体"/>
          <w:szCs w:val="21"/>
        </w:rPr>
      </w:pPr>
      <w:r>
        <w:rPr>
          <w:rFonts w:hint="eastAsia" w:ascii="宋体" w:hAnsi="宋体"/>
          <w:szCs w:val="21"/>
        </w:rPr>
        <w:t>关键信息</w:t>
      </w:r>
    </w:p>
    <w:p w14:paraId="22BDD108">
      <w:pPr>
        <w:ind w:left="630" w:leftChars="300" w:firstLine="411" w:firstLineChars="196"/>
        <w:rPr>
          <w:rFonts w:ascii="宋体" w:hAnsi="宋体"/>
          <w:szCs w:val="21"/>
        </w:rPr>
      </w:pPr>
      <w:r>
        <w:rPr>
          <w:rFonts w:hint="eastAsia" w:ascii="宋体" w:hAnsi="宋体"/>
          <w:szCs w:val="21"/>
        </w:rPr>
        <w:t>第一章  招标公告</w:t>
      </w:r>
    </w:p>
    <w:p w14:paraId="13230D43">
      <w:pPr>
        <w:ind w:left="630" w:leftChars="300" w:firstLine="411" w:firstLineChars="196"/>
        <w:rPr>
          <w:rFonts w:ascii="宋体" w:hAnsi="宋体"/>
          <w:szCs w:val="21"/>
        </w:rPr>
      </w:pPr>
      <w:r>
        <w:rPr>
          <w:rFonts w:hint="eastAsia" w:ascii="宋体" w:hAnsi="宋体"/>
          <w:szCs w:val="21"/>
        </w:rPr>
        <w:t>第二章  招标项目需求</w:t>
      </w:r>
    </w:p>
    <w:p w14:paraId="1D677BCE">
      <w:pPr>
        <w:ind w:left="630" w:leftChars="300" w:firstLine="411" w:firstLineChars="196"/>
        <w:rPr>
          <w:rFonts w:ascii="宋体" w:hAnsi="宋体"/>
          <w:szCs w:val="21"/>
        </w:rPr>
      </w:pPr>
      <w:r>
        <w:rPr>
          <w:rFonts w:hint="eastAsia" w:ascii="宋体" w:hAnsi="宋体"/>
          <w:szCs w:val="21"/>
        </w:rPr>
        <w:t>第三章  投标文件格式、附件</w:t>
      </w:r>
    </w:p>
    <w:p w14:paraId="0272EB67">
      <w:pPr>
        <w:ind w:left="630" w:leftChars="300" w:firstLine="411" w:firstLineChars="196"/>
        <w:rPr>
          <w:rFonts w:ascii="宋体" w:hAnsi="宋体"/>
          <w:szCs w:val="21"/>
        </w:rPr>
      </w:pPr>
      <w:r>
        <w:rPr>
          <w:rFonts w:hint="eastAsia" w:ascii="宋体" w:hAnsi="宋体"/>
          <w:szCs w:val="21"/>
        </w:rPr>
        <w:t>第四章  合同及履约情况反馈格式</w:t>
      </w:r>
    </w:p>
    <w:p w14:paraId="726F22F4">
      <w:pPr>
        <w:ind w:left="630" w:leftChars="300" w:firstLine="411" w:firstLineChars="196"/>
        <w:rPr>
          <w:rFonts w:ascii="宋体" w:hAnsi="宋体"/>
          <w:szCs w:val="21"/>
        </w:rPr>
      </w:pPr>
      <w:r>
        <w:rPr>
          <w:rFonts w:hint="eastAsia" w:ascii="宋体" w:hAnsi="宋体"/>
          <w:szCs w:val="21"/>
        </w:rPr>
        <w:t>第五章  附件</w:t>
      </w:r>
    </w:p>
    <w:p w14:paraId="1EA22924">
      <w:pPr>
        <w:ind w:left="630" w:leftChars="300" w:firstLine="411" w:firstLineChars="196"/>
        <w:rPr>
          <w:rFonts w:ascii="宋体" w:hAnsi="宋体"/>
          <w:szCs w:val="21"/>
        </w:rPr>
      </w:pPr>
    </w:p>
    <w:p w14:paraId="7FFB57CE">
      <w:pPr>
        <w:rPr>
          <w:rFonts w:ascii="Times New Roman" w:hAnsi="Times New Roman"/>
          <w:b/>
          <w:sz w:val="24"/>
          <w:szCs w:val="24"/>
        </w:rPr>
      </w:pPr>
    </w:p>
    <w:p w14:paraId="126CCCDD">
      <w:pPr>
        <w:rPr>
          <w:rFonts w:ascii="Times New Roman" w:hAnsi="Times New Roman"/>
          <w:b/>
          <w:sz w:val="24"/>
          <w:szCs w:val="24"/>
        </w:rPr>
      </w:pPr>
      <w:r>
        <w:rPr>
          <w:rFonts w:hint="eastAsia" w:ascii="Times New Roman" w:hAnsi="Times New Roman"/>
          <w:b/>
          <w:sz w:val="24"/>
          <w:szCs w:val="24"/>
        </w:rPr>
        <w:t>第二册  通用条款</w:t>
      </w:r>
    </w:p>
    <w:p w14:paraId="47D9B35C">
      <w:pPr>
        <w:ind w:left="630" w:leftChars="300" w:firstLine="411" w:firstLineChars="196"/>
        <w:rPr>
          <w:rFonts w:ascii="宋体" w:hAnsi="宋体"/>
          <w:szCs w:val="21"/>
        </w:rPr>
      </w:pPr>
      <w:r>
        <w:rPr>
          <w:rFonts w:hint="eastAsia" w:ascii="宋体" w:hAnsi="宋体"/>
          <w:szCs w:val="21"/>
        </w:rPr>
        <w:t>第一章  总则</w:t>
      </w:r>
    </w:p>
    <w:p w14:paraId="2ED2286A">
      <w:pPr>
        <w:ind w:left="630" w:leftChars="300" w:firstLine="411" w:firstLineChars="196"/>
        <w:rPr>
          <w:rFonts w:ascii="宋体" w:hAnsi="宋体"/>
          <w:szCs w:val="21"/>
        </w:rPr>
      </w:pPr>
      <w:r>
        <w:rPr>
          <w:rFonts w:hint="eastAsia" w:ascii="宋体" w:hAnsi="宋体"/>
          <w:szCs w:val="21"/>
        </w:rPr>
        <w:t>第二章  招标文件</w:t>
      </w:r>
    </w:p>
    <w:p w14:paraId="5F60043E">
      <w:pPr>
        <w:ind w:left="630" w:leftChars="300" w:firstLine="411" w:firstLineChars="196"/>
        <w:rPr>
          <w:rFonts w:ascii="宋体" w:hAnsi="宋体"/>
          <w:szCs w:val="21"/>
        </w:rPr>
      </w:pPr>
      <w:r>
        <w:rPr>
          <w:rFonts w:hint="eastAsia" w:ascii="宋体" w:hAnsi="宋体"/>
          <w:szCs w:val="21"/>
        </w:rPr>
        <w:t>第三章  投标文件的编制</w:t>
      </w:r>
    </w:p>
    <w:p w14:paraId="133668E9">
      <w:pPr>
        <w:ind w:left="630" w:leftChars="300" w:firstLine="411" w:firstLineChars="196"/>
        <w:rPr>
          <w:rFonts w:ascii="宋体" w:hAnsi="宋体"/>
          <w:szCs w:val="21"/>
        </w:rPr>
      </w:pPr>
      <w:r>
        <w:rPr>
          <w:rFonts w:hint="eastAsia" w:ascii="宋体" w:hAnsi="宋体"/>
          <w:szCs w:val="21"/>
        </w:rPr>
        <w:t>第四章  投标文件的递交</w:t>
      </w:r>
    </w:p>
    <w:p w14:paraId="6DFA4FED">
      <w:pPr>
        <w:ind w:left="630" w:leftChars="300" w:firstLine="411" w:firstLineChars="196"/>
        <w:rPr>
          <w:rFonts w:ascii="宋体" w:hAnsi="宋体"/>
          <w:szCs w:val="21"/>
        </w:rPr>
      </w:pPr>
      <w:r>
        <w:rPr>
          <w:rFonts w:hint="eastAsia" w:ascii="宋体" w:hAnsi="宋体"/>
          <w:szCs w:val="21"/>
        </w:rPr>
        <w:t>第五章  开标</w:t>
      </w:r>
    </w:p>
    <w:p w14:paraId="5718BDBD">
      <w:pPr>
        <w:ind w:left="630" w:leftChars="300" w:firstLine="411" w:firstLineChars="196"/>
        <w:rPr>
          <w:rFonts w:ascii="宋体" w:hAnsi="宋体"/>
          <w:szCs w:val="21"/>
        </w:rPr>
      </w:pPr>
      <w:r>
        <w:rPr>
          <w:rFonts w:hint="eastAsia" w:ascii="宋体" w:hAnsi="宋体"/>
          <w:szCs w:val="21"/>
        </w:rPr>
        <w:t>第六章  评标要求</w:t>
      </w:r>
    </w:p>
    <w:p w14:paraId="5155502A">
      <w:pPr>
        <w:ind w:left="630" w:leftChars="300" w:firstLine="411" w:firstLineChars="196"/>
        <w:rPr>
          <w:rFonts w:ascii="宋体" w:hAnsi="宋体"/>
          <w:szCs w:val="21"/>
        </w:rPr>
      </w:pPr>
      <w:r>
        <w:rPr>
          <w:rFonts w:hint="eastAsia" w:ascii="宋体" w:hAnsi="宋体"/>
          <w:szCs w:val="21"/>
        </w:rPr>
        <w:t>第七章  评标程序及评标方法</w:t>
      </w:r>
    </w:p>
    <w:p w14:paraId="6749F0EA">
      <w:pPr>
        <w:ind w:left="630" w:leftChars="300" w:firstLine="411" w:firstLineChars="196"/>
        <w:rPr>
          <w:rFonts w:ascii="宋体" w:hAnsi="宋体"/>
          <w:szCs w:val="21"/>
        </w:rPr>
      </w:pPr>
      <w:r>
        <w:rPr>
          <w:rFonts w:hint="eastAsia" w:ascii="宋体" w:hAnsi="宋体"/>
          <w:szCs w:val="21"/>
        </w:rPr>
        <w:t>第八章  定标及公示</w:t>
      </w:r>
    </w:p>
    <w:p w14:paraId="089C7253">
      <w:pPr>
        <w:ind w:left="630" w:leftChars="300" w:firstLine="411" w:firstLineChars="196"/>
        <w:rPr>
          <w:rFonts w:ascii="宋体" w:hAnsi="宋体"/>
          <w:szCs w:val="21"/>
        </w:rPr>
      </w:pPr>
      <w:r>
        <w:rPr>
          <w:rFonts w:hint="eastAsia" w:ascii="宋体" w:hAnsi="宋体"/>
          <w:szCs w:val="21"/>
        </w:rPr>
        <w:t>第九章  公开招标失败的后续处理</w:t>
      </w:r>
    </w:p>
    <w:p w14:paraId="39F2FC8A">
      <w:pPr>
        <w:ind w:left="630" w:leftChars="300" w:firstLine="411" w:firstLineChars="196"/>
        <w:rPr>
          <w:rFonts w:ascii="宋体" w:hAnsi="宋体"/>
          <w:szCs w:val="21"/>
        </w:rPr>
      </w:pPr>
      <w:r>
        <w:rPr>
          <w:rFonts w:hint="eastAsia" w:ascii="宋体" w:hAnsi="宋体"/>
          <w:szCs w:val="21"/>
        </w:rPr>
        <w:t>第十章  合同的授予与备案</w:t>
      </w:r>
    </w:p>
    <w:p w14:paraId="1D6F1A26">
      <w:pPr>
        <w:ind w:left="630" w:leftChars="300" w:firstLine="411" w:firstLineChars="196"/>
        <w:rPr>
          <w:rFonts w:ascii="宋体" w:hAnsi="宋体"/>
          <w:szCs w:val="21"/>
        </w:rPr>
      </w:pPr>
      <w:r>
        <w:rPr>
          <w:rFonts w:hint="eastAsia" w:ascii="宋体" w:hAnsi="宋体"/>
          <w:szCs w:val="21"/>
        </w:rPr>
        <w:t>第十一章  质疑处理</w:t>
      </w:r>
    </w:p>
    <w:p w14:paraId="250B4742">
      <w:pPr>
        <w:rPr>
          <w:rFonts w:ascii="Times New Roman" w:hAnsi="Times New Roman"/>
          <w:sz w:val="24"/>
          <w:szCs w:val="24"/>
        </w:rPr>
      </w:pPr>
    </w:p>
    <w:p w14:paraId="4F0D64DF">
      <w:pPr>
        <w:rPr>
          <w:rFonts w:ascii="Times New Roman" w:hAnsi="Times New Roman"/>
          <w:b/>
          <w:szCs w:val="24"/>
        </w:rPr>
      </w:pPr>
      <w:r>
        <w:rPr>
          <w:rFonts w:hint="eastAsia" w:ascii="Times New Roman" w:hAnsi="Times New Roman"/>
          <w:b/>
          <w:szCs w:val="24"/>
        </w:rPr>
        <w:t>备注：</w:t>
      </w:r>
    </w:p>
    <w:p w14:paraId="4DC08AA8">
      <w:pPr>
        <w:ind w:firstLine="420" w:firstLineChars="200"/>
        <w:rPr>
          <w:rFonts w:ascii="Times New Roman" w:hAnsi="Times New Roman"/>
          <w:b/>
          <w:szCs w:val="24"/>
        </w:rPr>
      </w:pPr>
      <w:r>
        <w:rPr>
          <w:rFonts w:hint="eastAsia" w:ascii="宋体" w:hAnsi="宋体"/>
          <w:szCs w:val="21"/>
        </w:rPr>
        <w:t>1.本招标文件分为第一册“专用条款”和第二册“通用条款”。</w:t>
      </w:r>
    </w:p>
    <w:p w14:paraId="278EE8EA">
      <w:pPr>
        <w:spacing w:line="360" w:lineRule="auto"/>
        <w:ind w:firstLine="420" w:firstLineChars="200"/>
        <w:jc w:val="left"/>
        <w:rPr>
          <w:rFonts w:ascii="宋体" w:hAnsi="宋体"/>
          <w:szCs w:val="21"/>
        </w:rPr>
      </w:pPr>
      <w:r>
        <w:rPr>
          <w:rFonts w:hint="eastAsia" w:ascii="宋体" w:hAnsi="宋体"/>
          <w:szCs w:val="21"/>
        </w:rPr>
        <w:t>2.“专用条款”是对本次采购项目的具体要求，包含招标公告、招标项目需求、投标文件格式、合同及履约情况反馈格式等内容。</w:t>
      </w:r>
    </w:p>
    <w:p w14:paraId="60E261C5">
      <w:pPr>
        <w:spacing w:line="360" w:lineRule="auto"/>
        <w:ind w:firstLine="420" w:firstLineChars="200"/>
        <w:jc w:val="left"/>
        <w:rPr>
          <w:rFonts w:ascii="宋体" w:hAnsi="宋体"/>
          <w:szCs w:val="21"/>
        </w:rPr>
      </w:pPr>
      <w:r>
        <w:rPr>
          <w:rFonts w:hint="eastAsia" w:ascii="宋体" w:hAnsi="宋体"/>
          <w:szCs w:val="21"/>
        </w:rPr>
        <w:t>3.“通用条款”是适用于政府采购项目的基础性条款，具有普遍性和通用性。</w:t>
      </w:r>
    </w:p>
    <w:p w14:paraId="7BE843AA">
      <w:pPr>
        <w:spacing w:line="360" w:lineRule="auto"/>
        <w:ind w:firstLine="420" w:firstLineChars="200"/>
        <w:jc w:val="left"/>
        <w:rPr>
          <w:rFonts w:ascii="宋体" w:hAnsi="宋体"/>
          <w:szCs w:val="21"/>
        </w:rPr>
      </w:pPr>
      <w:r>
        <w:rPr>
          <w:rFonts w:hint="eastAsia" w:ascii="宋体" w:hAnsi="宋体"/>
          <w:szCs w:val="21"/>
        </w:rPr>
        <w:t>4.当出现“专用条款”和“通用条款”表述不一致或有冲突时，以“专用条款”为准。</w:t>
      </w:r>
    </w:p>
    <w:p w14:paraId="2A5B7EFC">
      <w:pPr>
        <w:rPr>
          <w:rFonts w:ascii="宋体" w:hAnsi="宋体"/>
          <w:szCs w:val="21"/>
        </w:rPr>
      </w:pPr>
    </w:p>
    <w:p w14:paraId="4D50EC61">
      <w:pPr>
        <w:widowControl/>
        <w:jc w:val="left"/>
        <w:rPr>
          <w:rFonts w:ascii="宋体" w:hAnsi="宋体" w:eastAsia="黑体"/>
          <w:b/>
          <w:bCs/>
          <w:kern w:val="44"/>
          <w:sz w:val="28"/>
          <w:szCs w:val="44"/>
        </w:rPr>
      </w:pPr>
      <w:r>
        <w:rPr>
          <w:rFonts w:ascii="Times New Roman" w:hAnsi="Times New Roman"/>
          <w:szCs w:val="24"/>
        </w:rPr>
        <w:br w:type="page"/>
      </w:r>
    </w:p>
    <w:p w14:paraId="7E9A7410">
      <w:pPr>
        <w:keepNext/>
        <w:keepLines/>
        <w:spacing w:before="340" w:after="330" w:line="360" w:lineRule="auto"/>
        <w:jc w:val="center"/>
        <w:outlineLvl w:val="0"/>
        <w:rPr>
          <w:rFonts w:ascii="宋体" w:hAnsi="宋体" w:eastAsia="黑体"/>
          <w:b/>
          <w:bCs/>
          <w:kern w:val="44"/>
          <w:sz w:val="24"/>
          <w:szCs w:val="44"/>
        </w:rPr>
      </w:pPr>
      <w:r>
        <w:rPr>
          <w:rFonts w:hint="eastAsia" w:ascii="宋体" w:hAnsi="宋体" w:eastAsia="黑体"/>
          <w:b/>
          <w:bCs/>
          <w:kern w:val="44"/>
          <w:sz w:val="28"/>
          <w:szCs w:val="44"/>
        </w:rPr>
        <w:t>第一册  专用条款</w:t>
      </w:r>
    </w:p>
    <w:p w14:paraId="4BAA5C42">
      <w:pPr>
        <w:keepNext/>
        <w:keepLines/>
        <w:adjustRightInd w:val="0"/>
        <w:spacing w:before="260" w:after="260" w:line="360" w:lineRule="exact"/>
        <w:jc w:val="center"/>
        <w:textAlignment w:val="baseline"/>
        <w:outlineLvl w:val="1"/>
        <w:rPr>
          <w:rFonts w:ascii="宋体" w:hAnsi="宋体"/>
          <w:b/>
          <w:bCs/>
          <w:kern w:val="0"/>
          <w:sz w:val="24"/>
          <w:szCs w:val="20"/>
        </w:rPr>
      </w:pPr>
      <w:r>
        <w:rPr>
          <w:rFonts w:hint="eastAsia" w:ascii="宋体" w:hAnsi="宋体"/>
          <w:b/>
          <w:bCs/>
          <w:kern w:val="0"/>
          <w:sz w:val="24"/>
          <w:szCs w:val="20"/>
        </w:rPr>
        <w:t>第一章  招标公告</w:t>
      </w:r>
    </w:p>
    <w:p w14:paraId="50069A6A">
      <w:pPr>
        <w:spacing w:line="360" w:lineRule="exact"/>
        <w:rPr>
          <w:rFonts w:ascii="宋体" w:hAnsi="宋体"/>
          <w:vanish/>
          <w:szCs w:val="21"/>
        </w:rPr>
      </w:pPr>
    </w:p>
    <w:p w14:paraId="13764FA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项目概况:</w:t>
      </w:r>
    </w:p>
    <w:p w14:paraId="1C0F949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cs="宋体"/>
          <w:sz w:val="21"/>
          <w:szCs w:val="21"/>
          <w:lang w:eastAsia="zh-CN"/>
        </w:rPr>
        <w:t>圳品工程--“圳品”标准体系建设和评价监督推广项目</w:t>
      </w:r>
      <w:r>
        <w:rPr>
          <w:rFonts w:hint="eastAsia" w:ascii="宋体" w:hAnsi="宋体" w:eastAsia="宋体" w:cs="宋体"/>
          <w:sz w:val="21"/>
          <w:szCs w:val="21"/>
        </w:rPr>
        <w:t xml:space="preserve">招标项目的潜在投标人应在（本公告附件中）获取招标文件，并于 </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 xml:space="preserve">前递交投标文件。 </w:t>
      </w:r>
    </w:p>
    <w:p w14:paraId="1963F95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52AB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一、项目基本情况</w:t>
      </w:r>
    </w:p>
    <w:p w14:paraId="2C9403A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项目编号：</w:t>
      </w:r>
      <w:r>
        <w:rPr>
          <w:rFonts w:hint="eastAsia" w:cs="宋体"/>
          <w:sz w:val="21"/>
          <w:szCs w:val="21"/>
          <w:lang w:eastAsia="zh-CN"/>
        </w:rPr>
        <w:t>SZDL2026000760</w:t>
      </w:r>
    </w:p>
    <w:p w14:paraId="4B84924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项目名称：</w:t>
      </w:r>
      <w:r>
        <w:rPr>
          <w:rFonts w:hint="eastAsia" w:cs="宋体"/>
          <w:sz w:val="21"/>
          <w:szCs w:val="21"/>
          <w:lang w:eastAsia="zh-CN"/>
        </w:rPr>
        <w:t>圳品工程--“圳品”标准体系建设和评价监督推广项目</w:t>
      </w:r>
    </w:p>
    <w:p w14:paraId="3CE3C48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lang w:eastAsia="zh-CN"/>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预算金额：</w:t>
      </w:r>
      <w:r>
        <w:rPr>
          <w:rFonts w:hint="eastAsia" w:cs="宋体"/>
          <w:sz w:val="21"/>
          <w:szCs w:val="21"/>
          <w:lang w:eastAsia="zh-CN"/>
        </w:rPr>
        <w:t>1,200,000.00元</w:t>
      </w:r>
    </w:p>
    <w:p w14:paraId="7F1C399F">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最高限价：</w:t>
      </w:r>
      <w:r>
        <w:rPr>
          <w:rFonts w:hint="eastAsia" w:cs="宋体"/>
          <w:sz w:val="21"/>
          <w:szCs w:val="21"/>
          <w:lang w:eastAsia="zh-CN"/>
        </w:rPr>
        <w:t>1,200,000.00元</w:t>
      </w:r>
    </w:p>
    <w:p w14:paraId="482174B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采购需求：</w:t>
      </w:r>
    </w:p>
    <w:tbl>
      <w:tblPr>
        <w:tblStyle w:val="42"/>
        <w:tblW w:w="8505" w:type="dxa"/>
        <w:tblInd w:w="60" w:type="dxa"/>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Layout w:type="autofit"/>
        <w:tblCellMar>
          <w:top w:w="60" w:type="dxa"/>
          <w:left w:w="60" w:type="dxa"/>
          <w:bottom w:w="60" w:type="dxa"/>
          <w:right w:w="60" w:type="dxa"/>
        </w:tblCellMar>
      </w:tblPr>
      <w:tblGrid>
        <w:gridCol w:w="2261"/>
        <w:gridCol w:w="680"/>
        <w:gridCol w:w="720"/>
        <w:gridCol w:w="3994"/>
        <w:gridCol w:w="850"/>
      </w:tblGrid>
      <w:tr w14:paraId="1C9F5038">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7D308B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标的名称</w:t>
            </w:r>
          </w:p>
        </w:tc>
        <w:tc>
          <w:tcPr>
            <w:tcW w:w="68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6FE7FC1">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数量</w:t>
            </w:r>
          </w:p>
        </w:tc>
        <w:tc>
          <w:tcPr>
            <w:tcW w:w="72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68C0CB35">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单位</w:t>
            </w:r>
          </w:p>
        </w:tc>
        <w:tc>
          <w:tcPr>
            <w:tcW w:w="3994"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448EF500">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简要技术需求（服务需求）</w:t>
            </w:r>
          </w:p>
        </w:tc>
        <w:tc>
          <w:tcPr>
            <w:tcW w:w="850" w:type="dxa"/>
            <w:tcBorders>
              <w:top w:val="outset" w:color="AAAAAA" w:sz="6" w:space="0"/>
              <w:left w:val="outset" w:color="AAAAAA" w:sz="6" w:space="0"/>
              <w:bottom w:val="outset" w:color="AAAAAA" w:sz="6" w:space="0"/>
              <w:right w:val="outset" w:color="AAAAAA" w:sz="6" w:space="0"/>
            </w:tcBorders>
            <w:shd w:val="clear" w:color="auto" w:fill="ABCDEF"/>
            <w:vAlign w:val="center"/>
          </w:tcPr>
          <w:p w14:paraId="0DA4FE98">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备注</w:t>
            </w:r>
          </w:p>
        </w:tc>
      </w:tr>
      <w:tr w14:paraId="5DE4AC04">
        <w:tblPrEx>
          <w:tblBorders>
            <w:top w:val="outset" w:color="AAAAAA" w:sz="6" w:space="0"/>
            <w:left w:val="outset" w:color="AAAAAA" w:sz="6" w:space="0"/>
            <w:bottom w:val="outset" w:color="AAAAAA" w:sz="6" w:space="0"/>
            <w:right w:val="outset" w:color="AAAAAA" w:sz="6" w:space="0"/>
            <w:insideH w:val="outset" w:color="AAAAAA" w:sz="6" w:space="0"/>
            <w:insideV w:val="outset" w:color="AAAAAA" w:sz="6" w:space="0"/>
          </w:tblBorders>
          <w:tblCellMar>
            <w:top w:w="60" w:type="dxa"/>
            <w:left w:w="60" w:type="dxa"/>
            <w:bottom w:w="60" w:type="dxa"/>
            <w:right w:w="60" w:type="dxa"/>
          </w:tblCellMar>
        </w:tblPrEx>
        <w:trPr>
          <w:trHeight w:val="462" w:hRule="atLeast"/>
        </w:trPr>
        <w:tc>
          <w:tcPr>
            <w:tcW w:w="2261" w:type="dxa"/>
            <w:tcBorders>
              <w:top w:val="outset" w:color="AAAAAA" w:sz="6" w:space="0"/>
              <w:left w:val="outset" w:color="AAAAAA" w:sz="6" w:space="0"/>
              <w:bottom w:val="outset" w:color="AAAAAA" w:sz="6" w:space="0"/>
              <w:right w:val="outset" w:color="AAAAAA" w:sz="6" w:space="0"/>
            </w:tcBorders>
            <w:shd w:val="clear" w:color="auto" w:fill="auto"/>
            <w:vAlign w:val="center"/>
          </w:tcPr>
          <w:p w14:paraId="3948F4AB">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cs="宋体"/>
                <w:sz w:val="21"/>
                <w:szCs w:val="21"/>
                <w:lang w:eastAsia="zh-CN"/>
              </w:rPr>
              <w:t>“圳品”证后监督抽样检测技术服务项目（1）</w:t>
            </w:r>
          </w:p>
        </w:tc>
        <w:tc>
          <w:tcPr>
            <w:tcW w:w="68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A5CB1A0">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2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4150A6B3">
            <w:pPr>
              <w:keepNext w:val="0"/>
              <w:keepLines w:val="0"/>
              <w:pageBreakBefore w:val="0"/>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项</w:t>
            </w:r>
          </w:p>
        </w:tc>
        <w:tc>
          <w:tcPr>
            <w:tcW w:w="3994" w:type="dxa"/>
            <w:tcBorders>
              <w:top w:val="outset" w:color="AAAAAA" w:sz="6" w:space="0"/>
              <w:left w:val="outset" w:color="AAAAAA" w:sz="6" w:space="0"/>
              <w:bottom w:val="outset" w:color="AAAAAA" w:sz="6" w:space="0"/>
              <w:right w:val="outset" w:color="AAAAAA" w:sz="6" w:space="0"/>
            </w:tcBorders>
            <w:shd w:val="clear" w:color="auto" w:fill="auto"/>
            <w:vAlign w:val="center"/>
          </w:tcPr>
          <w:p w14:paraId="03FD4F58">
            <w:pPr>
              <w:keepNext w:val="0"/>
              <w:keepLines w:val="0"/>
              <w:pageBreakBefore w:val="0"/>
              <w:kinsoku/>
              <w:wordWrap/>
              <w:overflowPunct/>
              <w:topLinePunct w:val="0"/>
              <w:autoSpaceDE/>
              <w:autoSpaceDN/>
              <w:bidi w:val="0"/>
              <w:spacing w:beforeAutospacing="0" w:afterAutospacing="0" w:line="360" w:lineRule="exact"/>
              <w:jc w:val="left"/>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服务主要内容为在检测资质范围内对获证产品进行抽样、检测工作，组织实施不少于300个已获评“圳品”产品的证后监督抽样检测，且食用农产品的抽检数量不少于160个</w:t>
            </w:r>
            <w:r>
              <w:rPr>
                <w:rFonts w:hint="eastAsia" w:ascii="宋体" w:hAnsi="宋体" w:cs="宋体"/>
                <w:sz w:val="21"/>
                <w:szCs w:val="21"/>
                <w:lang w:val="en-US" w:eastAsia="zh-CN"/>
              </w:rPr>
              <w:t>。</w:t>
            </w:r>
          </w:p>
        </w:tc>
        <w:tc>
          <w:tcPr>
            <w:tcW w:w="850" w:type="dxa"/>
            <w:tcBorders>
              <w:top w:val="outset" w:color="AAAAAA" w:sz="6" w:space="0"/>
              <w:left w:val="outset" w:color="AAAAAA" w:sz="6" w:space="0"/>
              <w:bottom w:val="outset" w:color="AAAAAA" w:sz="6" w:space="0"/>
              <w:right w:val="outset" w:color="AAAAAA" w:sz="6" w:space="0"/>
            </w:tcBorders>
            <w:shd w:val="clear" w:color="auto" w:fill="auto"/>
            <w:vAlign w:val="center"/>
          </w:tcPr>
          <w:p w14:paraId="6F49FE07">
            <w:pPr>
              <w:keepNext w:val="0"/>
              <w:keepLines w:val="0"/>
              <w:pageBreakBefore w:val="0"/>
              <w:widowControl/>
              <w:kinsoku/>
              <w:wordWrap/>
              <w:overflowPunct/>
              <w:topLinePunct w:val="0"/>
              <w:autoSpaceDE/>
              <w:autoSpaceDN/>
              <w:bidi w:val="0"/>
              <w:spacing w:beforeAutospacing="0" w:afterAutospacing="0" w:line="36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无</w:t>
            </w:r>
          </w:p>
        </w:tc>
      </w:tr>
    </w:tbl>
    <w:p w14:paraId="49FB0E7A">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3A440663">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二、申请人的资格要求：</w:t>
      </w:r>
    </w:p>
    <w:p w14:paraId="1D6F6BA4">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满足《中华人民共和国政府采购法》第二十二条规定</w:t>
      </w:r>
      <w:r>
        <w:rPr>
          <w:rFonts w:hint="eastAsia" w:ascii="宋体" w:hAnsi="宋体" w:eastAsia="宋体" w:cs="宋体"/>
          <w:snapToGrid w:val="0"/>
          <w:sz w:val="21"/>
          <w:szCs w:val="21"/>
        </w:rPr>
        <w:t>（须提供具有独立承担民事责任能力的法人或其他组织</w:t>
      </w:r>
      <w:r>
        <w:rPr>
          <w:rFonts w:hint="eastAsia" w:cs="宋体"/>
          <w:snapToGrid w:val="0"/>
          <w:sz w:val="21"/>
          <w:szCs w:val="21"/>
          <w:lang w:eastAsia="zh-CN"/>
        </w:rPr>
        <w:t>或自然人</w:t>
      </w:r>
      <w:r>
        <w:rPr>
          <w:rFonts w:hint="eastAsia" w:ascii="宋体" w:hAnsi="宋体" w:eastAsia="宋体" w:cs="宋体"/>
          <w:snapToGrid w:val="0"/>
          <w:sz w:val="21"/>
          <w:szCs w:val="21"/>
        </w:rPr>
        <w:t>的营业执照或法人证书等证明材料扫描件以及《</w:t>
      </w:r>
      <w:r>
        <w:rPr>
          <w:rFonts w:hint="eastAsia" w:ascii="宋体" w:hAnsi="宋体" w:eastAsia="宋体" w:cs="宋体"/>
          <w:sz w:val="21"/>
          <w:szCs w:val="21"/>
        </w:rPr>
        <w:t>政府采购投标及履约承诺函</w:t>
      </w:r>
      <w:r>
        <w:rPr>
          <w:rFonts w:hint="eastAsia" w:ascii="宋体" w:hAnsi="宋体" w:eastAsia="宋体" w:cs="宋体"/>
          <w:snapToGrid w:val="0"/>
          <w:sz w:val="21"/>
          <w:szCs w:val="21"/>
        </w:rPr>
        <w:t>》）。如果是分支机构参与投标，还须同时提供其具有独立法人资格的上级主体出具的有效授权书及上级主体的营业执照或法人证书等证明材料扫描件；本项目不接受总公司与分支机构同时参与投标，也不接受同一总公司有两个或以上分支机构参与投标，如出现以上情形，该两家或以上投标人均按无效投标处理</w:t>
      </w:r>
      <w:r>
        <w:rPr>
          <w:rFonts w:hint="eastAsia" w:ascii="宋体" w:hAnsi="宋体" w:eastAsia="宋体" w:cs="宋体"/>
          <w:sz w:val="21"/>
          <w:szCs w:val="21"/>
        </w:rPr>
        <w:t xml:space="preserve">。 </w:t>
      </w:r>
    </w:p>
    <w:p w14:paraId="3BD9D0EF">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落实政府采购政策需满足的资格要求：无。 </w:t>
      </w:r>
    </w:p>
    <w:p w14:paraId="783E4239">
      <w:pPr>
        <w:pStyle w:val="37"/>
        <w:keepNext w:val="0"/>
        <w:keepLines w:val="0"/>
        <w:pageBreakBefore w:val="0"/>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本项目的特定资格要求：</w:t>
      </w:r>
    </w:p>
    <w:p w14:paraId="783E8EA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（1）参与本项目采购活动前三年内，在经营活动中没有重大违法记录（须按本项目投标文件格式要求提供《政府采购投标及履约承诺函》）；</w:t>
      </w:r>
    </w:p>
    <w:p w14:paraId="18D4BA89">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（2）参与本项目政府采购活动时不存在被有关部门禁止参与政府采购活动且在有效期内的情况（须按本项目投标文件格式要求提供《政府采购投标及履约承诺函》）；</w:t>
      </w:r>
    </w:p>
    <w:p w14:paraId="7619A3B3">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3）除单一来源采购项目外，为采购项目提供整体设计、规范编制或者项目管理、监理、检测等服务的供应商，不得再参加该采购项目的其他采购活动（须按本项目投标文件格式要求提供《政府采购投标及履约承诺函》）；</w:t>
      </w:r>
    </w:p>
    <w:p w14:paraId="07E55A97">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4</w:t>
      </w:r>
      <w:r>
        <w:rPr>
          <w:rFonts w:hint="eastAsia" w:ascii="宋体" w:hAnsi="宋体" w:eastAsia="宋体" w:cs="宋体"/>
          <w:snapToGrid w:val="0"/>
          <w:color w:val="auto"/>
          <w:sz w:val="21"/>
          <w:szCs w:val="21"/>
        </w:rPr>
        <w:t>）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w:t>
      </w:r>
      <w:r>
        <w:rPr>
          <w:rFonts w:hint="eastAsia" w:ascii="宋体" w:hAnsi="宋体" w:eastAsia="宋体" w:cs="宋体"/>
          <w:snapToGrid w:val="0"/>
          <w:color w:val="auto"/>
          <w:sz w:val="21"/>
          <w:szCs w:val="21"/>
          <w:lang w:eastAsia="zh-CN"/>
        </w:rPr>
        <w:t>；</w:t>
      </w:r>
    </w:p>
    <w:p w14:paraId="2410A02A">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5</w:t>
      </w:r>
      <w:r>
        <w:rPr>
          <w:rFonts w:hint="eastAsia" w:ascii="宋体" w:hAnsi="宋体" w:eastAsia="宋体" w:cs="宋体"/>
          <w:snapToGrid w:val="0"/>
          <w:color w:val="auto"/>
          <w:sz w:val="21"/>
          <w:szCs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宋体" w:hAnsi="宋体" w:eastAsia="宋体" w:cs="宋体"/>
          <w:snapToGrid w:val="0"/>
          <w:color w:val="auto"/>
          <w:sz w:val="21"/>
          <w:szCs w:val="21"/>
        </w:rPr>
        <w:t>（须按要求提供《供应商基本情况表》相关信息</w:t>
      </w:r>
      <w:r>
        <w:rPr>
          <w:rFonts w:hint="eastAsia" w:ascii="宋体" w:hAnsi="宋体" w:eastAsia="宋体" w:cs="宋体"/>
          <w:snapToGrid w:val="0"/>
          <w:color w:val="auto"/>
          <w:sz w:val="21"/>
          <w:szCs w:val="21"/>
          <w:lang w:eastAsia="zh-CN"/>
        </w:rPr>
        <w:t>，《供应商基本情况表》相关信息为不公开内容</w:t>
      </w: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eastAsia="zh-CN"/>
        </w:rPr>
        <w:t>；</w:t>
      </w:r>
    </w:p>
    <w:p w14:paraId="1786286B">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6</w:t>
      </w:r>
      <w:r>
        <w:rPr>
          <w:rFonts w:hint="eastAsia" w:ascii="宋体" w:hAnsi="宋体" w:eastAsia="宋体" w:cs="宋体"/>
          <w:snapToGrid w:val="0"/>
          <w:color w:val="auto"/>
          <w:sz w:val="21"/>
          <w:szCs w:val="21"/>
        </w:rPr>
        <w:t>）未被列入失信被执行人、重大税收违法案件当事人名单及政府采购严重违法失信行为记录名单（信用中国网</w:t>
      </w:r>
      <w:r>
        <w:rPr>
          <w:rFonts w:hint="eastAsia" w:ascii="宋体" w:hAnsi="宋体" w:eastAsia="宋体" w:cs="宋体"/>
          <w:snapToGrid w:val="0"/>
          <w:color w:val="auto"/>
          <w:sz w:val="21"/>
          <w:szCs w:val="21"/>
          <w:lang w:eastAsia="zh-CN"/>
        </w:rPr>
        <w:t>“信息公示”</w:t>
      </w:r>
      <w:r>
        <w:rPr>
          <w:rFonts w:hint="eastAsia" w:ascii="宋体" w:hAnsi="宋体" w:eastAsia="宋体" w:cs="宋体"/>
          <w:snapToGrid w:val="0"/>
          <w:color w:val="auto"/>
          <w:sz w:val="21"/>
          <w:szCs w:val="21"/>
        </w:rPr>
        <w:t>栏的“重大税收违法失信主体”、“失信被执行人”，中国政府采购网“政府采购严重违法失信行为记录名单”，深圳信用网以及深圳市政府采购监管网为供应商信用信息查询渠道，相关信息以开标当日的查询结果为准。由采购代理机构查询，供应商无需提供证明材料）；</w:t>
      </w:r>
    </w:p>
    <w:p w14:paraId="00D4E525">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w:t>
      </w:r>
      <w:r>
        <w:rPr>
          <w:rFonts w:hint="eastAsia" w:ascii="宋体" w:hAnsi="宋体" w:eastAsia="宋体" w:cs="宋体"/>
          <w:snapToGrid w:val="0"/>
          <w:color w:val="auto"/>
          <w:sz w:val="21"/>
          <w:szCs w:val="21"/>
          <w:lang w:val="en-US" w:eastAsia="zh-CN"/>
        </w:rPr>
        <w:t>7</w:t>
      </w:r>
      <w:r>
        <w:rPr>
          <w:rFonts w:hint="eastAsia" w:ascii="宋体" w:hAnsi="宋体" w:eastAsia="宋体" w:cs="宋体"/>
          <w:snapToGrid w:val="0"/>
          <w:color w:val="auto"/>
          <w:sz w:val="21"/>
          <w:szCs w:val="21"/>
        </w:rPr>
        <w:t>）本项目不接受联合体投标，不允许非法分包或转包</w:t>
      </w:r>
      <w:r>
        <w:rPr>
          <w:rFonts w:hint="eastAsia" w:ascii="宋体" w:hAnsi="宋体" w:eastAsia="宋体" w:cs="宋体"/>
          <w:snapToGrid w:val="0"/>
          <w:color w:val="auto"/>
          <w:sz w:val="21"/>
          <w:szCs w:val="21"/>
          <w:lang w:eastAsia="zh-CN"/>
        </w:rPr>
        <w:t>；</w:t>
      </w:r>
    </w:p>
    <w:p w14:paraId="403F678C">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8</w:t>
      </w: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FF0000"/>
          <w:sz w:val="21"/>
          <w:szCs w:val="21"/>
          <w:lang w:eastAsia="zh-CN"/>
        </w:rPr>
        <w:t>投标人须同时具备农产品质量安全检测机构考核合格证书（CATL）和检验检测机构资质认定证书(CMA)。（①提供在有效期内的证书扫描件，如证书上未体现年检记录或有效期的，需同时提供发证机构官方网站显示的年检或有效期的截图作为证明材料；②如国家另有规定，则适用其规定，投标人提供相关证明材料，如有效的资质证书及相关政府部门的规定）；</w:t>
      </w:r>
    </w:p>
    <w:p w14:paraId="4E4D6A9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lang w:eastAsia="zh-CN"/>
        </w:rPr>
        <w:t>（</w:t>
      </w:r>
      <w:r>
        <w:rPr>
          <w:rFonts w:hint="eastAsia" w:ascii="宋体" w:hAnsi="宋体" w:eastAsia="宋体" w:cs="宋体"/>
          <w:snapToGrid w:val="0"/>
          <w:color w:val="auto"/>
          <w:sz w:val="21"/>
          <w:szCs w:val="21"/>
          <w:lang w:val="en-US" w:eastAsia="zh-CN"/>
        </w:rPr>
        <w:t>9</w:t>
      </w:r>
      <w:r>
        <w:rPr>
          <w:rFonts w:hint="eastAsia" w:ascii="宋体" w:hAnsi="宋体" w:eastAsia="宋体" w:cs="宋体"/>
          <w:snapToGrid w:val="0"/>
          <w:color w:val="auto"/>
          <w:sz w:val="21"/>
          <w:szCs w:val="21"/>
          <w:lang w:eastAsia="zh-CN"/>
        </w:rPr>
        <w:t>）本项目分为A、B、C、D、E、F、G、H八个包，投标人可参与任意一个包或多个包投标，但只能成为其中一个包的中标人，即可兼投但不可兼中。评标时按A-B-C-D-E-F-G-H包的顺序评审，如投标人已被推荐为某包组第一候选中标供应商，则不得再参与其他包组评审。如某包组因供应商质疑等原因导致中标结果变更的，其他包组的中标结果不因此而受影响。</w:t>
      </w:r>
    </w:p>
    <w:p w14:paraId="6929EE0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p>
    <w:p w14:paraId="5315CB7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三、获取招标文件</w:t>
      </w:r>
    </w:p>
    <w:p w14:paraId="56070079">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时间：</w:t>
      </w:r>
      <w:r>
        <w:rPr>
          <w:rFonts w:hint="eastAsia" w:ascii="宋体" w:hAnsi="宋体" w:eastAsia="宋体" w:cs="宋体"/>
          <w:b/>
          <w:sz w:val="21"/>
          <w:szCs w:val="21"/>
          <w:u w:val="single"/>
        </w:rPr>
        <w:t>自本公告发布之日起至</w:t>
      </w:r>
      <w:r>
        <w:rPr>
          <w:rFonts w:hint="eastAsia" w:cs="宋体"/>
          <w:b/>
          <w:sz w:val="21"/>
          <w:szCs w:val="21"/>
          <w:u w:val="single"/>
          <w:lang w:eastAsia="zh-CN"/>
        </w:rPr>
        <w:t>2026</w:t>
      </w:r>
      <w:r>
        <w:rPr>
          <w:rFonts w:hint="eastAsia" w:ascii="宋体" w:hAnsi="宋体" w:eastAsia="宋体" w:cs="宋体"/>
          <w:b/>
          <w:sz w:val="21"/>
          <w:szCs w:val="21"/>
          <w:u w:val="single"/>
        </w:rPr>
        <w:t>年**月**日</w:t>
      </w:r>
      <w:r>
        <w:rPr>
          <w:rFonts w:hint="eastAsia" w:ascii="宋体" w:hAnsi="宋体" w:eastAsia="宋体" w:cs="宋体"/>
          <w:sz w:val="21"/>
          <w:szCs w:val="21"/>
        </w:rPr>
        <w:t xml:space="preserve">。 </w:t>
      </w:r>
    </w:p>
    <w:p w14:paraId="41952018">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firstLine="424" w:firstLineChars="202"/>
        <w:textAlignment w:val="auto"/>
        <w:rPr>
          <w:rFonts w:hint="eastAsia" w:ascii="宋体" w:hAnsi="宋体" w:eastAsia="宋体" w:cs="宋体"/>
          <w:snapToGrid w:val="0"/>
          <w:color w:val="auto"/>
          <w:sz w:val="21"/>
          <w:szCs w:val="21"/>
          <w:lang w:eastAsia="zh-CN"/>
        </w:rPr>
      </w:pPr>
      <w:r>
        <w:rPr>
          <w:rFonts w:hint="eastAsia" w:ascii="宋体" w:hAnsi="宋体" w:eastAsia="宋体" w:cs="宋体"/>
          <w:snapToGrid w:val="0"/>
          <w:color w:val="auto"/>
          <w:sz w:val="21"/>
          <w:szCs w:val="21"/>
        </w:rPr>
        <w:t>请有意参加该政府采购项目的供应商登录深圳政府采购智慧平台后下载招标(采购)文件</w:t>
      </w:r>
      <w:r>
        <w:rPr>
          <w:rFonts w:hint="eastAsia" w:ascii="宋体" w:hAnsi="宋体" w:eastAsia="宋体" w:cs="宋体"/>
          <w:snapToGrid w:val="0"/>
          <w:color w:val="auto"/>
          <w:sz w:val="21"/>
          <w:szCs w:val="21"/>
          <w:lang w:eastAsia="zh-CN"/>
        </w:rPr>
        <w:t>。</w:t>
      </w:r>
    </w:p>
    <w:p w14:paraId="055A5D60">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p>
    <w:p w14:paraId="633FB91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四、提交投标文件截止时间、开标时间和地点</w:t>
      </w:r>
    </w:p>
    <w:p w14:paraId="13D4C55A">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投标截止时间：所有投标文件应于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之前上传到深圳政府采购智慧平台（http://zfcg.szggzy.com:8081/）。</w:t>
      </w:r>
    </w:p>
    <w:p w14:paraId="457E9A70">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开标时间和地点：定于</w:t>
      </w:r>
      <w:r>
        <w:rPr>
          <w:rFonts w:hint="eastAsia" w:cs="宋体"/>
          <w:b/>
          <w:sz w:val="21"/>
          <w:szCs w:val="21"/>
          <w:u w:val="single"/>
          <w:lang w:eastAsia="zh-CN"/>
        </w:rPr>
        <w:t>2026</w:t>
      </w:r>
      <w:r>
        <w:rPr>
          <w:rFonts w:hint="eastAsia" w:ascii="宋体" w:hAnsi="宋体" w:eastAsia="宋体" w:cs="宋体"/>
          <w:b/>
          <w:sz w:val="21"/>
          <w:szCs w:val="21"/>
          <w:u w:val="single"/>
        </w:rPr>
        <w:t>年**月**日14:00（北京时间）</w:t>
      </w:r>
      <w:r>
        <w:rPr>
          <w:rFonts w:hint="eastAsia" w:ascii="宋体" w:hAnsi="宋体" w:eastAsia="宋体" w:cs="宋体"/>
          <w:sz w:val="21"/>
          <w:szCs w:val="21"/>
        </w:rPr>
        <w:t>，在深圳市中正招标有限公司公开开标。</w:t>
      </w:r>
    </w:p>
    <w:p w14:paraId="548DE0F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6" w:firstLineChars="202"/>
        <w:textAlignment w:val="auto"/>
        <w:rPr>
          <w:rFonts w:hint="eastAsia" w:ascii="宋体" w:hAnsi="宋体" w:eastAsia="宋体" w:cs="宋体"/>
          <w:b/>
          <w:sz w:val="21"/>
          <w:szCs w:val="21"/>
        </w:rPr>
      </w:pPr>
      <w:r>
        <w:rPr>
          <w:rFonts w:hint="eastAsia" w:ascii="宋体" w:hAnsi="宋体" w:eastAsia="宋体" w:cs="宋体"/>
          <w:b/>
          <w:sz w:val="21"/>
          <w:szCs w:val="21"/>
        </w:rPr>
        <w:t>3</w:t>
      </w:r>
      <w:r>
        <w:rPr>
          <w:rFonts w:hint="eastAsia" w:ascii="宋体" w:hAnsi="宋体" w:eastAsia="宋体" w:cs="宋体"/>
          <w:b/>
          <w:sz w:val="21"/>
          <w:szCs w:val="21"/>
          <w:lang w:val="en-US" w:eastAsia="zh-CN"/>
        </w:rPr>
        <w:t>.</w:t>
      </w:r>
      <w:r>
        <w:rPr>
          <w:rFonts w:hint="eastAsia" w:ascii="宋体" w:hAnsi="宋体" w:eastAsia="宋体" w:cs="宋体"/>
          <w:b/>
          <w:sz w:val="21"/>
          <w:szCs w:val="21"/>
        </w:rPr>
        <w:t>在线解密：投标人须在</w:t>
      </w:r>
      <w:r>
        <w:rPr>
          <w:rFonts w:hint="eastAsia" w:cs="宋体"/>
          <w:b/>
          <w:sz w:val="21"/>
          <w:szCs w:val="21"/>
          <w:u w:val="single"/>
          <w:lang w:eastAsia="zh-CN"/>
        </w:rPr>
        <w:t>2026</w:t>
      </w:r>
      <w:r>
        <w:rPr>
          <w:rFonts w:hint="eastAsia" w:ascii="宋体" w:hAnsi="宋体" w:eastAsia="宋体" w:cs="宋体"/>
          <w:b/>
          <w:sz w:val="21"/>
          <w:szCs w:val="21"/>
          <w:u w:val="single"/>
        </w:rPr>
        <w:t>年**月**日14:00-15:00（北京时间）</w:t>
      </w:r>
      <w:r>
        <w:rPr>
          <w:rFonts w:hint="eastAsia" w:ascii="宋体" w:hAnsi="宋体" w:eastAsia="宋体" w:cs="宋体"/>
          <w:b/>
          <w:sz w:val="21"/>
          <w:szCs w:val="21"/>
        </w:rPr>
        <w:t>期间进行解密，逾期未解密的作无效处理。</w:t>
      </w:r>
    </w:p>
    <w:p w14:paraId="1C672852">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420" w:leftChars="200"/>
        <w:textAlignment w:val="auto"/>
        <w:rPr>
          <w:rFonts w:hint="eastAsia" w:ascii="宋体" w:hAnsi="宋体" w:eastAsia="宋体" w:cs="宋体"/>
          <w:sz w:val="21"/>
          <w:szCs w:val="21"/>
        </w:rPr>
      </w:pPr>
    </w:p>
    <w:p w14:paraId="7C1ABF87">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五、公告期限</w:t>
      </w:r>
    </w:p>
    <w:p w14:paraId="690DC30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自本公告发布之日起5个工作日。</w:t>
      </w:r>
    </w:p>
    <w:p w14:paraId="2542FA7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0" w:firstLineChars="200"/>
        <w:textAlignment w:val="auto"/>
        <w:rPr>
          <w:rFonts w:hint="eastAsia" w:ascii="宋体" w:hAnsi="宋体" w:eastAsia="宋体" w:cs="宋体"/>
          <w:sz w:val="21"/>
          <w:szCs w:val="21"/>
        </w:rPr>
      </w:pPr>
    </w:p>
    <w:p w14:paraId="244B19B2">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六、其他补充事宜</w:t>
      </w:r>
    </w:p>
    <w:p w14:paraId="7F387A1C">
      <w:pPr>
        <w:pStyle w:val="37"/>
        <w:spacing w:before="0" w:beforeAutospacing="0" w:after="0" w:afterAutospacing="0" w:line="360" w:lineRule="exact"/>
        <w:ind w:firstLine="424" w:firstLineChars="202"/>
        <w:rPr>
          <w:sz w:val="21"/>
          <w:szCs w:val="21"/>
        </w:rPr>
      </w:pPr>
      <w:r>
        <w:rPr>
          <w:rFonts w:hint="eastAsia"/>
          <w:sz w:val="21"/>
          <w:szCs w:val="21"/>
        </w:rPr>
        <w:t>1.本项目实行网上投标，采用电子投标文件。</w:t>
      </w:r>
    </w:p>
    <w:p w14:paraId="6905DE94">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44CD79CD">
      <w:pPr>
        <w:pStyle w:val="37"/>
        <w:keepNext w:val="0"/>
        <w:keepLines w:val="0"/>
        <w:pageBreakBefore w:val="0"/>
        <w:widowControl/>
        <w:kinsoku/>
        <w:wordWrap/>
        <w:overflowPunct/>
        <w:topLinePunct w:val="0"/>
        <w:autoSpaceDE/>
        <w:autoSpaceDN/>
        <w:bidi w:val="0"/>
        <w:spacing w:before="0" w:beforeAutospacing="0" w:after="0" w:afterAutospacing="0" w:line="360" w:lineRule="exact"/>
        <w:textAlignment w:val="auto"/>
        <w:rPr>
          <w:rFonts w:hint="eastAsia" w:ascii="宋体" w:hAnsi="宋体" w:eastAsia="宋体" w:cs="宋体"/>
          <w:sz w:val="21"/>
          <w:szCs w:val="21"/>
        </w:rPr>
      </w:pPr>
      <w:r>
        <w:rPr>
          <w:rFonts w:hint="eastAsia" w:ascii="宋体" w:hAnsi="宋体" w:eastAsia="宋体" w:cs="宋体"/>
          <w:sz w:val="21"/>
          <w:szCs w:val="21"/>
        </w:rPr>
        <w:t>七、对本次招标提出询问，请按以下方式联系。</w:t>
      </w:r>
    </w:p>
    <w:p w14:paraId="0B7555FC">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采购人信息 </w:t>
      </w:r>
    </w:p>
    <w:p w14:paraId="025F701F">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名称：深圳市</w:t>
      </w:r>
      <w:r>
        <w:rPr>
          <w:rFonts w:hint="eastAsia" w:ascii="宋体" w:hAnsi="宋体" w:eastAsia="宋体" w:cs="宋体"/>
          <w:snapToGrid w:val="0"/>
          <w:color w:val="auto"/>
          <w:sz w:val="21"/>
          <w:szCs w:val="21"/>
          <w:lang w:val="en-US" w:eastAsia="zh-CN"/>
        </w:rPr>
        <w:t>市场监督管理局</w:t>
      </w:r>
    </w:p>
    <w:p w14:paraId="09BE18A2">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eastAsia" w:ascii="宋体" w:hAnsi="宋体" w:eastAsia="宋体" w:cs="宋体"/>
          <w:snapToGrid w:val="0"/>
          <w:color w:val="auto"/>
          <w:sz w:val="21"/>
          <w:szCs w:val="21"/>
        </w:rPr>
      </w:pPr>
      <w:r>
        <w:rPr>
          <w:rFonts w:hint="eastAsia" w:ascii="宋体" w:hAnsi="宋体" w:eastAsia="宋体" w:cs="宋体"/>
          <w:snapToGrid w:val="0"/>
          <w:color w:val="auto"/>
          <w:sz w:val="21"/>
          <w:szCs w:val="21"/>
        </w:rPr>
        <w:t>地址：深圳市</w:t>
      </w:r>
      <w:r>
        <w:rPr>
          <w:rFonts w:hint="eastAsia" w:ascii="宋体" w:hAnsi="宋体" w:eastAsia="宋体" w:cs="宋体"/>
          <w:snapToGrid w:val="0"/>
          <w:color w:val="auto"/>
          <w:sz w:val="21"/>
          <w:szCs w:val="21"/>
          <w:lang w:val="en-US" w:eastAsia="zh-CN"/>
        </w:rPr>
        <w:t>福田区</w:t>
      </w:r>
      <w:r>
        <w:rPr>
          <w:rFonts w:hint="eastAsia" w:ascii="宋体" w:hAnsi="宋体" w:eastAsia="宋体" w:cs="宋体"/>
          <w:snapToGrid w:val="0"/>
          <w:color w:val="auto"/>
          <w:sz w:val="21"/>
          <w:szCs w:val="21"/>
        </w:rPr>
        <w:t>深南大道7010号工商物价大厦</w:t>
      </w:r>
    </w:p>
    <w:p w14:paraId="540ED9C6">
      <w:pPr>
        <w:pStyle w:val="217"/>
        <w:keepNext w:val="0"/>
        <w:keepLines w:val="0"/>
        <w:pageBreakBefore w:val="0"/>
        <w:kinsoku/>
        <w:wordWrap/>
        <w:overflowPunct/>
        <w:topLinePunct w:val="0"/>
        <w:autoSpaceDE/>
        <w:autoSpaceDN/>
        <w:bidi w:val="0"/>
        <w:adjustRightInd w:val="0"/>
        <w:snapToGrid w:val="0"/>
        <w:spacing w:before="0" w:beforeAutospacing="0" w:after="0" w:afterAutospacing="0" w:line="360" w:lineRule="exact"/>
        <w:ind w:left="359" w:leftChars="171" w:firstLine="65" w:firstLineChars="31"/>
        <w:textAlignment w:val="auto"/>
        <w:rPr>
          <w:rFonts w:hint="default" w:ascii="宋体" w:hAnsi="宋体" w:eastAsia="宋体" w:cs="宋体"/>
          <w:snapToGrid w:val="0"/>
          <w:color w:val="auto"/>
          <w:sz w:val="21"/>
          <w:szCs w:val="21"/>
          <w:lang w:val="en-US" w:eastAsia="zh-CN"/>
        </w:rPr>
      </w:pPr>
      <w:r>
        <w:rPr>
          <w:rFonts w:hint="eastAsia" w:ascii="宋体" w:hAnsi="宋体" w:eastAsia="宋体" w:cs="宋体"/>
          <w:snapToGrid w:val="0"/>
          <w:color w:val="auto"/>
          <w:sz w:val="21"/>
          <w:szCs w:val="21"/>
        </w:rPr>
        <w:t>联系方式：</w:t>
      </w:r>
      <w:r>
        <w:rPr>
          <w:rFonts w:hint="eastAsia" w:ascii="宋体" w:hAnsi="宋体" w:eastAsia="宋体" w:cs="宋体"/>
          <w:snapToGrid w:val="0"/>
          <w:color w:val="auto"/>
          <w:sz w:val="21"/>
          <w:szCs w:val="21"/>
          <w:lang w:val="en-US" w:eastAsia="zh-CN"/>
        </w:rPr>
        <w:t>龙先生，0755-3070668</w:t>
      </w:r>
    </w:p>
    <w:p w14:paraId="1CB50C87">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采购代理机构信息 </w:t>
      </w:r>
    </w:p>
    <w:p w14:paraId="182020DE">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 xml:space="preserve">名称：深圳市中正招标有限公司 </w:t>
      </w:r>
    </w:p>
    <w:p w14:paraId="1C24E12D">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地址：深圳市福田区民田路171号新华保险大厦903</w:t>
      </w:r>
    </w:p>
    <w:p w14:paraId="2C7D12E3">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联系方式：0755-83026699</w:t>
      </w:r>
    </w:p>
    <w:p w14:paraId="2D65B9C6">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项目联系方式 </w:t>
      </w:r>
    </w:p>
    <w:p w14:paraId="150CD0D5">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default" w:ascii="宋体" w:hAnsi="宋体" w:eastAsia="宋体" w:cs="宋体"/>
          <w:sz w:val="21"/>
          <w:szCs w:val="21"/>
          <w:lang w:val="en-US" w:eastAsia="zh-CN"/>
        </w:rPr>
      </w:pPr>
      <w:r>
        <w:rPr>
          <w:rFonts w:hint="eastAsia" w:ascii="宋体" w:hAnsi="宋体" w:eastAsia="宋体" w:cs="宋体"/>
          <w:sz w:val="21"/>
          <w:szCs w:val="21"/>
        </w:rPr>
        <w:t>项目联系人：</w:t>
      </w:r>
      <w:r>
        <w:rPr>
          <w:rFonts w:hint="eastAsia" w:cs="宋体"/>
          <w:sz w:val="21"/>
          <w:szCs w:val="21"/>
          <w:lang w:val="en-US" w:eastAsia="zh-CN"/>
        </w:rPr>
        <w:t>庄工/周工</w:t>
      </w:r>
    </w:p>
    <w:p w14:paraId="510F3ABB">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电话：0755-83026699</w:t>
      </w:r>
    </w:p>
    <w:p w14:paraId="0D2DACA2">
      <w:pPr>
        <w:pStyle w:val="37"/>
        <w:keepNext w:val="0"/>
        <w:keepLines w:val="0"/>
        <w:pageBreakBefore w:val="0"/>
        <w:widowControl/>
        <w:kinsoku/>
        <w:wordWrap/>
        <w:overflowPunct/>
        <w:topLinePunct w:val="0"/>
        <w:autoSpaceDE/>
        <w:autoSpaceDN/>
        <w:bidi w:val="0"/>
        <w:spacing w:before="0" w:beforeAutospacing="0" w:after="0" w:afterAutospacing="0" w:line="360" w:lineRule="exact"/>
        <w:ind w:firstLine="424" w:firstLineChars="202"/>
        <w:textAlignment w:val="auto"/>
        <w:rPr>
          <w:rFonts w:hint="eastAsia" w:ascii="宋体" w:hAnsi="宋体" w:eastAsia="宋体" w:cs="宋体"/>
          <w:sz w:val="21"/>
          <w:szCs w:val="21"/>
        </w:rPr>
      </w:pPr>
    </w:p>
    <w:p w14:paraId="6987BA9E">
      <w:pPr>
        <w:pStyle w:val="37"/>
        <w:keepNext w:val="0"/>
        <w:keepLines w:val="0"/>
        <w:pageBreakBefore w:val="0"/>
        <w:widowControl/>
        <w:kinsoku/>
        <w:wordWrap/>
        <w:overflowPunct/>
        <w:topLinePunct w:val="0"/>
        <w:autoSpaceDE/>
        <w:autoSpaceDN/>
        <w:bidi w:val="0"/>
        <w:spacing w:before="0" w:beforeAutospacing="0" w:after="0" w:afterAutospacing="0" w:line="360" w:lineRule="exact"/>
        <w:ind w:left="0" w:leftChars="0" w:firstLine="422" w:firstLineChars="175"/>
        <w:textAlignment w:val="auto"/>
        <w:rPr>
          <w:rFonts w:hint="eastAsia" w:ascii="宋体" w:hAnsi="宋体" w:eastAsia="宋体" w:cs="宋体"/>
          <w:sz w:val="24"/>
          <w:szCs w:val="24"/>
        </w:rPr>
      </w:pPr>
      <w:r>
        <w:rPr>
          <w:rFonts w:hint="eastAsia" w:ascii="宋体" w:hAnsi="宋体" w:eastAsia="宋体" w:cs="宋体"/>
          <w:b/>
          <w:sz w:val="24"/>
          <w:szCs w:val="24"/>
        </w:rPr>
        <w:t>完整公告内容详见：深圳公共资源交易网（https://www.szggzy.com）</w:t>
      </w:r>
    </w:p>
    <w:p w14:paraId="1AF25C8C">
      <w:pPr>
        <w:spacing w:line="400" w:lineRule="exact"/>
        <w:jc w:val="right"/>
        <w:rPr>
          <w:rFonts w:ascii="宋体" w:hAnsi="宋体"/>
          <w:szCs w:val="21"/>
        </w:rPr>
      </w:pPr>
    </w:p>
    <w:p w14:paraId="03EFAC55">
      <w:pPr>
        <w:rPr>
          <w:rFonts w:hint="eastAsia" w:ascii="宋体" w:hAnsi="宋体"/>
          <w:b/>
          <w:bCs/>
          <w:kern w:val="0"/>
          <w:sz w:val="24"/>
          <w:szCs w:val="20"/>
        </w:rPr>
      </w:pPr>
      <w:r>
        <w:rPr>
          <w:rFonts w:hint="eastAsia" w:ascii="宋体" w:hAnsi="宋体"/>
          <w:b/>
          <w:bCs/>
          <w:kern w:val="0"/>
          <w:sz w:val="24"/>
          <w:szCs w:val="20"/>
        </w:rPr>
        <w:br w:type="page"/>
      </w:r>
    </w:p>
    <w:p w14:paraId="0DDAC345">
      <w:pPr>
        <w:keepNext/>
        <w:keepLines/>
        <w:adjustRightInd w:val="0"/>
        <w:spacing w:before="260" w:after="260"/>
        <w:jc w:val="center"/>
        <w:textAlignment w:val="baseline"/>
        <w:outlineLvl w:val="1"/>
        <w:rPr>
          <w:rFonts w:ascii="宋体" w:hAnsi="宋体"/>
          <w:b/>
          <w:bCs/>
          <w:kern w:val="0"/>
          <w:sz w:val="24"/>
          <w:szCs w:val="20"/>
        </w:rPr>
      </w:pPr>
      <w:r>
        <w:rPr>
          <w:rFonts w:hint="eastAsia" w:ascii="宋体" w:hAnsi="宋体"/>
          <w:b/>
          <w:bCs/>
          <w:kern w:val="0"/>
          <w:sz w:val="24"/>
          <w:szCs w:val="20"/>
        </w:rPr>
        <w:t>第二章  招标项目需求</w:t>
      </w:r>
    </w:p>
    <w:p w14:paraId="48A546D3">
      <w:pPr>
        <w:keepNext/>
        <w:keepLines/>
        <w:adjustRightInd w:val="0"/>
        <w:spacing w:beforeLines="50" w:afterLines="50"/>
        <w:jc w:val="center"/>
        <w:textAlignment w:val="baseline"/>
        <w:outlineLvl w:val="1"/>
        <w:rPr>
          <w:rFonts w:ascii="宋体" w:hAnsi="宋体"/>
          <w:b/>
          <w:bCs/>
          <w:kern w:val="0"/>
          <w:sz w:val="28"/>
          <w:szCs w:val="28"/>
        </w:rPr>
      </w:pPr>
      <w:bookmarkStart w:id="0" w:name="_Toc73521635"/>
      <w:bookmarkStart w:id="1" w:name="_Toc73521547"/>
      <w:bookmarkStart w:id="2" w:name="_Toc100052364"/>
      <w:bookmarkStart w:id="3" w:name="_Toc73517639"/>
      <w:bookmarkStart w:id="4" w:name="_Toc60631620"/>
      <w:bookmarkStart w:id="5" w:name="_Toc101074876"/>
      <w:bookmarkStart w:id="6" w:name="_Toc60560625"/>
      <w:bookmarkStart w:id="7" w:name="_Toc73518117"/>
      <w:r>
        <w:rPr>
          <w:rFonts w:hint="eastAsia" w:ascii="宋体" w:hAnsi="宋体"/>
          <w:b/>
          <w:bCs/>
          <w:kern w:val="0"/>
          <w:sz w:val="28"/>
          <w:szCs w:val="28"/>
        </w:rPr>
        <w:t>一、对通用条款的补充内容</w:t>
      </w:r>
    </w:p>
    <w:bookmarkEnd w:id="0"/>
    <w:bookmarkEnd w:id="1"/>
    <w:bookmarkEnd w:id="2"/>
    <w:bookmarkEnd w:id="3"/>
    <w:bookmarkEnd w:id="4"/>
    <w:bookmarkEnd w:id="5"/>
    <w:bookmarkEnd w:id="6"/>
    <w:bookmarkEnd w:id="7"/>
    <w:tbl>
      <w:tblPr>
        <w:tblStyle w:val="4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07"/>
        <w:gridCol w:w="2160"/>
        <w:gridCol w:w="5400"/>
      </w:tblGrid>
      <w:tr w14:paraId="3EA5A8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086B7641">
            <w:pPr>
              <w:jc w:val="center"/>
              <w:rPr>
                <w:rFonts w:ascii="宋体" w:hAnsi="宋体"/>
                <w:b/>
                <w:bCs/>
                <w:szCs w:val="24"/>
              </w:rPr>
            </w:pPr>
            <w:r>
              <w:rPr>
                <w:rFonts w:hint="eastAsia" w:ascii="宋体" w:hAnsi="宋体"/>
                <w:b/>
                <w:bCs/>
                <w:szCs w:val="24"/>
              </w:rPr>
              <w:t>序号</w:t>
            </w:r>
          </w:p>
        </w:tc>
        <w:tc>
          <w:tcPr>
            <w:tcW w:w="2160" w:type="dxa"/>
            <w:vAlign w:val="center"/>
          </w:tcPr>
          <w:p w14:paraId="10780A5F">
            <w:pPr>
              <w:jc w:val="center"/>
              <w:rPr>
                <w:rFonts w:ascii="宋体" w:hAnsi="宋体"/>
                <w:b/>
                <w:bCs/>
                <w:szCs w:val="24"/>
              </w:rPr>
            </w:pPr>
            <w:r>
              <w:rPr>
                <w:rFonts w:hint="eastAsia" w:ascii="宋体" w:hAnsi="宋体"/>
                <w:b/>
                <w:bCs/>
                <w:szCs w:val="24"/>
              </w:rPr>
              <w:t>内   容</w:t>
            </w:r>
          </w:p>
        </w:tc>
        <w:tc>
          <w:tcPr>
            <w:tcW w:w="5400" w:type="dxa"/>
            <w:vAlign w:val="center"/>
          </w:tcPr>
          <w:p w14:paraId="4FD576BF">
            <w:pPr>
              <w:jc w:val="center"/>
              <w:rPr>
                <w:rFonts w:ascii="宋体" w:hAnsi="宋体"/>
                <w:b/>
                <w:bCs/>
                <w:szCs w:val="24"/>
              </w:rPr>
            </w:pPr>
            <w:r>
              <w:rPr>
                <w:rFonts w:hint="eastAsia" w:ascii="宋体" w:hAnsi="宋体"/>
                <w:b/>
                <w:bCs/>
                <w:szCs w:val="24"/>
              </w:rPr>
              <w:t>规      定</w:t>
            </w:r>
          </w:p>
        </w:tc>
      </w:tr>
      <w:tr w14:paraId="22063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47052309">
            <w:pPr>
              <w:jc w:val="center"/>
              <w:rPr>
                <w:rFonts w:ascii="宋体" w:hAnsi="宋体"/>
                <w:szCs w:val="24"/>
              </w:rPr>
            </w:pPr>
            <w:r>
              <w:rPr>
                <w:rFonts w:hint="eastAsia" w:ascii="宋体" w:hAnsi="宋体"/>
                <w:szCs w:val="24"/>
              </w:rPr>
              <w:t>1</w:t>
            </w:r>
          </w:p>
        </w:tc>
        <w:tc>
          <w:tcPr>
            <w:tcW w:w="2160" w:type="dxa"/>
            <w:vAlign w:val="center"/>
          </w:tcPr>
          <w:p w14:paraId="0B046D36">
            <w:pPr>
              <w:jc w:val="center"/>
              <w:rPr>
                <w:rFonts w:ascii="Times New Roman" w:hAnsi="Times New Roman"/>
                <w:szCs w:val="24"/>
              </w:rPr>
            </w:pPr>
            <w:r>
              <w:rPr>
                <w:rFonts w:hint="eastAsia" w:ascii="Times New Roman" w:hAnsi="Times New Roman"/>
                <w:szCs w:val="24"/>
              </w:rPr>
              <w:t>联合体投标</w:t>
            </w:r>
          </w:p>
        </w:tc>
        <w:tc>
          <w:tcPr>
            <w:tcW w:w="5400" w:type="dxa"/>
            <w:vAlign w:val="center"/>
          </w:tcPr>
          <w:p w14:paraId="1BB9E4CE">
            <w:pPr>
              <w:rPr>
                <w:rFonts w:ascii="宋体" w:hAnsi="宋体"/>
                <w:snapToGrid w:val="0"/>
                <w:kern w:val="0"/>
                <w:szCs w:val="32"/>
                <w:lang w:val="zh-CN"/>
              </w:rPr>
            </w:pPr>
            <w:r>
              <w:rPr>
                <w:rFonts w:hint="eastAsia" w:ascii="宋体" w:hAnsi="宋体"/>
                <w:snapToGrid w:val="0"/>
                <w:kern w:val="0"/>
                <w:szCs w:val="32"/>
                <w:lang w:val="zh-CN"/>
              </w:rPr>
              <w:t>见《招标公告》中“项目基本情况”部分的相关内容</w:t>
            </w:r>
          </w:p>
        </w:tc>
      </w:tr>
      <w:tr w14:paraId="37CA20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664BD1C2">
            <w:pPr>
              <w:jc w:val="center"/>
              <w:rPr>
                <w:rFonts w:ascii="宋体" w:hAnsi="宋体"/>
                <w:szCs w:val="24"/>
              </w:rPr>
            </w:pPr>
            <w:r>
              <w:rPr>
                <w:rFonts w:hint="eastAsia" w:ascii="宋体" w:hAnsi="宋体"/>
                <w:szCs w:val="24"/>
              </w:rPr>
              <w:t>2</w:t>
            </w:r>
          </w:p>
        </w:tc>
        <w:tc>
          <w:tcPr>
            <w:tcW w:w="2160" w:type="dxa"/>
            <w:vAlign w:val="center"/>
          </w:tcPr>
          <w:p w14:paraId="314ADD8E">
            <w:pPr>
              <w:jc w:val="center"/>
              <w:rPr>
                <w:rFonts w:ascii="宋体" w:hAnsi="宋体"/>
                <w:szCs w:val="24"/>
              </w:rPr>
            </w:pPr>
            <w:r>
              <w:rPr>
                <w:rFonts w:hint="eastAsia" w:ascii="宋体" w:hAnsi="宋体"/>
                <w:szCs w:val="24"/>
              </w:rPr>
              <w:t>投标有效期</w:t>
            </w:r>
          </w:p>
        </w:tc>
        <w:tc>
          <w:tcPr>
            <w:tcW w:w="5400" w:type="dxa"/>
            <w:vAlign w:val="center"/>
          </w:tcPr>
          <w:p w14:paraId="28D7AF0E">
            <w:pPr>
              <w:rPr>
                <w:rFonts w:ascii="宋体" w:hAnsi="宋体"/>
                <w:szCs w:val="24"/>
              </w:rPr>
            </w:pPr>
            <w:r>
              <w:rPr>
                <w:rFonts w:hint="eastAsia" w:ascii="宋体" w:hAnsi="宋体"/>
                <w:szCs w:val="24"/>
                <w:u w:val="single"/>
              </w:rPr>
              <w:t>90</w:t>
            </w:r>
            <w:r>
              <w:rPr>
                <w:rFonts w:ascii="宋体" w:hAnsi="宋体"/>
                <w:szCs w:val="24"/>
                <w:u w:val="single"/>
              </w:rPr>
              <w:t>日历天</w:t>
            </w:r>
            <w:r>
              <w:rPr>
                <w:rFonts w:ascii="宋体" w:hAnsi="宋体"/>
                <w:szCs w:val="24"/>
              </w:rPr>
              <w:t>（从投标截止之日算起）</w:t>
            </w:r>
          </w:p>
        </w:tc>
      </w:tr>
      <w:tr w14:paraId="054194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65" w:hRule="atLeast"/>
          <w:jc w:val="center"/>
        </w:trPr>
        <w:tc>
          <w:tcPr>
            <w:tcW w:w="807" w:type="dxa"/>
            <w:vAlign w:val="center"/>
          </w:tcPr>
          <w:p w14:paraId="135EB724">
            <w:pPr>
              <w:jc w:val="center"/>
              <w:rPr>
                <w:rFonts w:ascii="宋体" w:hAnsi="宋体"/>
                <w:szCs w:val="24"/>
              </w:rPr>
            </w:pPr>
            <w:r>
              <w:rPr>
                <w:rFonts w:hint="eastAsia" w:ascii="宋体" w:hAnsi="宋体"/>
                <w:szCs w:val="24"/>
              </w:rPr>
              <w:t>3</w:t>
            </w:r>
          </w:p>
        </w:tc>
        <w:tc>
          <w:tcPr>
            <w:tcW w:w="2160" w:type="dxa"/>
            <w:vAlign w:val="center"/>
          </w:tcPr>
          <w:p w14:paraId="46E9B8BD">
            <w:pPr>
              <w:jc w:val="center"/>
              <w:rPr>
                <w:rFonts w:ascii="宋体" w:hAnsi="宋体"/>
                <w:szCs w:val="24"/>
              </w:rPr>
            </w:pPr>
            <w:r>
              <w:rPr>
                <w:rFonts w:hint="eastAsia" w:ascii="宋体" w:hAnsi="宋体"/>
                <w:szCs w:val="24"/>
              </w:rPr>
              <w:t>投标人的替代方案</w:t>
            </w:r>
          </w:p>
        </w:tc>
        <w:tc>
          <w:tcPr>
            <w:tcW w:w="5400" w:type="dxa"/>
            <w:vAlign w:val="center"/>
          </w:tcPr>
          <w:p w14:paraId="5B5CE8A7">
            <w:pPr>
              <w:rPr>
                <w:rFonts w:ascii="宋体" w:hAnsi="宋体"/>
                <w:szCs w:val="24"/>
              </w:rPr>
            </w:pPr>
            <w:r>
              <w:rPr>
                <w:rFonts w:hint="eastAsia" w:ascii="宋体" w:hAnsi="宋体"/>
                <w:szCs w:val="24"/>
              </w:rPr>
              <w:t>不允许</w:t>
            </w:r>
          </w:p>
        </w:tc>
      </w:tr>
      <w:tr w14:paraId="59FE2C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36A1C7E2">
            <w:pPr>
              <w:jc w:val="center"/>
              <w:rPr>
                <w:rFonts w:hint="eastAsia" w:ascii="宋体" w:hAnsi="宋体" w:eastAsia="宋体"/>
                <w:szCs w:val="24"/>
                <w:lang w:eastAsia="zh-CN"/>
              </w:rPr>
            </w:pPr>
            <w:r>
              <w:rPr>
                <w:rFonts w:hint="eastAsia" w:ascii="宋体" w:hAnsi="宋体"/>
                <w:szCs w:val="24"/>
                <w:lang w:val="en-US" w:eastAsia="zh-CN"/>
              </w:rPr>
              <w:t>4</w:t>
            </w:r>
          </w:p>
        </w:tc>
        <w:tc>
          <w:tcPr>
            <w:tcW w:w="2160" w:type="dxa"/>
            <w:vAlign w:val="center"/>
          </w:tcPr>
          <w:p w14:paraId="3FFBB985">
            <w:pPr>
              <w:jc w:val="center"/>
              <w:rPr>
                <w:rFonts w:hint="eastAsia" w:ascii="宋体" w:hAnsi="宋体" w:eastAsia="宋体"/>
                <w:szCs w:val="24"/>
                <w:lang w:eastAsia="zh-CN"/>
              </w:rPr>
            </w:pPr>
            <w:r>
              <w:rPr>
                <w:rFonts w:hint="eastAsia" w:ascii="宋体" w:hAnsi="宋体"/>
                <w:szCs w:val="24"/>
                <w:lang w:eastAsia="zh-CN"/>
              </w:rPr>
              <w:t>代理服务费</w:t>
            </w:r>
          </w:p>
        </w:tc>
        <w:tc>
          <w:tcPr>
            <w:tcW w:w="5400" w:type="dxa"/>
            <w:vAlign w:val="center"/>
          </w:tcPr>
          <w:p w14:paraId="474903D6">
            <w:pPr>
              <w:spacing w:line="360" w:lineRule="exact"/>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764022BF">
            <w:pPr>
              <w:spacing w:line="360" w:lineRule="exact"/>
              <w:rPr>
                <w:rFonts w:asciiTheme="minorEastAsia" w:hAnsiTheme="minorEastAsia" w:eastAsiaTheme="minorEastAsia"/>
                <w:szCs w:val="20"/>
              </w:rPr>
            </w:pPr>
            <w:r>
              <w:rPr>
                <w:rFonts w:hint="eastAsia" w:ascii="宋体"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szCs w:val="20"/>
              </w:rPr>
              <w:t>，费用下浮</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u w:val="single"/>
                <w:lang w:val="en-US" w:eastAsia="zh-CN"/>
              </w:rPr>
              <w:t>11</w:t>
            </w:r>
            <w:r>
              <w:rPr>
                <w:rFonts w:hint="eastAsia" w:asciiTheme="minorEastAsia" w:hAnsiTheme="minorEastAsia" w:eastAsiaTheme="minorEastAsia"/>
                <w:szCs w:val="20"/>
                <w:u w:val="single"/>
              </w:rPr>
              <w:t xml:space="preserve"> </w:t>
            </w:r>
            <w:r>
              <w:rPr>
                <w:rFonts w:hint="eastAsia" w:asciiTheme="minorEastAsia" w:hAnsiTheme="minorEastAsia" w:eastAsiaTheme="minorEastAsia"/>
                <w:szCs w:val="20"/>
              </w:rPr>
              <w:t>%。</w:t>
            </w:r>
          </w:p>
          <w:p w14:paraId="2BD2E046">
            <w:pPr>
              <w:spacing w:line="360" w:lineRule="exact"/>
              <w:rPr>
                <w:rFonts w:ascii="宋体" w:hAnsi="宋体"/>
              </w:rPr>
            </w:pPr>
            <w:r>
              <w:rPr>
                <w:rFonts w:hint="eastAsia" w:ascii="Times New Roman" w:hAnsi="宋体"/>
                <w:szCs w:val="24"/>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szCs w:val="24"/>
              </w:rPr>
              <w:t>，费用下浮</w:t>
            </w:r>
            <w:r>
              <w:rPr>
                <w:rFonts w:hint="eastAsia" w:asciiTheme="minorEastAsia" w:hAnsiTheme="minorEastAsia" w:eastAsiaTheme="minorEastAsia"/>
                <w:szCs w:val="24"/>
                <w:u w:val="single"/>
              </w:rPr>
              <w:t xml:space="preserve">  0  </w:t>
            </w:r>
            <w:r>
              <w:rPr>
                <w:rFonts w:hint="eastAsia" w:asciiTheme="minorEastAsia" w:hAnsiTheme="minorEastAsia" w:eastAsiaTheme="minorEastAsia"/>
                <w:szCs w:val="24"/>
              </w:rPr>
              <w:t>%，收取</w:t>
            </w:r>
            <w:r>
              <w:rPr>
                <w:rFonts w:hint="eastAsia" w:asciiTheme="minorEastAsia" w:hAnsiTheme="minorEastAsia" w:eastAsiaTheme="minorEastAsia"/>
                <w:szCs w:val="24"/>
                <w:lang w:eastAsia="zh-CN"/>
              </w:rPr>
              <w:t>代理服务费</w:t>
            </w:r>
            <w:r>
              <w:rPr>
                <w:rFonts w:hint="eastAsia" w:asciiTheme="minorEastAsia" w:hAnsiTheme="minorEastAsia" w:eastAsiaTheme="minorEastAsia"/>
                <w:szCs w:val="24"/>
              </w:rPr>
              <w:t>：人民币</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元。</w:t>
            </w:r>
          </w:p>
        </w:tc>
      </w:tr>
      <w:tr w14:paraId="0756A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07" w:type="dxa"/>
            <w:vAlign w:val="center"/>
          </w:tcPr>
          <w:p w14:paraId="6B06AC7E">
            <w:pPr>
              <w:jc w:val="center"/>
              <w:rPr>
                <w:rFonts w:hint="eastAsia" w:ascii="宋体" w:hAnsi="宋体" w:eastAsia="宋体"/>
                <w:szCs w:val="24"/>
                <w:lang w:eastAsia="zh-CN"/>
              </w:rPr>
            </w:pPr>
            <w:r>
              <w:rPr>
                <w:rFonts w:hint="eastAsia" w:ascii="宋体" w:hAnsi="宋体"/>
                <w:szCs w:val="24"/>
                <w:lang w:val="en-US" w:eastAsia="zh-CN"/>
              </w:rPr>
              <w:t>5</w:t>
            </w:r>
          </w:p>
        </w:tc>
        <w:tc>
          <w:tcPr>
            <w:tcW w:w="2160" w:type="dxa"/>
            <w:vAlign w:val="center"/>
          </w:tcPr>
          <w:p w14:paraId="17B7E012">
            <w:pPr>
              <w:jc w:val="center"/>
              <w:rPr>
                <w:rFonts w:ascii="宋体" w:hAnsi="宋体"/>
                <w:szCs w:val="24"/>
              </w:rPr>
            </w:pPr>
            <w:r>
              <w:rPr>
                <w:rFonts w:hint="eastAsia" w:ascii="宋体" w:hAnsi="宋体"/>
                <w:szCs w:val="24"/>
              </w:rPr>
              <w:t>履约保证金</w:t>
            </w:r>
          </w:p>
        </w:tc>
        <w:tc>
          <w:tcPr>
            <w:tcW w:w="5400" w:type="dxa"/>
            <w:vAlign w:val="center"/>
          </w:tcPr>
          <w:p w14:paraId="08A5D827">
            <w:pPr>
              <w:spacing w:line="360" w:lineRule="exact"/>
              <w:rPr>
                <w:rFonts w:ascii="宋体" w:hAnsi="宋体"/>
                <w:szCs w:val="24"/>
              </w:rPr>
            </w:pPr>
            <w:r>
              <w:rPr>
                <w:rFonts w:hint="eastAsia" w:ascii="宋体" w:hAnsi="宋体" w:eastAsia="MS Mincho" w:cs="MS Mincho"/>
                <w:sz w:val="24"/>
                <w:szCs w:val="24"/>
              </w:rPr>
              <w:t>☑</w:t>
            </w:r>
            <w:r>
              <w:rPr>
                <w:rFonts w:hint="eastAsia" w:ascii="宋体" w:hAnsi="宋体"/>
                <w:szCs w:val="24"/>
              </w:rPr>
              <w:t>本项目不收取履约保证金。</w:t>
            </w:r>
          </w:p>
          <w:p w14:paraId="5A74D67D">
            <w:pPr>
              <w:spacing w:line="360" w:lineRule="exact"/>
              <w:rPr>
                <w:rFonts w:ascii="宋体" w:hAnsi="宋体"/>
                <w:szCs w:val="24"/>
              </w:rPr>
            </w:pPr>
            <w:r>
              <w:rPr>
                <w:rFonts w:hint="eastAsia" w:ascii="Times New Roman" w:hAnsi="宋体"/>
                <w:szCs w:val="24"/>
              </w:rPr>
              <w:t>□</w:t>
            </w:r>
            <w:r>
              <w:rPr>
                <w:rFonts w:hint="eastAsia" w:ascii="宋体" w:hAnsi="宋体"/>
                <w:szCs w:val="24"/>
              </w:rPr>
              <w:t>本项目收取履约保证金数额为合同金额的</w:t>
            </w:r>
            <w:r>
              <w:rPr>
                <w:rFonts w:hint="eastAsia" w:ascii="宋体" w:hAnsi="宋体"/>
                <w:szCs w:val="24"/>
                <w:u w:val="single"/>
              </w:rPr>
              <w:t xml:space="preserve">  </w:t>
            </w:r>
            <w:r>
              <w:rPr>
                <w:rFonts w:hint="eastAsia" w:ascii="宋体" w:hAnsi="宋体"/>
                <w:szCs w:val="24"/>
              </w:rPr>
              <w:t>%（不超过10%）。</w:t>
            </w:r>
          </w:p>
          <w:p w14:paraId="20BC5F63">
            <w:pPr>
              <w:spacing w:line="360" w:lineRule="exact"/>
              <w:rPr>
                <w:rFonts w:ascii="宋体" w:hAnsi="宋体"/>
                <w:szCs w:val="24"/>
              </w:rPr>
            </w:pPr>
            <w:r>
              <w:rPr>
                <w:rFonts w:hint="eastAsia" w:ascii="宋体" w:hAnsi="宋体"/>
                <w:szCs w:val="24"/>
              </w:rPr>
              <w:t>根据《深圳市财政局关于进一步优化政府采购营商环境的通知》（深财购〔2021〕31号），政府采购原则上不收取履约保证金；确需收取履约保证金的，应当允许供应商自主选择以支票、汇票、本票、保函等非现金形式缴纳或提交。收取履约保证金的，应当在采购文件中明确履约保证金退还的方式、时间、条件和不予退还的情形，并明确逾期退还履约保证金的违约责任。</w:t>
            </w:r>
          </w:p>
          <w:p w14:paraId="6A14B810">
            <w:pPr>
              <w:spacing w:line="360" w:lineRule="exact"/>
              <w:rPr>
                <w:rFonts w:ascii="宋体" w:hAnsi="宋体"/>
              </w:rPr>
            </w:pPr>
            <w:r>
              <w:rPr>
                <w:rFonts w:hint="eastAsia" w:ascii="宋体" w:hAnsi="宋体"/>
                <w:szCs w:val="24"/>
              </w:rPr>
              <w:t>如中标供应商为</w:t>
            </w:r>
            <w:r>
              <w:rPr>
                <w:rFonts w:hint="eastAsia" w:ascii="宋体" w:cs="宋体" w:hAnsiTheme="minorHAnsi"/>
                <w:kern w:val="0"/>
                <w:szCs w:val="21"/>
              </w:rPr>
              <w:t>中小微企业，则收取的履约保证金的数额不得超过政府采购合同金额的</w:t>
            </w:r>
            <w:r>
              <w:rPr>
                <w:rFonts w:ascii="宋体" w:cs="宋体" w:hAnsiTheme="minorHAnsi"/>
                <w:kern w:val="0"/>
                <w:szCs w:val="21"/>
              </w:rPr>
              <w:t>5%</w:t>
            </w:r>
            <w:r>
              <w:rPr>
                <w:rFonts w:hint="eastAsia" w:ascii="宋体" w:cs="宋体" w:hAnsiTheme="minorHAnsi"/>
                <w:kern w:val="0"/>
                <w:szCs w:val="21"/>
              </w:rPr>
              <w:t>。</w:t>
            </w:r>
          </w:p>
        </w:tc>
      </w:tr>
    </w:tbl>
    <w:p w14:paraId="6AEA9746">
      <w:pPr>
        <w:rPr>
          <w:rFonts w:ascii="Times New Roman" w:hAnsi="Times New Roman"/>
          <w:b/>
          <w:szCs w:val="24"/>
        </w:rPr>
      </w:pPr>
      <w:r>
        <w:rPr>
          <w:rFonts w:hint="eastAsia" w:ascii="Times New Roman" w:hAnsi="Times New Roman"/>
          <w:szCs w:val="21"/>
        </w:rPr>
        <w:t xml:space="preserve">    备注：本表为通用条款相关内容的补充和明确，如与通用条款相冲突的以本表为准。</w:t>
      </w:r>
    </w:p>
    <w:p w14:paraId="76093FB9">
      <w:pPr>
        <w:rPr>
          <w:rFonts w:ascii="Times New Roman" w:hAnsi="Times New Roman"/>
          <w:b/>
          <w:szCs w:val="24"/>
        </w:rPr>
      </w:pPr>
    </w:p>
    <w:p w14:paraId="028B17DD">
      <w:pPr>
        <w:keepNext/>
        <w:keepLines/>
        <w:adjustRightInd w:val="0"/>
        <w:spacing w:beforeLines="50" w:afterLines="50"/>
        <w:jc w:val="center"/>
        <w:textAlignment w:val="baseline"/>
        <w:outlineLvl w:val="1"/>
        <w:rPr>
          <w:rFonts w:hint="eastAsia" w:ascii="宋体" w:hAnsi="宋体" w:eastAsia="宋体" w:cs="Times New Roman"/>
          <w:b/>
          <w:bCs/>
          <w:kern w:val="0"/>
          <w:sz w:val="28"/>
          <w:szCs w:val="28"/>
        </w:rPr>
      </w:pPr>
      <w:bookmarkStart w:id="8" w:name="_Toc128884461"/>
      <w:r>
        <w:rPr>
          <w:rFonts w:hint="eastAsia" w:ascii="宋体" w:hAnsi="宋体" w:eastAsia="宋体" w:cs="Times New Roman"/>
          <w:b/>
          <w:bCs/>
          <w:kern w:val="0"/>
          <w:sz w:val="28"/>
          <w:szCs w:val="28"/>
        </w:rPr>
        <w:t>二、实质性条款</w:t>
      </w:r>
    </w:p>
    <w:tbl>
      <w:tblPr>
        <w:tblStyle w:val="42"/>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658"/>
      </w:tblGrid>
      <w:tr w14:paraId="38A9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63BC810">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7658" w:type="dxa"/>
            <w:vAlign w:val="center"/>
          </w:tcPr>
          <w:p w14:paraId="02BA06B2">
            <w:pPr>
              <w:adjustRightInd w:val="0"/>
              <w:snapToGrid w:val="0"/>
              <w:spacing w:line="360" w:lineRule="auto"/>
              <w:jc w:val="center"/>
              <w:rPr>
                <w:rFonts w:ascii="宋体" w:hAnsi="宋体"/>
                <w:kern w:val="0"/>
                <w:szCs w:val="21"/>
              </w:rPr>
            </w:pPr>
            <w:r>
              <w:rPr>
                <w:rFonts w:hint="eastAsia" w:ascii="宋体" w:hAnsi="宋体"/>
                <w:kern w:val="0"/>
                <w:szCs w:val="21"/>
              </w:rPr>
              <w:t>具体内容</w:t>
            </w:r>
          </w:p>
        </w:tc>
      </w:tr>
      <w:tr w14:paraId="67A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72F9AD80">
            <w:pPr>
              <w:adjustRightInd w:val="0"/>
              <w:snapToGrid w:val="0"/>
              <w:spacing w:line="360" w:lineRule="auto"/>
              <w:jc w:val="center"/>
              <w:rPr>
                <w:rFonts w:ascii="宋体" w:hAnsi="宋体"/>
                <w:kern w:val="0"/>
                <w:szCs w:val="21"/>
              </w:rPr>
            </w:pPr>
            <w:r>
              <w:rPr>
                <w:rFonts w:hint="eastAsia" w:ascii="宋体" w:hAnsi="宋体"/>
                <w:kern w:val="0"/>
                <w:szCs w:val="21"/>
              </w:rPr>
              <w:t>1</w:t>
            </w:r>
          </w:p>
        </w:tc>
        <w:tc>
          <w:tcPr>
            <w:tcW w:w="7658" w:type="dxa"/>
            <w:vAlign w:val="center"/>
          </w:tcPr>
          <w:p w14:paraId="3E83EB19">
            <w:pPr>
              <w:keepNext/>
              <w:keepLines/>
              <w:tabs>
                <w:tab w:val="left" w:pos="765"/>
              </w:tabs>
              <w:spacing w:line="376" w:lineRule="auto"/>
              <w:outlineLvl w:val="3"/>
              <w:rPr>
                <w:rFonts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r>
    </w:tbl>
    <w:p w14:paraId="6F2A70AF">
      <w:pPr>
        <w:adjustRightInd w:val="0"/>
        <w:snapToGrid w:val="0"/>
        <w:spacing w:line="360" w:lineRule="auto"/>
        <w:ind w:firstLine="482" w:firstLineChars="200"/>
      </w:pPr>
      <w:r>
        <w:rPr>
          <w:rFonts w:hint="eastAsia" w:ascii="黑体"/>
          <w:b/>
          <w:kern w:val="0"/>
          <w:sz w:val="24"/>
        </w:rPr>
        <w:t>注：上表所列内容为不可负偏离的实质性条款。</w:t>
      </w:r>
    </w:p>
    <w:bookmarkEnd w:id="8"/>
    <w:p w14:paraId="4AF4FBA0">
      <w:pPr>
        <w:pStyle w:val="18"/>
        <w:jc w:val="center"/>
        <w:rPr>
          <w:rFonts w:ascii="宋体" w:hAnsi="宋体"/>
          <w:sz w:val="28"/>
          <w:szCs w:val="28"/>
        </w:rPr>
      </w:pPr>
      <w:r>
        <w:rPr>
          <w:rFonts w:hint="eastAsia" w:ascii="宋体" w:hAnsi="宋体"/>
          <w:sz w:val="28"/>
          <w:szCs w:val="28"/>
        </w:rPr>
        <w:t>三、项目概况</w:t>
      </w:r>
    </w:p>
    <w:p w14:paraId="1C3A5D36">
      <w:pPr>
        <w:pStyle w:val="18"/>
      </w:pPr>
      <w:r>
        <w:rPr>
          <w:rFonts w:hint="eastAsia"/>
        </w:rPr>
        <w:t>（一）采购需求</w:t>
      </w:r>
    </w:p>
    <w:tbl>
      <w:tblPr>
        <w:tblStyle w:val="42"/>
        <w:tblW w:w="9796" w:type="dxa"/>
        <w:jc w:val="center"/>
        <w:tblLayout w:type="fixed"/>
        <w:tblCellMar>
          <w:top w:w="15" w:type="dxa"/>
          <w:left w:w="15" w:type="dxa"/>
          <w:bottom w:w="15" w:type="dxa"/>
          <w:right w:w="15" w:type="dxa"/>
        </w:tblCellMar>
      </w:tblPr>
      <w:tblGrid>
        <w:gridCol w:w="866"/>
        <w:gridCol w:w="3685"/>
        <w:gridCol w:w="921"/>
        <w:gridCol w:w="922"/>
        <w:gridCol w:w="1701"/>
        <w:gridCol w:w="1701"/>
      </w:tblGrid>
      <w:tr w14:paraId="1AE102AF">
        <w:tblPrEx>
          <w:tblCellMar>
            <w:top w:w="15" w:type="dxa"/>
            <w:left w:w="15" w:type="dxa"/>
            <w:bottom w:w="15" w:type="dxa"/>
            <w:right w:w="15" w:type="dxa"/>
          </w:tblCellMar>
        </w:tblPrEx>
        <w:trPr>
          <w:trHeight w:val="689" w:hRule="atLeast"/>
          <w:jc w:val="center"/>
        </w:trPr>
        <w:tc>
          <w:tcPr>
            <w:tcW w:w="866" w:type="dxa"/>
            <w:tcBorders>
              <w:top w:val="single" w:color="000000" w:sz="4" w:space="0"/>
              <w:left w:val="single" w:color="000000" w:sz="4" w:space="0"/>
              <w:right w:val="single" w:color="000000" w:sz="4" w:space="0"/>
            </w:tcBorders>
            <w:vAlign w:val="center"/>
          </w:tcPr>
          <w:p w14:paraId="0BE8B4F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0084E9D9">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5DFCB2AA">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25119623">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3130BEC7">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1403D33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522A4548">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43913CCE">
        <w:tblPrEx>
          <w:tblCellMar>
            <w:top w:w="15" w:type="dxa"/>
            <w:left w:w="15" w:type="dxa"/>
            <w:bottom w:w="15" w:type="dxa"/>
            <w:right w:w="15" w:type="dxa"/>
          </w:tblCellMar>
        </w:tblPrEx>
        <w:trPr>
          <w:trHeight w:val="799" w:hRule="atLeast"/>
          <w:jc w:val="center"/>
        </w:trPr>
        <w:tc>
          <w:tcPr>
            <w:tcW w:w="866" w:type="dxa"/>
            <w:tcBorders>
              <w:top w:val="single" w:color="000000" w:sz="4" w:space="0"/>
              <w:left w:val="single" w:color="000000" w:sz="4" w:space="0"/>
              <w:bottom w:val="single" w:color="000000" w:sz="4" w:space="0"/>
              <w:right w:val="single" w:color="000000" w:sz="4" w:space="0"/>
            </w:tcBorders>
            <w:vAlign w:val="center"/>
          </w:tcPr>
          <w:p w14:paraId="19F27E44">
            <w:pPr>
              <w:widowControl/>
              <w:adjustRightInd w:val="0"/>
              <w:snapToGrid w:val="0"/>
              <w:spacing w:line="360" w:lineRule="auto"/>
              <w:jc w:val="center"/>
              <w:textAlignment w:val="center"/>
              <w:rPr>
                <w:rFonts w:ascii="宋体" w:hAnsi="宋体" w:cs="宋体"/>
                <w:szCs w:val="21"/>
              </w:rPr>
            </w:pPr>
            <w:r>
              <w:rPr>
                <w:rFonts w:hint="eastAsia" w:ascii="Times New Roman" w:hAnsi="Times New Roman"/>
                <w:szCs w:val="24"/>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13A668B5">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“圳品”证后监督抽样检测技术服务项目（1）</w:t>
            </w:r>
          </w:p>
        </w:tc>
        <w:tc>
          <w:tcPr>
            <w:tcW w:w="921" w:type="dxa"/>
            <w:tcBorders>
              <w:top w:val="single" w:color="000000" w:sz="4" w:space="0"/>
              <w:left w:val="single" w:color="000000" w:sz="4" w:space="0"/>
              <w:bottom w:val="single" w:color="000000" w:sz="4" w:space="0"/>
              <w:right w:val="single" w:color="000000" w:sz="4" w:space="0"/>
            </w:tcBorders>
            <w:vAlign w:val="center"/>
          </w:tcPr>
          <w:p w14:paraId="526072F1">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362ACABB">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597F422">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cs="宋体"/>
                <w:szCs w:val="21"/>
                <w:lang w:eastAsia="zh-CN"/>
              </w:rPr>
              <w:t>1,200,000.00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54D812B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18F5CDD5">
      <w:pPr>
        <w:pStyle w:val="18"/>
      </w:pPr>
      <w:r>
        <w:rPr>
          <w:rFonts w:hint="eastAsia"/>
        </w:rPr>
        <w:t>（二）</w:t>
      </w:r>
      <w:r>
        <w:rPr>
          <w:rFonts w:hint="eastAsia"/>
          <w:lang w:val="en-US" w:eastAsia="zh-CN"/>
        </w:rPr>
        <w:t>采购项目概况</w:t>
      </w:r>
    </w:p>
    <w:p w14:paraId="27D817AC">
      <w:pPr>
        <w:pStyle w:val="18"/>
        <w:ind w:firstLine="424" w:firstLineChars="202"/>
        <w:rPr>
          <w:b w:val="0"/>
          <w:sz w:val="21"/>
          <w:szCs w:val="21"/>
        </w:rPr>
      </w:pPr>
      <w:r>
        <w:rPr>
          <w:rFonts w:hint="eastAsia"/>
          <w:b w:val="0"/>
          <w:sz w:val="21"/>
          <w:szCs w:val="21"/>
          <w:lang w:val="en-US" w:eastAsia="zh-CN"/>
        </w:rPr>
        <w:t>按照《中共深圳市委办公厅 深圳市人民政府办公厅印发&lt;关于深化改革加强食品安全工作的实施方案&gt;的通知》《深圳市国民经济和社会发展第十四个五年规划和二〇三五年远景目标纲要》《深圳市第七次党代表大会报告》《深圳市人民政府关于印发2026年民生实事项目的通知》系列文件中的部署和要求，聚焦“圳品”标准研制、产品评价、监督检查（指产品获证后的符合性核验）、抽样检测、追溯管理、品质保障、影响力提升、效益评估，引领食品产业发展等工作要求，持续推动“圳品”工程可持续发展，为打造高标准食品城市品牌、全链条保障市民“舌尖上的安全”提供实践范例。</w:t>
      </w:r>
    </w:p>
    <w:p w14:paraId="14A6C2F0">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备注：</w:t>
      </w:r>
    </w:p>
    <w:p w14:paraId="603E6F07">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1、本项目需求中出现的工艺、材料、设备或参照的品牌等仅为方便描述而没有限制性，投标人可以在其提供的文件资料中选用替代标准，但这些替代标准要优于或相当于项目需求中要求的标准。</w:t>
      </w:r>
    </w:p>
    <w:p w14:paraId="62825259">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2、如要求提供证明材料，投标文件需提供相应证明材料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那份证明材料作为判断是否符合采购需求的响应内容。</w:t>
      </w:r>
    </w:p>
    <w:p w14:paraId="62073348">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rPr>
        <w:t>3、投标</w:t>
      </w:r>
      <w:r>
        <w:rPr>
          <w:rFonts w:hint="eastAsia" w:ascii="仿宋_GB2312" w:hAnsi="Times New Roman" w:eastAsia="仿宋_GB2312"/>
          <w:b/>
          <w:sz w:val="24"/>
          <w:szCs w:val="24"/>
          <w:lang w:eastAsia="zh-CN"/>
        </w:rPr>
        <w:t>供应商</w:t>
      </w:r>
      <w:r>
        <w:rPr>
          <w:rFonts w:hint="eastAsia" w:ascii="仿宋_GB2312" w:hAnsi="Times New Roman" w:eastAsia="仿宋_GB2312"/>
          <w:b/>
          <w:sz w:val="24"/>
          <w:szCs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24" w:firstLineChars="176"/>
        <w:jc w:val="left"/>
        <w:rPr>
          <w:rFonts w:hint="eastAsia" w:ascii="仿宋_GB2312" w:hAnsi="Times New Roman" w:eastAsia="仿宋_GB2312" w:cs="Times New Roman"/>
          <w:b/>
          <w:color w:val="FF0000"/>
          <w:sz w:val="24"/>
          <w:szCs w:val="24"/>
        </w:rPr>
      </w:pPr>
      <w:r>
        <w:rPr>
          <w:rFonts w:hint="eastAsia" w:ascii="仿宋_GB2312" w:hAnsi="Times New Roman" w:eastAsia="仿宋_GB2312" w:cs="Times New Roman"/>
          <w:b/>
          <w:color w:val="FF0000"/>
          <w:sz w:val="24"/>
          <w:szCs w:val="24"/>
        </w:rPr>
        <w:t>投标供应商</w:t>
      </w:r>
      <w:r>
        <w:rPr>
          <w:rFonts w:hint="eastAsia" w:ascii="仿宋_GB2312" w:hAnsi="Times New Roman" w:eastAsia="仿宋_GB2312" w:cs="Times New Roman"/>
          <w:b/>
          <w:color w:val="FF0000"/>
          <w:sz w:val="24"/>
          <w:szCs w:val="24"/>
          <w:lang w:eastAsia="zh-CN"/>
        </w:rPr>
        <w:t>须</w:t>
      </w:r>
      <w:r>
        <w:rPr>
          <w:rFonts w:hint="eastAsia" w:ascii="仿宋_GB2312" w:hAnsi="Times New Roman" w:eastAsia="仿宋_GB2312" w:cs="Times New Roman"/>
          <w:b/>
          <w:color w:val="FF0000"/>
          <w:sz w:val="24"/>
          <w:szCs w:val="24"/>
        </w:rPr>
        <w:t>严格核实所提交检测报告的真实性</w:t>
      </w:r>
      <w:r>
        <w:rPr>
          <w:rFonts w:hint="eastAsia" w:ascii="仿宋_GB2312" w:hAnsi="Times New Roman" w:eastAsia="仿宋_GB2312" w:cs="Times New Roman"/>
          <w:b/>
          <w:color w:val="FF0000"/>
          <w:sz w:val="24"/>
          <w:szCs w:val="24"/>
          <w:lang w:eastAsia="zh-CN"/>
        </w:rPr>
        <w:t>，</w:t>
      </w:r>
      <w:r>
        <w:rPr>
          <w:rFonts w:hint="eastAsia" w:ascii="仿宋_GB2312" w:hAnsi="Times New Roman" w:eastAsia="仿宋_GB2312" w:cs="Times New Roman"/>
          <w:b/>
          <w:color w:val="FF0000"/>
          <w:sz w:val="24"/>
          <w:szCs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hAnsi="Times New Roman" w:eastAsia="仿宋_GB2312" w:cs="Times New Roman"/>
          <w:b/>
          <w:color w:val="FF0000"/>
          <w:sz w:val="24"/>
          <w:szCs w:val="24"/>
          <w:lang w:eastAsia="zh-CN"/>
        </w:rPr>
        <w:t>。</w:t>
      </w:r>
    </w:p>
    <w:p w14:paraId="1EE71C2D">
      <w:pPr>
        <w:autoSpaceDE w:val="0"/>
        <w:autoSpaceDN w:val="0"/>
        <w:adjustRightInd w:val="0"/>
        <w:spacing w:line="360" w:lineRule="auto"/>
        <w:ind w:firstLine="424" w:firstLineChars="176"/>
        <w:jc w:val="left"/>
        <w:rPr>
          <w:rFonts w:ascii="仿宋_GB2312" w:hAnsi="Times New Roman" w:eastAsia="仿宋_GB2312"/>
          <w:b/>
          <w:sz w:val="24"/>
          <w:szCs w:val="24"/>
        </w:rPr>
      </w:pPr>
      <w:r>
        <w:rPr>
          <w:rFonts w:hint="eastAsia" w:ascii="仿宋_GB2312" w:hAnsi="Times New Roman" w:eastAsia="仿宋_GB2312"/>
          <w:b/>
          <w:sz w:val="24"/>
          <w:szCs w:val="24"/>
          <w:highlight w:val="yellow"/>
        </w:rPr>
        <w:t>4、加注★的条款为不可负偏离的实质性条款，任一项未响应或不满足要求的，将导致投标无效。</w:t>
      </w:r>
    </w:p>
    <w:p w14:paraId="6B94CF40">
      <w:pPr>
        <w:autoSpaceDE w:val="0"/>
        <w:autoSpaceDN w:val="0"/>
        <w:adjustRightInd w:val="0"/>
        <w:spacing w:line="360" w:lineRule="auto"/>
        <w:ind w:firstLine="424" w:firstLineChars="176"/>
        <w:jc w:val="left"/>
        <w:rPr>
          <w:rFonts w:ascii="宋体" w:hAnsi="宋体"/>
          <w:b/>
          <w:bCs/>
          <w:kern w:val="0"/>
          <w:sz w:val="24"/>
          <w:szCs w:val="20"/>
        </w:rPr>
      </w:pPr>
    </w:p>
    <w:p w14:paraId="289BEAEA">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四、项目服务要求</w:t>
      </w:r>
    </w:p>
    <w:p w14:paraId="0F996DCC">
      <w:pPr>
        <w:spacing w:line="360" w:lineRule="auto"/>
        <w:ind w:firstLine="420" w:firstLineChars="200"/>
        <w:jc w:val="left"/>
        <w:rPr>
          <w:rFonts w:hint="eastAsia" w:ascii="宋体" w:hAnsi="宋体"/>
          <w:b/>
          <w:bCs/>
          <w:szCs w:val="21"/>
          <w:highlight w:val="yellow"/>
        </w:rPr>
      </w:pPr>
      <w:r>
        <w:rPr>
          <w:rFonts w:hint="eastAsia" w:ascii="宋体" w:hAnsi="宋体"/>
          <w:szCs w:val="21"/>
          <w:highlight w:val="yellow"/>
        </w:rPr>
        <w:t>★</w:t>
      </w:r>
      <w:r>
        <w:rPr>
          <w:rFonts w:hint="eastAsia" w:ascii="宋体" w:hAnsi="宋体"/>
          <w:b/>
          <w:bCs/>
          <w:szCs w:val="21"/>
          <w:highlight w:val="yellow"/>
          <w:lang w:val="en-US" w:eastAsia="zh-CN"/>
        </w:rPr>
        <w:t>1.</w:t>
      </w:r>
      <w:r>
        <w:rPr>
          <w:rFonts w:hint="eastAsia" w:ascii="宋体" w:hAnsi="宋体"/>
          <w:b/>
          <w:bCs/>
          <w:szCs w:val="21"/>
          <w:highlight w:val="yellow"/>
        </w:rPr>
        <w:t>服务总体要求</w:t>
      </w:r>
    </w:p>
    <w:p w14:paraId="1D6DC71B">
      <w:pPr>
        <w:spacing w:line="360" w:lineRule="auto"/>
        <w:ind w:firstLine="424" w:firstLineChars="202"/>
        <w:rPr>
          <w:rFonts w:hint="eastAsia" w:ascii="宋体" w:hAnsi="宋体"/>
          <w:szCs w:val="21"/>
          <w:highlight w:val="yellow"/>
        </w:rPr>
      </w:pPr>
      <w:r>
        <w:rPr>
          <w:rFonts w:hint="eastAsia" w:ascii="宋体" w:hAnsi="宋体"/>
          <w:szCs w:val="21"/>
          <w:highlight w:val="yellow"/>
        </w:rPr>
        <w:t>中标供应商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采购人监督，确保项目工作高质量完成。其服务主要内容为在检测资质范围内对获证产品进行抽样、检测工作，组织实施不少于300个已获评“圳品”产品的证后监督抽样检测，且食用农产品的抽检数量不少于160个。</w:t>
      </w:r>
    </w:p>
    <w:p w14:paraId="395099DC">
      <w:pPr>
        <w:spacing w:line="360" w:lineRule="auto"/>
        <w:ind w:firstLine="426" w:firstLineChars="202"/>
        <w:rPr>
          <w:rFonts w:hint="eastAsia" w:ascii="宋体" w:hAnsi="宋体"/>
          <w:b/>
          <w:bCs/>
          <w:szCs w:val="21"/>
        </w:rPr>
      </w:pPr>
      <w:r>
        <w:rPr>
          <w:rFonts w:hint="eastAsia" w:ascii="宋体" w:hAnsi="宋体"/>
          <w:b/>
          <w:bCs/>
          <w:szCs w:val="21"/>
          <w:lang w:val="en-US" w:eastAsia="zh-CN"/>
        </w:rPr>
        <w:t>2.</w:t>
      </w:r>
      <w:r>
        <w:rPr>
          <w:rFonts w:hint="eastAsia" w:ascii="宋体" w:hAnsi="宋体"/>
          <w:b/>
          <w:bCs/>
          <w:szCs w:val="21"/>
        </w:rPr>
        <w:t>服务标的数量和服务需求</w:t>
      </w:r>
    </w:p>
    <w:p w14:paraId="7AD20228">
      <w:pPr>
        <w:spacing w:line="360" w:lineRule="auto"/>
        <w:ind w:firstLine="424" w:firstLineChars="202"/>
        <w:rPr>
          <w:rFonts w:hint="eastAsia" w:ascii="宋体" w:hAnsi="宋体"/>
          <w:szCs w:val="21"/>
        </w:rPr>
      </w:pPr>
      <w:r>
        <w:rPr>
          <w:rFonts w:hint="eastAsia" w:ascii="宋体" w:hAnsi="宋体"/>
          <w:szCs w:val="21"/>
        </w:rPr>
        <w:t>①风险研判</w:t>
      </w:r>
    </w:p>
    <w:p w14:paraId="3D8F92C8">
      <w:pPr>
        <w:spacing w:line="360" w:lineRule="auto"/>
        <w:ind w:firstLine="424" w:firstLineChars="202"/>
        <w:rPr>
          <w:rFonts w:hint="eastAsia" w:ascii="宋体" w:hAnsi="宋体"/>
          <w:szCs w:val="21"/>
        </w:rPr>
      </w:pPr>
      <w:r>
        <w:rPr>
          <w:rFonts w:hint="eastAsia" w:ascii="宋体" w:hAnsi="宋体"/>
          <w:szCs w:val="21"/>
        </w:rPr>
        <w:t>及时发现并对“圳品工程”运行过程中产生的问题作出风险研判，并提出合理化建议，同时对检测过程中发现的企业食品安全风险给予检测意见和风险提示。</w:t>
      </w:r>
    </w:p>
    <w:p w14:paraId="349C4AE6">
      <w:pPr>
        <w:spacing w:line="360" w:lineRule="auto"/>
        <w:ind w:firstLine="424" w:firstLineChars="202"/>
        <w:rPr>
          <w:rFonts w:hint="eastAsia" w:ascii="宋体" w:hAnsi="宋体"/>
          <w:szCs w:val="21"/>
        </w:rPr>
      </w:pPr>
      <w:r>
        <w:rPr>
          <w:rFonts w:hint="eastAsia" w:ascii="宋体" w:hAnsi="宋体"/>
          <w:szCs w:val="21"/>
        </w:rPr>
        <w:t>②制定证后监督检测产品的抽样检测计划</w:t>
      </w:r>
    </w:p>
    <w:p w14:paraId="6EF386F9">
      <w:pPr>
        <w:spacing w:line="360" w:lineRule="auto"/>
        <w:ind w:firstLine="424" w:firstLineChars="202"/>
        <w:rPr>
          <w:rFonts w:hint="eastAsia" w:ascii="宋体" w:hAnsi="宋体"/>
          <w:szCs w:val="21"/>
        </w:rPr>
      </w:pPr>
      <w:r>
        <w:rPr>
          <w:rFonts w:hint="eastAsia" w:ascii="宋体" w:hAnsi="宋体"/>
          <w:szCs w:val="21"/>
        </w:rPr>
        <w:t>根据产品风险等级、全国食品安全风险监测计划、重大食品安全舆情事件以及监督检查机构现场监督检查计划，科学确定抽检产品范围、检测指标及抽样方案，并确保检测全流程风险管控，报主管部门审批后执行。</w:t>
      </w:r>
    </w:p>
    <w:p w14:paraId="1BABD394">
      <w:pPr>
        <w:spacing w:line="360" w:lineRule="auto"/>
        <w:ind w:firstLine="424" w:firstLineChars="202"/>
        <w:rPr>
          <w:rFonts w:hint="eastAsia" w:ascii="宋体" w:hAnsi="宋体"/>
          <w:szCs w:val="21"/>
        </w:rPr>
      </w:pPr>
      <w:r>
        <w:rPr>
          <w:rFonts w:hint="eastAsia" w:ascii="宋体" w:hAnsi="宋体"/>
          <w:szCs w:val="21"/>
        </w:rPr>
        <w:t>③组织实施不少于300个已获评“圳品”产品的证后监督抽样检测</w:t>
      </w:r>
    </w:p>
    <w:p w14:paraId="2B32A71D">
      <w:pPr>
        <w:spacing w:line="360" w:lineRule="auto"/>
        <w:ind w:firstLine="424" w:firstLineChars="202"/>
        <w:rPr>
          <w:rFonts w:hint="eastAsia" w:ascii="宋体" w:hAnsi="宋体"/>
          <w:szCs w:val="21"/>
        </w:rPr>
      </w:pPr>
      <w:r>
        <w:rPr>
          <w:rFonts w:hint="eastAsia" w:ascii="宋体" w:hAnsi="宋体"/>
          <w:szCs w:val="21"/>
        </w:rPr>
        <w:t>依据批准的抽样检测计划，在检测资质范围内对获证产品进行抽样、检测工作，组织实施不少于300个已获评“圳品”产品的证后监督抽样检测，且食用农产品的抽检数量不少于160个。</w:t>
      </w:r>
    </w:p>
    <w:p w14:paraId="18DEAB71">
      <w:pPr>
        <w:spacing w:line="360" w:lineRule="auto"/>
        <w:ind w:firstLine="424" w:firstLineChars="202"/>
        <w:rPr>
          <w:rFonts w:hint="eastAsia" w:ascii="宋体" w:hAnsi="宋体"/>
          <w:szCs w:val="21"/>
        </w:rPr>
      </w:pPr>
      <w:r>
        <w:rPr>
          <w:rFonts w:hint="eastAsia" w:ascii="宋体" w:hAnsi="宋体"/>
          <w:szCs w:val="21"/>
        </w:rPr>
        <w:t>④现场抽样</w:t>
      </w:r>
    </w:p>
    <w:p w14:paraId="37DC3F4E">
      <w:pPr>
        <w:spacing w:line="360" w:lineRule="auto"/>
        <w:ind w:firstLine="424" w:firstLineChars="202"/>
        <w:rPr>
          <w:rFonts w:hint="eastAsia" w:ascii="宋体" w:hAnsi="宋体"/>
          <w:szCs w:val="21"/>
        </w:rPr>
      </w:pPr>
      <w:r>
        <w:rPr>
          <w:rFonts w:hint="eastAsia" w:ascii="宋体" w:hAnsi="宋体"/>
          <w:szCs w:val="21"/>
        </w:rPr>
        <w:t>按照《食品安全抽样检验工作规范》（市监食检发〔2023〕76号），安排人员进行抽样，确保抽样操作规范。</w:t>
      </w:r>
    </w:p>
    <w:p w14:paraId="581111FE">
      <w:pPr>
        <w:spacing w:line="360" w:lineRule="auto"/>
        <w:ind w:firstLine="424" w:firstLineChars="202"/>
        <w:rPr>
          <w:rFonts w:hint="eastAsia" w:ascii="宋体" w:hAnsi="宋体"/>
          <w:szCs w:val="21"/>
        </w:rPr>
      </w:pPr>
      <w:r>
        <w:rPr>
          <w:rFonts w:hint="eastAsia" w:ascii="宋体" w:hAnsi="宋体"/>
          <w:szCs w:val="21"/>
        </w:rPr>
        <w:t>⑤出具检测报告</w:t>
      </w:r>
    </w:p>
    <w:p w14:paraId="3F1F506C">
      <w:pPr>
        <w:spacing w:line="360" w:lineRule="auto"/>
        <w:ind w:firstLine="424" w:firstLineChars="202"/>
        <w:rPr>
          <w:rFonts w:hint="eastAsia" w:ascii="宋体" w:hAnsi="宋体"/>
          <w:szCs w:val="21"/>
        </w:rPr>
      </w:pPr>
      <w:r>
        <w:rPr>
          <w:rFonts w:hint="eastAsia" w:ascii="宋体" w:hAnsi="宋体"/>
          <w:szCs w:val="21"/>
        </w:rPr>
        <w:t>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18844460">
      <w:pPr>
        <w:spacing w:line="360" w:lineRule="auto"/>
        <w:ind w:firstLine="424" w:firstLineChars="202"/>
        <w:rPr>
          <w:rFonts w:hint="eastAsia" w:ascii="宋体" w:hAnsi="宋体"/>
          <w:szCs w:val="21"/>
        </w:rPr>
      </w:pPr>
      <w:r>
        <w:rPr>
          <w:rFonts w:hint="eastAsia" w:ascii="宋体" w:hAnsi="宋体"/>
          <w:szCs w:val="21"/>
        </w:rPr>
        <w:t>⑥抽样检测信息完整记录</w:t>
      </w:r>
    </w:p>
    <w:p w14:paraId="3413C072">
      <w:pPr>
        <w:spacing w:line="360" w:lineRule="auto"/>
        <w:ind w:firstLine="424" w:firstLineChars="202"/>
        <w:rPr>
          <w:rFonts w:hint="eastAsia" w:ascii="宋体" w:hAnsi="宋体"/>
          <w:szCs w:val="21"/>
        </w:rPr>
      </w:pPr>
      <w:r>
        <w:rPr>
          <w:rFonts w:hint="eastAsia" w:ascii="宋体" w:hAnsi="宋体"/>
          <w:szCs w:val="21"/>
        </w:rPr>
        <w:t>将现场抽样、样品封存、样品运输及移交、样品保存、检测报告等抽检全流程信息完整录入。</w:t>
      </w:r>
    </w:p>
    <w:p w14:paraId="0CE8444E">
      <w:pPr>
        <w:spacing w:line="360" w:lineRule="auto"/>
        <w:ind w:firstLine="424" w:firstLineChars="202"/>
        <w:rPr>
          <w:rFonts w:hint="eastAsia" w:ascii="宋体" w:hAnsi="宋体"/>
          <w:szCs w:val="21"/>
        </w:rPr>
      </w:pPr>
      <w:r>
        <w:rPr>
          <w:rFonts w:hint="eastAsia" w:ascii="宋体" w:hAnsi="宋体"/>
          <w:szCs w:val="21"/>
        </w:rPr>
        <w:t>⑦检测档案提交</w:t>
      </w:r>
    </w:p>
    <w:p w14:paraId="1C482735">
      <w:pPr>
        <w:spacing w:line="360" w:lineRule="auto"/>
        <w:ind w:firstLine="424" w:firstLineChars="202"/>
        <w:rPr>
          <w:rFonts w:hint="eastAsia" w:ascii="宋体" w:hAnsi="宋体"/>
          <w:szCs w:val="21"/>
        </w:rPr>
      </w:pPr>
      <w:r>
        <w:rPr>
          <w:rFonts w:hint="eastAsia" w:ascii="宋体" w:hAnsi="宋体"/>
          <w:szCs w:val="21"/>
        </w:rPr>
        <w:t>及时完成检测档案的归档和提交，包括依据编码规则汇总电子和纸质档案，确保档案的完整、清晰。</w:t>
      </w:r>
    </w:p>
    <w:p w14:paraId="5B0FE6C5">
      <w:pPr>
        <w:spacing w:line="360" w:lineRule="auto"/>
        <w:ind w:firstLine="424" w:firstLineChars="202"/>
        <w:rPr>
          <w:rFonts w:hint="eastAsia" w:ascii="宋体" w:hAnsi="宋体"/>
          <w:szCs w:val="21"/>
        </w:rPr>
      </w:pPr>
      <w:r>
        <w:rPr>
          <w:rFonts w:hint="eastAsia" w:ascii="宋体" w:hAnsi="宋体"/>
          <w:szCs w:val="21"/>
        </w:rPr>
        <w:t>⑧购样费用支付</w:t>
      </w:r>
    </w:p>
    <w:p w14:paraId="0834F229">
      <w:pPr>
        <w:spacing w:line="360" w:lineRule="auto"/>
        <w:ind w:firstLine="424" w:firstLineChars="202"/>
        <w:rPr>
          <w:rFonts w:hint="eastAsia" w:ascii="宋体" w:hAnsi="宋体"/>
          <w:szCs w:val="21"/>
        </w:rPr>
      </w:pPr>
      <w:r>
        <w:rPr>
          <w:rFonts w:hint="eastAsia" w:ascii="宋体" w:hAnsi="宋体"/>
          <w:szCs w:val="21"/>
        </w:rPr>
        <w:t>中标单位需自行承担所抽样品的购样费用。</w:t>
      </w:r>
    </w:p>
    <w:p w14:paraId="15A477B8">
      <w:pPr>
        <w:spacing w:line="360" w:lineRule="auto"/>
        <w:ind w:firstLine="424" w:firstLineChars="202"/>
        <w:rPr>
          <w:rFonts w:hint="eastAsia" w:ascii="宋体" w:hAnsi="宋体"/>
          <w:szCs w:val="21"/>
        </w:rPr>
      </w:pPr>
      <w:r>
        <w:rPr>
          <w:rFonts w:hint="eastAsia" w:ascii="宋体" w:hAnsi="宋体"/>
          <w:szCs w:val="21"/>
        </w:rPr>
        <w:t>⑨材料汇总与梳理</w:t>
      </w:r>
    </w:p>
    <w:p w14:paraId="095AC62F">
      <w:pPr>
        <w:spacing w:line="360" w:lineRule="auto"/>
        <w:ind w:firstLine="424" w:firstLineChars="202"/>
        <w:rPr>
          <w:rFonts w:hint="eastAsia" w:ascii="宋体" w:hAnsi="宋体"/>
          <w:szCs w:val="21"/>
        </w:rPr>
      </w:pPr>
      <w:r>
        <w:rPr>
          <w:rFonts w:hint="eastAsia" w:ascii="宋体" w:hAnsi="宋体"/>
          <w:szCs w:val="21"/>
        </w:rPr>
        <w:t>实施监督抽样检测过程中的相关材料、数据等，应及时汇总，完整梳理备查。</w:t>
      </w:r>
    </w:p>
    <w:p w14:paraId="248B2349">
      <w:pPr>
        <w:spacing w:line="360" w:lineRule="auto"/>
        <w:ind w:firstLine="424" w:firstLineChars="202"/>
        <w:rPr>
          <w:rFonts w:hint="eastAsia" w:ascii="宋体" w:hAnsi="宋体"/>
          <w:szCs w:val="21"/>
        </w:rPr>
      </w:pPr>
      <w:r>
        <w:rPr>
          <w:rFonts w:hint="eastAsia" w:ascii="宋体" w:hAnsi="宋体"/>
          <w:szCs w:val="21"/>
        </w:rPr>
        <w:t>⑩样品管理</w:t>
      </w:r>
    </w:p>
    <w:p w14:paraId="047E1B13">
      <w:pPr>
        <w:spacing w:line="360" w:lineRule="auto"/>
        <w:ind w:firstLine="424" w:firstLineChars="202"/>
        <w:rPr>
          <w:rFonts w:hint="eastAsia" w:ascii="宋体" w:hAnsi="宋体"/>
          <w:szCs w:val="21"/>
        </w:rPr>
      </w:pPr>
      <w:r>
        <w:rPr>
          <w:rFonts w:hint="eastAsia" w:ascii="宋体" w:hAnsi="宋体"/>
          <w:szCs w:val="21"/>
        </w:rPr>
        <w:t>按照相关法律法规和标准要求进行样品管理（包含但不限于样品保存、留样和留样期满后处置）。</w:t>
      </w:r>
    </w:p>
    <w:p w14:paraId="2040A5D7">
      <w:pPr>
        <w:spacing w:line="360" w:lineRule="auto"/>
        <w:ind w:firstLine="424" w:firstLineChars="202"/>
        <w:rPr>
          <w:rFonts w:hint="eastAsia" w:ascii="宋体" w:hAnsi="宋体"/>
          <w:szCs w:val="21"/>
        </w:rPr>
      </w:pPr>
      <w:r>
        <w:rPr>
          <w:rFonts w:hint="eastAsia" w:ascii="宋体" w:hAnsi="宋体"/>
          <w:szCs w:val="21"/>
        </w:rPr>
        <w:t>⑪参与“专家评审会”“供深食品标准工作委员会”的审议工作</w:t>
      </w:r>
    </w:p>
    <w:p w14:paraId="4FACBB81">
      <w:pPr>
        <w:spacing w:line="360" w:lineRule="auto"/>
        <w:ind w:firstLine="424" w:firstLineChars="202"/>
        <w:rPr>
          <w:rFonts w:hint="eastAsia" w:ascii="宋体" w:hAnsi="宋体"/>
          <w:szCs w:val="21"/>
        </w:rPr>
      </w:pPr>
      <w:r>
        <w:rPr>
          <w:rFonts w:hint="eastAsia" w:ascii="宋体" w:hAnsi="宋体"/>
          <w:szCs w:val="21"/>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11DB8753">
      <w:pPr>
        <w:keepNext/>
        <w:keepLines/>
        <w:adjustRightInd w:val="0"/>
        <w:spacing w:beforeLines="50" w:afterLines="50"/>
        <w:jc w:val="center"/>
        <w:textAlignment w:val="baseline"/>
        <w:outlineLvl w:val="1"/>
        <w:rPr>
          <w:rFonts w:ascii="宋体" w:hAnsi="宋体"/>
          <w:b/>
          <w:bCs/>
          <w:kern w:val="0"/>
          <w:sz w:val="28"/>
          <w:szCs w:val="28"/>
        </w:rPr>
      </w:pPr>
    </w:p>
    <w:p w14:paraId="7EF2821B">
      <w:pPr>
        <w:keepNext/>
        <w:keepLines/>
        <w:adjustRightInd w:val="0"/>
        <w:spacing w:beforeLines="50" w:afterLines="50"/>
        <w:jc w:val="center"/>
        <w:textAlignment w:val="baseline"/>
        <w:outlineLvl w:val="1"/>
        <w:rPr>
          <w:rFonts w:ascii="宋体" w:hAnsi="宋体"/>
          <w:b/>
          <w:bCs/>
          <w:kern w:val="0"/>
          <w:sz w:val="28"/>
          <w:szCs w:val="28"/>
        </w:rPr>
      </w:pPr>
      <w:r>
        <w:rPr>
          <w:rFonts w:hint="eastAsia" w:ascii="宋体" w:hAnsi="宋体"/>
          <w:b/>
          <w:bCs/>
          <w:kern w:val="0"/>
          <w:sz w:val="28"/>
          <w:szCs w:val="28"/>
        </w:rPr>
        <w:t>五、项目商务要求</w:t>
      </w:r>
    </w:p>
    <w:p w14:paraId="27E8A03B">
      <w:pPr>
        <w:spacing w:line="360" w:lineRule="auto"/>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lang w:val="en-US" w:eastAsia="zh-CN"/>
        </w:rPr>
        <w:t>1.</w:t>
      </w:r>
      <w:r>
        <w:rPr>
          <w:rFonts w:hint="eastAsia" w:asciiTheme="minorEastAsia" w:hAnsiTheme="minorEastAsia" w:eastAsiaTheme="minorEastAsia"/>
          <w:b/>
          <w:highlight w:val="yellow"/>
        </w:rPr>
        <w:t>服务期限：</w:t>
      </w:r>
    </w:p>
    <w:p w14:paraId="083E2A14">
      <w:pPr>
        <w:spacing w:line="360" w:lineRule="auto"/>
        <w:ind w:firstLine="422" w:firstLineChars="200"/>
        <w:rPr>
          <w:rFonts w:asciiTheme="minorEastAsia" w:hAnsiTheme="minorEastAsia" w:eastAsiaTheme="minorEastAsia"/>
          <w:b/>
          <w:highlight w:val="yellow"/>
        </w:rPr>
      </w:pPr>
      <w:r>
        <w:rPr>
          <w:rFonts w:hint="eastAsia" w:asciiTheme="minorEastAsia" w:hAnsiTheme="minorEastAsia" w:eastAsiaTheme="minorEastAsia"/>
          <w:b/>
          <w:highlight w:val="yellow"/>
        </w:rPr>
        <w:t>合同签订之日起至2026年12月31日前完成。</w:t>
      </w:r>
    </w:p>
    <w:p w14:paraId="151CBAA0">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2.付款方式</w:t>
      </w:r>
      <w:r>
        <w:rPr>
          <w:rFonts w:hint="eastAsia" w:asciiTheme="minorEastAsia" w:hAnsiTheme="minorEastAsia" w:eastAsiaTheme="minorEastAsia"/>
          <w:b/>
        </w:rPr>
        <w:t>：</w:t>
      </w:r>
    </w:p>
    <w:p w14:paraId="6719511A">
      <w:pPr>
        <w:spacing w:line="360" w:lineRule="auto"/>
        <w:ind w:firstLine="424" w:firstLineChars="202"/>
        <w:rPr>
          <w:rFonts w:asciiTheme="minorEastAsia" w:hAnsiTheme="minorEastAsia" w:eastAsiaTheme="minorEastAsia"/>
          <w:b/>
        </w:rPr>
      </w:pPr>
      <w:r>
        <w:rPr>
          <w:rFonts w:hint="eastAsia" w:ascii="宋体" w:hAnsi="宋体"/>
          <w:szCs w:val="21"/>
        </w:rPr>
        <w:t>分期付款：采购方在合同签订后，且收到中标方提供符合国家财税有关规定发票后10个工作日内支付合同总额的50%作为首期款，余款按进度支付。</w:t>
      </w:r>
    </w:p>
    <w:p w14:paraId="4D9024AE">
      <w:pPr>
        <w:spacing w:line="360" w:lineRule="auto"/>
        <w:jc w:val="left"/>
        <w:rPr>
          <w:rFonts w:ascii="宋体" w:hAnsi="宋体"/>
          <w:b/>
          <w:bCs/>
          <w:szCs w:val="21"/>
        </w:rPr>
      </w:pPr>
      <w:r>
        <w:rPr>
          <w:rFonts w:hint="eastAsia" w:ascii="宋体" w:hAnsi="宋体"/>
          <w:b/>
          <w:bCs/>
          <w:szCs w:val="21"/>
          <w:lang w:val="en-US" w:eastAsia="zh-CN"/>
        </w:rPr>
        <w:t>3.</w:t>
      </w:r>
      <w:r>
        <w:rPr>
          <w:rFonts w:hint="eastAsia" w:ascii="宋体" w:hAnsi="宋体"/>
          <w:b/>
          <w:bCs/>
          <w:szCs w:val="21"/>
        </w:rPr>
        <w:t>报价要求：总价报价：</w:t>
      </w:r>
    </w:p>
    <w:p w14:paraId="2DDC0C7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固定总价（即供应商进行总价报价）</w:t>
      </w:r>
      <w:r>
        <w:rPr>
          <w:rFonts w:hint="eastAsia" w:ascii="宋体" w:hAnsi="宋体"/>
          <w:szCs w:val="21"/>
          <w:lang w:eastAsia="zh-CN"/>
        </w:rPr>
        <w:t>，</w:t>
      </w:r>
      <w:r>
        <w:rPr>
          <w:rFonts w:hint="eastAsia" w:ascii="宋体" w:hAnsi="宋体"/>
          <w:szCs w:val="21"/>
        </w:rPr>
        <w:t>本项目服务费采用包干制，应包括服务成本、法定税费和利润。由投标人根据采购文件所提供的资料自行测算投标报价；一经中标，报价总作为中标人与采购人签定的合同金额，合同期限内不做调整。</w:t>
      </w:r>
    </w:p>
    <w:p w14:paraId="6DD60DBC">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投标人应当根据本单位的成本、利润、税费等情况自行决定报价。</w:t>
      </w:r>
    </w:p>
    <w:p w14:paraId="47D9D876">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投标人的报价不得超过项目预算金额，否则作投标无效处理。</w:t>
      </w:r>
    </w:p>
    <w:p w14:paraId="0B5207C1">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投标人的报价，应当是本项目采购范围和采购文件及合同条款上所列的各项内容中所述的全部，不得以任何理由予以重复。</w:t>
      </w:r>
    </w:p>
    <w:p w14:paraId="65002544">
      <w:pPr>
        <w:spacing w:line="360" w:lineRule="auto"/>
        <w:jc w:val="left"/>
        <w:rPr>
          <w:rFonts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除非采购人通过修改采购文件予以更正，否则，投标人应毫无例外地按响应文件所列的清单中项目和数量填报综合单价或合价。投标人未填综合单价或合价的项目，在实施后，将不获得支付，并视作该项费用已包括在其他有价款的综合单价或合价内。</w:t>
      </w:r>
    </w:p>
    <w:p w14:paraId="51A29DB5">
      <w:pPr>
        <w:spacing w:line="360" w:lineRule="auto"/>
        <w:jc w:val="left"/>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w:t>
      </w:r>
      <w:r>
        <w:rPr>
          <w:rFonts w:hint="eastAsia" w:ascii="宋体" w:hAnsi="宋体"/>
          <w:szCs w:val="21"/>
        </w:rPr>
        <w:t>投标人不得期望通过索赔等方式获取补偿，否则，除可能遭到拒绝外，还可能将被作为不良行为记录在案，并可能影响其以后参加政府采购的项目投标。各投标人在报价时，应充分考虑报价的风险。</w:t>
      </w:r>
    </w:p>
    <w:p w14:paraId="34EBD9A6">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4.售后服务</w:t>
      </w:r>
      <w:r>
        <w:rPr>
          <w:rFonts w:hint="eastAsia" w:asciiTheme="minorEastAsia" w:hAnsiTheme="minorEastAsia" w:eastAsiaTheme="minorEastAsia"/>
          <w:b/>
        </w:rPr>
        <w:t>：</w:t>
      </w:r>
    </w:p>
    <w:p w14:paraId="5A809094">
      <w:pPr>
        <w:spacing w:line="360" w:lineRule="auto"/>
        <w:ind w:firstLine="420" w:firstLineChars="200"/>
        <w:jc w:val="left"/>
        <w:rPr>
          <w:rFonts w:ascii="宋体" w:hAnsi="宋体"/>
          <w:szCs w:val="21"/>
        </w:rPr>
      </w:pPr>
      <w:r>
        <w:rPr>
          <w:rFonts w:hint="eastAsia" w:ascii="宋体" w:hAnsi="宋体"/>
          <w:szCs w:val="21"/>
        </w:rPr>
        <w:t>中标供应商在服务期满一年内需在采购人有需要时负责对本项目相关情况进行解释、说明，提供相应的修正服务。</w:t>
      </w:r>
    </w:p>
    <w:p w14:paraId="0922A3D1">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5.</w:t>
      </w:r>
      <w:r>
        <w:rPr>
          <w:rFonts w:hint="eastAsia" w:asciiTheme="minorEastAsia" w:hAnsiTheme="minorEastAsia" w:eastAsiaTheme="minorEastAsia"/>
          <w:b/>
        </w:rPr>
        <w:t>合同的变更：</w:t>
      </w:r>
    </w:p>
    <w:p w14:paraId="2A3569F8">
      <w:pPr>
        <w:spacing w:line="360" w:lineRule="auto"/>
        <w:ind w:firstLine="420" w:firstLineChars="200"/>
        <w:jc w:val="left"/>
        <w:rPr>
          <w:rFonts w:ascii="宋体" w:hAnsi="宋体"/>
          <w:szCs w:val="21"/>
        </w:rPr>
      </w:pPr>
      <w:r>
        <w:rPr>
          <w:rFonts w:hint="eastAsia" w:ascii="宋体" w:hAnsi="宋体"/>
          <w:szCs w:val="21"/>
        </w:rPr>
        <w:t>采购人和中标供应商双方不得擅自变更合同；若合同继续履行将损害国家利益和社会公共利益，则双方应当变更合同。</w:t>
      </w:r>
    </w:p>
    <w:p w14:paraId="1DB360F4">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6.</w:t>
      </w:r>
      <w:r>
        <w:rPr>
          <w:rFonts w:hint="eastAsia" w:asciiTheme="minorEastAsia" w:hAnsiTheme="minorEastAsia" w:eastAsiaTheme="minorEastAsia"/>
          <w:b/>
        </w:rPr>
        <w:t>合同解除：</w:t>
      </w:r>
    </w:p>
    <w:p w14:paraId="4E420C1E">
      <w:pPr>
        <w:spacing w:line="288" w:lineRule="auto"/>
        <w:ind w:firstLine="420" w:firstLineChars="200"/>
        <w:rPr>
          <w:rFonts w:ascii="宋体" w:hAnsi="宋体" w:cs="楷体"/>
          <w:bCs/>
          <w:szCs w:val="24"/>
        </w:rPr>
      </w:pPr>
      <w:r>
        <w:rPr>
          <w:rFonts w:hint="eastAsia" w:ascii="宋体" w:hAnsi="宋体" w:cs="楷体"/>
          <w:bCs/>
          <w:szCs w:val="24"/>
        </w:rPr>
        <w:t>经双方协商一致或一方依据本合同第十三条违约责任行使解除权并书面通知对方后，双方合同关系解除，合同终止履行，未履行部分不再履行，已履行部分按合同有关结算及违约赔偿条款处理。</w:t>
      </w:r>
    </w:p>
    <w:p w14:paraId="5311169C">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7.</w:t>
      </w:r>
      <w:r>
        <w:rPr>
          <w:rFonts w:hint="eastAsia" w:asciiTheme="minorEastAsia" w:hAnsiTheme="minorEastAsia" w:eastAsiaTheme="minorEastAsia"/>
          <w:b/>
        </w:rPr>
        <w:t>违约责任：</w:t>
      </w:r>
    </w:p>
    <w:p w14:paraId="3A2F9F88">
      <w:pPr>
        <w:spacing w:line="360" w:lineRule="auto"/>
        <w:ind w:firstLine="420" w:firstLineChars="200"/>
        <w:rPr>
          <w:rFonts w:hint="eastAsia" w:ascii="宋体" w:hAnsi="宋体" w:cs="楷体"/>
          <w:bCs/>
          <w:szCs w:val="24"/>
        </w:rPr>
      </w:pPr>
      <w:r>
        <w:rPr>
          <w:rFonts w:hint="eastAsia" w:ascii="宋体" w:hAnsi="宋体" w:cs="楷体"/>
          <w:bCs/>
          <w:szCs w:val="24"/>
        </w:rPr>
        <w:t>①中标供应商未在约定期限内完成项目内容并提交成果的，每延迟一日按照合同总金额千分之一的标准向采购人支付违约金。延迟超过十日的，采购人有权解除合同并要求中标供应商返还已经支付的款项，未支付的不再支付。</w:t>
      </w:r>
    </w:p>
    <w:p w14:paraId="0EA37D7E">
      <w:pPr>
        <w:spacing w:line="360" w:lineRule="auto"/>
        <w:ind w:firstLine="420" w:firstLineChars="200"/>
        <w:rPr>
          <w:rFonts w:hint="eastAsia" w:ascii="宋体" w:hAnsi="宋体" w:cs="楷体"/>
          <w:bCs/>
          <w:szCs w:val="24"/>
        </w:rPr>
      </w:pPr>
      <w:r>
        <w:rPr>
          <w:rFonts w:hint="eastAsia" w:ascii="宋体" w:hAnsi="宋体" w:cs="楷体"/>
          <w:bCs/>
          <w:szCs w:val="24"/>
        </w:rPr>
        <w:t>②中标供应商交付的成果验收不合格的，经采购人要求整改再次验收仍不合格的或中标供应商提交的成果存在虚假、违法违规、重大错误的，采购人有权立即解除合同、要求中标供应商返还已经支付的款项并支付合同总额20%的违约金。</w:t>
      </w:r>
    </w:p>
    <w:p w14:paraId="727543C0">
      <w:pPr>
        <w:spacing w:line="360" w:lineRule="auto"/>
        <w:ind w:firstLine="420" w:firstLineChars="200"/>
        <w:rPr>
          <w:rFonts w:hint="eastAsia" w:ascii="宋体" w:hAnsi="宋体" w:cs="楷体"/>
          <w:bCs/>
          <w:szCs w:val="24"/>
        </w:rPr>
      </w:pPr>
      <w:r>
        <w:rPr>
          <w:rFonts w:hint="eastAsia" w:ascii="宋体" w:hAnsi="宋体" w:cs="楷体"/>
          <w:bCs/>
          <w:szCs w:val="24"/>
        </w:rPr>
        <w:t>③因中标供应商实施本项目过程中侵犯第三人合法权益或者违约导致采购人承担赔偿责任的，采购人在承担赔偿责任后有权向中标供应商追偿，同时，采购人有权解除合同、要求中标供应商返还已经支付的款项并支付合同总额20%的违约金。</w:t>
      </w:r>
    </w:p>
    <w:p w14:paraId="035C9B2D">
      <w:pPr>
        <w:spacing w:line="360" w:lineRule="auto"/>
        <w:ind w:firstLine="420" w:firstLineChars="200"/>
        <w:rPr>
          <w:rFonts w:hint="eastAsia" w:ascii="宋体" w:hAnsi="宋体" w:cs="楷体"/>
          <w:bCs/>
          <w:szCs w:val="24"/>
        </w:rPr>
      </w:pPr>
      <w:r>
        <w:rPr>
          <w:rFonts w:hint="eastAsia" w:ascii="宋体" w:hAnsi="宋体" w:cs="楷体"/>
          <w:bCs/>
          <w:szCs w:val="24"/>
        </w:rPr>
        <w:t>④中标供应商签订合同后，实际配备的工作人员与投标文件的承诺不一致的，或实施本项目时已不符合招标文件要求的，采购人有权解除合同，并要求中标供应商向采购人支付合同总额20%的违约金。</w:t>
      </w:r>
    </w:p>
    <w:p w14:paraId="61EE4923">
      <w:pPr>
        <w:spacing w:line="360" w:lineRule="auto"/>
        <w:ind w:firstLine="420" w:firstLineChars="200"/>
        <w:rPr>
          <w:rFonts w:hint="eastAsia" w:ascii="宋体" w:hAnsi="宋体" w:cs="楷体"/>
          <w:bCs/>
          <w:szCs w:val="24"/>
        </w:rPr>
      </w:pPr>
      <w:r>
        <w:rPr>
          <w:rFonts w:hint="eastAsia" w:ascii="宋体" w:hAnsi="宋体" w:cs="楷体"/>
          <w:bCs/>
          <w:szCs w:val="24"/>
        </w:rPr>
        <w:t>⑤中标供应商无正当理由解除合同的，应向采购人支付合同总额20%的违约金。</w:t>
      </w:r>
    </w:p>
    <w:p w14:paraId="5D7BE570">
      <w:pPr>
        <w:spacing w:line="360" w:lineRule="auto"/>
        <w:ind w:firstLine="420" w:firstLineChars="200"/>
        <w:rPr>
          <w:rFonts w:ascii="宋体" w:hAnsi="宋体" w:cs="楷体"/>
          <w:bCs/>
          <w:szCs w:val="24"/>
        </w:rPr>
      </w:pPr>
      <w:r>
        <w:rPr>
          <w:rFonts w:hint="eastAsia" w:ascii="宋体" w:hAnsi="宋体" w:cs="楷体"/>
          <w:bCs/>
          <w:szCs w:val="24"/>
        </w:rPr>
        <w:t>⑥中标供应商未经采购人同意，将本合同项目的任务全部或者一部分转包或分包给第三人，采购人有权解除合同、要求中标供应商返还已经支付的款项并支付合同总额20%的违约金。</w:t>
      </w:r>
    </w:p>
    <w:p w14:paraId="3AEA83BF">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8.保密要求：</w:t>
      </w:r>
    </w:p>
    <w:p w14:paraId="329980BD">
      <w:pPr>
        <w:spacing w:line="360" w:lineRule="auto"/>
        <w:ind w:firstLine="420" w:firstLineChars="200"/>
        <w:rPr>
          <w:rFonts w:hint="eastAsia" w:ascii="宋体" w:hAnsi="宋体" w:cs="楷体"/>
          <w:bCs/>
          <w:szCs w:val="24"/>
          <w:lang w:eastAsia="zh-CN"/>
        </w:rPr>
      </w:pPr>
      <w:r>
        <w:rPr>
          <w:rFonts w:hint="eastAsia" w:ascii="宋体" w:hAnsi="宋体" w:cs="楷体"/>
          <w:bCs/>
          <w:szCs w:val="24"/>
        </w:rPr>
        <w:t>采购人和中标供应商双方对知悉对方的财务、技术、专项数据、合同价款、未披露的政策、诉讼方案以及为实施项目提供给对方的文件或信息的内容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合同履行完毕或者终止不视为解除保密义务，双方仍应承担保密义务</w:t>
      </w:r>
      <w:r>
        <w:rPr>
          <w:rFonts w:hint="eastAsia" w:ascii="宋体" w:hAnsi="宋体" w:cs="楷体"/>
          <w:bCs/>
          <w:szCs w:val="24"/>
          <w:lang w:eastAsia="zh-CN"/>
        </w:rPr>
        <w:t>。</w:t>
      </w:r>
    </w:p>
    <w:p w14:paraId="045EBBBA">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9.知识产权：</w:t>
      </w:r>
    </w:p>
    <w:p w14:paraId="4C011122">
      <w:pPr>
        <w:spacing w:line="360" w:lineRule="auto"/>
        <w:ind w:firstLine="420" w:firstLineChars="200"/>
        <w:rPr>
          <w:rFonts w:hint="eastAsia" w:ascii="宋体" w:hAnsi="宋体" w:eastAsia="宋体" w:cs="楷体"/>
          <w:bCs/>
          <w:szCs w:val="24"/>
          <w:lang w:val="en-US" w:eastAsia="zh-CN"/>
        </w:rPr>
      </w:pPr>
      <w:r>
        <w:rPr>
          <w:rFonts w:hint="eastAsia" w:ascii="宋体" w:hAnsi="宋体" w:cs="楷体"/>
          <w:bCs/>
          <w:szCs w:val="24"/>
        </w:rPr>
        <w:t>中标供应商在项目实施过程中不得侵犯第三人知识产权以及其他权益。需要使用第三人知识产权的，中标供应商取得权利人许可或者授权并由中标供应商承担费用。除第三人依法享有知识产权的除外，中标供应商实施本项目所形成成果的知识产权归采购人所有，未经采购人许可，中标供应商不得随意使用</w:t>
      </w:r>
      <w:r>
        <w:rPr>
          <w:rFonts w:hint="eastAsia" w:ascii="宋体" w:hAnsi="宋体" w:cs="楷体"/>
          <w:bCs/>
          <w:szCs w:val="24"/>
          <w:lang w:eastAsia="zh-CN"/>
        </w:rPr>
        <w:t>。</w:t>
      </w:r>
    </w:p>
    <w:p w14:paraId="55D23947">
      <w:pPr>
        <w:spacing w:line="360" w:lineRule="auto"/>
        <w:rPr>
          <w:rFonts w:hint="eastAsia" w:asciiTheme="minorEastAsia" w:hAnsiTheme="minorEastAsia" w:eastAsiaTheme="minorEastAsia"/>
          <w:b/>
          <w:lang w:val="en-US" w:eastAsia="zh-CN"/>
        </w:rPr>
      </w:pPr>
      <w:r>
        <w:rPr>
          <w:rFonts w:hint="eastAsia" w:asciiTheme="minorEastAsia" w:hAnsiTheme="minorEastAsia" w:eastAsiaTheme="minorEastAsia"/>
          <w:b/>
          <w:lang w:val="en-US" w:eastAsia="zh-CN"/>
        </w:rPr>
        <w:t>10.履约验收内容及验收标准：</w:t>
      </w:r>
    </w:p>
    <w:p w14:paraId="5AE509EB">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①提交项目完成情况总结报告，电子版1份，纸质版1份；</w:t>
      </w:r>
    </w:p>
    <w:p w14:paraId="64235F67">
      <w:pPr>
        <w:spacing w:line="360" w:lineRule="auto"/>
        <w:ind w:firstLine="424" w:firstLineChars="202"/>
        <w:rPr>
          <w:rFonts w:hint="eastAsia" w:ascii="宋体" w:hAnsi="宋体"/>
          <w:szCs w:val="21"/>
          <w:lang w:val="en-US" w:eastAsia="zh-CN"/>
        </w:rPr>
      </w:pPr>
      <w:r>
        <w:rPr>
          <w:rFonts w:hint="eastAsia" w:ascii="宋体" w:hAnsi="宋体"/>
          <w:szCs w:val="21"/>
          <w:lang w:val="en-US" w:eastAsia="zh-CN"/>
        </w:rPr>
        <w:t>②提交不少于300个“圳品”产品的检测报告（其中食用农产品的抽检数量不少于160个）。</w:t>
      </w:r>
    </w:p>
    <w:p w14:paraId="5A0F1A3B">
      <w:pPr>
        <w:spacing w:line="360" w:lineRule="auto"/>
        <w:rPr>
          <w:rFonts w:asciiTheme="minorEastAsia" w:hAnsiTheme="minorEastAsia" w:eastAsiaTheme="minorEastAsia"/>
          <w:b/>
        </w:rPr>
      </w:pPr>
      <w:r>
        <w:rPr>
          <w:rFonts w:hint="eastAsia" w:asciiTheme="minorEastAsia" w:hAnsiTheme="minorEastAsia" w:eastAsiaTheme="minorEastAsia"/>
          <w:b/>
          <w:lang w:val="en-US" w:eastAsia="zh-CN"/>
        </w:rPr>
        <w:t>11.</w:t>
      </w:r>
      <w:r>
        <w:rPr>
          <w:rFonts w:hint="eastAsia" w:asciiTheme="minorEastAsia" w:hAnsiTheme="minorEastAsia" w:eastAsiaTheme="minorEastAsia"/>
          <w:b/>
        </w:rPr>
        <w:t>服务地点：</w:t>
      </w:r>
    </w:p>
    <w:p w14:paraId="6548818A">
      <w:pPr>
        <w:spacing w:line="360" w:lineRule="auto"/>
        <w:ind w:firstLine="424" w:firstLineChars="202"/>
        <w:rPr>
          <w:rFonts w:asciiTheme="minorEastAsia" w:hAnsiTheme="minorEastAsia" w:eastAsiaTheme="minorEastAsia"/>
          <w:b/>
        </w:rPr>
      </w:pPr>
      <w:r>
        <w:rPr>
          <w:rFonts w:hint="eastAsia" w:ascii="宋体" w:hAnsi="宋体"/>
          <w:szCs w:val="21"/>
        </w:rPr>
        <w:t>深圳市。</w:t>
      </w:r>
    </w:p>
    <w:p w14:paraId="4F67ADD0">
      <w:pPr>
        <w:spacing w:beforeLines="25" w:afterLines="25"/>
        <w:rPr>
          <w:rFonts w:ascii="宋体" w:hAnsi="宋体"/>
          <w:szCs w:val="21"/>
        </w:rPr>
      </w:pPr>
    </w:p>
    <w:p w14:paraId="0846D262">
      <w:pPr>
        <w:keepNext/>
        <w:keepLines/>
        <w:widowControl w:val="0"/>
        <w:suppressLineNumbers w:val="0"/>
        <w:adjustRightInd w:val="0"/>
        <w:spacing w:before="0" w:beforeLines="50" w:beforeAutospacing="0" w:after="0" w:afterLines="50" w:afterAutospacing="0"/>
        <w:ind w:left="0" w:right="0"/>
        <w:jc w:val="center"/>
        <w:textAlignment w:val="baseline"/>
        <w:outlineLvl w:val="1"/>
        <w:rPr>
          <w:rFonts w:hint="eastAsia" w:ascii="宋体" w:hAnsi="宋体" w:eastAsia="宋体" w:cs="Times New Roman"/>
          <w:b/>
          <w:bCs/>
          <w:kern w:val="0"/>
          <w:sz w:val="28"/>
          <w:szCs w:val="28"/>
          <w:vertAlign w:val="baseline"/>
        </w:rPr>
      </w:pPr>
      <w:r>
        <w:rPr>
          <w:rFonts w:hint="eastAsia" w:ascii="宋体" w:hAnsi="宋体" w:cs="宋体"/>
          <w:b/>
          <w:bCs/>
          <w:kern w:val="0"/>
          <w:sz w:val="28"/>
          <w:szCs w:val="28"/>
          <w:vertAlign w:val="baseline"/>
          <w:lang w:val="en-US" w:eastAsia="zh-CN" w:bidi="ar"/>
        </w:rPr>
        <w:t>六</w:t>
      </w:r>
      <w:r>
        <w:rPr>
          <w:rFonts w:hint="eastAsia" w:ascii="宋体" w:hAnsi="宋体" w:eastAsia="宋体" w:cs="宋体"/>
          <w:b/>
          <w:bCs/>
          <w:kern w:val="0"/>
          <w:sz w:val="28"/>
          <w:szCs w:val="28"/>
          <w:vertAlign w:val="baseline"/>
          <w:lang w:val="en-US" w:eastAsia="zh-CN" w:bidi="ar"/>
        </w:rPr>
        <w:t>、投标/响应方案要求</w:t>
      </w:r>
    </w:p>
    <w:p w14:paraId="7A41F24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投标人应在满足★必备指标项要求的前提下，根据项目特点和采购需求，制定以下更为完整、详细、可操作性强的方案。</w:t>
      </w:r>
    </w:p>
    <w:p w14:paraId="1369AC9F">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（一）提供项目</w:t>
      </w:r>
      <w:r>
        <w:rPr>
          <w:rFonts w:hint="eastAsia" w:ascii="宋体" w:hAnsi="宋体" w:cs="宋体"/>
          <w:szCs w:val="21"/>
        </w:rPr>
        <w:t>实施方案</w:t>
      </w:r>
      <w:r>
        <w:rPr>
          <w:rFonts w:hint="eastAsia" w:ascii="宋体" w:hAnsi="宋体" w:eastAsia="宋体" w:cs="宋体"/>
          <w:kern w:val="2"/>
          <w:sz w:val="21"/>
          <w:szCs w:val="21"/>
          <w:lang w:val="en-US" w:eastAsia="zh-CN" w:bidi="ar"/>
        </w:rPr>
        <w:t>，内容包含但不限于：</w:t>
      </w:r>
    </w:p>
    <w:p w14:paraId="4898BEB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1.检测工作流程和工作制度；</w:t>
      </w:r>
    </w:p>
    <w:p w14:paraId="67C619A4">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2.制定检测计划和风险管控；</w:t>
      </w:r>
    </w:p>
    <w:p w14:paraId="15B4E72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3.抽样方案；</w:t>
      </w:r>
    </w:p>
    <w:p w14:paraId="6CB2CDF6">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4.检验方案；</w:t>
      </w:r>
    </w:p>
    <w:p w14:paraId="0A03250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5.报告判定原则；</w:t>
      </w:r>
    </w:p>
    <w:p w14:paraId="1C2DF10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6.结果报送要求；</w:t>
      </w:r>
    </w:p>
    <w:p w14:paraId="3B26FE3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7.异议及后处理；</w:t>
      </w:r>
    </w:p>
    <w:p w14:paraId="469134B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8.检验过程的质量控制体系及方法；</w:t>
      </w:r>
    </w:p>
    <w:p w14:paraId="5FFEDA0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9.应急预案；</w:t>
      </w:r>
    </w:p>
    <w:p w14:paraId="46E2D2AA">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cs="宋体"/>
          <w:szCs w:val="21"/>
        </w:rPr>
      </w:pPr>
      <w:r>
        <w:rPr>
          <w:rFonts w:hint="eastAsia" w:ascii="宋体" w:hAnsi="宋体" w:cs="宋体"/>
          <w:szCs w:val="21"/>
        </w:rPr>
        <w:t>10.后续服务（含数据录入、统计分析报告）等相关内容</w:t>
      </w:r>
      <w:bookmarkStart w:id="82" w:name="_GoBack"/>
      <w:bookmarkEnd w:id="82"/>
      <w:r>
        <w:rPr>
          <w:rFonts w:hint="eastAsia" w:ascii="宋体" w:hAnsi="宋体" w:cs="宋体"/>
          <w:szCs w:val="21"/>
        </w:rPr>
        <w:t>。</w:t>
      </w:r>
    </w:p>
    <w:p w14:paraId="5FCAC11C">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Times New Roman"/>
          <w:kern w:val="2"/>
          <w:sz w:val="21"/>
          <w:szCs w:val="21"/>
        </w:rPr>
      </w:pPr>
      <w:r>
        <w:rPr>
          <w:rFonts w:hint="eastAsia" w:ascii="宋体" w:hAnsi="宋体" w:eastAsia="宋体" w:cs="宋体"/>
          <w:kern w:val="2"/>
          <w:sz w:val="21"/>
          <w:szCs w:val="21"/>
          <w:lang w:val="en-US" w:eastAsia="zh-CN" w:bidi="ar"/>
        </w:rPr>
        <w:t>（二）提供</w:t>
      </w:r>
      <w:r>
        <w:rPr>
          <w:rFonts w:hint="eastAsia" w:ascii="宋体" w:hAnsi="宋体" w:cs="宋体"/>
          <w:szCs w:val="21"/>
        </w:rPr>
        <w:t>项目重点难点分析、应对措施及相关的合理化建议</w:t>
      </w:r>
      <w:r>
        <w:rPr>
          <w:rFonts w:hint="eastAsia" w:ascii="宋体" w:hAnsi="宋体" w:eastAsia="宋体" w:cs="宋体"/>
          <w:kern w:val="2"/>
          <w:sz w:val="21"/>
          <w:szCs w:val="21"/>
          <w:lang w:val="en-US" w:eastAsia="zh-CN" w:bidi="ar"/>
        </w:rPr>
        <w:t>，内容包含但不限于：</w:t>
      </w:r>
    </w:p>
    <w:p w14:paraId="73613D63">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1.针对项目实施过程重点难点问题，进行逐一分析；</w:t>
      </w:r>
    </w:p>
    <w:p w14:paraId="5737E662">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2.应对措施及相应的建议。</w:t>
      </w:r>
    </w:p>
    <w:p w14:paraId="59EB4821">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w:t>
      </w:r>
      <w:r>
        <w:rPr>
          <w:rFonts w:hint="eastAsia" w:ascii="宋体" w:hAnsi="宋体" w:cs="宋体"/>
          <w:kern w:val="2"/>
          <w:sz w:val="21"/>
          <w:szCs w:val="21"/>
          <w:lang w:val="en-US" w:eastAsia="zh-CN" w:bidi="ar"/>
        </w:rPr>
        <w:t>三</w:t>
      </w:r>
      <w:r>
        <w:rPr>
          <w:rFonts w:hint="eastAsia" w:ascii="宋体" w:hAnsi="宋体" w:eastAsia="宋体" w:cs="宋体"/>
          <w:kern w:val="2"/>
          <w:sz w:val="21"/>
          <w:szCs w:val="21"/>
          <w:lang w:val="en-US" w:eastAsia="zh-CN" w:bidi="ar"/>
        </w:rPr>
        <w:t>）提供</w:t>
      </w:r>
      <w:r>
        <w:rPr>
          <w:rFonts w:hint="eastAsia" w:ascii="宋体" w:hAnsi="宋体" w:cs="宋体"/>
          <w:szCs w:val="21"/>
        </w:rPr>
        <w:t>质量（完成时间、安全、环保）保障措施及方案</w:t>
      </w:r>
      <w:r>
        <w:rPr>
          <w:rFonts w:hint="eastAsia" w:ascii="宋体" w:hAnsi="宋体" w:eastAsia="宋体" w:cs="宋体"/>
          <w:kern w:val="2"/>
          <w:sz w:val="21"/>
          <w:szCs w:val="21"/>
          <w:lang w:val="en-US" w:eastAsia="zh-CN" w:bidi="ar"/>
        </w:rPr>
        <w:t>，内容包含但不限于：</w:t>
      </w:r>
    </w:p>
    <w:p w14:paraId="37CC5AA8">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1.保障项目质量的人力资源方案;</w:t>
      </w:r>
    </w:p>
    <w:p w14:paraId="6FD110EE">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2.保障项目质量的设备、技术等资源方案；</w:t>
      </w:r>
    </w:p>
    <w:p w14:paraId="457EB765">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3.保障项目质量的内部监督工作方案；</w:t>
      </w:r>
    </w:p>
    <w:p w14:paraId="39664F5B">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4.保障项目质量的紧急资源调配以及应急响应工作方案；</w:t>
      </w:r>
    </w:p>
    <w:p w14:paraId="76C76D5D">
      <w:pPr>
        <w:keepNext w:val="0"/>
        <w:keepLines w:val="0"/>
        <w:widowControl w:val="0"/>
        <w:suppressLineNumbers w:val="0"/>
        <w:spacing w:before="0" w:beforeAutospacing="0" w:after="0" w:afterAutospacing="0" w:line="360" w:lineRule="auto"/>
        <w:ind w:left="0" w:leftChars="0" w:right="0"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5.保障项目质量的安全措施（包括但不限于舆情处置、突发情况处理、数据安全、操作安全等内容）。</w:t>
      </w:r>
    </w:p>
    <w:p w14:paraId="7008324F">
      <w:pPr>
        <w:keepNext w:val="0"/>
        <w:keepLines w:val="0"/>
        <w:widowControl w:val="0"/>
        <w:suppressLineNumbers w:val="0"/>
        <w:spacing w:before="0" w:beforeAutospacing="0" w:after="0" w:afterAutospacing="0" w:line="360" w:lineRule="auto"/>
        <w:ind w:left="0" w:leftChars="0" w:right="0" w:firstLine="420" w:firstLineChars="200"/>
        <w:jc w:val="left"/>
        <w:rPr>
          <w:rFonts w:ascii="宋体" w:hAnsi="宋体"/>
          <w:szCs w:val="21"/>
        </w:rPr>
      </w:pPr>
      <w:r>
        <w:rPr>
          <w:rFonts w:ascii="宋体" w:hAnsi="宋体"/>
          <w:szCs w:val="21"/>
        </w:rPr>
        <w:br w:type="page"/>
      </w:r>
    </w:p>
    <w:p w14:paraId="492CD520">
      <w:pPr>
        <w:keepNext/>
        <w:keepLines/>
        <w:adjustRightInd w:val="0"/>
        <w:spacing w:before="260" w:after="260"/>
        <w:jc w:val="center"/>
        <w:textAlignment w:val="baseline"/>
        <w:outlineLvl w:val="1"/>
        <w:rPr>
          <w:rFonts w:ascii="宋体" w:hAnsi="宋体"/>
          <w:b/>
          <w:bCs/>
          <w:sz w:val="24"/>
          <w:szCs w:val="20"/>
        </w:rPr>
      </w:pPr>
      <w:r>
        <w:rPr>
          <w:rFonts w:hint="eastAsia" w:ascii="宋体" w:hAnsi="宋体"/>
          <w:b/>
          <w:bCs/>
          <w:sz w:val="24"/>
          <w:szCs w:val="20"/>
        </w:rPr>
        <w:t>第三章</w:t>
      </w:r>
      <w:r>
        <w:rPr>
          <w:rFonts w:ascii="宋体" w:hAnsi="宋体"/>
          <w:b/>
          <w:bCs/>
          <w:sz w:val="24"/>
          <w:szCs w:val="20"/>
        </w:rPr>
        <w:t xml:space="preserve"> </w:t>
      </w:r>
      <w:r>
        <w:rPr>
          <w:rFonts w:hint="eastAsia" w:ascii="宋体" w:hAnsi="宋体"/>
          <w:b/>
          <w:bCs/>
          <w:sz w:val="24"/>
          <w:szCs w:val="20"/>
        </w:rPr>
        <w:t xml:space="preserve"> 投标文件格式、附件</w:t>
      </w:r>
    </w:p>
    <w:p w14:paraId="202D33FA">
      <w:pPr>
        <w:rPr>
          <w:rFonts w:ascii="Times New Roman" w:hAnsi="Times New Roman"/>
          <w:b/>
          <w:bCs/>
          <w:sz w:val="24"/>
          <w:szCs w:val="32"/>
        </w:rPr>
      </w:pPr>
      <w:r>
        <w:rPr>
          <w:rFonts w:hint="eastAsia" w:ascii="Times New Roman" w:hAnsi="Times New Roman"/>
          <w:b/>
          <w:bCs/>
          <w:sz w:val="24"/>
          <w:szCs w:val="32"/>
        </w:rPr>
        <w:t>特别提醒：</w:t>
      </w:r>
    </w:p>
    <w:p w14:paraId="74EDECB6">
      <w:pPr>
        <w:rPr>
          <w:rFonts w:ascii="Times New Roman" w:hAnsi="Times New Roman"/>
          <w:b/>
          <w:bCs/>
          <w:sz w:val="24"/>
          <w:szCs w:val="32"/>
        </w:rPr>
      </w:pPr>
    </w:p>
    <w:p w14:paraId="3A16F6BE">
      <w:pPr>
        <w:widowControl/>
        <w:ind w:firstLine="482" w:firstLineChars="200"/>
        <w:jc w:val="left"/>
        <w:rPr>
          <w:rFonts w:ascii="仿宋_GB2312" w:hAnsi="Times New Roman" w:eastAsia="仿宋_GB2312"/>
          <w:kern w:val="0"/>
          <w:sz w:val="24"/>
          <w:szCs w:val="24"/>
        </w:rPr>
      </w:pPr>
      <w:r>
        <w:rPr>
          <w:rFonts w:hint="eastAsia" w:ascii="仿宋_GB2312" w:hAnsi="Times New Roman" w:eastAsia="仿宋_GB2312"/>
          <w:b/>
          <w:kern w:val="0"/>
          <w:sz w:val="24"/>
          <w:szCs w:val="24"/>
        </w:rPr>
        <w:t>投标文件正文将对外公开，投标文件附件不公开。</w:t>
      </w:r>
      <w:r>
        <w:rPr>
          <w:rFonts w:hint="eastAsia" w:ascii="仿宋_GB2312" w:hAnsi="Times New Roman" w:eastAsia="仿宋_GB2312"/>
          <w:kern w:val="0"/>
          <w:sz w:val="24"/>
          <w:szCs w:val="24"/>
        </w:rPr>
        <w:t>投标人在编辑投标文件时，在投标文件目录中属于本节点内容的必须在本节点中填写，填写到其他节点或附件的将可能导致投标无效，一切后果由供应商自行承担。</w:t>
      </w:r>
    </w:p>
    <w:p w14:paraId="354AACC0">
      <w:pPr>
        <w:widowControl/>
        <w:jc w:val="left"/>
        <w:rPr>
          <w:rFonts w:ascii="仿宋_GB2312" w:hAnsi="Times New Roman" w:eastAsia="仿宋_GB2312"/>
          <w:kern w:val="0"/>
          <w:sz w:val="24"/>
          <w:szCs w:val="24"/>
        </w:rPr>
      </w:pPr>
      <w:r>
        <w:rPr>
          <w:rFonts w:hint="eastAsia" w:ascii="仿宋_GB2312" w:hAnsi="Times New Roman" w:eastAsia="仿宋_GB2312"/>
          <w:kern w:val="0"/>
          <w:sz w:val="24"/>
          <w:szCs w:val="24"/>
        </w:rPr>
        <w:t xml:space="preserve">    投标人应按招标文件规定的“投标文件组成”编制投标文件正文（信息公开部分）和投标文件附件（信息不公开部分），举例如下图：</w:t>
      </w:r>
    </w:p>
    <w:p w14:paraId="16F2548A">
      <w:pPr>
        <w:widowControl/>
        <w:jc w:val="center"/>
        <w:rPr>
          <w:rFonts w:ascii="宋体" w:hAnsi="宋体" w:cs="宋体" w:eastAsiaTheme="minorEastAsia"/>
          <w:kern w:val="0"/>
          <w:sz w:val="24"/>
          <w:szCs w:val="24"/>
          <w:highlight w:val="green"/>
        </w:rPr>
      </w:pPr>
      <w:r>
        <w:rPr>
          <w:rFonts w:ascii="仿宋_GB2312" w:hAnsi="Times New Roman" w:eastAsia="仿宋_GB2312"/>
          <w:kern w:val="0"/>
          <w:sz w:val="24"/>
          <w:szCs w:val="24"/>
          <w:highlight w:val="green"/>
        </w:rPr>
        <w:drawing>
          <wp:inline distT="0" distB="0" distL="0" distR="0">
            <wp:extent cx="5278755" cy="4126230"/>
            <wp:effectExtent l="0" t="0" r="0" b="0"/>
            <wp:docPr id="2"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图形用户界面, 应用程序&#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278755" cy="4126230"/>
                    </a:xfrm>
                    <a:prstGeom prst="rect">
                      <a:avLst/>
                    </a:prstGeom>
                    <a:noFill/>
                    <a:ln>
                      <a:noFill/>
                    </a:ln>
                  </pic:spPr>
                </pic:pic>
              </a:graphicData>
            </a:graphic>
          </wp:inline>
        </w:drawing>
      </w:r>
    </w:p>
    <w:p w14:paraId="3C8CCC59">
      <w:pPr>
        <w:widowControl/>
        <w:jc w:val="center"/>
        <w:rPr>
          <w:rFonts w:ascii="仿宋_GB2312" w:hAnsi="Times New Roman" w:eastAsia="仿宋_GB2312"/>
          <w:kern w:val="0"/>
          <w:sz w:val="24"/>
          <w:szCs w:val="24"/>
          <w:highlight w:val="green"/>
        </w:rPr>
      </w:pPr>
    </w:p>
    <w:p w14:paraId="6FBBADD0">
      <w:pPr>
        <w:widowControl/>
        <w:ind w:firstLine="480" w:firstLineChars="200"/>
        <w:jc w:val="left"/>
        <w:rPr>
          <w:rFonts w:ascii="仿宋_GB2312" w:hAnsi="Times New Roman" w:eastAsia="仿宋_GB2312"/>
          <w:b/>
          <w:kern w:val="0"/>
          <w:sz w:val="24"/>
          <w:szCs w:val="24"/>
        </w:rPr>
      </w:pPr>
      <w:bookmarkStart w:id="9" w:name="_Hlk72257167"/>
      <w:r>
        <w:rPr>
          <w:rFonts w:hint="eastAsia" w:ascii="仿宋_GB2312" w:hAnsi="Times New Roman" w:eastAsia="仿宋_GB2312"/>
          <w:kern w:val="0"/>
          <w:sz w:val="24"/>
          <w:szCs w:val="24"/>
        </w:rPr>
        <w:t>采购代理机构公布投标文件正文（信息公开部分）时为计算机截取信息自动公布，</w:t>
      </w:r>
      <w:r>
        <w:rPr>
          <w:rFonts w:hint="eastAsia" w:ascii="仿宋_GB2312" w:hAnsi="Times New Roman" w:eastAsia="仿宋_GB2312"/>
          <w:b/>
          <w:bCs/>
          <w:kern w:val="0"/>
          <w:sz w:val="24"/>
          <w:szCs w:val="24"/>
        </w:rPr>
        <w:t>如投标人误将涉及个人隐私或其他重要信息放入投标文件正文，相关后果由投标人自负；</w:t>
      </w:r>
      <w:r>
        <w:rPr>
          <w:rFonts w:hint="eastAsia" w:ascii="仿宋_GB2312" w:hAnsi="Times New Roman" w:eastAsia="仿宋_GB2312"/>
          <w:b/>
          <w:kern w:val="0"/>
          <w:sz w:val="24"/>
          <w:szCs w:val="24"/>
        </w:rPr>
        <w:t>如投标人将必须放于投标文件正文（信息公开部分）的内容放入投标文件附件（信息不公开部分），将作投标无效处理。</w:t>
      </w:r>
    </w:p>
    <w:bookmarkEnd w:id="9"/>
    <w:p w14:paraId="40A04506">
      <w:pPr>
        <w:rPr>
          <w:rFonts w:ascii="仿宋_GB2312" w:hAnsi="Times New Roman" w:eastAsia="仿宋_GB2312"/>
          <w:sz w:val="24"/>
          <w:szCs w:val="24"/>
        </w:rPr>
      </w:pPr>
    </w:p>
    <w:p w14:paraId="72ED782D">
      <w:pPr>
        <w:rPr>
          <w:rFonts w:hint="eastAsia" w:ascii="宋体" w:hAnsi="宋体"/>
          <w:sz w:val="24"/>
        </w:rPr>
      </w:pPr>
      <w:r>
        <w:rPr>
          <w:rFonts w:hint="eastAsia" w:ascii="宋体" w:hAnsi="宋体"/>
          <w:sz w:val="24"/>
        </w:rPr>
        <w:br w:type="page"/>
      </w:r>
    </w:p>
    <w:p w14:paraId="0CE16D0E">
      <w:pPr>
        <w:rPr>
          <w:rFonts w:hint="eastAsia" w:ascii="宋体" w:hAnsi="宋体"/>
          <w:sz w:val="24"/>
        </w:rPr>
      </w:pPr>
      <w:r>
        <w:rPr>
          <w:rFonts w:hint="eastAsia" w:ascii="宋体" w:hAnsi="宋体"/>
          <w:sz w:val="24"/>
        </w:rPr>
        <w:t>投标文件组成：</w:t>
      </w:r>
    </w:p>
    <w:p w14:paraId="46739B78">
      <w:pPr>
        <w:rPr>
          <w:rFonts w:hint="eastAsia" w:ascii="宋体" w:hAnsi="宋体"/>
          <w:b/>
          <w:bCs/>
          <w:color w:val="auto"/>
          <w:sz w:val="24"/>
          <w:lang w:eastAsia="zh-CN"/>
        </w:rPr>
      </w:pPr>
      <w:r>
        <w:rPr>
          <w:rFonts w:hint="eastAsia" w:ascii="宋体" w:hAnsi="宋体"/>
          <w:b/>
          <w:bCs/>
          <w:color w:val="auto"/>
          <w:sz w:val="24"/>
          <w:lang w:eastAsia="zh-CN"/>
        </w:rPr>
        <w:t>注：投标人综合实力的部分证明材料（认证证书、获奖证书、 知识产权证书等，不包括业绩合同），应纳入投标文件信息公开部分。</w:t>
      </w:r>
    </w:p>
    <w:p w14:paraId="14356E41">
      <w:pPr>
        <w:rPr>
          <w:rFonts w:hint="eastAsia" w:ascii="宋体" w:hAnsi="宋体"/>
          <w:sz w:val="24"/>
          <w:lang w:eastAsia="zh-CN"/>
        </w:rPr>
      </w:pPr>
    </w:p>
    <w:p w14:paraId="208BEAA7">
      <w:pPr>
        <w:ind w:firstLine="424" w:firstLineChars="202"/>
        <w:rPr>
          <w:rFonts w:ascii="宋体" w:hAnsi="宋体"/>
          <w:sz w:val="24"/>
        </w:rPr>
      </w:pPr>
      <w:r>
        <w:rPr>
          <w:rFonts w:hint="eastAsia" w:ascii="宋体" w:hAnsi="宋体"/>
        </w:rPr>
        <w:t>1.</w:t>
      </w:r>
      <w:r>
        <w:rPr>
          <w:rFonts w:hint="eastAsia" w:ascii="宋体" w:hAnsi="宋体"/>
          <w:b/>
        </w:rPr>
        <w:t>投标文件正文</w:t>
      </w:r>
      <w:r>
        <w:rPr>
          <w:rFonts w:hint="eastAsia" w:ascii="宋体" w:hAnsi="宋体"/>
          <w:b/>
          <w:szCs w:val="21"/>
        </w:rPr>
        <w:t>（信息公开部分）</w:t>
      </w:r>
      <w:r>
        <w:rPr>
          <w:rFonts w:hint="eastAsia" w:ascii="宋体" w:hAnsi="宋体"/>
        </w:rPr>
        <w:t>，主要</w:t>
      </w:r>
      <w:r>
        <w:rPr>
          <w:rFonts w:hint="eastAsia" w:ascii="宋体" w:hAnsi="宋体"/>
          <w:szCs w:val="21"/>
        </w:rPr>
        <w:t>包括以下内容：</w:t>
      </w:r>
    </w:p>
    <w:p w14:paraId="0FD27116">
      <w:pPr>
        <w:spacing w:beforeLines="25" w:afterLines="25"/>
        <w:ind w:firstLine="991" w:firstLineChars="472"/>
        <w:rPr>
          <w:rFonts w:ascii="宋体" w:hAnsi="宋体"/>
          <w:szCs w:val="21"/>
        </w:rPr>
      </w:pPr>
      <w:r>
        <w:rPr>
          <w:rFonts w:hint="eastAsia" w:ascii="宋体" w:hAnsi="宋体"/>
          <w:szCs w:val="21"/>
        </w:rPr>
        <w:t>（1）投标函</w:t>
      </w:r>
    </w:p>
    <w:p w14:paraId="30AEC3B4">
      <w:pPr>
        <w:spacing w:beforeLines="25" w:afterLines="25"/>
        <w:ind w:firstLine="991" w:firstLineChars="472"/>
        <w:rPr>
          <w:rFonts w:ascii="宋体" w:hAnsi="宋体"/>
          <w:szCs w:val="21"/>
        </w:rPr>
      </w:pPr>
      <w:r>
        <w:rPr>
          <w:rFonts w:hint="eastAsia" w:ascii="宋体" w:hAnsi="宋体"/>
          <w:szCs w:val="21"/>
        </w:rPr>
        <w:t>（2）资格响应文件</w:t>
      </w:r>
    </w:p>
    <w:p w14:paraId="1116B9B1">
      <w:pPr>
        <w:spacing w:beforeLines="25" w:afterLines="25"/>
        <w:ind w:firstLine="991" w:firstLineChars="472"/>
        <w:rPr>
          <w:rFonts w:ascii="宋体" w:hAnsi="宋体"/>
          <w:szCs w:val="21"/>
        </w:rPr>
      </w:pPr>
      <w:r>
        <w:rPr>
          <w:rFonts w:hint="eastAsia" w:ascii="宋体" w:hAnsi="宋体"/>
          <w:szCs w:val="21"/>
        </w:rPr>
        <w:t>（3）投标人情况介绍</w:t>
      </w:r>
    </w:p>
    <w:p w14:paraId="7935157C">
      <w:pPr>
        <w:spacing w:beforeLines="25" w:afterLines="25"/>
        <w:ind w:firstLine="991" w:firstLineChars="472"/>
        <w:rPr>
          <w:rFonts w:hint="eastAsia" w:ascii="宋体" w:hAnsi="宋体"/>
          <w:szCs w:val="21"/>
        </w:rPr>
      </w:pPr>
      <w:r>
        <w:rPr>
          <w:rFonts w:hint="eastAsia" w:ascii="宋体" w:hAnsi="宋体"/>
          <w:szCs w:val="21"/>
        </w:rPr>
        <w:t>（4）中小企业声明函等符合政府采购扶持政策的证明材料</w:t>
      </w:r>
    </w:p>
    <w:p w14:paraId="1A2768EF">
      <w:pPr>
        <w:spacing w:beforeLines="25" w:afterLines="25"/>
        <w:ind w:firstLine="991" w:firstLineChars="472"/>
        <w:rPr>
          <w:rFonts w:hint="eastAsia" w:asciiTheme="minorEastAsia" w:hAnsiTheme="minorEastAsia" w:eastAsiaTheme="minorEastAsia"/>
          <w:szCs w:val="21"/>
          <w:lang w:eastAsia="zh-CN"/>
        </w:rPr>
      </w:pP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lang w:val="en-US" w:eastAsia="zh-CN"/>
        </w:rPr>
        <w:t>5</w:t>
      </w:r>
      <w:r>
        <w:rPr>
          <w:rFonts w:hint="eastAsia" w:cs="仿宋" w:asciiTheme="minorEastAsia" w:hAnsiTheme="minorEastAsia" w:eastAsiaTheme="minorEastAsia"/>
          <w:szCs w:val="21"/>
          <w:lang w:eastAsia="zh-CN"/>
        </w:rPr>
        <w:t>）</w:t>
      </w:r>
      <w:r>
        <w:rPr>
          <w:rFonts w:hint="eastAsia" w:ascii="宋体" w:hAnsi="宋体"/>
          <w:szCs w:val="21"/>
        </w:rPr>
        <w:t>供应商认证情况</w:t>
      </w:r>
    </w:p>
    <w:p w14:paraId="4FD17E75">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6</w:t>
      </w:r>
      <w:r>
        <w:rPr>
          <w:rFonts w:hint="eastAsia" w:ascii="宋体" w:hAnsi="宋体" w:cs="宋体"/>
          <w:szCs w:val="21"/>
          <w:lang w:eastAsia="zh-CN"/>
        </w:rPr>
        <w:t>）供应商获奖情况</w:t>
      </w:r>
    </w:p>
    <w:p w14:paraId="45969B51">
      <w:pPr>
        <w:spacing w:beforeLines="25" w:afterLines="25"/>
        <w:ind w:firstLine="991" w:firstLineChars="472"/>
        <w:rPr>
          <w:rFonts w:hint="eastAsia" w:ascii="宋体" w:hAnsi="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7</w:t>
      </w:r>
      <w:r>
        <w:rPr>
          <w:rFonts w:hint="eastAsia" w:ascii="宋体" w:hAnsi="宋体" w:cs="宋体"/>
          <w:szCs w:val="21"/>
          <w:lang w:eastAsia="zh-CN"/>
        </w:rPr>
        <w:t>）</w:t>
      </w:r>
      <w:r>
        <w:rPr>
          <w:rFonts w:hint="eastAsia" w:ascii="宋体" w:hAnsi="宋体" w:cs="宋体"/>
          <w:szCs w:val="21"/>
        </w:rPr>
        <w:t>供应商自主知识产权产品（创新、设计）情况</w:t>
      </w:r>
    </w:p>
    <w:p w14:paraId="0B41693F">
      <w:pPr>
        <w:ind w:firstLine="424" w:firstLineChars="202"/>
        <w:rPr>
          <w:rFonts w:ascii="宋体" w:hAnsi="宋体"/>
          <w:szCs w:val="21"/>
        </w:rPr>
      </w:pPr>
    </w:p>
    <w:p w14:paraId="45BF629C">
      <w:pPr>
        <w:ind w:firstLine="424" w:firstLineChars="202"/>
        <w:rPr>
          <w:rFonts w:ascii="宋体" w:hAnsi="宋体"/>
          <w:szCs w:val="21"/>
        </w:rPr>
      </w:pPr>
      <w:r>
        <w:rPr>
          <w:rFonts w:hint="eastAsia" w:ascii="宋体" w:hAnsi="宋体"/>
          <w:szCs w:val="21"/>
        </w:rPr>
        <w:t>2.</w:t>
      </w:r>
      <w:r>
        <w:rPr>
          <w:rFonts w:hint="eastAsia" w:ascii="宋体" w:hAnsi="宋体"/>
          <w:b/>
          <w:szCs w:val="21"/>
        </w:rPr>
        <w:t>投标文件附件（信息不公开部分）</w:t>
      </w:r>
      <w:r>
        <w:rPr>
          <w:rFonts w:hint="eastAsia" w:ascii="宋体" w:hAnsi="宋体"/>
          <w:szCs w:val="21"/>
        </w:rPr>
        <w:t>，主要包括以下内容：</w:t>
      </w:r>
    </w:p>
    <w:p w14:paraId="6E7F81BF">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）政府采购违法行为风险知悉确认书</w:t>
      </w:r>
    </w:p>
    <w:p w14:paraId="102712D3">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9</w:t>
      </w:r>
      <w:r>
        <w:rPr>
          <w:rFonts w:hint="eastAsia" w:ascii="宋体" w:hAnsi="宋体"/>
          <w:szCs w:val="21"/>
        </w:rPr>
        <w:t>）法定代表人（负责人）资格证明书</w:t>
      </w:r>
    </w:p>
    <w:p w14:paraId="0E4EFEF2">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10</w:t>
      </w:r>
      <w:r>
        <w:rPr>
          <w:rFonts w:hint="eastAsia" w:ascii="宋体" w:hAnsi="宋体"/>
          <w:szCs w:val="21"/>
        </w:rPr>
        <w:t>）投标文件签署授权委托书</w:t>
      </w:r>
    </w:p>
    <w:p w14:paraId="03E68888">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11</w:t>
      </w:r>
      <w:r>
        <w:rPr>
          <w:rFonts w:hint="eastAsia" w:ascii="宋体" w:hAnsi="宋体"/>
          <w:szCs w:val="21"/>
        </w:rPr>
        <w:t>）实质性条款响应情况表</w:t>
      </w:r>
    </w:p>
    <w:p w14:paraId="54BA63FE">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12</w:t>
      </w:r>
      <w:r>
        <w:rPr>
          <w:rFonts w:hint="eastAsia" w:ascii="宋体" w:hAnsi="宋体"/>
          <w:szCs w:val="21"/>
        </w:rPr>
        <w:t>）详细分项报价清单</w:t>
      </w:r>
    </w:p>
    <w:p w14:paraId="45F6EFE0">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13</w:t>
      </w:r>
      <w:r>
        <w:rPr>
          <w:rFonts w:hint="eastAsia" w:ascii="宋体" w:hAnsi="宋体"/>
          <w:szCs w:val="21"/>
        </w:rPr>
        <w:t>）服务要求</w:t>
      </w:r>
      <w:r>
        <w:rPr>
          <w:rFonts w:ascii="宋体" w:hAnsi="宋体"/>
          <w:szCs w:val="21"/>
        </w:rPr>
        <w:t>偏离表</w:t>
      </w:r>
    </w:p>
    <w:p w14:paraId="43DC5094">
      <w:pPr>
        <w:spacing w:beforeLines="25" w:afterLines="25"/>
        <w:ind w:firstLine="991" w:firstLineChars="472"/>
        <w:rPr>
          <w:rFonts w:ascii="宋体" w:hAnsi="宋体"/>
          <w:szCs w:val="21"/>
        </w:rPr>
      </w:pPr>
      <w:r>
        <w:rPr>
          <w:rFonts w:hint="eastAsia" w:ascii="宋体" w:hAnsi="宋体"/>
          <w:szCs w:val="21"/>
        </w:rPr>
        <w:t>（</w:t>
      </w:r>
      <w:r>
        <w:rPr>
          <w:rFonts w:hint="eastAsia" w:ascii="宋体" w:hAnsi="宋体"/>
          <w:szCs w:val="21"/>
          <w:lang w:val="en-US" w:eastAsia="zh-CN"/>
        </w:rPr>
        <w:t>14</w:t>
      </w:r>
      <w:r>
        <w:rPr>
          <w:rFonts w:hint="eastAsia" w:ascii="宋体" w:hAnsi="宋体"/>
          <w:szCs w:val="21"/>
        </w:rPr>
        <w:t>）</w:t>
      </w:r>
      <w:r>
        <w:rPr>
          <w:rFonts w:ascii="宋体" w:hAnsi="宋体"/>
          <w:szCs w:val="21"/>
        </w:rPr>
        <w:t>商务</w:t>
      </w:r>
      <w:r>
        <w:rPr>
          <w:rFonts w:hint="eastAsia" w:ascii="宋体" w:hAnsi="宋体"/>
          <w:szCs w:val="21"/>
        </w:rPr>
        <w:t>要求</w:t>
      </w:r>
      <w:r>
        <w:rPr>
          <w:rFonts w:ascii="宋体" w:hAnsi="宋体"/>
          <w:szCs w:val="21"/>
        </w:rPr>
        <w:t>偏离表</w:t>
      </w:r>
    </w:p>
    <w:p w14:paraId="65B81F51">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15</w:t>
      </w:r>
      <w:r>
        <w:rPr>
          <w:rFonts w:hint="eastAsia" w:ascii="宋体" w:hAnsi="宋体" w:cs="宋体"/>
          <w:szCs w:val="21"/>
          <w:lang w:eastAsia="zh-CN"/>
        </w:rPr>
        <w:t>）</w:t>
      </w:r>
      <w:r>
        <w:rPr>
          <w:rFonts w:hint="eastAsia" w:ascii="宋体" w:hAnsi="宋体" w:cs="宋体"/>
          <w:szCs w:val="21"/>
        </w:rPr>
        <w:t>实施方案</w:t>
      </w:r>
    </w:p>
    <w:p w14:paraId="0B58D85C">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16</w:t>
      </w:r>
      <w:r>
        <w:rPr>
          <w:rFonts w:hint="eastAsia" w:ascii="宋体" w:hAnsi="宋体" w:cs="宋体"/>
          <w:bCs/>
          <w:szCs w:val="21"/>
          <w:lang w:eastAsia="zh-CN"/>
        </w:rPr>
        <w:t>）</w:t>
      </w:r>
      <w:r>
        <w:rPr>
          <w:rFonts w:hint="eastAsia" w:ascii="宋体" w:hAnsi="宋体" w:cs="宋体"/>
          <w:szCs w:val="21"/>
        </w:rPr>
        <w:t>项目重点难点分析、应对措施及相关的合理化建议</w:t>
      </w:r>
    </w:p>
    <w:p w14:paraId="24CD233A">
      <w:pPr>
        <w:spacing w:beforeLines="25" w:afterLines="25"/>
        <w:ind w:firstLine="991" w:firstLineChars="472"/>
        <w:rPr>
          <w:rFonts w:hint="eastAsia" w:ascii="宋体" w:hAnsi="宋体" w:cs="宋体"/>
          <w:szCs w:val="21"/>
        </w:rPr>
      </w:pPr>
      <w:r>
        <w:rPr>
          <w:rFonts w:hint="eastAsia" w:ascii="宋体" w:hAnsi="宋体" w:cs="宋体"/>
          <w:bCs/>
          <w:szCs w:val="21"/>
          <w:lang w:eastAsia="zh-CN"/>
        </w:rPr>
        <w:t>（</w:t>
      </w:r>
      <w:r>
        <w:rPr>
          <w:rFonts w:hint="eastAsia" w:ascii="宋体" w:hAnsi="宋体" w:cs="宋体"/>
          <w:bCs/>
          <w:szCs w:val="21"/>
          <w:lang w:val="en-US" w:eastAsia="zh-CN"/>
        </w:rPr>
        <w:t>17</w:t>
      </w:r>
      <w:r>
        <w:rPr>
          <w:rFonts w:hint="eastAsia" w:ascii="宋体" w:hAnsi="宋体" w:cs="宋体"/>
          <w:bCs/>
          <w:szCs w:val="21"/>
          <w:lang w:eastAsia="zh-CN"/>
        </w:rPr>
        <w:t>）</w:t>
      </w:r>
      <w:r>
        <w:rPr>
          <w:rFonts w:hint="eastAsia" w:ascii="宋体" w:hAnsi="宋体" w:cs="宋体"/>
          <w:szCs w:val="21"/>
        </w:rPr>
        <w:t>质量（完成时间、安全、环保）保障措施及方案</w:t>
      </w:r>
    </w:p>
    <w:p w14:paraId="2F8EDFB4">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18</w:t>
      </w:r>
      <w:r>
        <w:rPr>
          <w:rFonts w:hint="eastAsia" w:ascii="宋体" w:hAnsi="宋体" w:cs="宋体"/>
          <w:szCs w:val="21"/>
          <w:lang w:eastAsia="zh-CN"/>
        </w:rPr>
        <w:t>）</w:t>
      </w:r>
      <w:r>
        <w:rPr>
          <w:rFonts w:hint="eastAsia" w:ascii="宋体" w:hAnsi="宋体" w:cs="宋体"/>
          <w:szCs w:val="21"/>
        </w:rPr>
        <w:t>拟安排的项目负责人情况（仅限一人）</w:t>
      </w:r>
    </w:p>
    <w:p w14:paraId="479F21B5">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19</w:t>
      </w:r>
      <w:r>
        <w:rPr>
          <w:rFonts w:hint="eastAsia" w:ascii="宋体" w:hAnsi="宋体" w:cs="宋体"/>
          <w:szCs w:val="21"/>
          <w:lang w:eastAsia="zh-CN"/>
        </w:rPr>
        <w:t>）</w:t>
      </w:r>
      <w:r>
        <w:rPr>
          <w:rFonts w:hint="eastAsia" w:ascii="宋体" w:hAnsi="宋体" w:cs="宋体"/>
          <w:szCs w:val="21"/>
        </w:rPr>
        <w:t>拟安排的项目主要团队成员（主要技术人员）情况（项目负责人除外）</w:t>
      </w:r>
    </w:p>
    <w:p w14:paraId="63DC3C52">
      <w:pPr>
        <w:spacing w:beforeLines="25" w:afterLines="25"/>
        <w:ind w:firstLine="991" w:firstLineChars="472"/>
        <w:rPr>
          <w:rFonts w:hint="eastAsia" w:ascii="宋体" w:hAnsi="宋体" w:cs="宋体"/>
          <w:szCs w:val="21"/>
          <w:lang w:bidi="ar"/>
        </w:rPr>
      </w:pPr>
      <w:r>
        <w:rPr>
          <w:rFonts w:hint="eastAsia" w:ascii="宋体" w:hAnsi="宋体" w:cs="宋体"/>
          <w:szCs w:val="21"/>
          <w:lang w:eastAsia="zh-CN"/>
        </w:rPr>
        <w:t>（</w:t>
      </w:r>
      <w:r>
        <w:rPr>
          <w:rFonts w:hint="eastAsia" w:ascii="宋体" w:hAnsi="宋体" w:cs="宋体"/>
          <w:szCs w:val="21"/>
          <w:lang w:val="en-US" w:eastAsia="zh-CN"/>
        </w:rPr>
        <w:t>20</w:t>
      </w:r>
      <w:r>
        <w:rPr>
          <w:rFonts w:hint="eastAsia" w:ascii="宋体" w:hAnsi="宋体" w:cs="宋体"/>
          <w:szCs w:val="21"/>
          <w:lang w:eastAsia="zh-CN"/>
        </w:rPr>
        <w:t>）</w:t>
      </w:r>
      <w:r>
        <w:rPr>
          <w:rFonts w:hint="eastAsia" w:ascii="宋体" w:hAnsi="宋体" w:cs="宋体"/>
          <w:szCs w:val="21"/>
          <w:lang w:bidi="ar"/>
        </w:rPr>
        <w:t>拟投入的服务资源（工具、机器等）情况</w:t>
      </w:r>
    </w:p>
    <w:p w14:paraId="587DD5BD">
      <w:pPr>
        <w:spacing w:beforeLines="25" w:afterLines="25"/>
        <w:ind w:firstLine="991" w:firstLineChars="472"/>
        <w:rPr>
          <w:rFonts w:hint="eastAsia" w:ascii="宋体" w:hAnsi="宋体" w:cs="宋体"/>
          <w:szCs w:val="21"/>
        </w:rPr>
      </w:pPr>
      <w:r>
        <w:rPr>
          <w:rFonts w:hint="eastAsia" w:ascii="宋体" w:hAnsi="宋体" w:cs="宋体"/>
          <w:szCs w:val="21"/>
          <w:lang w:eastAsia="zh-CN" w:bidi="ar"/>
        </w:rPr>
        <w:t>（</w:t>
      </w:r>
      <w:r>
        <w:rPr>
          <w:rFonts w:hint="eastAsia" w:ascii="宋体" w:hAnsi="宋体" w:cs="宋体"/>
          <w:szCs w:val="21"/>
          <w:lang w:val="en-US" w:eastAsia="zh-CN" w:bidi="ar"/>
        </w:rPr>
        <w:t>21</w:t>
      </w:r>
      <w:r>
        <w:rPr>
          <w:rFonts w:hint="eastAsia" w:ascii="宋体" w:hAnsi="宋体" w:cs="宋体"/>
          <w:szCs w:val="21"/>
          <w:lang w:eastAsia="zh-CN" w:bidi="ar"/>
        </w:rPr>
        <w:t>）</w:t>
      </w:r>
      <w:r>
        <w:rPr>
          <w:rFonts w:hint="eastAsia" w:ascii="宋体" w:hAnsi="宋体" w:cs="宋体"/>
          <w:szCs w:val="21"/>
        </w:rPr>
        <w:t>投标人检验领域情况</w:t>
      </w:r>
    </w:p>
    <w:p w14:paraId="3D886BB3">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22</w:t>
      </w:r>
      <w:r>
        <w:rPr>
          <w:rFonts w:hint="eastAsia" w:ascii="宋体" w:hAnsi="宋体" w:cs="宋体"/>
          <w:szCs w:val="21"/>
          <w:lang w:eastAsia="zh-CN"/>
        </w:rPr>
        <w:t>）</w:t>
      </w:r>
      <w:r>
        <w:rPr>
          <w:rFonts w:hint="eastAsia" w:ascii="宋体" w:hAnsi="宋体" w:cs="宋体"/>
          <w:szCs w:val="21"/>
        </w:rPr>
        <w:t>项目完成（服务期满）后的服务承诺</w:t>
      </w:r>
    </w:p>
    <w:p w14:paraId="3B6808AC">
      <w:pPr>
        <w:spacing w:beforeLines="25" w:afterLines="25"/>
        <w:ind w:firstLine="991" w:firstLineChars="472"/>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23</w:t>
      </w:r>
      <w:r>
        <w:rPr>
          <w:rFonts w:hint="eastAsia" w:ascii="宋体" w:hAnsi="宋体" w:cs="宋体"/>
          <w:szCs w:val="21"/>
          <w:lang w:eastAsia="zh-CN"/>
        </w:rPr>
        <w:t>）</w:t>
      </w:r>
      <w:r>
        <w:rPr>
          <w:rFonts w:hint="eastAsia" w:ascii="宋体" w:hAnsi="宋体" w:cs="宋体"/>
          <w:szCs w:val="21"/>
        </w:rPr>
        <w:t>违约承诺</w:t>
      </w:r>
    </w:p>
    <w:p w14:paraId="66CCF11D">
      <w:pPr>
        <w:spacing w:beforeLines="25" w:afterLines="25"/>
        <w:ind w:firstLine="991" w:firstLineChars="472"/>
        <w:rPr>
          <w:rFonts w:hint="eastAsia" w:ascii="宋体" w:hAnsi="宋体" w:eastAsia="宋体" w:cs="宋体"/>
          <w:szCs w:val="21"/>
          <w:lang w:eastAsia="zh-CN"/>
        </w:rPr>
      </w:pPr>
      <w:r>
        <w:rPr>
          <w:rFonts w:hint="eastAsia" w:ascii="宋体" w:hAnsi="宋体" w:cs="宋体"/>
          <w:szCs w:val="21"/>
          <w:lang w:eastAsia="zh-CN"/>
        </w:rPr>
        <w:t>（</w:t>
      </w:r>
      <w:r>
        <w:rPr>
          <w:rFonts w:hint="eastAsia" w:ascii="宋体" w:hAnsi="宋体" w:cs="宋体"/>
          <w:szCs w:val="21"/>
          <w:lang w:val="en-US" w:eastAsia="zh-CN"/>
        </w:rPr>
        <w:t>24</w:t>
      </w:r>
      <w:r>
        <w:rPr>
          <w:rFonts w:hint="eastAsia" w:ascii="宋体" w:hAnsi="宋体" w:cs="宋体"/>
          <w:szCs w:val="21"/>
          <w:lang w:eastAsia="zh-CN"/>
        </w:rPr>
        <w:t>）</w:t>
      </w:r>
      <w:r>
        <w:rPr>
          <w:rFonts w:hint="eastAsia" w:ascii="宋体" w:hAnsi="宋体" w:cs="宋体"/>
          <w:szCs w:val="21"/>
        </w:rPr>
        <w:t>供应商同类项目业绩情况</w:t>
      </w:r>
    </w:p>
    <w:p w14:paraId="67AEE608">
      <w:pPr>
        <w:spacing w:beforeLines="25" w:afterLines="25"/>
        <w:ind w:firstLine="991" w:firstLineChars="472"/>
        <w:rPr>
          <w:rFonts w:ascii="宋体" w:hAnsi="宋体"/>
          <w:szCs w:val="21"/>
        </w:rPr>
      </w:pPr>
      <w:r>
        <w:rPr>
          <w:rFonts w:hint="eastAsia" w:ascii="宋体" w:hAnsi="宋体" w:cs="宋体"/>
          <w:bCs/>
          <w:szCs w:val="21"/>
          <w:lang w:eastAsia="zh-CN"/>
        </w:rPr>
        <w:t>（</w:t>
      </w:r>
      <w:r>
        <w:rPr>
          <w:rFonts w:hint="eastAsia" w:ascii="宋体" w:hAnsi="宋体" w:cs="宋体"/>
          <w:bCs/>
          <w:szCs w:val="21"/>
          <w:lang w:val="en-US" w:eastAsia="zh-CN"/>
        </w:rPr>
        <w:t>25</w:t>
      </w:r>
      <w:r>
        <w:rPr>
          <w:rFonts w:hint="eastAsia" w:ascii="宋体" w:hAnsi="宋体" w:cs="宋体"/>
          <w:bCs/>
          <w:szCs w:val="21"/>
          <w:lang w:eastAsia="zh-CN"/>
        </w:rPr>
        <w:t>）</w:t>
      </w:r>
      <w:r>
        <w:rPr>
          <w:rFonts w:hint="eastAsia" w:ascii="宋体" w:hAnsi="宋体"/>
          <w:szCs w:val="21"/>
        </w:rPr>
        <w:t>招标文件要求的其它内容或投标人认为需要补充的资料</w:t>
      </w:r>
    </w:p>
    <w:p w14:paraId="3F4D7487">
      <w:pPr>
        <w:spacing w:beforeLines="25" w:afterLines="25"/>
        <w:rPr>
          <w:rFonts w:ascii="宋体" w:hAnsi="宋体"/>
          <w:szCs w:val="21"/>
        </w:rPr>
      </w:pPr>
    </w:p>
    <w:p w14:paraId="1A2F37B6">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备注：</w:t>
      </w:r>
    </w:p>
    <w:p w14:paraId="37B3C815">
      <w:pPr>
        <w:widowControl/>
        <w:ind w:firstLine="487" w:firstLineChars="202"/>
        <w:jc w:val="left"/>
        <w:rPr>
          <w:rFonts w:ascii="宋体" w:hAnsi="宋体" w:eastAsiaTheme="minorEastAsia"/>
          <w:b/>
          <w:kern w:val="0"/>
          <w:sz w:val="24"/>
          <w:szCs w:val="21"/>
        </w:rPr>
      </w:pPr>
      <w:r>
        <w:rPr>
          <w:rFonts w:hint="eastAsia" w:ascii="宋体" w:hAnsi="宋体" w:eastAsiaTheme="minorEastAsia"/>
          <w:b/>
          <w:kern w:val="0"/>
          <w:sz w:val="24"/>
          <w:szCs w:val="21"/>
        </w:rPr>
        <w:t>1.本项目为网上电子投标项目，投标文件不需法人或授权委托人另行签字，无需加盖单位公章，招标文件专用条款另有规定的除外。</w:t>
      </w:r>
    </w:p>
    <w:p w14:paraId="67D01F29">
      <w:pPr>
        <w:widowControl/>
        <w:ind w:firstLine="487" w:firstLineChars="202"/>
        <w:jc w:val="left"/>
        <w:rPr>
          <w:rFonts w:hint="eastAsia" w:ascii="宋体" w:hAnsi="宋体" w:eastAsiaTheme="minorEastAsia"/>
          <w:b/>
          <w:kern w:val="0"/>
          <w:sz w:val="24"/>
          <w:szCs w:val="21"/>
        </w:rPr>
      </w:pPr>
      <w:r>
        <w:rPr>
          <w:rFonts w:hint="eastAsia" w:ascii="宋体" w:hAnsi="宋体" w:eastAsiaTheme="minorEastAsia"/>
          <w:b/>
          <w:kern w:val="0"/>
          <w:sz w:val="24"/>
          <w:szCs w:val="21"/>
        </w:rPr>
        <w:t>2.关于填写“开标一览表”的说明：“开标一览表”中除“投标报价”外，其他信息不作为评审依据。</w:t>
      </w:r>
    </w:p>
    <w:p w14:paraId="15F0FFC8">
      <w:pPr>
        <w:widowControl/>
        <w:jc w:val="left"/>
        <w:rPr>
          <w:rFonts w:hint="default" w:ascii="宋体" w:hAnsi="宋体" w:eastAsiaTheme="minorEastAsia"/>
          <w:b/>
          <w:color w:val="FF0000"/>
          <w:kern w:val="0"/>
          <w:sz w:val="24"/>
          <w:szCs w:val="21"/>
          <w:lang w:val="en-US" w:eastAsia="zh-CN"/>
        </w:rPr>
      </w:pPr>
    </w:p>
    <w:p w14:paraId="2910E1B1">
      <w:pPr>
        <w:widowControl/>
        <w:jc w:val="left"/>
        <w:rPr>
          <w:rFonts w:ascii="宋体" w:hAnsi="宋体"/>
          <w:szCs w:val="21"/>
        </w:rPr>
      </w:pPr>
      <w:r>
        <w:rPr>
          <w:rFonts w:ascii="宋体" w:hAnsi="宋体"/>
          <w:szCs w:val="21"/>
        </w:rPr>
        <w:br w:type="page"/>
      </w:r>
    </w:p>
    <w:p w14:paraId="73223F12">
      <w:pPr>
        <w:pStyle w:val="3"/>
        <w:spacing w:before="120" w:after="120"/>
        <w:jc w:val="center"/>
        <w:rPr>
          <w:rFonts w:hint="eastAsia" w:ascii="宋体" w:hAnsi="宋体" w:eastAsia="宋体" w:cs="宋体"/>
          <w:bCs w:val="0"/>
          <w:sz w:val="28"/>
          <w:szCs w:val="28"/>
        </w:rPr>
      </w:pPr>
      <w:r>
        <w:rPr>
          <w:rFonts w:hint="eastAsia" w:ascii="宋体" w:hAnsi="宋体" w:eastAsia="宋体" w:cs="宋体"/>
          <w:bCs w:val="0"/>
          <w:sz w:val="28"/>
          <w:szCs w:val="28"/>
          <w:lang w:eastAsia="zh-CN"/>
        </w:rPr>
        <w:t>温馨提示</w:t>
      </w:r>
    </w:p>
    <w:p w14:paraId="606C5E3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p>
    <w:p w14:paraId="5C9AA8B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eastAsia="宋体" w:cs="宋体"/>
          <w:sz w:val="21"/>
          <w:szCs w:val="21"/>
          <w:lang w:eastAsia="zh-CN"/>
        </w:rPr>
        <w:t>、投标（响应）文件必须在提交投标（响应）文件截止时间前上传，并在规定时间内完成在线解密。为避免因系统拥堵影响文件上传或解密，导致失去投标（响应）资格，建议</w:t>
      </w:r>
      <w:r>
        <w:rPr>
          <w:rFonts w:hint="eastAsia" w:ascii="宋体" w:hAnsi="宋体" w:eastAsia="宋体" w:cs="宋体"/>
          <w:b/>
          <w:bCs/>
          <w:sz w:val="21"/>
          <w:szCs w:val="21"/>
          <w:u w:val="single"/>
          <w:lang w:eastAsia="zh-CN"/>
        </w:rPr>
        <w:t>适当提前上传文件，尽早登陆系统解密</w:t>
      </w:r>
      <w:r>
        <w:rPr>
          <w:rFonts w:hint="eastAsia" w:ascii="宋体" w:hAnsi="宋体" w:eastAsia="宋体" w:cs="宋体"/>
          <w:sz w:val="21"/>
          <w:szCs w:val="21"/>
          <w:highlight w:val="none"/>
        </w:rPr>
        <w:t>。</w:t>
      </w:r>
    </w:p>
    <w:p w14:paraId="4C33976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2、分项报价表中的各子项单价金额×数量应等同于单项汇总金额，单项汇总金额的合计金额应等同于投标（响应）总价，并与开标一览表的投标报价相同。请仔细阅读采购文件中的投标（响应）报价要求，</w:t>
      </w:r>
      <w:r>
        <w:rPr>
          <w:rFonts w:hint="eastAsia" w:ascii="宋体" w:hAnsi="宋体" w:eastAsia="宋体" w:cs="宋体"/>
          <w:b/>
          <w:bCs/>
          <w:sz w:val="21"/>
          <w:szCs w:val="21"/>
          <w:u w:val="single"/>
          <w:lang w:val="en-US" w:eastAsia="zh-CN"/>
        </w:rPr>
        <w:t>严格按照报价要求进行报价响应</w:t>
      </w:r>
      <w:r>
        <w:rPr>
          <w:rFonts w:hint="eastAsia" w:ascii="宋体" w:hAnsi="宋体" w:eastAsia="宋体" w:cs="宋体"/>
          <w:sz w:val="21"/>
          <w:szCs w:val="21"/>
          <w:lang w:val="en-US" w:eastAsia="zh-CN"/>
        </w:rPr>
        <w:t>。</w:t>
      </w:r>
    </w:p>
    <w:p w14:paraId="73F155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i w:val="0"/>
          <w:iCs w:val="0"/>
          <w:caps w:val="0"/>
          <w:color w:val="000000"/>
          <w:spacing w:val="0"/>
          <w:sz w:val="21"/>
          <w:szCs w:val="21"/>
          <w:u w:val="none"/>
          <w:shd w:val="clear" w:fill="FFFFFF"/>
          <w:vertAlign w:val="baseline"/>
          <w:lang w:eastAsia="zh-CN"/>
        </w:rPr>
      </w:pPr>
      <w:r>
        <w:rPr>
          <w:rFonts w:hint="eastAsia" w:ascii="宋体" w:hAnsi="宋体" w:eastAsia="宋体" w:cs="宋体"/>
          <w:sz w:val="21"/>
          <w:szCs w:val="21"/>
          <w:lang w:val="en-US" w:eastAsia="zh-CN"/>
        </w:rPr>
        <w:t>3、投标（响应）文件中的投标函、承诺函、声明函（含《中小企业声明函》、《关于符合本国产品标准的声明函》等）应按要求填写完整、规范。请仔细检查</w:t>
      </w:r>
      <w:r>
        <w:rPr>
          <w:rFonts w:hint="eastAsia" w:ascii="宋体" w:hAnsi="宋体" w:eastAsia="宋体" w:cs="宋体"/>
          <w:b/>
          <w:bCs/>
          <w:sz w:val="21"/>
          <w:szCs w:val="21"/>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eastAsia="宋体" w:cs="宋体"/>
          <w:b/>
          <w:bCs/>
          <w:i w:val="0"/>
          <w:iCs w:val="0"/>
          <w:caps w:val="0"/>
          <w:color w:val="000000"/>
          <w:spacing w:val="0"/>
          <w:sz w:val="21"/>
          <w:szCs w:val="21"/>
          <w:u w:val="single"/>
          <w:shd w:val="clear" w:fill="FFFFFF"/>
          <w:vertAlign w:val="baseline"/>
          <w:lang w:eastAsia="zh-CN"/>
        </w:rPr>
        <w:t>名、</w:t>
      </w:r>
      <w:r>
        <w:rPr>
          <w:rStyle w:val="48"/>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48"/>
          <w:rFonts w:hint="eastAsia" w:ascii="宋体" w:hAnsi="宋体" w:eastAsia="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宋体" w:hAnsi="宋体" w:eastAsia="宋体" w:cs="宋体"/>
          <w:b/>
          <w:bCs/>
          <w:sz w:val="21"/>
          <w:szCs w:val="21"/>
          <w:u w:val="single"/>
          <w:lang w:val="en-US" w:eastAsia="zh-CN"/>
        </w:rPr>
        <w:t>中小微企业类型的选择是否符合相关行业划分标准</w:t>
      </w:r>
      <w:r>
        <w:rPr>
          <w:rStyle w:val="48"/>
          <w:rFonts w:hint="eastAsia" w:ascii="宋体" w:hAnsi="宋体" w:eastAsia="宋体" w:cs="宋体"/>
          <w:i w:val="0"/>
          <w:iCs w:val="0"/>
          <w:caps w:val="0"/>
          <w:color w:val="000000"/>
          <w:spacing w:val="0"/>
          <w:sz w:val="21"/>
          <w:szCs w:val="21"/>
          <w:u w:val="none"/>
          <w:shd w:val="clear" w:fill="FFFFFF"/>
          <w:vertAlign w:val="baseline"/>
          <w:lang w:eastAsia="zh-CN"/>
        </w:rPr>
        <w:t>。</w:t>
      </w:r>
    </w:p>
    <w:p w14:paraId="1205262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4、请仔细阅读采购文件中关于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资格性、符合性审查条款</w:t>
      </w: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0E853E6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eastAsia="zh-CN"/>
        </w:rPr>
      </w:pPr>
      <w:r>
        <w:rPr>
          <w:rStyle w:val="48"/>
          <w:rFonts w:hint="eastAsia" w:ascii="宋体" w:hAnsi="宋体" w:eastAsia="宋体" w:cs="宋体"/>
          <w:b w:val="0"/>
          <w:bCs w:val="0"/>
          <w:i w:val="0"/>
          <w:iCs w:val="0"/>
          <w:caps w:val="0"/>
          <w:color w:val="000000"/>
          <w:spacing w:val="0"/>
          <w:sz w:val="21"/>
          <w:szCs w:val="21"/>
          <w:u w:val="none"/>
          <w:shd w:val="clear" w:fill="FFFFFF"/>
          <w:vertAlign w:val="baseline"/>
          <w:lang w:val="en-US" w:eastAsia="zh-CN"/>
        </w:rPr>
        <w:t>5、请如实填写《供应商基本情况表》中的人员情况和关联关系情况，并按要求（如有）提供社保、股权或管理关系证明材料</w:t>
      </w:r>
      <w:r>
        <w:rPr>
          <w:rFonts w:hint="eastAsia" w:ascii="宋体" w:hAnsi="宋体" w:eastAsia="宋体" w:cs="宋体"/>
          <w:b w:val="0"/>
          <w:bCs w:val="0"/>
          <w:sz w:val="21"/>
          <w:szCs w:val="21"/>
          <w:lang w:eastAsia="zh-CN"/>
        </w:rPr>
        <w:t>，无法提供社保证明的，应按要求提供情况说明。</w:t>
      </w:r>
      <w:r>
        <w:rPr>
          <w:rStyle w:val="48"/>
          <w:rFonts w:hint="eastAsia" w:ascii="宋体" w:hAnsi="宋体" w:eastAsia="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eastAsia="宋体" w:cs="宋体"/>
          <w:b/>
          <w:bCs/>
          <w:sz w:val="21"/>
          <w:szCs w:val="21"/>
          <w:u w:val="single"/>
          <w:lang w:eastAsia="zh-CN"/>
        </w:rPr>
        <w:t>人员和关联关系情况应与证明材料相符</w:t>
      </w:r>
      <w:r>
        <w:rPr>
          <w:rFonts w:hint="eastAsia" w:ascii="宋体" w:hAnsi="宋体" w:eastAsia="宋体" w:cs="宋体"/>
          <w:b w:val="0"/>
          <w:bCs w:val="0"/>
          <w:sz w:val="21"/>
          <w:szCs w:val="21"/>
          <w:lang w:eastAsia="zh-CN"/>
        </w:rPr>
        <w:t>。</w:t>
      </w:r>
    </w:p>
    <w:p w14:paraId="655981B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eastAsia="zh-CN"/>
        </w:rPr>
      </w:pPr>
      <w:r>
        <w:rPr>
          <w:rFonts w:hint="eastAsia" w:ascii="宋体" w:hAnsi="宋体" w:eastAsia="宋体" w:cs="宋体"/>
          <w:b w:val="0"/>
          <w:bCs w:val="0"/>
          <w:sz w:val="21"/>
          <w:szCs w:val="21"/>
          <w:lang w:val="en-US" w:eastAsia="zh-CN"/>
        </w:rPr>
        <w:t>6、</w:t>
      </w:r>
      <w:r>
        <w:rPr>
          <w:rFonts w:hint="eastAsia" w:ascii="宋体" w:hAnsi="宋体" w:eastAsia="宋体" w:cs="宋体"/>
          <w:snapToGrid w:val="0"/>
          <w:kern w:val="0"/>
          <w:sz w:val="21"/>
          <w:szCs w:val="21"/>
          <w:lang w:eastAsia="zh-CN"/>
        </w:rPr>
        <w:t>属于</w:t>
      </w:r>
      <w:r>
        <w:rPr>
          <w:rFonts w:hint="eastAsia" w:ascii="宋体" w:hAnsi="宋体" w:eastAsia="宋体" w:cs="宋体"/>
          <w:b/>
          <w:bCs/>
          <w:snapToGrid w:val="0"/>
          <w:kern w:val="0"/>
          <w:sz w:val="21"/>
          <w:szCs w:val="21"/>
          <w:u w:val="single"/>
          <w:lang w:eastAsia="zh-CN"/>
        </w:rPr>
        <w:t>异常低价</w:t>
      </w:r>
      <w:r>
        <w:rPr>
          <w:rFonts w:hint="eastAsia" w:ascii="宋体" w:hAnsi="宋体" w:eastAsia="宋体" w:cs="宋体"/>
          <w:b/>
          <w:bCs/>
          <w:snapToGrid w:val="0"/>
          <w:kern w:val="0"/>
          <w:sz w:val="21"/>
          <w:szCs w:val="21"/>
          <w:u w:val="single"/>
        </w:rPr>
        <w:t>审查</w:t>
      </w:r>
      <w:r>
        <w:rPr>
          <w:rFonts w:hint="eastAsia" w:ascii="宋体" w:hAnsi="宋体" w:eastAsia="宋体" w:cs="宋体"/>
          <w:b/>
          <w:bCs/>
          <w:snapToGrid w:val="0"/>
          <w:kern w:val="0"/>
          <w:sz w:val="21"/>
          <w:szCs w:val="21"/>
          <w:u w:val="single"/>
          <w:lang w:eastAsia="zh-CN"/>
        </w:rPr>
        <w:t>第3项情形</w:t>
      </w:r>
      <w:r>
        <w:rPr>
          <w:rFonts w:hint="eastAsia" w:ascii="宋体" w:hAnsi="宋体" w:eastAsia="宋体" w:cs="宋体"/>
          <w:snapToGrid w:val="0"/>
          <w:kern w:val="0"/>
          <w:sz w:val="21"/>
          <w:szCs w:val="21"/>
          <w:lang w:eastAsia="zh-CN"/>
        </w:rPr>
        <w:t>的，建议随投标（响应）文件一并提交报价相关书面说明及必要的证明材料。</w:t>
      </w:r>
    </w:p>
    <w:p w14:paraId="42D0284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snapToGrid w:val="0"/>
          <w:kern w:val="0"/>
          <w:sz w:val="21"/>
          <w:szCs w:val="21"/>
          <w:lang w:val="en-US" w:eastAsia="zh-CN"/>
        </w:rPr>
      </w:pPr>
    </w:p>
    <w:p w14:paraId="3718E75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（以上提示内容为编制投标/响应文件的常规提醒，如与采购文件具体要求存在不一致或矛盾之处，以采购文件具体要求为准。）</w:t>
      </w:r>
    </w:p>
    <w:p w14:paraId="095349E5">
      <w:pPr>
        <w:rPr>
          <w:rFonts w:hint="eastAsia" w:ascii="仿宋_GB2312" w:hAnsi="Times New Roman" w:eastAsia="仿宋_GB2312"/>
          <w:b/>
          <w:color w:val="FF0000"/>
          <w:sz w:val="30"/>
          <w:szCs w:val="30"/>
        </w:rPr>
      </w:pPr>
      <w:r>
        <w:rPr>
          <w:rFonts w:hint="eastAsia" w:ascii="仿宋_GB2312" w:hAnsi="Times New Roman" w:eastAsia="仿宋_GB2312"/>
          <w:b/>
          <w:color w:val="FF0000"/>
          <w:sz w:val="30"/>
          <w:szCs w:val="30"/>
        </w:rPr>
        <w:br w:type="page"/>
      </w:r>
    </w:p>
    <w:p w14:paraId="5DB6F7A1">
      <w:pPr>
        <w:rPr>
          <w:rFonts w:ascii="仿宋_GB2312" w:hAnsi="Times New Roman" w:eastAsia="仿宋_GB2312"/>
          <w:b/>
          <w:color w:val="FF0000"/>
          <w:sz w:val="30"/>
          <w:szCs w:val="30"/>
        </w:rPr>
      </w:pPr>
      <w:r>
        <w:rPr>
          <w:rFonts w:hint="eastAsia" w:ascii="仿宋_GB2312" w:hAnsi="Times New Roman" w:eastAsia="仿宋_GB2312"/>
          <w:b/>
          <w:color w:val="FF0000"/>
          <w:sz w:val="30"/>
          <w:szCs w:val="30"/>
        </w:rPr>
        <w:t>投标文件正文（信息公开部分）：</w:t>
      </w:r>
    </w:p>
    <w:p w14:paraId="2046BB6F">
      <w:pPr>
        <w:pStyle w:val="3"/>
        <w:jc w:val="center"/>
        <w:rPr>
          <w:rFonts w:ascii="黑体" w:eastAsia="黑体"/>
          <w:b w:val="0"/>
          <w:sz w:val="24"/>
        </w:rPr>
      </w:pPr>
      <w:r>
        <w:rPr>
          <w:rFonts w:hint="eastAsia" w:ascii="黑体" w:eastAsia="黑体"/>
          <w:b w:val="0"/>
          <w:sz w:val="24"/>
        </w:rPr>
        <w:t>一、投标函</w:t>
      </w:r>
    </w:p>
    <w:p w14:paraId="43B4EC3D">
      <w:pPr>
        <w:spacing w:line="360" w:lineRule="auto"/>
        <w:rPr>
          <w:rFonts w:ascii="宋体" w:hAnsi="宋体"/>
          <w:szCs w:val="21"/>
        </w:rPr>
      </w:pPr>
      <w:r>
        <w:rPr>
          <w:rFonts w:hint="eastAsia" w:ascii="宋体" w:hAnsi="宋体"/>
          <w:szCs w:val="21"/>
        </w:rPr>
        <w:t xml:space="preserve">深圳市中正招标有限公司：  </w:t>
      </w:r>
    </w:p>
    <w:p w14:paraId="3845FF17">
      <w:pPr>
        <w:spacing w:afterLines="50"/>
        <w:ind w:firstLine="420" w:firstLineChars="200"/>
        <w:rPr>
          <w:szCs w:val="21"/>
        </w:rPr>
      </w:pPr>
      <w:r>
        <w:rPr>
          <w:rFonts w:hint="eastAsia"/>
          <w:szCs w:val="21"/>
        </w:rPr>
        <w:t>1.根据已收到贵方的（项目编号为</w:t>
      </w:r>
      <w:r>
        <w:rPr>
          <w:rFonts w:hint="eastAsia"/>
          <w:szCs w:val="21"/>
          <w:u w:val="single"/>
        </w:rPr>
        <w:t xml:space="preserve">                   </w:t>
      </w:r>
      <w:r>
        <w:rPr>
          <w:rFonts w:hint="eastAsia"/>
          <w:szCs w:val="21"/>
        </w:rPr>
        <w:t>）的（</w:t>
      </w:r>
      <w:r>
        <w:rPr>
          <w:rFonts w:hint="eastAsia"/>
          <w:szCs w:val="21"/>
          <w:u w:val="single"/>
        </w:rPr>
        <w:t xml:space="preserve">                   </w:t>
      </w:r>
      <w:r>
        <w:rPr>
          <w:rFonts w:hint="eastAsia"/>
          <w:szCs w:val="21"/>
        </w:rPr>
        <w:t>项目）的招标文件，遵照《深圳经济特区政府采购条例》和《深圳网上政府采购管理暂行办法》等有关规定，我方经研究上述招标文件的专用条款及通用条款后，愿以投标书编制软件中《开标一览表》中填写的投标报价并按招标文件要求承包上述项目并修补其任何缺陷。</w:t>
      </w:r>
    </w:p>
    <w:p w14:paraId="5ED141A8">
      <w:pPr>
        <w:spacing w:afterLines="50"/>
        <w:ind w:firstLine="420" w:firstLineChars="200"/>
        <w:rPr>
          <w:szCs w:val="21"/>
        </w:rPr>
      </w:pPr>
      <w:r>
        <w:rPr>
          <w:szCs w:val="21"/>
        </w:rPr>
        <w:t>2</w:t>
      </w:r>
      <w:r>
        <w:rPr>
          <w:rFonts w:hint="eastAsia"/>
          <w:szCs w:val="21"/>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6562E10A">
      <w:pPr>
        <w:spacing w:afterLines="50"/>
        <w:ind w:firstLine="411" w:firstLineChars="196"/>
        <w:rPr>
          <w:rFonts w:ascii="宋体" w:hAnsi="宋体"/>
          <w:szCs w:val="21"/>
        </w:rPr>
      </w:pPr>
      <w:r>
        <w:rPr>
          <w:rFonts w:hint="eastAsia" w:ascii="宋体" w:hAnsi="宋体"/>
          <w:szCs w:val="21"/>
        </w:rPr>
        <w:t>3.我方同意所递交的投标文件在“对通用条款的补充内容”中的投标有效期内有效，在此期间内我方的投标有可能中标，我方将受此约束。</w:t>
      </w:r>
    </w:p>
    <w:p w14:paraId="3C8A6ECF">
      <w:pPr>
        <w:spacing w:afterLines="50"/>
        <w:ind w:firstLine="411" w:firstLineChars="196"/>
        <w:rPr>
          <w:rFonts w:ascii="宋体" w:hAnsi="宋体"/>
          <w:szCs w:val="21"/>
        </w:rPr>
      </w:pPr>
      <w:r>
        <w:rPr>
          <w:rFonts w:hint="eastAsia" w:ascii="宋体" w:hAnsi="宋体"/>
          <w:szCs w:val="21"/>
        </w:rPr>
        <w:t>4.除非另外达成协议并生效，贵方的中标通知书和本投标文件将构成约束我们双方的合同。</w:t>
      </w:r>
    </w:p>
    <w:p w14:paraId="562B8B4F">
      <w:pPr>
        <w:spacing w:afterLines="50"/>
        <w:ind w:firstLine="411" w:firstLineChars="196"/>
        <w:rPr>
          <w:rFonts w:ascii="宋体" w:hAnsi="宋体"/>
          <w:szCs w:val="21"/>
        </w:rPr>
      </w:pPr>
      <w:r>
        <w:rPr>
          <w:rFonts w:hint="eastAsia" w:ascii="宋体" w:hAnsi="宋体"/>
          <w:szCs w:val="21"/>
        </w:rPr>
        <w:t>5.我方理解贵方将不受必须接受你们所收到的最低标价或其它任何投标文件的约束。</w:t>
      </w:r>
    </w:p>
    <w:p w14:paraId="3E410A47">
      <w:pPr>
        <w:spacing w:afterLines="50"/>
        <w:ind w:firstLine="411" w:firstLineChars="196"/>
        <w:rPr>
          <w:rFonts w:ascii="宋体" w:hAnsi="宋体"/>
          <w:szCs w:val="21"/>
        </w:rPr>
      </w:pPr>
      <w:r>
        <w:rPr>
          <w:rFonts w:hint="eastAsia" w:ascii="宋体" w:hAnsi="宋体"/>
          <w:szCs w:val="21"/>
        </w:rPr>
        <w:t>6.</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0DC4582">
      <w:pPr>
        <w:ind w:left="540" w:leftChars="257"/>
        <w:rPr>
          <w:szCs w:val="21"/>
          <w:u w:val="single"/>
        </w:rPr>
      </w:pPr>
      <w:r>
        <w:rPr>
          <w:rFonts w:hint="eastAsia"/>
          <w:szCs w:val="21"/>
        </w:rPr>
        <w:t>投标人：</w:t>
      </w:r>
      <w:r>
        <w:rPr>
          <w:rFonts w:hint="eastAsia"/>
          <w:szCs w:val="21"/>
          <w:u w:val="single"/>
        </w:rPr>
        <w:t xml:space="preserve">                   </w:t>
      </w:r>
      <w:r>
        <w:rPr>
          <w:rFonts w:hint="eastAsia"/>
          <w:szCs w:val="21"/>
        </w:rPr>
        <w:t xml:space="preserve">    单位地址：</w:t>
      </w:r>
      <w:r>
        <w:rPr>
          <w:rFonts w:hint="eastAsia"/>
          <w:szCs w:val="21"/>
          <w:u w:val="single"/>
        </w:rPr>
        <w:t xml:space="preserve">               </w:t>
      </w:r>
    </w:p>
    <w:p w14:paraId="729077FF">
      <w:pPr>
        <w:ind w:left="540" w:leftChars="257"/>
        <w:rPr>
          <w:szCs w:val="21"/>
          <w:u w:val="single"/>
        </w:rPr>
      </w:pPr>
      <w:r>
        <w:rPr>
          <w:rFonts w:hint="eastAsia"/>
          <w:szCs w:val="21"/>
        </w:rPr>
        <w:t>法定代表人或其委托代理人：</w:t>
      </w:r>
      <w:r>
        <w:rPr>
          <w:rFonts w:hint="eastAsia"/>
          <w:szCs w:val="21"/>
          <w:u w:val="single"/>
        </w:rPr>
        <w:t xml:space="preserve">                   </w:t>
      </w:r>
    </w:p>
    <w:p w14:paraId="4D8815CC">
      <w:pPr>
        <w:ind w:left="540" w:leftChars="257"/>
        <w:rPr>
          <w:szCs w:val="21"/>
          <w:u w:val="single"/>
        </w:rPr>
      </w:pPr>
      <w:r>
        <w:rPr>
          <w:rFonts w:hint="eastAsia"/>
          <w:szCs w:val="21"/>
        </w:rPr>
        <w:t>邮政编码：</w:t>
      </w:r>
      <w:r>
        <w:rPr>
          <w:rFonts w:hint="eastAsia"/>
          <w:szCs w:val="21"/>
          <w:u w:val="single"/>
        </w:rPr>
        <w:t xml:space="preserve">          </w:t>
      </w:r>
      <w:r>
        <w:rPr>
          <w:rFonts w:hint="eastAsia"/>
          <w:szCs w:val="21"/>
        </w:rPr>
        <w:t xml:space="preserve">  电话：</w:t>
      </w:r>
      <w:r>
        <w:rPr>
          <w:rFonts w:hint="eastAsia"/>
          <w:szCs w:val="21"/>
          <w:u w:val="single"/>
        </w:rPr>
        <w:t xml:space="preserve">          </w:t>
      </w:r>
      <w:r>
        <w:rPr>
          <w:rFonts w:hint="eastAsia"/>
          <w:szCs w:val="21"/>
        </w:rPr>
        <w:t xml:space="preserve">  传真：</w:t>
      </w:r>
      <w:r>
        <w:rPr>
          <w:rFonts w:hint="eastAsia"/>
          <w:szCs w:val="21"/>
          <w:u w:val="single"/>
        </w:rPr>
        <w:t xml:space="preserve">            </w:t>
      </w:r>
    </w:p>
    <w:p w14:paraId="656A4EC6">
      <w:pPr>
        <w:ind w:left="540" w:leftChars="257"/>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0F194206">
      <w:pPr>
        <w:ind w:left="540" w:leftChars="257"/>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14:paraId="762BCD21">
      <w:pPr>
        <w:ind w:firstLine="539" w:firstLineChars="257"/>
        <w:rPr>
          <w:sz w:val="24"/>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sz w:val="24"/>
        </w:rPr>
        <w:t xml:space="preserve">    </w:t>
      </w:r>
    </w:p>
    <w:p w14:paraId="26402D93">
      <w:pPr>
        <w:ind w:firstLine="616" w:firstLineChars="257"/>
        <w:rPr>
          <w:sz w:val="24"/>
        </w:rPr>
      </w:pPr>
    </w:p>
    <w:p w14:paraId="34E972C0">
      <w:pPr>
        <w:rPr>
          <w:rFonts w:ascii="宋体" w:hAnsi="宋体"/>
          <w:szCs w:val="21"/>
        </w:rPr>
      </w:pPr>
      <w:r>
        <w:rPr>
          <w:rFonts w:hint="eastAsia"/>
          <w:szCs w:val="21"/>
          <w:u w:val="single"/>
        </w:rPr>
        <w:t>（备注：如联合体投标，投标人一栏仅需填写牵头人的名称）</w:t>
      </w:r>
    </w:p>
    <w:p w14:paraId="299A281E">
      <w:pPr>
        <w:ind w:firstLine="616" w:firstLineChars="257"/>
        <w:rPr>
          <w:sz w:val="24"/>
        </w:rPr>
      </w:pPr>
      <w:r>
        <w:rPr>
          <w:rFonts w:hint="eastAsia"/>
          <w:sz w:val="24"/>
        </w:rPr>
        <w:t xml:space="preserve">                          </w:t>
      </w:r>
    </w:p>
    <w:p w14:paraId="09C5103E">
      <w:pPr>
        <w:pStyle w:val="3"/>
        <w:jc w:val="center"/>
        <w:rPr>
          <w:rFonts w:ascii="黑体" w:eastAsia="黑体"/>
          <w:b w:val="0"/>
          <w:sz w:val="24"/>
        </w:rPr>
      </w:pPr>
      <w:r>
        <w:rPr>
          <w:rFonts w:hint="eastAsia" w:ascii="黑体" w:eastAsia="黑体"/>
          <w:b w:val="0"/>
          <w:sz w:val="24"/>
        </w:rPr>
        <w:t>二、资格响应文件</w:t>
      </w:r>
    </w:p>
    <w:p w14:paraId="77D1884A">
      <w:pPr>
        <w:adjustRightInd w:val="0"/>
        <w:snapToGrid w:val="0"/>
        <w:spacing w:line="360" w:lineRule="auto"/>
        <w:ind w:firstLine="424" w:firstLineChars="202"/>
        <w:rPr>
          <w:rFonts w:ascii="宋体" w:hAnsi="宋体"/>
          <w:bCs/>
          <w:snapToGrid w:val="0"/>
          <w:kern w:val="0"/>
          <w:szCs w:val="21"/>
        </w:rPr>
      </w:pPr>
      <w:r>
        <w:rPr>
          <w:rFonts w:hint="eastAsia" w:ascii="宋体" w:hAnsi="宋体"/>
          <w:bCs/>
          <w:snapToGrid w:val="0"/>
          <w:kern w:val="0"/>
          <w:szCs w:val="21"/>
        </w:rPr>
        <w:t>1、</w:t>
      </w:r>
      <w:r>
        <w:rPr>
          <w:rFonts w:ascii="宋体" w:hAnsi="宋体"/>
          <w:bCs/>
          <w:snapToGrid w:val="0"/>
          <w:kern w:val="0"/>
          <w:szCs w:val="21"/>
        </w:rPr>
        <w:t>营业执照</w:t>
      </w:r>
      <w:r>
        <w:rPr>
          <w:rFonts w:hint="eastAsia" w:ascii="宋体" w:hAnsi="宋体"/>
          <w:bCs/>
          <w:snapToGrid w:val="0"/>
          <w:kern w:val="0"/>
          <w:szCs w:val="21"/>
        </w:rPr>
        <w:t>或法人证书</w:t>
      </w:r>
      <w:r>
        <w:rPr>
          <w:rFonts w:hint="eastAsia" w:ascii="Times New Roman" w:hAnsi="宋体"/>
          <w:szCs w:val="21"/>
        </w:rPr>
        <w:t>等证明材料</w:t>
      </w:r>
      <w:r>
        <w:rPr>
          <w:rFonts w:hint="eastAsia" w:ascii="宋体" w:hAnsi="宋体"/>
          <w:bCs/>
          <w:snapToGrid w:val="0"/>
          <w:kern w:val="0"/>
          <w:szCs w:val="21"/>
        </w:rPr>
        <w:t>（扫描件）</w:t>
      </w:r>
    </w:p>
    <w:p w14:paraId="3682A00F">
      <w:pPr>
        <w:adjustRightInd w:val="0"/>
        <w:snapToGrid w:val="0"/>
        <w:spacing w:line="360" w:lineRule="auto"/>
        <w:ind w:firstLine="424" w:firstLineChars="202"/>
        <w:rPr>
          <w:rFonts w:ascii="宋体" w:hAnsi="宋体"/>
          <w:szCs w:val="24"/>
        </w:rPr>
      </w:pPr>
      <w:r>
        <w:rPr>
          <w:rFonts w:hint="eastAsia" w:ascii="宋体" w:hAnsi="宋体"/>
          <w:bCs/>
          <w:snapToGrid w:val="0"/>
          <w:kern w:val="0"/>
          <w:szCs w:val="21"/>
        </w:rPr>
        <w:t>2、</w:t>
      </w:r>
      <w:r>
        <w:rPr>
          <w:rFonts w:hint="eastAsia" w:ascii="Times New Roman" w:hAnsi="Times New Roman"/>
          <w:szCs w:val="21"/>
        </w:rPr>
        <w:t>政府采购投标及履约承诺函</w:t>
      </w:r>
    </w:p>
    <w:p w14:paraId="4BF55C75">
      <w:pPr>
        <w:adjustRightInd w:val="0"/>
        <w:snapToGrid w:val="0"/>
        <w:spacing w:line="360" w:lineRule="auto"/>
        <w:ind w:firstLine="424" w:firstLineChars="202"/>
        <w:rPr>
          <w:rFonts w:ascii="宋体" w:hAnsi="宋体"/>
          <w:szCs w:val="24"/>
        </w:rPr>
      </w:pPr>
      <w:r>
        <w:rPr>
          <w:rFonts w:hint="eastAsia" w:ascii="宋体" w:hAnsi="宋体"/>
          <w:szCs w:val="24"/>
        </w:rPr>
        <w:t>3、其它资格证明材料（如有，按招标公告“申请人的资格要求”提供）</w:t>
      </w:r>
    </w:p>
    <w:p w14:paraId="3BF78E79">
      <w:pPr>
        <w:rPr>
          <w:szCs w:val="21"/>
          <w:u w:val="single"/>
        </w:rPr>
      </w:pPr>
    </w:p>
    <w:p w14:paraId="555AF857">
      <w:pPr>
        <w:rPr>
          <w:rFonts w:ascii="宋体" w:hAnsi="宋体"/>
          <w:szCs w:val="21"/>
        </w:rPr>
      </w:pPr>
      <w:r>
        <w:rPr>
          <w:rFonts w:hint="eastAsia"/>
          <w:szCs w:val="21"/>
          <w:u w:val="single"/>
        </w:rPr>
        <w:t>（备注：如联合体投标，联合体各方均应按要求提供资格响应文件）</w:t>
      </w:r>
    </w:p>
    <w:p w14:paraId="45D8CCA3">
      <w:pPr>
        <w:pStyle w:val="3"/>
        <w:jc w:val="center"/>
        <w:rPr>
          <w:rFonts w:ascii="黑体" w:eastAsia="黑体"/>
          <w:b w:val="0"/>
          <w:sz w:val="24"/>
        </w:rPr>
      </w:pPr>
    </w:p>
    <w:p w14:paraId="130CC16D">
      <w:pPr>
        <w:pStyle w:val="3"/>
        <w:jc w:val="center"/>
        <w:rPr>
          <w:rFonts w:ascii="黑体" w:eastAsia="黑体"/>
          <w:b w:val="0"/>
          <w:sz w:val="24"/>
        </w:rPr>
      </w:pPr>
      <w:r>
        <w:rPr>
          <w:rFonts w:hint="eastAsia" w:ascii="黑体" w:eastAsia="黑体"/>
          <w:b w:val="0"/>
          <w:sz w:val="24"/>
        </w:rPr>
        <w:t>政府采购投标及履约承诺函</w:t>
      </w:r>
    </w:p>
    <w:p w14:paraId="1969B0FE">
      <w:pPr>
        <w:rPr>
          <w:rFonts w:ascii="宋体" w:hAnsi="宋体"/>
          <w:szCs w:val="21"/>
        </w:rPr>
      </w:pPr>
      <w:r>
        <w:rPr>
          <w:rFonts w:hint="eastAsia" w:ascii="宋体" w:hAnsi="宋体"/>
          <w:szCs w:val="21"/>
        </w:rPr>
        <w:t>深圳市中正招标有限公司：</w:t>
      </w:r>
    </w:p>
    <w:p w14:paraId="4F1B9F86">
      <w:pPr>
        <w:ind w:right="-815" w:firstLine="420" w:firstLineChars="200"/>
        <w:rPr>
          <w:rFonts w:ascii="宋体" w:hAnsi="宋体"/>
          <w:szCs w:val="21"/>
        </w:rPr>
      </w:pPr>
      <w:r>
        <w:rPr>
          <w:rFonts w:hint="eastAsia" w:ascii="宋体" w:hAnsi="宋体"/>
          <w:szCs w:val="21"/>
        </w:rPr>
        <w:t>我单位承诺：</w:t>
      </w:r>
    </w:p>
    <w:p w14:paraId="5CCABA37">
      <w:pPr>
        <w:ind w:firstLine="424" w:firstLineChars="202"/>
        <w:rPr>
          <w:rFonts w:ascii="宋体" w:hAnsi="宋体"/>
          <w:szCs w:val="21"/>
        </w:rPr>
      </w:pPr>
      <w:r>
        <w:rPr>
          <w:rFonts w:hint="eastAsia" w:ascii="宋体" w:hAnsi="宋体"/>
          <w:szCs w:val="21"/>
        </w:rPr>
        <w:t>1.我单位满足《中华人民共和国政府采购法》第二十二条规定的下列条件：</w:t>
      </w:r>
    </w:p>
    <w:p w14:paraId="408A5231">
      <w:pPr>
        <w:ind w:firstLine="424" w:firstLineChars="202"/>
        <w:rPr>
          <w:rFonts w:ascii="宋体" w:hAnsi="宋体"/>
          <w:szCs w:val="21"/>
        </w:rPr>
      </w:pPr>
      <w:r>
        <w:rPr>
          <w:rFonts w:hint="eastAsia" w:ascii="宋体" w:hAnsi="宋体"/>
          <w:szCs w:val="21"/>
        </w:rPr>
        <w:t>（一）具有独立承担民事责任的能力；</w:t>
      </w:r>
    </w:p>
    <w:p w14:paraId="7D8CD6E5">
      <w:pPr>
        <w:ind w:firstLine="424" w:firstLineChars="202"/>
        <w:rPr>
          <w:rFonts w:ascii="宋体" w:hAnsi="宋体"/>
          <w:szCs w:val="21"/>
        </w:rPr>
      </w:pPr>
      <w:r>
        <w:rPr>
          <w:rFonts w:hint="eastAsia" w:ascii="宋体" w:hAnsi="宋体"/>
          <w:szCs w:val="21"/>
        </w:rPr>
        <w:t>（二）具有良好的商业信誉和健全的财务会计制度；</w:t>
      </w:r>
    </w:p>
    <w:p w14:paraId="4F81C04F">
      <w:pPr>
        <w:ind w:firstLine="424" w:firstLineChars="202"/>
        <w:rPr>
          <w:rFonts w:ascii="宋体" w:hAnsi="宋体"/>
          <w:szCs w:val="21"/>
        </w:rPr>
      </w:pPr>
      <w:r>
        <w:rPr>
          <w:rFonts w:hint="eastAsia" w:ascii="宋体" w:hAnsi="宋体"/>
          <w:szCs w:val="21"/>
        </w:rPr>
        <w:t>（三）具有履行合同所必需的设备和专业技术能力；</w:t>
      </w:r>
    </w:p>
    <w:p w14:paraId="2AC3D777">
      <w:pPr>
        <w:ind w:firstLine="424" w:firstLineChars="202"/>
        <w:rPr>
          <w:rFonts w:ascii="宋体" w:hAnsi="宋体"/>
          <w:szCs w:val="21"/>
        </w:rPr>
      </w:pPr>
      <w:r>
        <w:rPr>
          <w:rFonts w:hint="eastAsia" w:ascii="宋体" w:hAnsi="宋体"/>
          <w:szCs w:val="21"/>
        </w:rPr>
        <w:t>（四）有依法缴纳税收和社会保障资金的良好记录；</w:t>
      </w:r>
    </w:p>
    <w:p w14:paraId="530B2CAD">
      <w:pPr>
        <w:ind w:firstLine="424" w:firstLineChars="202"/>
        <w:rPr>
          <w:rFonts w:ascii="宋体" w:hAnsi="宋体"/>
          <w:szCs w:val="21"/>
        </w:rPr>
      </w:pPr>
      <w:r>
        <w:rPr>
          <w:rFonts w:hint="eastAsia" w:ascii="宋体" w:hAnsi="宋体"/>
          <w:szCs w:val="21"/>
        </w:rPr>
        <w:t>（五）参加政府采购活动前三年内，在经营活动中没有重大违法记录；</w:t>
      </w:r>
    </w:p>
    <w:p w14:paraId="536227FB">
      <w:pPr>
        <w:ind w:firstLine="424" w:firstLineChars="202"/>
        <w:rPr>
          <w:rFonts w:ascii="宋体" w:hAnsi="宋体"/>
          <w:szCs w:val="21"/>
        </w:rPr>
      </w:pPr>
      <w:r>
        <w:rPr>
          <w:rFonts w:hint="eastAsia" w:ascii="宋体" w:hAnsi="宋体"/>
          <w:szCs w:val="21"/>
        </w:rPr>
        <w:t>（六）法律、行政法规规定的其他条件。</w:t>
      </w:r>
    </w:p>
    <w:p w14:paraId="2CD2304C">
      <w:pPr>
        <w:ind w:firstLine="424" w:firstLineChars="202"/>
        <w:rPr>
          <w:rFonts w:ascii="宋体" w:hAnsi="宋体"/>
          <w:szCs w:val="21"/>
        </w:rPr>
      </w:pPr>
      <w:r>
        <w:rPr>
          <w:rFonts w:hint="eastAsia" w:ascii="宋体" w:hAnsi="宋体"/>
          <w:szCs w:val="21"/>
        </w:rPr>
        <w:t>2.我单位参与本项目采购活动前三年内，在经营活动中没有重大违法记录，包括因违法经营受到刑事处罚或者责令停产停业、吊销许可证或者执照、</w:t>
      </w:r>
      <w:r>
        <w:rPr>
          <w:rFonts w:hint="eastAsia" w:ascii="宋体" w:hAnsi="宋体"/>
          <w:szCs w:val="21"/>
          <w:lang w:eastAsia="zh-CN"/>
        </w:rPr>
        <w:t>较大数额罚款（指200万元以上的罚款，法律、行政法规以及国务院有关部门明确规定相关领域“较大数额罚款”标准高于200万元的，从其规定）</w:t>
      </w:r>
      <w:r>
        <w:rPr>
          <w:rFonts w:hint="eastAsia" w:ascii="宋体" w:hAnsi="宋体"/>
          <w:szCs w:val="21"/>
        </w:rPr>
        <w:t>等行政处罚。</w:t>
      </w:r>
    </w:p>
    <w:p w14:paraId="0C72AE87">
      <w:pPr>
        <w:ind w:firstLine="424" w:firstLineChars="202"/>
        <w:rPr>
          <w:rFonts w:ascii="宋体" w:hAnsi="宋体"/>
          <w:szCs w:val="21"/>
        </w:rPr>
      </w:pPr>
      <w:r>
        <w:rPr>
          <w:rFonts w:hint="eastAsia" w:ascii="宋体" w:hAnsi="宋体"/>
          <w:szCs w:val="21"/>
        </w:rPr>
        <w:t>3.我单位参与本项目政府采购活动时不存在被有关部门禁止参与政府采购活动且在有效期内的情况；与其他投标供应商不存在“单位负责人为同一人或者存在直接控股、管理关系”的情况；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ascii="宋体" w:hAnsi="宋体"/>
          <w:szCs w:val="21"/>
        </w:rPr>
        <w:t>。</w:t>
      </w:r>
    </w:p>
    <w:p w14:paraId="17E65F1E">
      <w:pPr>
        <w:ind w:firstLine="424" w:firstLineChars="202"/>
        <w:rPr>
          <w:rFonts w:ascii="宋体" w:hAnsi="宋体"/>
          <w:szCs w:val="21"/>
        </w:rPr>
      </w:pPr>
      <w:r>
        <w:rPr>
          <w:rFonts w:hint="eastAsia" w:ascii="宋体" w:hAnsi="宋体"/>
          <w:szCs w:val="21"/>
        </w:rPr>
        <w:t>4.我单位承诺非联合体投标，不非法转包或分包，为本项目所提供的货物或服务未侵犯知识产权。</w:t>
      </w:r>
    </w:p>
    <w:p w14:paraId="06126ADC">
      <w:pPr>
        <w:ind w:firstLine="424" w:firstLineChars="202"/>
        <w:rPr>
          <w:rFonts w:ascii="宋体" w:hAnsi="宋体"/>
          <w:szCs w:val="21"/>
        </w:rPr>
      </w:pPr>
      <w:r>
        <w:rPr>
          <w:rFonts w:hint="eastAsia" w:ascii="宋体" w:hAnsi="宋体"/>
          <w:szCs w:val="21"/>
        </w:rPr>
        <w:t>5.我单位承诺不存在《深圳市财政局政府采购供应商信用信息管理办法》（深财规〔2023〕3号）列明的严重违法失信行为。</w:t>
      </w:r>
    </w:p>
    <w:p w14:paraId="7ED9D5B1">
      <w:pPr>
        <w:ind w:firstLine="424" w:firstLineChars="202"/>
        <w:rPr>
          <w:rFonts w:ascii="宋体" w:hAnsi="宋体"/>
          <w:szCs w:val="21"/>
        </w:rPr>
      </w:pPr>
      <w:r>
        <w:rPr>
          <w:rFonts w:hint="eastAsia" w:ascii="宋体" w:hAnsi="宋体"/>
          <w:szCs w:val="21"/>
        </w:rPr>
        <w:t>6.我单位参与该项目投标，严格遵循公平竞争的原则，不妨碍其他投标人的竞争行为，不损害采购人或者其他投标人的合法权益，与其他采购参加人不存在</w:t>
      </w:r>
      <w:r>
        <w:rPr>
          <w:rFonts w:hint="eastAsia" w:ascii="宋体" w:hAnsi="宋体"/>
          <w:szCs w:val="21"/>
          <w:lang w:eastAsia="zh-CN"/>
        </w:rPr>
        <w:t>包括但不限于以下</w:t>
      </w:r>
      <w:r>
        <w:rPr>
          <w:rFonts w:hint="eastAsia" w:ascii="宋体" w:hAnsi="宋体"/>
          <w:szCs w:val="21"/>
        </w:rPr>
        <w:t>串通投标情形：</w:t>
      </w:r>
    </w:p>
    <w:p w14:paraId="619DFACC">
      <w:pPr>
        <w:ind w:firstLine="424" w:firstLineChars="202"/>
        <w:rPr>
          <w:rFonts w:ascii="宋体" w:hAnsi="宋体"/>
          <w:szCs w:val="21"/>
        </w:rPr>
      </w:pPr>
      <w:r>
        <w:rPr>
          <w:rFonts w:hint="eastAsia" w:ascii="宋体" w:hAnsi="宋体"/>
          <w:szCs w:val="21"/>
        </w:rPr>
        <w:t>（1）投标供应商之间相互约定给予未中标的供应商利益补偿；</w:t>
      </w:r>
    </w:p>
    <w:p w14:paraId="5786C11C">
      <w:pPr>
        <w:ind w:firstLine="424" w:firstLineChars="202"/>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5A70485">
      <w:pPr>
        <w:ind w:firstLine="424" w:firstLineChars="202"/>
        <w:rPr>
          <w:rFonts w:ascii="宋体" w:hAnsi="宋体"/>
          <w:szCs w:val="21"/>
        </w:rPr>
      </w:pPr>
      <w:r>
        <w:rPr>
          <w:rFonts w:hint="eastAsia" w:ascii="宋体" w:hAnsi="宋体"/>
          <w:szCs w:val="21"/>
        </w:rPr>
        <w:t>（3）不同投标供应商的投标文件由同一单位或者同一人编制，或者由同一人分阶段参与编制的；</w:t>
      </w:r>
    </w:p>
    <w:p w14:paraId="3819C5A6">
      <w:pPr>
        <w:ind w:firstLine="424" w:firstLineChars="202"/>
        <w:rPr>
          <w:rFonts w:ascii="宋体" w:hAnsi="宋体"/>
          <w:szCs w:val="21"/>
        </w:rPr>
      </w:pPr>
      <w:r>
        <w:rPr>
          <w:rFonts w:hint="eastAsia" w:ascii="宋体" w:hAnsi="宋体"/>
          <w:szCs w:val="21"/>
        </w:rPr>
        <w:t>（4）不同投标供应商的投标文件或部分投标文件相互混装；</w:t>
      </w:r>
    </w:p>
    <w:p w14:paraId="0AE9816F">
      <w:pPr>
        <w:ind w:firstLine="424" w:firstLineChars="202"/>
        <w:rPr>
          <w:rFonts w:ascii="宋体" w:hAnsi="宋体"/>
          <w:szCs w:val="21"/>
        </w:rPr>
      </w:pPr>
      <w:r>
        <w:rPr>
          <w:rFonts w:hint="eastAsia" w:ascii="宋体" w:hAnsi="宋体"/>
          <w:szCs w:val="21"/>
        </w:rPr>
        <w:t>（5）不同投标供应商的投标文件内容存在非正常一致；</w:t>
      </w:r>
    </w:p>
    <w:p w14:paraId="63115EDB">
      <w:pPr>
        <w:ind w:firstLine="424" w:firstLineChars="202"/>
        <w:rPr>
          <w:rFonts w:ascii="宋体" w:hAnsi="宋体"/>
          <w:szCs w:val="21"/>
        </w:rPr>
      </w:pPr>
      <w:r>
        <w:rPr>
          <w:rFonts w:hint="eastAsia" w:ascii="宋体" w:hAnsi="宋体"/>
          <w:szCs w:val="21"/>
        </w:rPr>
        <w:t>（6）由同一单位工作人员为两家以上（含两家）供应商进行同一项投标活动的；</w:t>
      </w:r>
    </w:p>
    <w:p w14:paraId="28FF3C24">
      <w:pPr>
        <w:ind w:firstLine="424" w:firstLineChars="202"/>
        <w:rPr>
          <w:rFonts w:ascii="宋体" w:hAnsi="宋体"/>
          <w:szCs w:val="21"/>
        </w:rPr>
      </w:pPr>
      <w:r>
        <w:rPr>
          <w:rFonts w:hint="eastAsia" w:ascii="宋体" w:hAnsi="宋体"/>
          <w:szCs w:val="21"/>
        </w:rPr>
        <w:t>（7）主管部门依照法律、法规认定的其他情形。</w:t>
      </w:r>
    </w:p>
    <w:p w14:paraId="44B7727F">
      <w:pPr>
        <w:ind w:firstLine="424" w:firstLineChars="202"/>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1CC992F4">
      <w:pPr>
        <w:ind w:firstLine="424" w:firstLineChars="202"/>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C412388">
      <w:pPr>
        <w:ind w:firstLine="424" w:firstLineChars="202"/>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4899F1E8">
      <w:pPr>
        <w:ind w:firstLine="424" w:firstLineChars="202"/>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3589829C">
      <w:pPr>
        <w:ind w:firstLine="424" w:firstLineChars="202"/>
        <w:rPr>
          <w:rFonts w:ascii="宋体" w:hAnsi="宋体"/>
          <w:szCs w:val="21"/>
        </w:rPr>
      </w:pPr>
      <w:r>
        <w:rPr>
          <w:rFonts w:hint="eastAsia" w:ascii="宋体" w:hAnsi="宋体"/>
          <w:szCs w:val="21"/>
        </w:rPr>
        <w:t>以上承诺，如有违反，愿依照相关法律法规处理，并承担由此给采购人带来的损失。</w:t>
      </w:r>
    </w:p>
    <w:p w14:paraId="5AC91396">
      <w:pPr>
        <w:ind w:firstLine="424" w:firstLineChars="202"/>
        <w:rPr>
          <w:rFonts w:ascii="宋体" w:hAnsi="宋体"/>
          <w:szCs w:val="21"/>
        </w:rPr>
      </w:pPr>
    </w:p>
    <w:p w14:paraId="57E28D84">
      <w:pPr>
        <w:jc w:val="center"/>
      </w:pPr>
      <w:r>
        <w:rPr>
          <w:rFonts w:hint="eastAsia"/>
          <w:szCs w:val="21"/>
        </w:rPr>
        <w:t xml:space="preserve">                             投标人：</w:t>
      </w:r>
    </w:p>
    <w:p w14:paraId="74CDBB49">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04169A2C">
      <w:pPr>
        <w:ind w:firstLine="424" w:firstLineChars="202"/>
        <w:rPr>
          <w:rFonts w:ascii="宋体" w:hAnsi="宋体"/>
          <w:szCs w:val="21"/>
        </w:rPr>
      </w:pPr>
    </w:p>
    <w:p w14:paraId="4F92FF2A"/>
    <w:p w14:paraId="2B11D7A0">
      <w:pPr>
        <w:rPr>
          <w:rFonts w:ascii="宋体" w:hAnsi="宋体"/>
          <w:szCs w:val="21"/>
        </w:rPr>
      </w:pPr>
      <w:r>
        <w:rPr>
          <w:rFonts w:hint="eastAsia"/>
          <w:szCs w:val="21"/>
          <w:u w:val="single"/>
        </w:rPr>
        <w:t>（备注：如联合体投标，投标人一栏需填写联合体各方的名称）</w:t>
      </w:r>
    </w:p>
    <w:p w14:paraId="5443D70D"/>
    <w:p w14:paraId="6A7FC14E">
      <w:pPr>
        <w:ind w:firstLine="420" w:firstLineChars="200"/>
        <w:rPr>
          <w:rFonts w:cs="Courier New"/>
          <w:snapToGrid w:val="0"/>
          <w:szCs w:val="18"/>
        </w:rPr>
      </w:pPr>
    </w:p>
    <w:p w14:paraId="54E502E6">
      <w:pPr>
        <w:pStyle w:val="3"/>
        <w:jc w:val="center"/>
        <w:rPr>
          <w:rFonts w:ascii="黑体" w:eastAsia="黑体"/>
          <w:b w:val="0"/>
          <w:sz w:val="24"/>
        </w:rPr>
      </w:pPr>
      <w:r>
        <w:rPr>
          <w:rFonts w:hint="eastAsia" w:ascii="黑体" w:eastAsia="黑体"/>
          <w:b w:val="0"/>
          <w:sz w:val="24"/>
        </w:rPr>
        <w:t>三、投标人情况介绍</w:t>
      </w:r>
    </w:p>
    <w:p w14:paraId="24EFBBC9">
      <w:pPr>
        <w:spacing w:line="360" w:lineRule="exact"/>
        <w:rPr>
          <w:bCs/>
          <w:szCs w:val="21"/>
        </w:rPr>
      </w:pPr>
      <w:r>
        <w:rPr>
          <w:rFonts w:hint="eastAsia"/>
          <w:bCs/>
          <w:szCs w:val="21"/>
        </w:rPr>
        <w:t>注：供应商</w:t>
      </w:r>
      <w:r>
        <w:rPr>
          <w:rFonts w:hint="eastAsia"/>
          <w:bCs/>
          <w:szCs w:val="21"/>
          <w:lang w:eastAsia="zh-CN"/>
        </w:rPr>
        <w:t>如实提供情况介绍，格式自拟</w:t>
      </w:r>
      <w:r>
        <w:rPr>
          <w:rFonts w:hint="eastAsia"/>
          <w:bCs/>
          <w:szCs w:val="21"/>
        </w:rPr>
        <w:t>。</w:t>
      </w:r>
    </w:p>
    <w:p w14:paraId="4D67CF5A">
      <w:pPr>
        <w:ind w:left="632" w:hanging="632" w:hangingChars="300"/>
        <w:rPr>
          <w:b/>
          <w:bCs/>
        </w:rPr>
      </w:pPr>
    </w:p>
    <w:p w14:paraId="7A37D742">
      <w:pPr>
        <w:rPr>
          <w:rFonts w:ascii="宋体" w:hAnsi="宋体"/>
          <w:szCs w:val="21"/>
        </w:rPr>
      </w:pPr>
      <w:r>
        <w:rPr>
          <w:rFonts w:hint="eastAsia"/>
          <w:szCs w:val="21"/>
          <w:u w:val="single"/>
        </w:rPr>
        <w:t>（备注：如联合体投标，联合体各方均需提供情况介绍）</w:t>
      </w:r>
    </w:p>
    <w:p w14:paraId="1034E689">
      <w:pPr>
        <w:ind w:left="632" w:hanging="632" w:hangingChars="300"/>
        <w:rPr>
          <w:b/>
          <w:bCs/>
        </w:rPr>
      </w:pPr>
    </w:p>
    <w:p w14:paraId="6E976FD3">
      <w:pPr>
        <w:ind w:left="632" w:hanging="632" w:hangingChars="300"/>
        <w:rPr>
          <w:b/>
          <w:bCs/>
        </w:rPr>
      </w:pPr>
    </w:p>
    <w:p w14:paraId="06B7F84D">
      <w:pPr>
        <w:jc w:val="center"/>
        <w:outlineLvl w:val="3"/>
        <w:rPr>
          <w:rFonts w:ascii="黑体" w:hAnsi="宋体" w:eastAsia="黑体"/>
          <w:bCs/>
          <w:kern w:val="0"/>
          <w:sz w:val="24"/>
          <w:szCs w:val="32"/>
        </w:rPr>
      </w:pPr>
      <w:r>
        <w:rPr>
          <w:rFonts w:hint="eastAsia" w:ascii="黑体" w:hAnsi="宋体" w:eastAsia="黑体"/>
          <w:bCs/>
          <w:kern w:val="0"/>
          <w:sz w:val="24"/>
          <w:szCs w:val="32"/>
        </w:rPr>
        <w:t>四、中小企业声明函等符合政府采购扶持政策的证明材料</w:t>
      </w:r>
    </w:p>
    <w:p w14:paraId="73FA4244">
      <w:pPr>
        <w:jc w:val="left"/>
        <w:outlineLvl w:val="3"/>
        <w:rPr>
          <w:rFonts w:ascii="黑体" w:hAnsi="宋体" w:eastAsia="黑体"/>
          <w:bCs/>
          <w:kern w:val="0"/>
          <w:sz w:val="24"/>
          <w:szCs w:val="32"/>
        </w:rPr>
      </w:pPr>
    </w:p>
    <w:p w14:paraId="3740C655">
      <w:pPr>
        <w:widowControl/>
        <w:snapToGrid w:val="0"/>
        <w:spacing w:line="360" w:lineRule="auto"/>
        <w:jc w:val="left"/>
        <w:outlineLvl w:val="4"/>
        <w:rPr>
          <w:rFonts w:ascii="仿宋" w:hAnsi="仿宋" w:eastAsia="仿宋"/>
          <w:b/>
          <w:bCs/>
          <w:kern w:val="0"/>
          <w:sz w:val="25"/>
          <w:szCs w:val="25"/>
        </w:rPr>
      </w:pPr>
      <w:r>
        <w:rPr>
          <w:rFonts w:hint="eastAsia" w:ascii="仿宋" w:hAnsi="仿宋" w:eastAsia="仿宋"/>
          <w:b/>
          <w:bCs/>
          <w:kern w:val="0"/>
          <w:sz w:val="25"/>
          <w:szCs w:val="25"/>
        </w:rPr>
        <w:t>填写指引：</w:t>
      </w:r>
    </w:p>
    <w:p w14:paraId="552D038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17BF5208">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0B96E6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02BB336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10" w:name="_Hlk71925120"/>
      <w:r>
        <w:rPr>
          <w:rFonts w:hint="eastAsia" w:asciiTheme="minorEastAsia" w:hAnsiTheme="minorEastAsia" w:eastAsiaTheme="minorEastAsia"/>
          <w:kern w:val="0"/>
          <w:szCs w:val="21"/>
        </w:rPr>
        <w:t>《关于印发中小企业划型标准规定的通知》（工信部联企业〔2011〕300 号</w:t>
      </w:r>
      <w:bookmarkEnd w:id="10"/>
      <w:r>
        <w:rPr>
          <w:rFonts w:hint="eastAsia" w:asciiTheme="minorEastAsia" w:hAnsiTheme="minorEastAsia" w:eastAsiaTheme="minorEastAsia"/>
          <w:kern w:val="0"/>
          <w:szCs w:val="21"/>
        </w:rPr>
        <w:t>）</w:t>
      </w:r>
    </w:p>
    <w:p w14:paraId="50A289CF">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286A5184">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0D5B6B78">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EA861CC">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3、请依照招标文件提供的格式和内容填写声明函，不要随意变更格式；声明函不需要盖章或签字；满足多项优惠政策的投标人，不重复享受多项价格扣除政策。</w:t>
      </w:r>
    </w:p>
    <w:p w14:paraId="08AC295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797F9EE0">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12C448E">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57DCE9CC">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w:t>
      </w:r>
      <w:r>
        <w:rPr>
          <w:rFonts w:hint="eastAsia" w:asciiTheme="minorEastAsia" w:hAnsiTheme="minorEastAsia" w:eastAsiaTheme="minorEastAsia"/>
          <w:b/>
          <w:color w:val="FF0000"/>
          <w:kern w:val="0"/>
          <w:szCs w:val="21"/>
        </w:rPr>
        <w:t>采购标的（货物或服务或工程）的具体名称</w:t>
      </w:r>
      <w:r>
        <w:rPr>
          <w:rFonts w:hint="eastAsia" w:asciiTheme="minorEastAsia" w:hAnsiTheme="minorEastAsia" w:eastAsiaTheme="minorEastAsia"/>
          <w:b/>
          <w:bCs/>
          <w:color w:val="FF0000"/>
          <w:kern w:val="0"/>
          <w:szCs w:val="21"/>
        </w:rPr>
        <w:t>（具体详见第二章招标项目需求，如涉及多项标的，投标人需逐项进行响应）</w:t>
      </w:r>
      <w:r>
        <w:rPr>
          <w:rFonts w:hint="eastAsia" w:asciiTheme="minorEastAsia" w:hAnsiTheme="minorEastAsia" w:eastAsiaTheme="minorEastAsia"/>
          <w:kern w:val="0"/>
          <w:szCs w:val="21"/>
        </w:rPr>
        <w:t>；</w:t>
      </w:r>
    </w:p>
    <w:p w14:paraId="380AE159">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w:t>
      </w:r>
      <w:r>
        <w:rPr>
          <w:rFonts w:hint="eastAsia" w:asciiTheme="minorEastAsia" w:hAnsiTheme="minorEastAsia" w:eastAsiaTheme="minorEastAsia"/>
          <w:b/>
          <w:color w:val="FF0000"/>
          <w:kern w:val="0"/>
          <w:szCs w:val="21"/>
        </w:rPr>
        <w:t>采购文件规定的本项目所属行业</w:t>
      </w:r>
      <w:r>
        <w:rPr>
          <w:rFonts w:hint="eastAsia" w:asciiTheme="minorEastAsia" w:hAnsiTheme="minorEastAsia" w:eastAsiaTheme="minorEastAsia"/>
          <w:b/>
          <w:bCs/>
          <w:color w:val="FF0000"/>
          <w:kern w:val="0"/>
          <w:szCs w:val="21"/>
        </w:rPr>
        <w:t>（详见其它关键信息）</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或以分包形式</w:t>
      </w:r>
      <w:r>
        <w:rPr>
          <w:rFonts w:hint="eastAsia" w:asciiTheme="minorEastAsia" w:hAnsiTheme="minorEastAsia" w:eastAsiaTheme="minorEastAsia"/>
          <w:b/>
          <w:color w:val="FF0000"/>
          <w:kern w:val="0"/>
          <w:szCs w:val="21"/>
          <w:lang w:eastAsia="zh-CN"/>
        </w:rPr>
        <w:t>响应</w:t>
      </w:r>
      <w:r>
        <w:rPr>
          <w:rFonts w:hint="eastAsia" w:asciiTheme="minorEastAsia" w:hAnsiTheme="minorEastAsia" w:eastAsiaTheme="minorEastAsia"/>
          <w:b/>
          <w:color w:val="FF0000"/>
          <w:kern w:val="0"/>
          <w:szCs w:val="21"/>
        </w:rPr>
        <w:t>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w:t>
      </w:r>
      <w:r>
        <w:rPr>
          <w:rFonts w:hint="eastAsia" w:asciiTheme="minorHAnsi" w:hAnsiTheme="minorHAnsi" w:eastAsiaTheme="minorEastAsia" w:cstheme="minorBidi"/>
          <w:b/>
          <w:color w:val="FF0000"/>
          <w:szCs w:val="22"/>
          <w:lang w:eastAsia="zh-CN"/>
        </w:rPr>
        <w:t>采购</w:t>
      </w:r>
      <w:r>
        <w:rPr>
          <w:rFonts w:hint="eastAsia" w:asciiTheme="minorHAnsi" w:hAnsiTheme="minorHAnsi" w:eastAsiaTheme="minorEastAsia" w:cstheme="minorBidi"/>
          <w:b/>
          <w:color w:val="FF0000"/>
          <w:szCs w:val="22"/>
        </w:rPr>
        <w:t>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”填写投标（响应）供应商名称】</w:t>
      </w:r>
      <w:r>
        <w:rPr>
          <w:rFonts w:hint="eastAsia" w:ascii="宋体" w:hAnsi="宋体" w:eastAsiaTheme="minorEastAsia" w:cstheme="minorBidi"/>
          <w:kern w:val="0"/>
          <w:szCs w:val="21"/>
          <w:lang w:eastAsia="zh-CN"/>
        </w:rPr>
        <w:t>；</w:t>
      </w:r>
    </w:p>
    <w:p w14:paraId="67915E0F">
      <w:pPr>
        <w:widowControl/>
        <w:snapToGrid w:val="0"/>
        <w:spacing w:line="360" w:lineRule="auto"/>
        <w:ind w:firstLine="424" w:firstLineChars="202"/>
        <w:jc w:val="left"/>
        <w:rPr>
          <w:lang w:val="en-US"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C78D47D">
      <w:pPr>
        <w:jc w:val="center"/>
        <w:outlineLvl w:val="3"/>
        <w:rPr>
          <w:rFonts w:ascii="黑体" w:hAnsi="宋体" w:eastAsia="黑体"/>
          <w:bCs/>
          <w:kern w:val="0"/>
          <w:sz w:val="24"/>
          <w:szCs w:val="32"/>
        </w:rPr>
      </w:pPr>
    </w:p>
    <w:p w14:paraId="4230D930">
      <w:pPr>
        <w:spacing w:after="60"/>
        <w:jc w:val="center"/>
        <w:outlineLvl w:val="3"/>
        <w:rPr>
          <w:b/>
          <w:sz w:val="24"/>
        </w:rPr>
      </w:pPr>
      <w:r>
        <w:rPr>
          <w:rFonts w:hint="eastAsia"/>
          <w:b/>
          <w:sz w:val="24"/>
        </w:rPr>
        <w:t>1、中小企业声明函</w:t>
      </w:r>
    </w:p>
    <w:p w14:paraId="4E864B7B">
      <w:pPr>
        <w:pStyle w:val="18"/>
        <w:spacing w:line="360" w:lineRule="exact"/>
        <w:ind w:firstLine="412"/>
        <w:rPr>
          <w:rFonts w:asciiTheme="minorEastAsia" w:hAnsiTheme="minorEastAsia" w:eastAsiaTheme="minorEastAsia"/>
          <w:b w:val="0"/>
          <w:sz w:val="21"/>
          <w:szCs w:val="21"/>
        </w:rPr>
      </w:pPr>
      <w:r>
        <w:rPr>
          <w:rFonts w:asciiTheme="minorEastAsia" w:hAnsiTheme="minorEastAsia" w:eastAsiaTheme="minorEastAsia"/>
          <w:b w:val="0"/>
          <w:sz w:val="21"/>
          <w:szCs w:val="21"/>
        </w:rPr>
        <w:t>本公司（联合体）郑重声明，根据《政府采购促进中小企业发展管理办法》（财库</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2020</w:t>
      </w:r>
      <w:r>
        <w:rPr>
          <w:rFonts w:hint="eastAsia" w:asciiTheme="minorEastAsia" w:hAnsiTheme="minorEastAsia" w:eastAsiaTheme="minorEastAsia"/>
          <w:b w:val="0"/>
          <w:sz w:val="21"/>
          <w:szCs w:val="21"/>
        </w:rPr>
        <w:t>﹞</w:t>
      </w:r>
      <w:r>
        <w:rPr>
          <w:rFonts w:asciiTheme="minorEastAsia" w:hAnsiTheme="minorEastAsia" w:eastAsiaTheme="minorEastAsia"/>
          <w:b w:val="0"/>
          <w:sz w:val="21"/>
          <w:szCs w:val="21"/>
        </w:rPr>
        <w:t>46 号）的规定，本公司（联合体）参加</w:t>
      </w:r>
      <w:r>
        <w:rPr>
          <w:rFonts w:asciiTheme="minorEastAsia" w:hAnsiTheme="minorEastAsia" w:eastAsiaTheme="minorEastAsia"/>
          <w:b w:val="0"/>
          <w:sz w:val="21"/>
          <w:szCs w:val="21"/>
          <w:u w:val="single"/>
        </w:rPr>
        <w:t>（单位名称）</w:t>
      </w:r>
      <w:r>
        <w:rPr>
          <w:rFonts w:asciiTheme="minorEastAsia" w:hAnsiTheme="minorEastAsia" w:eastAsiaTheme="minorEastAsia"/>
          <w:b w:val="0"/>
          <w:sz w:val="21"/>
          <w:szCs w:val="21"/>
        </w:rPr>
        <w:t>的</w:t>
      </w:r>
      <w:r>
        <w:rPr>
          <w:rFonts w:asciiTheme="minorEastAsia" w:hAnsiTheme="minorEastAsia" w:eastAsiaTheme="minorEastAsia"/>
          <w:b w:val="0"/>
          <w:sz w:val="21"/>
          <w:szCs w:val="21"/>
          <w:u w:val="single"/>
        </w:rPr>
        <w:t>（项目名称）</w:t>
      </w:r>
      <w:r>
        <w:rPr>
          <w:rFonts w:asciiTheme="minorEastAsia" w:hAnsiTheme="minorEastAsia" w:eastAsiaTheme="minorEastAsia"/>
          <w:b w:val="0"/>
          <w:sz w:val="21"/>
          <w:szCs w:val="21"/>
        </w:rPr>
        <w:t>采购活动，</w:t>
      </w:r>
      <w:r>
        <w:rPr>
          <w:rFonts w:hint="eastAsia" w:asciiTheme="minorEastAsia" w:hAnsiTheme="minorEastAsia" w:eastAsiaTheme="minorEastAsia"/>
          <w:b w:val="0"/>
          <w:sz w:val="21"/>
          <w:szCs w:val="21"/>
        </w:rPr>
        <w:t>服务全部由符合政策要求的中小企业承接</w:t>
      </w:r>
      <w:r>
        <w:rPr>
          <w:rFonts w:asciiTheme="minorEastAsia" w:hAnsiTheme="minorEastAsia" w:eastAsiaTheme="minorEastAsia"/>
          <w:b w:val="0"/>
          <w:sz w:val="21"/>
          <w:szCs w:val="21"/>
        </w:rPr>
        <w:t>。相关企业（含联合体中的中小企业、签订分包意向协议的中小企业）的具体情况如下：</w:t>
      </w:r>
    </w:p>
    <w:p w14:paraId="67C25152">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1.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3D142B08">
      <w:pPr>
        <w:pStyle w:val="18"/>
        <w:spacing w:line="360" w:lineRule="exact"/>
        <w:ind w:firstLine="412"/>
        <w:rPr>
          <w:rFonts w:asciiTheme="minorEastAsia" w:hAnsiTheme="minorEastAsia" w:eastAsiaTheme="minorEastAsia"/>
          <w:b w:val="0"/>
          <w:sz w:val="21"/>
          <w:szCs w:val="21"/>
        </w:rPr>
      </w:pPr>
      <w:r>
        <w:rPr>
          <w:rFonts w:hint="eastAsia" w:asciiTheme="minorEastAsia" w:hAnsiTheme="minorEastAsia" w:eastAsiaTheme="minorEastAsia"/>
          <w:b w:val="0"/>
          <w:sz w:val="21"/>
          <w:szCs w:val="21"/>
        </w:rPr>
        <w:t xml:space="preserve">2. </w:t>
      </w:r>
      <w:r>
        <w:rPr>
          <w:rFonts w:asciiTheme="minorEastAsia" w:hAnsiTheme="minorEastAsia" w:eastAsiaTheme="minorEastAsia"/>
          <w:b w:val="0"/>
          <w:sz w:val="21"/>
          <w:szCs w:val="21"/>
          <w:u w:val="single"/>
        </w:rPr>
        <w:t>（标的名称）</w:t>
      </w:r>
      <w:r>
        <w:rPr>
          <w:rFonts w:asciiTheme="minorEastAsia" w:hAnsiTheme="minorEastAsia" w:eastAsiaTheme="minorEastAsia"/>
          <w:b w:val="0"/>
          <w:sz w:val="21"/>
          <w:szCs w:val="21"/>
        </w:rPr>
        <w:t>，属于</w:t>
      </w:r>
      <w:r>
        <w:rPr>
          <w:rFonts w:asciiTheme="minorEastAsia" w:hAnsiTheme="minorEastAsia" w:eastAsiaTheme="minorEastAsia"/>
          <w:b w:val="0"/>
          <w:sz w:val="21"/>
          <w:szCs w:val="21"/>
          <w:u w:val="single"/>
        </w:rPr>
        <w:t>（采购文件中明确的所属行业）</w:t>
      </w:r>
      <w:r>
        <w:rPr>
          <w:rFonts w:asciiTheme="minorEastAsia" w:hAnsiTheme="minorEastAsia" w:eastAsiaTheme="minorEastAsia"/>
          <w:b w:val="0"/>
          <w:sz w:val="21"/>
          <w:szCs w:val="21"/>
        </w:rPr>
        <w:t>；承接企业为</w:t>
      </w:r>
      <w:r>
        <w:rPr>
          <w:rFonts w:asciiTheme="minorEastAsia" w:hAnsiTheme="minorEastAsia" w:eastAsiaTheme="minorEastAsia"/>
          <w:b w:val="0"/>
          <w:sz w:val="21"/>
          <w:szCs w:val="21"/>
          <w:u w:val="single"/>
        </w:rPr>
        <w:t>（企业名称）</w:t>
      </w:r>
      <w:r>
        <w:rPr>
          <w:rFonts w:asciiTheme="minorEastAsia" w:hAnsiTheme="minorEastAsia" w:eastAsiaTheme="minorEastAsia"/>
          <w:b w:val="0"/>
          <w:sz w:val="21"/>
          <w:szCs w:val="21"/>
        </w:rPr>
        <w:t>，从业人员</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asciiTheme="minorEastAsia" w:hAnsiTheme="minorEastAsia" w:eastAsiaTheme="minorEastAsia"/>
          <w:b w:val="0"/>
          <w:sz w:val="21"/>
          <w:szCs w:val="21"/>
        </w:rPr>
        <w:t>人，营业收入为</w:t>
      </w:r>
      <w:r>
        <w:rPr>
          <w:rFonts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u w:val="single"/>
        </w:rPr>
        <w:tab/>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万元，资产总额为</w:t>
      </w:r>
      <w:r>
        <w:rPr>
          <w:rFonts w:hint="eastAsia" w:asciiTheme="minorEastAsia" w:hAnsiTheme="minorEastAsia" w:eastAsiaTheme="minorEastAsia"/>
          <w:b w:val="0"/>
          <w:sz w:val="21"/>
          <w:szCs w:val="21"/>
          <w:u w:val="single"/>
        </w:rPr>
        <w:t xml:space="preserve">     </w:t>
      </w:r>
      <w:r>
        <w:rPr>
          <w:rFonts w:asciiTheme="minorEastAsia" w:hAnsiTheme="minorEastAsia" w:eastAsiaTheme="minorEastAsia"/>
          <w:b w:val="0"/>
          <w:sz w:val="21"/>
          <w:szCs w:val="21"/>
        </w:rPr>
        <w:t>万元，属于</w:t>
      </w:r>
      <w:r>
        <w:rPr>
          <w:rFonts w:asciiTheme="minorEastAsia" w:hAnsiTheme="minorEastAsia" w:eastAsiaTheme="minorEastAsia"/>
          <w:b w:val="0"/>
          <w:sz w:val="21"/>
          <w:szCs w:val="21"/>
          <w:u w:val="single"/>
        </w:rPr>
        <w:t>（中型企业、小型企业、微型企业）</w:t>
      </w:r>
      <w:r>
        <w:rPr>
          <w:rFonts w:asciiTheme="minorEastAsia" w:hAnsiTheme="minorEastAsia" w:eastAsiaTheme="minorEastAsia"/>
          <w:b w:val="0"/>
          <w:sz w:val="21"/>
          <w:szCs w:val="21"/>
        </w:rPr>
        <w:t>；</w:t>
      </w:r>
    </w:p>
    <w:p w14:paraId="06945880">
      <w:pPr>
        <w:pStyle w:val="18"/>
        <w:spacing w:before="11" w:line="360" w:lineRule="exact"/>
        <w:ind w:firstLine="424" w:firstLineChars="202"/>
        <w:rPr>
          <w:rFonts w:asciiTheme="minorEastAsia" w:hAnsiTheme="minorEastAsia" w:eastAsiaTheme="minorEastAsia"/>
          <w:b w:val="0"/>
          <w:sz w:val="21"/>
          <w:szCs w:val="21"/>
        </w:rPr>
      </w:pPr>
      <w:r>
        <w:rPr>
          <w:rFonts w:asciiTheme="minorEastAsia" w:hAnsiTheme="minorEastAsia" w:eastAsiaTheme="minorEastAsia"/>
          <w:b w:val="0"/>
          <w:sz w:val="21"/>
          <w:szCs w:val="21"/>
        </w:rPr>
        <w:t>……</w:t>
      </w:r>
    </w:p>
    <w:p w14:paraId="2FA926BB">
      <w:pPr>
        <w:pStyle w:val="18"/>
        <w:spacing w:before="108" w:line="360" w:lineRule="exact"/>
        <w:ind w:firstLine="408"/>
        <w:rPr>
          <w:rFonts w:asciiTheme="minorEastAsia" w:hAnsiTheme="minorEastAsia" w:eastAsiaTheme="minorEastAsia"/>
          <w:b w:val="0"/>
          <w:sz w:val="21"/>
          <w:szCs w:val="21"/>
        </w:rPr>
      </w:pPr>
      <w:r>
        <w:rPr>
          <w:rFonts w:asciiTheme="minorEastAsia" w:hAnsiTheme="minorEastAsia" w:eastAsiaTheme="minorEastAsia"/>
          <w:b w:val="0"/>
          <w:sz w:val="21"/>
          <w:szCs w:val="21"/>
        </w:rPr>
        <w:t>以上企业，不属于大企业的分支机构，不存在控股股东为大企业的情形，也不存在与大企业的负责人为同一人的情形。</w:t>
      </w:r>
    </w:p>
    <w:p w14:paraId="38CC59FE">
      <w:pPr>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1CD97BFB">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本企业已知悉《政府采购促进中小企业发展管理办法》（财库〔2020〕46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6925291A">
      <w:pPr>
        <w:spacing w:line="360" w:lineRule="exact"/>
        <w:ind w:firstLine="420" w:firstLineChars="200"/>
        <w:rPr>
          <w:rFonts w:asciiTheme="minorEastAsia" w:hAnsiTheme="minorEastAsia" w:eastAsiaTheme="minorEastAsia"/>
          <w:szCs w:val="21"/>
        </w:rPr>
      </w:pPr>
    </w:p>
    <w:p w14:paraId="43A87D9C">
      <w:pPr>
        <w:spacing w:line="360" w:lineRule="exact"/>
        <w:jc w:val="center"/>
        <w:rPr>
          <w:rFonts w:ascii="Times New Roman" w:hAnsi="Times New Roman"/>
          <w:szCs w:val="24"/>
        </w:rPr>
      </w:pPr>
      <w:r>
        <w:rPr>
          <w:rFonts w:hint="eastAsia" w:ascii="Times New Roman" w:hAnsi="Times New Roman"/>
          <w:szCs w:val="21"/>
        </w:rPr>
        <w:t xml:space="preserve">                           企业名称：</w:t>
      </w:r>
    </w:p>
    <w:p w14:paraId="3C96A785">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FDA171">
      <w:pPr>
        <w:spacing w:line="360" w:lineRule="exact"/>
        <w:ind w:firstLine="420" w:firstLineChars="200"/>
        <w:rPr>
          <w:rFonts w:ascii="宋体" w:hAnsi="宋体"/>
          <w:szCs w:val="21"/>
        </w:rPr>
      </w:pPr>
      <w:r>
        <w:rPr>
          <w:rFonts w:hint="eastAsia" w:ascii="宋体" w:hAnsi="宋体"/>
          <w:szCs w:val="21"/>
        </w:rPr>
        <w:t>备注：</w:t>
      </w:r>
    </w:p>
    <w:p w14:paraId="00BE25A9">
      <w:pPr>
        <w:spacing w:line="360" w:lineRule="exact"/>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7E66A0C2">
      <w:pPr>
        <w:spacing w:line="360" w:lineRule="exact"/>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38DE75BF">
      <w:pPr>
        <w:spacing w:line="360" w:lineRule="exact"/>
        <w:ind w:firstLine="424" w:firstLineChars="202"/>
        <w:rPr>
          <w:rFonts w:asciiTheme="minorEastAsia" w:hAnsiTheme="minorEastAsia" w:eastAsiaTheme="minorEastAsia" w:cstheme="minorBidi"/>
        </w:rPr>
      </w:pPr>
      <w:r>
        <w:rPr>
          <w:rFonts w:hint="eastAsia" w:asciiTheme="minorEastAsia" w:hAnsiTheme="minorEastAsia" w:eastAsiaTheme="minorEastAsia" w:cstheme="minorBidi"/>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rPr>
        <w:t>《中小企业声明函》中相关企业所属行业应当与采购标的所属行业相一致</w:t>
      </w:r>
      <w:r>
        <w:rPr>
          <w:rFonts w:hint="eastAsia" w:asciiTheme="minorEastAsia" w:hAnsiTheme="minorEastAsia" w:eastAsiaTheme="minorEastAsia" w:cstheme="minorBidi"/>
        </w:rPr>
        <w:t>。</w:t>
      </w:r>
    </w:p>
    <w:p w14:paraId="17F1AF66">
      <w:pPr>
        <w:spacing w:line="360" w:lineRule="exact"/>
        <w:ind w:firstLine="424" w:firstLineChars="202"/>
        <w:rPr>
          <w:rFonts w:asciiTheme="minorHAnsi" w:hAnsiTheme="minorHAnsi" w:eastAsiaTheme="minorEastAsia" w:cstheme="minorBidi"/>
        </w:rPr>
      </w:pPr>
      <w:r>
        <w:rPr>
          <w:rFonts w:hint="eastAsia" w:asciiTheme="minorHAnsi" w:hAnsiTheme="minorHAnsi" w:eastAsiaTheme="minorEastAsia" w:cstheme="minorBidi"/>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1CD3DCE2">
      <w:pPr>
        <w:spacing w:line="360" w:lineRule="exact"/>
        <w:ind w:firstLine="420" w:firstLineChars="200"/>
        <w:rPr>
          <w:rFonts w:ascii="宋体" w:hAnsi="宋体"/>
          <w:szCs w:val="21"/>
        </w:rPr>
      </w:pPr>
    </w:p>
    <w:p w14:paraId="22A37754">
      <w:pPr>
        <w:spacing w:after="60" w:line="360" w:lineRule="exact"/>
        <w:jc w:val="center"/>
        <w:outlineLvl w:val="3"/>
        <w:rPr>
          <w:b/>
          <w:sz w:val="24"/>
        </w:rPr>
      </w:pPr>
      <w:r>
        <w:rPr>
          <w:rFonts w:hint="eastAsia"/>
          <w:b/>
          <w:sz w:val="24"/>
        </w:rPr>
        <w:t>2、监狱企业声明函</w:t>
      </w:r>
    </w:p>
    <w:p w14:paraId="56908FA2">
      <w:pPr>
        <w:spacing w:after="60" w:line="360" w:lineRule="exact"/>
        <w:ind w:firstLine="420" w:firstLineChars="200"/>
        <w:rPr>
          <w:rFonts w:ascii="宋体" w:hAnsi="宋体"/>
          <w:szCs w:val="21"/>
        </w:rPr>
      </w:pPr>
      <w:r>
        <w:rPr>
          <w:rFonts w:hint="eastAsia" w:ascii="宋体" w:hAnsi="宋体"/>
          <w:szCs w:val="21"/>
        </w:rPr>
        <w:t>本单位郑重声明，根据《关于政府采购支持监狱企业发展有关问题的通知》（财库〔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1C428651">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FB2CF3B">
      <w:pPr>
        <w:spacing w:line="360" w:lineRule="exact"/>
        <w:jc w:val="center"/>
      </w:pPr>
      <w:r>
        <w:rPr>
          <w:rFonts w:hint="eastAsia"/>
          <w:szCs w:val="21"/>
        </w:rPr>
        <w:t xml:space="preserve">                             单位名称：</w:t>
      </w:r>
    </w:p>
    <w:p w14:paraId="279D22A4">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8D82DAD">
      <w:pPr>
        <w:spacing w:line="360" w:lineRule="exact"/>
        <w:ind w:firstLine="645"/>
        <w:rPr>
          <w:rFonts w:ascii="宋体"/>
          <w:b/>
          <w:szCs w:val="21"/>
        </w:rPr>
      </w:pPr>
      <w:r>
        <w:rPr>
          <w:rFonts w:hint="eastAsia" w:ascii="宋体" w:hAnsi="宋体"/>
          <w:szCs w:val="21"/>
        </w:rPr>
        <w:t xml:space="preserve">                                    </w:t>
      </w:r>
    </w:p>
    <w:p w14:paraId="25A37C1F">
      <w:pPr>
        <w:spacing w:after="60" w:line="360" w:lineRule="exact"/>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4E888584">
      <w:pPr>
        <w:ind w:left="723" w:hanging="723" w:hangingChars="300"/>
        <w:rPr>
          <w:b/>
          <w:sz w:val="24"/>
        </w:rPr>
      </w:pPr>
    </w:p>
    <w:p w14:paraId="7D76C198">
      <w:pPr>
        <w:spacing w:line="360" w:lineRule="exact"/>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09646E21">
      <w:pPr>
        <w:spacing w:after="60" w:line="360" w:lineRule="exact"/>
        <w:ind w:firstLine="420" w:firstLineChars="200"/>
        <w:rPr>
          <w:rFonts w:ascii="宋体" w:hAnsi="宋体"/>
          <w:szCs w:val="21"/>
        </w:rPr>
      </w:pPr>
      <w:r>
        <w:rPr>
          <w:rFonts w:hint="eastAsia" w:ascii="宋体" w:hAnsi="宋体"/>
          <w:szCs w:val="21"/>
        </w:rPr>
        <w:t xml:space="preserve">                                     </w:t>
      </w:r>
    </w:p>
    <w:p w14:paraId="36850617">
      <w:pPr>
        <w:spacing w:after="60" w:line="360" w:lineRule="exact"/>
        <w:jc w:val="center"/>
        <w:outlineLvl w:val="3"/>
        <w:rPr>
          <w:b/>
          <w:bCs/>
        </w:rPr>
      </w:pPr>
      <w:r>
        <w:rPr>
          <w:rFonts w:hint="eastAsia"/>
          <w:b/>
          <w:sz w:val="24"/>
        </w:rPr>
        <w:t>3、残疾人福利性单位声明函</w:t>
      </w:r>
    </w:p>
    <w:p w14:paraId="69D54C88">
      <w:pPr>
        <w:spacing w:line="360" w:lineRule="exact"/>
        <w:ind w:firstLine="420" w:firstLineChars="200"/>
        <w:jc w:val="left"/>
        <w:rPr>
          <w:rFonts w:hint="eastAsia"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p>
    <w:p w14:paraId="4D17DEBF">
      <w:pPr>
        <w:spacing w:line="360" w:lineRule="exact"/>
        <w:jc w:val="left"/>
        <w:rPr>
          <w:rFonts w:ascii="宋体" w:hAnsi="宋体"/>
          <w:szCs w:val="21"/>
        </w:rPr>
      </w:pP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75E3BEFC">
      <w:pPr>
        <w:spacing w:after="60" w:line="360" w:lineRule="exact"/>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FEAFF83">
      <w:pPr>
        <w:spacing w:after="60" w:line="360" w:lineRule="exact"/>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1CC74CBA">
      <w:pPr>
        <w:spacing w:line="360" w:lineRule="exact"/>
        <w:jc w:val="center"/>
      </w:pPr>
      <w:r>
        <w:rPr>
          <w:rFonts w:hint="eastAsia"/>
          <w:szCs w:val="21"/>
        </w:rPr>
        <w:t xml:space="preserve">                             单位名称：</w:t>
      </w:r>
    </w:p>
    <w:p w14:paraId="11B9ABBC">
      <w:pPr>
        <w:spacing w:line="360" w:lineRule="exact"/>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13143581">
      <w:pPr>
        <w:spacing w:line="360" w:lineRule="exact"/>
        <w:ind w:firstLine="424" w:firstLineChars="202"/>
        <w:rPr>
          <w:rFonts w:ascii="宋体" w:hAnsi="宋体"/>
          <w:szCs w:val="21"/>
        </w:rPr>
      </w:pPr>
      <w:r>
        <w:rPr>
          <w:rFonts w:hint="eastAsia" w:ascii="宋体" w:hAnsi="宋体"/>
          <w:szCs w:val="21"/>
        </w:rPr>
        <w:t>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4EE4D732">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42"/>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7EB1B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39771A9">
            <w:pPr>
              <w:jc w:val="center"/>
              <w:rPr>
                <w:rFonts w:ascii="Times New Roman" w:hAnsi="Times New Roman"/>
                <w:b/>
                <w:szCs w:val="21"/>
              </w:rPr>
            </w:pPr>
            <w:r>
              <w:rPr>
                <w:rFonts w:hint="eastAsia" w:ascii="Times New Roman" w:hAnsi="Times New Roman"/>
                <w:b/>
                <w:szCs w:val="21"/>
              </w:rPr>
              <w:t>序号</w:t>
            </w:r>
          </w:p>
        </w:tc>
        <w:tc>
          <w:tcPr>
            <w:tcW w:w="1213" w:type="dxa"/>
            <w:vMerge w:val="restart"/>
            <w:vAlign w:val="center"/>
          </w:tcPr>
          <w:p w14:paraId="38E883F6">
            <w:pPr>
              <w:jc w:val="center"/>
              <w:rPr>
                <w:rFonts w:ascii="Times New Roman" w:hAnsi="Times New Roman"/>
                <w:b/>
                <w:szCs w:val="21"/>
              </w:rPr>
            </w:pPr>
            <w:r>
              <w:rPr>
                <w:rFonts w:hint="eastAsia" w:ascii="Times New Roman" w:hAnsi="Times New Roman"/>
                <w:b/>
                <w:szCs w:val="21"/>
              </w:rPr>
              <w:t>投标产品名称</w:t>
            </w:r>
          </w:p>
        </w:tc>
        <w:tc>
          <w:tcPr>
            <w:tcW w:w="1840" w:type="dxa"/>
            <w:vMerge w:val="restart"/>
            <w:vAlign w:val="center"/>
          </w:tcPr>
          <w:p w14:paraId="56814F7C">
            <w:pPr>
              <w:jc w:val="center"/>
              <w:rPr>
                <w:rFonts w:ascii="Times New Roman" w:hAnsi="Times New Roman"/>
                <w:b/>
                <w:szCs w:val="21"/>
              </w:rPr>
            </w:pPr>
            <w:r>
              <w:rPr>
                <w:rFonts w:hint="eastAsia" w:ascii="Times New Roman" w:hAnsi="Times New Roman"/>
                <w:b/>
                <w:szCs w:val="21"/>
              </w:rPr>
              <w:t>规格及型号</w:t>
            </w:r>
          </w:p>
        </w:tc>
        <w:tc>
          <w:tcPr>
            <w:tcW w:w="4351" w:type="dxa"/>
            <w:gridSpan w:val="3"/>
            <w:vAlign w:val="center"/>
          </w:tcPr>
          <w:p w14:paraId="7C8AAC49">
            <w:pPr>
              <w:jc w:val="center"/>
              <w:rPr>
                <w:rFonts w:ascii="Times New Roman" w:hAnsi="Times New Roman"/>
                <w:b/>
                <w:szCs w:val="21"/>
              </w:rPr>
            </w:pPr>
            <w:r>
              <w:rPr>
                <w:rFonts w:hint="eastAsia" w:ascii="Times New Roman" w:hAnsi="Times New Roman"/>
                <w:b/>
                <w:szCs w:val="21"/>
              </w:rPr>
              <w:t>投标产品报价</w:t>
            </w:r>
          </w:p>
        </w:tc>
        <w:tc>
          <w:tcPr>
            <w:tcW w:w="1503" w:type="dxa"/>
            <w:vMerge w:val="restart"/>
            <w:vAlign w:val="center"/>
          </w:tcPr>
          <w:p w14:paraId="27BF9814">
            <w:pPr>
              <w:jc w:val="center"/>
              <w:rPr>
                <w:rFonts w:ascii="Times New Roman" w:hAnsi="Times New Roman"/>
                <w:b/>
                <w:szCs w:val="21"/>
              </w:rPr>
            </w:pPr>
            <w:r>
              <w:rPr>
                <w:rFonts w:hint="eastAsia" w:ascii="Times New Roman" w:hAnsi="Times New Roman"/>
                <w:b/>
                <w:szCs w:val="21"/>
              </w:rPr>
              <w:t>属于优先采购清单的类别</w:t>
            </w:r>
          </w:p>
        </w:tc>
        <w:tc>
          <w:tcPr>
            <w:tcW w:w="720" w:type="dxa"/>
            <w:vMerge w:val="restart"/>
            <w:vAlign w:val="center"/>
          </w:tcPr>
          <w:p w14:paraId="242E3133">
            <w:pPr>
              <w:jc w:val="center"/>
              <w:rPr>
                <w:rFonts w:ascii="Times New Roman" w:hAnsi="Times New Roman"/>
                <w:b/>
                <w:szCs w:val="21"/>
              </w:rPr>
            </w:pPr>
            <w:r>
              <w:rPr>
                <w:rFonts w:hint="eastAsia" w:ascii="Times New Roman" w:hAnsi="Times New Roman"/>
                <w:b/>
                <w:szCs w:val="21"/>
              </w:rPr>
              <w:t>备注</w:t>
            </w:r>
          </w:p>
        </w:tc>
      </w:tr>
      <w:tr w14:paraId="7E1F5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051EC1D4">
            <w:pPr>
              <w:rPr>
                <w:rFonts w:ascii="Times New Roman" w:hAnsi="Times New Roman"/>
                <w:szCs w:val="21"/>
              </w:rPr>
            </w:pPr>
          </w:p>
        </w:tc>
        <w:tc>
          <w:tcPr>
            <w:tcW w:w="1213" w:type="dxa"/>
            <w:vMerge w:val="continue"/>
            <w:vAlign w:val="center"/>
          </w:tcPr>
          <w:p w14:paraId="04EE809F">
            <w:pPr>
              <w:rPr>
                <w:rFonts w:ascii="Times New Roman" w:hAnsi="Times New Roman"/>
                <w:szCs w:val="21"/>
              </w:rPr>
            </w:pPr>
          </w:p>
        </w:tc>
        <w:tc>
          <w:tcPr>
            <w:tcW w:w="1840" w:type="dxa"/>
            <w:vMerge w:val="continue"/>
            <w:vAlign w:val="center"/>
          </w:tcPr>
          <w:p w14:paraId="109BF097">
            <w:pPr>
              <w:rPr>
                <w:rFonts w:ascii="Times New Roman" w:hAnsi="Times New Roman"/>
                <w:szCs w:val="21"/>
              </w:rPr>
            </w:pPr>
          </w:p>
        </w:tc>
        <w:tc>
          <w:tcPr>
            <w:tcW w:w="818" w:type="dxa"/>
            <w:vAlign w:val="center"/>
          </w:tcPr>
          <w:p w14:paraId="6F2ACFE6">
            <w:pPr>
              <w:rPr>
                <w:rFonts w:ascii="Times New Roman" w:hAnsi="Times New Roman"/>
                <w:szCs w:val="21"/>
              </w:rPr>
            </w:pPr>
            <w:r>
              <w:rPr>
                <w:rFonts w:hint="eastAsia" w:ascii="Times New Roman" w:hAnsi="Times New Roman"/>
                <w:szCs w:val="21"/>
              </w:rPr>
              <w:t>数量</w:t>
            </w:r>
          </w:p>
        </w:tc>
        <w:tc>
          <w:tcPr>
            <w:tcW w:w="1241" w:type="dxa"/>
            <w:vAlign w:val="center"/>
          </w:tcPr>
          <w:p w14:paraId="491A69A1">
            <w:pPr>
              <w:jc w:val="center"/>
              <w:rPr>
                <w:rFonts w:ascii="Times New Roman" w:hAnsi="Times New Roman"/>
                <w:szCs w:val="21"/>
              </w:rPr>
            </w:pPr>
            <w:r>
              <w:rPr>
                <w:rFonts w:hint="eastAsia" w:ascii="Times New Roman" w:hAnsi="Times New Roman"/>
                <w:szCs w:val="21"/>
              </w:rPr>
              <w:t>投标单价（元）</w:t>
            </w:r>
          </w:p>
        </w:tc>
        <w:tc>
          <w:tcPr>
            <w:tcW w:w="2292" w:type="dxa"/>
            <w:vAlign w:val="center"/>
          </w:tcPr>
          <w:p w14:paraId="49062507">
            <w:pPr>
              <w:jc w:val="center"/>
              <w:rPr>
                <w:rFonts w:ascii="Times New Roman" w:hAnsi="Times New Roman"/>
                <w:szCs w:val="21"/>
              </w:rPr>
            </w:pPr>
            <w:r>
              <w:rPr>
                <w:rFonts w:hint="eastAsia" w:ascii="Times New Roman" w:hAnsi="Times New Roman"/>
                <w:szCs w:val="21"/>
              </w:rPr>
              <w:t>投标</w:t>
            </w:r>
            <w:r>
              <w:rPr>
                <w:rFonts w:hint="eastAsia" w:ascii="宋体" w:hAnsi="宋体"/>
                <w:szCs w:val="21"/>
              </w:rPr>
              <w:t>合计</w:t>
            </w:r>
            <w:r>
              <w:rPr>
                <w:rFonts w:hint="eastAsia" w:ascii="Times New Roman" w:hAnsi="Times New Roman"/>
                <w:szCs w:val="21"/>
              </w:rPr>
              <w:t>报价（元）</w:t>
            </w:r>
          </w:p>
        </w:tc>
        <w:tc>
          <w:tcPr>
            <w:tcW w:w="1503" w:type="dxa"/>
            <w:vMerge w:val="continue"/>
            <w:vAlign w:val="center"/>
          </w:tcPr>
          <w:p w14:paraId="2307E469">
            <w:pPr>
              <w:rPr>
                <w:rFonts w:ascii="Times New Roman" w:hAnsi="Times New Roman"/>
                <w:szCs w:val="21"/>
              </w:rPr>
            </w:pPr>
          </w:p>
        </w:tc>
        <w:tc>
          <w:tcPr>
            <w:tcW w:w="720" w:type="dxa"/>
            <w:vMerge w:val="continue"/>
            <w:vAlign w:val="center"/>
          </w:tcPr>
          <w:p w14:paraId="044DDACE">
            <w:pPr>
              <w:rPr>
                <w:rFonts w:ascii="Times New Roman" w:hAnsi="Times New Roman"/>
                <w:szCs w:val="21"/>
              </w:rPr>
            </w:pPr>
          </w:p>
        </w:tc>
      </w:tr>
      <w:tr w14:paraId="5892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6059133">
            <w:pPr>
              <w:jc w:val="center"/>
              <w:rPr>
                <w:rFonts w:ascii="宋体" w:hAnsi="宋体"/>
                <w:szCs w:val="21"/>
              </w:rPr>
            </w:pPr>
            <w:r>
              <w:rPr>
                <w:rFonts w:hint="eastAsia" w:ascii="宋体" w:hAnsi="宋体"/>
                <w:szCs w:val="21"/>
              </w:rPr>
              <w:t>1</w:t>
            </w:r>
          </w:p>
        </w:tc>
        <w:tc>
          <w:tcPr>
            <w:tcW w:w="1213" w:type="dxa"/>
            <w:vAlign w:val="center"/>
          </w:tcPr>
          <w:p w14:paraId="7A37351B">
            <w:pPr>
              <w:jc w:val="center"/>
              <w:rPr>
                <w:rFonts w:ascii="Times New Roman" w:hAnsi="Times New Roman"/>
                <w:szCs w:val="21"/>
              </w:rPr>
            </w:pPr>
          </w:p>
        </w:tc>
        <w:tc>
          <w:tcPr>
            <w:tcW w:w="1840" w:type="dxa"/>
            <w:vAlign w:val="center"/>
          </w:tcPr>
          <w:p w14:paraId="4005D27F">
            <w:pPr>
              <w:jc w:val="center"/>
              <w:rPr>
                <w:rFonts w:ascii="Times New Roman" w:hAnsi="Times New Roman"/>
                <w:szCs w:val="21"/>
              </w:rPr>
            </w:pPr>
          </w:p>
        </w:tc>
        <w:tc>
          <w:tcPr>
            <w:tcW w:w="818" w:type="dxa"/>
            <w:vAlign w:val="center"/>
          </w:tcPr>
          <w:p w14:paraId="688DF69A">
            <w:pPr>
              <w:jc w:val="center"/>
              <w:rPr>
                <w:rFonts w:ascii="Times New Roman" w:hAnsi="Times New Roman"/>
                <w:szCs w:val="21"/>
              </w:rPr>
            </w:pPr>
          </w:p>
        </w:tc>
        <w:tc>
          <w:tcPr>
            <w:tcW w:w="1241" w:type="dxa"/>
            <w:vAlign w:val="center"/>
          </w:tcPr>
          <w:p w14:paraId="3762CE5B">
            <w:pPr>
              <w:jc w:val="center"/>
              <w:rPr>
                <w:rFonts w:ascii="Times New Roman" w:hAnsi="Times New Roman"/>
                <w:szCs w:val="21"/>
              </w:rPr>
            </w:pPr>
          </w:p>
        </w:tc>
        <w:tc>
          <w:tcPr>
            <w:tcW w:w="2292" w:type="dxa"/>
            <w:vAlign w:val="center"/>
          </w:tcPr>
          <w:p w14:paraId="121237B5">
            <w:pPr>
              <w:jc w:val="center"/>
              <w:rPr>
                <w:rFonts w:ascii="Times New Roman" w:hAnsi="Times New Roman"/>
                <w:szCs w:val="21"/>
              </w:rPr>
            </w:pPr>
          </w:p>
        </w:tc>
        <w:tc>
          <w:tcPr>
            <w:tcW w:w="1503" w:type="dxa"/>
            <w:vAlign w:val="center"/>
          </w:tcPr>
          <w:p w14:paraId="1DD3D0F5">
            <w:pPr>
              <w:jc w:val="center"/>
              <w:rPr>
                <w:rFonts w:ascii="Times New Roman" w:hAnsi="Times New Roman"/>
                <w:szCs w:val="21"/>
              </w:rPr>
            </w:pPr>
          </w:p>
        </w:tc>
        <w:tc>
          <w:tcPr>
            <w:tcW w:w="720" w:type="dxa"/>
            <w:vAlign w:val="center"/>
          </w:tcPr>
          <w:p w14:paraId="5A256247">
            <w:pPr>
              <w:jc w:val="center"/>
              <w:rPr>
                <w:rFonts w:ascii="Times New Roman" w:hAnsi="Times New Roman"/>
                <w:szCs w:val="21"/>
              </w:rPr>
            </w:pPr>
          </w:p>
        </w:tc>
      </w:tr>
      <w:tr w14:paraId="39E6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246DE3C">
            <w:pPr>
              <w:jc w:val="center"/>
              <w:rPr>
                <w:rFonts w:ascii="宋体" w:hAnsi="宋体"/>
                <w:szCs w:val="21"/>
              </w:rPr>
            </w:pPr>
            <w:r>
              <w:rPr>
                <w:rFonts w:hint="eastAsia" w:ascii="宋体" w:hAnsi="宋体"/>
                <w:szCs w:val="21"/>
              </w:rPr>
              <w:t>2</w:t>
            </w:r>
          </w:p>
        </w:tc>
        <w:tc>
          <w:tcPr>
            <w:tcW w:w="1213" w:type="dxa"/>
            <w:vAlign w:val="center"/>
          </w:tcPr>
          <w:p w14:paraId="354C9F3C">
            <w:pPr>
              <w:jc w:val="center"/>
              <w:rPr>
                <w:rFonts w:ascii="Times New Roman" w:hAnsi="Times New Roman"/>
                <w:szCs w:val="21"/>
              </w:rPr>
            </w:pPr>
          </w:p>
        </w:tc>
        <w:tc>
          <w:tcPr>
            <w:tcW w:w="1840" w:type="dxa"/>
            <w:vAlign w:val="center"/>
          </w:tcPr>
          <w:p w14:paraId="13D16F35">
            <w:pPr>
              <w:jc w:val="center"/>
              <w:rPr>
                <w:rFonts w:ascii="Times New Roman" w:hAnsi="Times New Roman"/>
                <w:szCs w:val="21"/>
              </w:rPr>
            </w:pPr>
          </w:p>
        </w:tc>
        <w:tc>
          <w:tcPr>
            <w:tcW w:w="818" w:type="dxa"/>
            <w:vAlign w:val="center"/>
          </w:tcPr>
          <w:p w14:paraId="7A3CAAED">
            <w:pPr>
              <w:jc w:val="center"/>
              <w:rPr>
                <w:rFonts w:ascii="Times New Roman" w:hAnsi="Times New Roman"/>
                <w:szCs w:val="21"/>
              </w:rPr>
            </w:pPr>
          </w:p>
        </w:tc>
        <w:tc>
          <w:tcPr>
            <w:tcW w:w="1241" w:type="dxa"/>
            <w:vAlign w:val="center"/>
          </w:tcPr>
          <w:p w14:paraId="7D412F32">
            <w:pPr>
              <w:jc w:val="center"/>
              <w:rPr>
                <w:rFonts w:ascii="Times New Roman" w:hAnsi="Times New Roman"/>
                <w:szCs w:val="21"/>
              </w:rPr>
            </w:pPr>
          </w:p>
        </w:tc>
        <w:tc>
          <w:tcPr>
            <w:tcW w:w="2292" w:type="dxa"/>
            <w:vAlign w:val="center"/>
          </w:tcPr>
          <w:p w14:paraId="325B8691">
            <w:pPr>
              <w:jc w:val="center"/>
              <w:rPr>
                <w:rFonts w:ascii="Times New Roman" w:hAnsi="Times New Roman"/>
                <w:szCs w:val="21"/>
              </w:rPr>
            </w:pPr>
          </w:p>
        </w:tc>
        <w:tc>
          <w:tcPr>
            <w:tcW w:w="1503" w:type="dxa"/>
            <w:vAlign w:val="center"/>
          </w:tcPr>
          <w:p w14:paraId="7A5FABD8">
            <w:pPr>
              <w:jc w:val="center"/>
              <w:rPr>
                <w:rFonts w:ascii="Times New Roman" w:hAnsi="Times New Roman"/>
                <w:szCs w:val="21"/>
              </w:rPr>
            </w:pPr>
          </w:p>
        </w:tc>
        <w:tc>
          <w:tcPr>
            <w:tcW w:w="720" w:type="dxa"/>
            <w:vAlign w:val="center"/>
          </w:tcPr>
          <w:p w14:paraId="3918558A">
            <w:pPr>
              <w:jc w:val="center"/>
              <w:rPr>
                <w:rFonts w:ascii="Times New Roman" w:hAnsi="Times New Roman"/>
                <w:szCs w:val="21"/>
              </w:rPr>
            </w:pPr>
          </w:p>
        </w:tc>
      </w:tr>
    </w:tbl>
    <w:p w14:paraId="2B27CBC9">
      <w:pPr>
        <w:spacing w:line="360" w:lineRule="auto"/>
        <w:rPr>
          <w:rFonts w:ascii="Times New Roman" w:hAnsi="Times New Roman"/>
          <w:szCs w:val="21"/>
        </w:rPr>
      </w:pPr>
      <w:r>
        <w:rPr>
          <w:rFonts w:hint="eastAsia" w:ascii="Times New Roman" w:hAnsi="Times New Roman"/>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w:t>
      </w:r>
      <w:r>
        <w:rPr>
          <w:rFonts w:hint="eastAsia" w:ascii="宋体" w:hAnsi="宋体"/>
          <w:szCs w:val="21"/>
          <w:lang w:eastAsia="zh-CN"/>
        </w:rPr>
        <w:t>扫描件</w:t>
      </w:r>
      <w:r>
        <w:rPr>
          <w:rFonts w:hint="eastAsia" w:ascii="宋体" w:hAnsi="宋体"/>
          <w:szCs w:val="21"/>
        </w:rPr>
        <w:t>，提供的证书若存在不齐全、已过有效期或其他未被评标委员会接受的瑕疵将不予认可。</w:t>
      </w:r>
      <w:r>
        <w:rPr>
          <w:rFonts w:hint="eastAsia" w:ascii="Times New Roman" w:hAnsi="Times New Roman"/>
          <w:szCs w:val="21"/>
        </w:rPr>
        <w:t>投标产品若不属于上述清单或目录范围内，则无需填写该表。</w:t>
      </w:r>
    </w:p>
    <w:p w14:paraId="28CF620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3B0EDCC7">
      <w:pPr>
        <w:spacing w:line="360" w:lineRule="auto"/>
        <w:rPr>
          <w:rFonts w:hint="eastAsia" w:ascii="宋体" w:hAnsi="宋体"/>
          <w:szCs w:val="21"/>
        </w:rPr>
      </w:pPr>
      <w:r>
        <w:rPr>
          <w:rFonts w:hint="eastAsia" w:ascii="宋体" w:hAnsi="宋体"/>
          <w:szCs w:val="21"/>
        </w:rPr>
        <w:t>3. “属于优先采购清单的类别”栏中填写“节能产品政府采购品目清单”或“环境标志产品政府采购品目清单”。</w:t>
      </w:r>
    </w:p>
    <w:p w14:paraId="3A7FC8B6">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45"/>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4314A687">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7E81EE0D">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48"/>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829E211">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48"/>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48"/>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48"/>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48"/>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48"/>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483E9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2A19E5B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1B4AEC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1C7EFC8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890" w:rightChars="424"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　        </w:t>
      </w:r>
    </w:p>
    <w:p w14:paraId="658EB842">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5A99206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517EBBCF">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29902345">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7C189A1B">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49096994">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546EB9E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16D9952A">
      <w:pPr>
        <w:pStyle w:val="3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仿宋" w:hAnsi="仿宋" w:eastAsia="仿宋" w:cs="仿宋"/>
          <w:b/>
          <w:bCs/>
          <w:i w:val="0"/>
          <w:iCs w:val="0"/>
          <w:caps w:val="0"/>
          <w:color w:val="000000"/>
          <w:spacing w:val="0"/>
          <w:sz w:val="24"/>
          <w:szCs w:val="24"/>
          <w:u w:val="none"/>
          <w:shd w:val="clear" w:fill="FFFFFF"/>
          <w:vertAlign w:val="baseline"/>
          <w:lang w:val="en-US" w:eastAsia="zh-CN"/>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r>
        <w:rPr>
          <w:rFonts w:hint="eastAsia" w:ascii="仿宋" w:hAnsi="仿宋" w:eastAsia="仿宋" w:cs="仿宋"/>
          <w:b/>
          <w:bCs/>
          <w:i w:val="0"/>
          <w:iCs w:val="0"/>
          <w:caps w:val="0"/>
          <w:color w:val="000000"/>
          <w:spacing w:val="0"/>
          <w:sz w:val="24"/>
          <w:szCs w:val="24"/>
          <w:u w:val="none"/>
          <w:shd w:val="clear" w:fill="FFFFFF"/>
          <w:vertAlign w:val="baseline"/>
          <w:lang w:val="en-US" w:eastAsia="zh-CN"/>
        </w:rPr>
        <w:t>。</w:t>
      </w:r>
    </w:p>
    <w:p w14:paraId="7589C2A9">
      <w:pPr>
        <w:spacing w:line="360" w:lineRule="auto"/>
        <w:rPr>
          <w:rFonts w:hint="eastAsia" w:ascii="宋体" w:hAnsi="宋体"/>
          <w:szCs w:val="21"/>
        </w:rPr>
      </w:pPr>
    </w:p>
    <w:p w14:paraId="350CAD52">
      <w:pPr>
        <w:jc w:val="center"/>
        <w:rPr>
          <w:rFonts w:hint="eastAsia" w:ascii="黑体" w:hAnsi="宋体" w:eastAsia="黑体"/>
          <w:bCs/>
          <w:kern w:val="0"/>
          <w:sz w:val="24"/>
          <w:szCs w:val="24"/>
        </w:rPr>
      </w:pPr>
    </w:p>
    <w:p w14:paraId="19DD9F7E">
      <w:pPr>
        <w:jc w:val="center"/>
        <w:rPr>
          <w:rFonts w:hint="eastAsia" w:ascii="黑体" w:hAnsi="宋体" w:eastAsia="黑体"/>
          <w:bCs/>
          <w:kern w:val="0"/>
          <w:sz w:val="24"/>
          <w:szCs w:val="24"/>
          <w:lang w:eastAsia="zh-CN"/>
        </w:rPr>
      </w:pPr>
      <w:r>
        <w:rPr>
          <w:rFonts w:hint="eastAsia" w:ascii="黑体" w:hAnsi="宋体" w:eastAsia="黑体"/>
          <w:bCs/>
          <w:kern w:val="0"/>
          <w:sz w:val="24"/>
          <w:szCs w:val="24"/>
        </w:rPr>
        <w:t>招标文件要求的</w:t>
      </w:r>
      <w:r>
        <w:rPr>
          <w:rFonts w:hint="eastAsia" w:ascii="黑体" w:hAnsi="宋体" w:eastAsia="黑体"/>
          <w:bCs/>
          <w:kern w:val="0"/>
          <w:sz w:val="24"/>
          <w:szCs w:val="24"/>
          <w:lang w:eastAsia="zh-CN"/>
        </w:rPr>
        <w:t>其他信息公开</w:t>
      </w:r>
      <w:r>
        <w:rPr>
          <w:rFonts w:hint="eastAsia" w:ascii="黑体" w:hAnsi="宋体" w:eastAsia="黑体"/>
          <w:bCs/>
          <w:kern w:val="0"/>
          <w:sz w:val="24"/>
          <w:szCs w:val="24"/>
        </w:rPr>
        <w:t>内容</w:t>
      </w:r>
      <w:r>
        <w:rPr>
          <w:rFonts w:hint="eastAsia" w:ascii="黑体" w:hAnsi="宋体" w:eastAsia="黑体"/>
          <w:bCs/>
          <w:kern w:val="0"/>
          <w:sz w:val="24"/>
          <w:szCs w:val="24"/>
          <w:lang w:eastAsia="zh-CN"/>
        </w:rPr>
        <w:t>，由投标人自拟格式。</w:t>
      </w:r>
    </w:p>
    <w:p w14:paraId="703430D1">
      <w:pPr>
        <w:jc w:val="center"/>
        <w:rPr>
          <w:rFonts w:hint="eastAsia" w:ascii="黑体" w:hAnsi="宋体" w:eastAsia="黑体"/>
          <w:bCs/>
          <w:kern w:val="0"/>
          <w:sz w:val="24"/>
          <w:szCs w:val="24"/>
          <w:lang w:eastAsia="zh-CN"/>
        </w:rPr>
      </w:pPr>
    </w:p>
    <w:p w14:paraId="392435D8">
      <w:pPr>
        <w:rPr>
          <w:rFonts w:hint="eastAsia" w:ascii="仿宋_GB2312" w:eastAsia="仿宋_GB2312"/>
          <w:b/>
          <w:color w:val="FF0000"/>
          <w:sz w:val="30"/>
          <w:szCs w:val="30"/>
        </w:rPr>
      </w:pPr>
      <w:r>
        <w:rPr>
          <w:rFonts w:hint="eastAsia" w:ascii="仿宋_GB2312" w:eastAsia="仿宋_GB2312"/>
          <w:b/>
          <w:color w:val="FF0000"/>
          <w:sz w:val="30"/>
          <w:szCs w:val="30"/>
        </w:rPr>
        <w:br w:type="page"/>
      </w:r>
    </w:p>
    <w:p w14:paraId="31CD605B">
      <w:pPr>
        <w:rPr>
          <w:rFonts w:ascii="仿宋_GB2312" w:eastAsia="仿宋_GB2312"/>
          <w:b/>
          <w:color w:val="FF0000"/>
          <w:sz w:val="30"/>
          <w:szCs w:val="30"/>
        </w:rPr>
      </w:pPr>
      <w:r>
        <w:rPr>
          <w:rFonts w:hint="eastAsia" w:ascii="仿宋_GB2312" w:eastAsia="仿宋_GB2312"/>
          <w:b/>
          <w:color w:val="FF0000"/>
          <w:sz w:val="30"/>
          <w:szCs w:val="30"/>
        </w:rPr>
        <w:t>投标文件附件（信息不公开部分）：</w:t>
      </w:r>
    </w:p>
    <w:p w14:paraId="5A4C6EB0">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一</w:t>
      </w:r>
      <w:r>
        <w:rPr>
          <w:rFonts w:hint="eastAsia" w:ascii="黑体" w:hAnsi="宋体" w:eastAsia="黑体"/>
          <w:bCs/>
          <w:kern w:val="0"/>
          <w:sz w:val="24"/>
          <w:szCs w:val="32"/>
        </w:rPr>
        <w:t>、政府采购违法行为风险知悉确认书</w:t>
      </w:r>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711"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7811"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7811"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7811"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7811"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7811"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1"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7811"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7811"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220"/>
        <w:tblW w:w="8529" w:type="dxa"/>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29"/>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191FF75E">
      <w:pPr>
        <w:widowControl/>
        <w:autoSpaceDE w:val="0"/>
        <w:autoSpaceDN w:val="0"/>
        <w:spacing w:beforeLines="0" w:line="340" w:lineRule="exact"/>
        <w:ind w:firstLine="406" w:firstLineChars="200"/>
        <w:jc w:val="left"/>
        <w:rPr>
          <w:rFonts w:hint="eastAsia" w:ascii="宋体" w:hAnsi="宋体" w:eastAsia="宋体" w:cs="宋体"/>
          <w:b/>
          <w:bCs/>
          <w:color w:val="auto"/>
          <w:spacing w:val="-4"/>
          <w:kern w:val="0"/>
          <w:sz w:val="21"/>
          <w:szCs w:val="21"/>
        </w:rPr>
      </w:pPr>
    </w:p>
    <w:p w14:paraId="6C3CD24F">
      <w:pPr>
        <w:keepNext w:val="0"/>
        <w:keepLines w:val="0"/>
        <w:pageBreakBefore w:val="0"/>
        <w:widowControl/>
        <w:suppressLineNumbers w:val="0"/>
        <w:kinsoku/>
        <w:wordWrap/>
        <w:overflowPunct/>
        <w:topLinePunct w:val="0"/>
        <w:autoSpaceDE w:val="0"/>
        <w:autoSpaceDN w:val="0"/>
        <w:bidi w:val="0"/>
        <w:adjustRightInd/>
        <w:snapToGrid/>
        <w:spacing w:beforeLines="0" w:line="340" w:lineRule="exact"/>
        <w:ind w:firstLine="406" w:firstLineChars="200"/>
        <w:jc w:val="left"/>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4"/>
          <w:kern w:val="0"/>
          <w:sz w:val="21"/>
          <w:szCs w:val="21"/>
        </w:rPr>
        <w:t>注：</w:t>
      </w:r>
      <w:r>
        <w:rPr>
          <w:rFonts w:hint="eastAsia" w:ascii="宋体" w:hAnsi="宋体" w:eastAsia="宋体" w:cs="宋体"/>
          <w:b/>
          <w:bCs/>
          <w:color w:val="auto"/>
          <w:spacing w:val="-4"/>
          <w:kern w:val="0"/>
          <w:sz w:val="21"/>
          <w:szCs w:val="21"/>
          <w:lang w:eastAsia="zh-CN"/>
        </w:rPr>
        <w:t>《</w:t>
      </w:r>
      <w:r>
        <w:rPr>
          <w:rFonts w:hint="eastAsia" w:ascii="宋体" w:hAnsi="宋体" w:eastAsia="宋体" w:cs="宋体"/>
          <w:b/>
          <w:bCs/>
          <w:color w:val="auto"/>
          <w:spacing w:val="-4"/>
          <w:kern w:val="0"/>
          <w:sz w:val="21"/>
          <w:szCs w:val="21"/>
          <w:lang w:val="en-US" w:eastAsia="zh-CN"/>
        </w:rPr>
        <w:t>政府采购违法行为风险知悉确认书</w:t>
      </w:r>
      <w:r>
        <w:rPr>
          <w:rFonts w:hint="eastAsia" w:ascii="宋体" w:hAnsi="宋体" w:eastAsia="宋体" w:cs="宋体"/>
          <w:b/>
          <w:bCs/>
          <w:color w:val="auto"/>
          <w:spacing w:val="-4"/>
          <w:kern w:val="0"/>
          <w:sz w:val="21"/>
          <w:szCs w:val="21"/>
          <w:lang w:eastAsia="zh-CN"/>
        </w:rPr>
        <w:t>》需由</w:t>
      </w:r>
      <w:r>
        <w:rPr>
          <w:rFonts w:hint="eastAsia" w:ascii="宋体" w:hAnsi="宋体" w:eastAsia="宋体" w:cs="宋体"/>
          <w:b/>
          <w:bCs/>
          <w:color w:val="auto"/>
          <w:spacing w:val="-4"/>
          <w:kern w:val="0"/>
          <w:sz w:val="21"/>
          <w:szCs w:val="21"/>
          <w:highlight w:val="none"/>
        </w:rPr>
        <w:t>投标供应商负责人签字并加盖单位公章后，扫描上传至投标文件一并提交。</w:t>
      </w:r>
    </w:p>
    <w:p w14:paraId="611A01EA">
      <w:pPr>
        <w:spacing w:line="360" w:lineRule="auto"/>
        <w:ind w:firstLine="422" w:firstLineChars="200"/>
        <w:rPr>
          <w:rFonts w:ascii="宋体" w:hAnsi="宋体"/>
          <w:b/>
          <w:bCs/>
          <w:szCs w:val="21"/>
        </w:rPr>
      </w:pPr>
    </w:p>
    <w:p w14:paraId="14C00354">
      <w:pPr>
        <w:rPr>
          <w:rFonts w:ascii="宋体" w:hAnsi="宋体"/>
          <w:szCs w:val="21"/>
        </w:rPr>
      </w:pPr>
      <w:r>
        <w:rPr>
          <w:rFonts w:hint="eastAsia"/>
          <w:szCs w:val="21"/>
          <w:u w:val="single"/>
        </w:rPr>
        <w:t>（备注：如联合体投标，仅需加盖牵头人的公章）</w:t>
      </w:r>
    </w:p>
    <w:p w14:paraId="40F12D0C">
      <w:pPr>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br w:type="page"/>
      </w:r>
    </w:p>
    <w:p w14:paraId="25FB7854">
      <w:pPr>
        <w:ind w:left="0" w:leftChars="0" w:firstLine="480" w:firstLineChars="200"/>
        <w:rPr>
          <w:rFonts w:hint="eastAsia" w:ascii="黑体" w:hAnsi="宋体" w:eastAsia="黑体"/>
          <w:bCs/>
          <w:kern w:val="0"/>
          <w:sz w:val="24"/>
          <w:szCs w:val="32"/>
        </w:rPr>
      </w:pPr>
    </w:p>
    <w:p w14:paraId="24FD56D6">
      <w:pPr>
        <w:keepNext/>
        <w:keepLines/>
        <w:spacing w:before="260" w:after="260"/>
        <w:jc w:val="center"/>
        <w:outlineLvl w:val="2"/>
        <w:rPr>
          <w:rFonts w:ascii="黑体" w:hAnsi="宋体" w:eastAsia="黑体"/>
          <w:bCs/>
          <w:kern w:val="0"/>
          <w:sz w:val="24"/>
          <w:szCs w:val="32"/>
        </w:rPr>
      </w:pPr>
      <w:r>
        <w:rPr>
          <w:rFonts w:hint="eastAsia" w:ascii="黑体" w:hAnsi="宋体" w:eastAsia="黑体"/>
          <w:bCs/>
          <w:kern w:val="0"/>
          <w:sz w:val="24"/>
          <w:szCs w:val="32"/>
          <w:lang w:eastAsia="zh-CN"/>
        </w:rPr>
        <w:t>二</w:t>
      </w:r>
      <w:r>
        <w:rPr>
          <w:rFonts w:hint="eastAsia" w:ascii="黑体" w:hAnsi="宋体" w:eastAsia="黑体"/>
          <w:bCs/>
          <w:kern w:val="0"/>
          <w:sz w:val="24"/>
          <w:szCs w:val="32"/>
        </w:rPr>
        <w:t>、法定代表人（负责人）资格证明书</w:t>
      </w:r>
    </w:p>
    <w:p w14:paraId="3228A135">
      <w:pPr>
        <w:rPr>
          <w:rFonts w:ascii="Times New Roman" w:hAnsi="Times New Roman"/>
          <w:sz w:val="24"/>
          <w:szCs w:val="24"/>
        </w:rPr>
      </w:pPr>
    </w:p>
    <w:p w14:paraId="6DF6D4C8">
      <w:pPr>
        <w:spacing w:line="360" w:lineRule="auto"/>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同志，现任我单位</w:t>
      </w:r>
      <w:r>
        <w:rPr>
          <w:rFonts w:hint="eastAsia" w:ascii="Times New Roman" w:hAnsi="Times New Roman"/>
          <w:szCs w:val="21"/>
          <w:u w:val="single"/>
        </w:rPr>
        <w:t xml:space="preserve">         </w:t>
      </w:r>
      <w:r>
        <w:rPr>
          <w:rFonts w:hint="eastAsia" w:ascii="Times New Roman" w:hAnsi="Times New Roman"/>
          <w:szCs w:val="21"/>
        </w:rPr>
        <w:t>职务，为法定代表人</w:t>
      </w:r>
      <w:r>
        <w:rPr>
          <w:rFonts w:hint="eastAsia" w:ascii="黑体" w:hAnsi="Times New Roman" w:eastAsia="黑体"/>
          <w:b/>
          <w:kern w:val="0"/>
          <w:sz w:val="24"/>
          <w:szCs w:val="24"/>
        </w:rPr>
        <w:t>（负责人）</w:t>
      </w:r>
      <w:r>
        <w:rPr>
          <w:rFonts w:hint="eastAsia" w:ascii="Times New Roman" w:hAnsi="Times New Roman"/>
          <w:szCs w:val="21"/>
        </w:rPr>
        <w:t>，特此证明。</w:t>
      </w:r>
    </w:p>
    <w:p w14:paraId="1953284E">
      <w:pPr>
        <w:spacing w:line="360" w:lineRule="auto"/>
        <w:rPr>
          <w:rFonts w:ascii="Times New Roman" w:hAnsi="Times New Roman"/>
          <w:szCs w:val="21"/>
        </w:rPr>
      </w:pPr>
      <w:r>
        <w:rPr>
          <w:rFonts w:hint="eastAsia" w:ascii="Times New Roman" w:hAnsi="Times New Roman"/>
          <w:szCs w:val="21"/>
        </w:rPr>
        <w:t>说明：1、法定代表人为企业事业单位、国家机关、社会团体的主要负责人。</w:t>
      </w:r>
    </w:p>
    <w:p w14:paraId="6A311A90">
      <w:pPr>
        <w:rPr>
          <w:rFonts w:ascii="Times New Roman" w:hAnsi="Times New Roman"/>
          <w:szCs w:val="21"/>
        </w:rPr>
      </w:pPr>
      <w:r>
        <w:rPr>
          <w:rFonts w:hint="eastAsia" w:ascii="Times New Roman" w:hAnsi="Times New Roman"/>
          <w:szCs w:val="21"/>
        </w:rPr>
        <w:t xml:space="preserve">      2、内容必须填写真实、清楚，涂改无效，不得转让、买卖。</w:t>
      </w:r>
    </w:p>
    <w:p w14:paraId="736239C4">
      <w:pPr>
        <w:spacing w:line="360" w:lineRule="auto"/>
        <w:rPr>
          <w:rFonts w:ascii="Times New Roman" w:hAnsi="Times New Roman"/>
          <w:b/>
          <w:szCs w:val="21"/>
        </w:rPr>
      </w:pPr>
    </w:p>
    <w:p w14:paraId="3FC624DB">
      <w:pPr>
        <w:spacing w:line="360" w:lineRule="auto"/>
        <w:rPr>
          <w:rFonts w:ascii="Times New Roman" w:hAnsi="Times New Roman"/>
          <w:b/>
          <w:sz w:val="24"/>
          <w:szCs w:val="24"/>
        </w:rPr>
      </w:pPr>
      <w:r>
        <w:rPr>
          <w:rFonts w:hint="eastAsia" w:ascii="Times New Roman" w:hAnsi="Times New Roman"/>
          <w:b/>
          <w:sz w:val="24"/>
          <w:szCs w:val="24"/>
        </w:rPr>
        <w:t>附：要求必须提供法定代表人（负责人）身份证扫描件（正反两面）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7CD4E134">
      <w:pPr>
        <w:spacing w:line="360" w:lineRule="auto"/>
        <w:rPr>
          <w:rFonts w:ascii="Times New Roman" w:hAnsi="Times New Roman"/>
          <w:b/>
          <w:sz w:val="24"/>
          <w:szCs w:val="24"/>
        </w:rPr>
      </w:pPr>
    </w:p>
    <w:p w14:paraId="6FD90234">
      <w:pPr>
        <w:rPr>
          <w:rFonts w:ascii="宋体" w:hAnsi="宋体"/>
          <w:szCs w:val="21"/>
        </w:rPr>
      </w:pPr>
      <w:r>
        <w:rPr>
          <w:rFonts w:hint="eastAsia"/>
          <w:szCs w:val="21"/>
          <w:u w:val="single"/>
        </w:rPr>
        <w:t>（备注：如联合体投标，单位一栏仅需填写牵头人的名称）</w:t>
      </w:r>
    </w:p>
    <w:p w14:paraId="36E077AB">
      <w:pPr>
        <w:spacing w:line="360" w:lineRule="auto"/>
        <w:rPr>
          <w:rFonts w:hint="eastAsia" w:ascii="Times New Roman" w:hAnsi="Times New Roman"/>
          <w:b/>
          <w:sz w:val="24"/>
          <w:szCs w:val="24"/>
          <w:lang w:val="en-US" w:eastAsia="zh-CN"/>
        </w:rPr>
      </w:pPr>
    </w:p>
    <w:p w14:paraId="2AD40417">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6D38639A">
      <w:pPr>
        <w:pStyle w:val="51"/>
        <w:rPr>
          <w:rFonts w:hint="eastAsia"/>
        </w:rPr>
      </w:pPr>
    </w:p>
    <w:p w14:paraId="103DC134">
      <w:pPr>
        <w:keepNext/>
        <w:keepLines/>
        <w:spacing w:before="260" w:after="260"/>
        <w:jc w:val="center"/>
        <w:outlineLvl w:val="2"/>
        <w:rPr>
          <w:rFonts w:ascii="黑体" w:hAnsi="宋体" w:eastAsia="黑体"/>
          <w:bCs/>
          <w:sz w:val="24"/>
          <w:szCs w:val="24"/>
        </w:rPr>
      </w:pPr>
      <w:r>
        <w:rPr>
          <w:rFonts w:ascii="宋体" w:hAnsi="宋体"/>
          <w:b/>
          <w:bCs/>
          <w:sz w:val="28"/>
          <w:szCs w:val="32"/>
        </w:rPr>
        <w:tab/>
      </w:r>
      <w:r>
        <w:rPr>
          <w:rFonts w:hint="eastAsia" w:ascii="黑体" w:hAnsi="宋体" w:eastAsia="黑体"/>
          <w:bCs/>
          <w:kern w:val="0"/>
          <w:sz w:val="24"/>
          <w:szCs w:val="24"/>
          <w:lang w:eastAsia="zh-CN"/>
        </w:rPr>
        <w:t>三</w:t>
      </w:r>
      <w:r>
        <w:rPr>
          <w:rFonts w:hint="eastAsia" w:ascii="黑体" w:hAnsi="宋体" w:eastAsia="黑体"/>
          <w:bCs/>
          <w:kern w:val="0"/>
          <w:sz w:val="24"/>
          <w:szCs w:val="24"/>
        </w:rPr>
        <w:t>、投标文件签署授权委托书</w:t>
      </w:r>
    </w:p>
    <w:p w14:paraId="15E453C8">
      <w:pPr>
        <w:spacing w:line="360" w:lineRule="auto"/>
        <w:ind w:firstLine="420" w:firstLineChars="200"/>
        <w:rPr>
          <w:rFonts w:ascii="Times New Roman" w:hAnsi="Times New Roman"/>
          <w:szCs w:val="21"/>
        </w:rPr>
      </w:pPr>
      <w:r>
        <w:rPr>
          <w:rFonts w:hint="eastAsia" w:ascii="Times New Roman" w:hAnsi="Times New Roman"/>
          <w:szCs w:val="21"/>
        </w:rPr>
        <w:t>本授权委托书声明：我</w:t>
      </w:r>
      <w:r>
        <w:rPr>
          <w:rFonts w:hint="eastAsia" w:ascii="Times New Roman" w:hAnsi="Times New Roman"/>
          <w:szCs w:val="21"/>
          <w:u w:val="single"/>
        </w:rPr>
        <w:t xml:space="preserve">           </w:t>
      </w:r>
      <w:r>
        <w:rPr>
          <w:rFonts w:hint="eastAsia" w:ascii="Times New Roman" w:hAnsi="Times New Roman"/>
          <w:szCs w:val="21"/>
        </w:rPr>
        <w:t>（姓名）系</w:t>
      </w:r>
      <w:r>
        <w:rPr>
          <w:rFonts w:hint="eastAsia" w:ascii="Times New Roman" w:hAnsi="Times New Roman"/>
          <w:szCs w:val="21"/>
          <w:u w:val="single"/>
        </w:rPr>
        <w:t xml:space="preserve">             </w:t>
      </w:r>
      <w:r>
        <w:rPr>
          <w:rFonts w:hint="eastAsia" w:ascii="Times New Roman" w:hAnsi="Times New Roman"/>
          <w:szCs w:val="21"/>
        </w:rPr>
        <w:t>（投标供应商名称）的法定代表人</w:t>
      </w:r>
      <w:r>
        <w:rPr>
          <w:rFonts w:hint="eastAsia" w:ascii="黑体" w:hAnsi="Times New Roman" w:eastAsia="黑体"/>
          <w:b/>
          <w:kern w:val="0"/>
          <w:sz w:val="24"/>
          <w:szCs w:val="24"/>
        </w:rPr>
        <w:t>（负责人）</w:t>
      </w:r>
      <w:r>
        <w:rPr>
          <w:rFonts w:hint="eastAsia" w:ascii="Times New Roman" w:hAnsi="Times New Roman"/>
          <w:szCs w:val="21"/>
        </w:rPr>
        <w:t>，现授权委托</w:t>
      </w:r>
      <w:r>
        <w:rPr>
          <w:rFonts w:hint="eastAsia" w:ascii="Times New Roman" w:hAnsi="Times New Roman"/>
          <w:szCs w:val="21"/>
          <w:u w:val="single"/>
        </w:rPr>
        <w:t xml:space="preserve">            </w:t>
      </w:r>
      <w:r>
        <w:rPr>
          <w:rFonts w:hint="eastAsia" w:ascii="Times New Roman" w:hAnsi="Times New Roman"/>
          <w:szCs w:val="21"/>
        </w:rPr>
        <w:t>（姓名）为我公司签署本项目已递交的投标文件的法定代表人的授权委托代理人，代理人全权代表我所签署的本项目已递交的投标文件内容我均承认。</w:t>
      </w:r>
    </w:p>
    <w:p w14:paraId="220051BD">
      <w:pPr>
        <w:spacing w:line="360" w:lineRule="auto"/>
        <w:ind w:firstLine="420"/>
        <w:rPr>
          <w:rFonts w:ascii="Times New Roman" w:hAnsi="Times New Roman"/>
          <w:szCs w:val="21"/>
        </w:rPr>
      </w:pPr>
      <w:r>
        <w:rPr>
          <w:rFonts w:hint="eastAsia" w:ascii="Times New Roman" w:hAnsi="Times New Roman"/>
          <w:szCs w:val="21"/>
        </w:rPr>
        <w:t>代理人无转委托权，特此委托。</w:t>
      </w:r>
    </w:p>
    <w:p w14:paraId="35410782">
      <w:pPr>
        <w:spacing w:line="360" w:lineRule="auto"/>
        <w:ind w:firstLine="420"/>
        <w:rPr>
          <w:rFonts w:ascii="Times New Roman" w:hAnsi="Times New Roman"/>
          <w:szCs w:val="21"/>
        </w:rPr>
      </w:pPr>
    </w:p>
    <w:p w14:paraId="1DB5149C">
      <w:pPr>
        <w:spacing w:line="360" w:lineRule="auto"/>
        <w:ind w:left="540" w:leftChars="257"/>
        <w:rPr>
          <w:rFonts w:ascii="Times New Roman" w:hAnsi="Times New Roman"/>
          <w:szCs w:val="21"/>
          <w:u w:val="single"/>
        </w:rPr>
      </w:pPr>
      <w:r>
        <w:rPr>
          <w:rFonts w:hint="eastAsia" w:ascii="Times New Roman" w:hAnsi="Times New Roman"/>
          <w:szCs w:val="21"/>
        </w:rPr>
        <w:t>代理人：</w:t>
      </w:r>
      <w:r>
        <w:rPr>
          <w:rFonts w:hint="eastAsia" w:ascii="Times New Roman" w:hAnsi="Times New Roman"/>
          <w:szCs w:val="21"/>
          <w:u w:val="single"/>
        </w:rPr>
        <w:t xml:space="preserve">             </w:t>
      </w:r>
    </w:p>
    <w:p w14:paraId="40CCE138">
      <w:pPr>
        <w:spacing w:line="360" w:lineRule="auto"/>
        <w:ind w:left="540" w:leftChars="257"/>
        <w:rPr>
          <w:rFonts w:ascii="Times New Roman" w:hAnsi="Times New Roman"/>
          <w:szCs w:val="21"/>
        </w:rPr>
      </w:pPr>
      <w:r>
        <w:rPr>
          <w:rFonts w:hint="eastAsia" w:ascii="Times New Roman" w:hAnsi="Times New Roman"/>
          <w:szCs w:val="21"/>
        </w:rPr>
        <w:t>联系电话：</w:t>
      </w:r>
      <w:r>
        <w:rPr>
          <w:rFonts w:hint="eastAsia" w:ascii="Times New Roman" w:hAnsi="Times New Roman"/>
          <w:szCs w:val="21"/>
          <w:u w:val="single"/>
        </w:rPr>
        <w:t xml:space="preserve">            </w:t>
      </w:r>
      <w:r>
        <w:rPr>
          <w:rFonts w:hint="eastAsia" w:ascii="Times New Roman" w:hAnsi="Times New Roman"/>
          <w:szCs w:val="21"/>
        </w:rPr>
        <w:t xml:space="preserve">  手机：</w:t>
      </w:r>
      <w:r>
        <w:rPr>
          <w:rFonts w:hint="eastAsia" w:ascii="Times New Roman" w:hAnsi="Times New Roman"/>
          <w:szCs w:val="21"/>
          <w:u w:val="single"/>
        </w:rPr>
        <w:t xml:space="preserve">                   </w:t>
      </w:r>
    </w:p>
    <w:p w14:paraId="4AB02AE2">
      <w:pPr>
        <w:spacing w:line="360" w:lineRule="auto"/>
        <w:ind w:left="540" w:leftChars="257"/>
        <w:rPr>
          <w:rFonts w:ascii="Times New Roman" w:hAnsi="Times New Roman"/>
          <w:szCs w:val="21"/>
          <w:u w:val="single"/>
        </w:rPr>
      </w:pPr>
      <w:r>
        <w:rPr>
          <w:rFonts w:hint="eastAsia" w:ascii="Times New Roman" w:hAnsi="Times New Roman"/>
          <w:szCs w:val="21"/>
        </w:rPr>
        <w:t>身份证号码：</w:t>
      </w:r>
      <w:r>
        <w:rPr>
          <w:rFonts w:hint="eastAsia" w:ascii="Times New Roman" w:hAnsi="Times New Roman"/>
          <w:szCs w:val="21"/>
          <w:u w:val="single"/>
        </w:rPr>
        <w:t xml:space="preserve">                        </w:t>
      </w:r>
      <w:r>
        <w:rPr>
          <w:rFonts w:hint="eastAsia" w:ascii="Times New Roman" w:hAnsi="Times New Roman"/>
          <w:szCs w:val="21"/>
        </w:rPr>
        <w:t>职务：</w:t>
      </w:r>
      <w:r>
        <w:rPr>
          <w:rFonts w:hint="eastAsia" w:ascii="Times New Roman" w:hAnsi="Times New Roman"/>
          <w:szCs w:val="21"/>
          <w:u w:val="single"/>
        </w:rPr>
        <w:t xml:space="preserve">       </w:t>
      </w:r>
    </w:p>
    <w:p w14:paraId="7383DCBC">
      <w:pPr>
        <w:spacing w:line="360" w:lineRule="auto"/>
        <w:ind w:left="540" w:leftChars="257"/>
        <w:rPr>
          <w:rFonts w:ascii="Times New Roman" w:hAnsi="Times New Roman"/>
          <w:szCs w:val="21"/>
        </w:rPr>
      </w:pPr>
      <w:r>
        <w:rPr>
          <w:rFonts w:hint="eastAsia" w:ascii="Times New Roman" w:hAnsi="Times New Roman"/>
          <w:szCs w:val="21"/>
        </w:rPr>
        <w:t>授权委托日期：</w:t>
      </w:r>
      <w:r>
        <w:rPr>
          <w:rFonts w:hint="eastAsia" w:ascii="Times New Roman" w:hAnsi="Times New Roman"/>
          <w:szCs w:val="21"/>
          <w:u w:val="single"/>
        </w:rPr>
        <w:t xml:space="preserve">         </w:t>
      </w:r>
      <w:r>
        <w:rPr>
          <w:rFonts w:hint="eastAsia" w:ascii="Times New Roman" w:hAnsi="Times New Roman"/>
          <w:szCs w:val="21"/>
        </w:rPr>
        <w:t>年</w:t>
      </w:r>
      <w:r>
        <w:rPr>
          <w:rFonts w:hint="eastAsia" w:ascii="Times New Roman" w:hAnsi="Times New Roman"/>
          <w:szCs w:val="21"/>
          <w:u w:val="single"/>
        </w:rPr>
        <w:t xml:space="preserve">     </w:t>
      </w:r>
      <w:r>
        <w:rPr>
          <w:rFonts w:hint="eastAsia" w:ascii="Times New Roman" w:hAnsi="Times New Roman"/>
          <w:szCs w:val="21"/>
        </w:rPr>
        <w:t xml:space="preserve">月 </w:t>
      </w:r>
      <w:r>
        <w:rPr>
          <w:rFonts w:hint="eastAsia" w:ascii="Times New Roman" w:hAnsi="Times New Roman"/>
          <w:szCs w:val="21"/>
          <w:u w:val="single"/>
        </w:rPr>
        <w:t xml:space="preserve">      </w:t>
      </w:r>
      <w:r>
        <w:rPr>
          <w:rFonts w:hint="eastAsia" w:ascii="Times New Roman" w:hAnsi="Times New Roman"/>
          <w:szCs w:val="21"/>
        </w:rPr>
        <w:t>日</w:t>
      </w:r>
    </w:p>
    <w:p w14:paraId="0747C60A">
      <w:pPr>
        <w:spacing w:line="360" w:lineRule="auto"/>
        <w:ind w:left="540" w:leftChars="257"/>
        <w:rPr>
          <w:rFonts w:ascii="Times New Roman" w:hAnsi="Times New Roman"/>
          <w:szCs w:val="21"/>
          <w:u w:val="single"/>
        </w:rPr>
      </w:pPr>
    </w:p>
    <w:p w14:paraId="2BE4003C">
      <w:pPr>
        <w:spacing w:line="360" w:lineRule="auto"/>
        <w:rPr>
          <w:rFonts w:ascii="Times New Roman" w:hAnsi="Times New Roman"/>
          <w:b/>
          <w:sz w:val="24"/>
          <w:szCs w:val="24"/>
        </w:rPr>
      </w:pPr>
      <w:r>
        <w:rPr>
          <w:rFonts w:hint="eastAsia" w:ascii="Times New Roman" w:hAnsi="Times New Roman"/>
          <w:b/>
          <w:sz w:val="24"/>
          <w:szCs w:val="24"/>
        </w:rPr>
        <w:t>附：要求必须提供代理人身份证扫描件（正反两面）</w:t>
      </w:r>
      <w:r>
        <w:rPr>
          <w:rFonts w:hint="eastAsia" w:ascii="Times New Roman" w:hAnsi="Times New Roman"/>
          <w:b/>
          <w:sz w:val="24"/>
          <w:szCs w:val="24"/>
          <w:lang w:eastAsia="zh-CN"/>
        </w:rPr>
        <w:t>且在有效期限内</w:t>
      </w:r>
      <w:r>
        <w:rPr>
          <w:rFonts w:hint="eastAsia" w:ascii="Times New Roman" w:hAnsi="Times New Roman"/>
          <w:b/>
          <w:sz w:val="24"/>
          <w:szCs w:val="24"/>
        </w:rPr>
        <w:t>。</w:t>
      </w:r>
    </w:p>
    <w:p w14:paraId="3C5DEFB9">
      <w:pPr>
        <w:rPr>
          <w:szCs w:val="21"/>
          <w:u w:val="single"/>
        </w:rPr>
      </w:pPr>
    </w:p>
    <w:p w14:paraId="5115AADF">
      <w:pPr>
        <w:rPr>
          <w:rFonts w:ascii="宋体" w:hAnsi="宋体"/>
          <w:szCs w:val="21"/>
        </w:rPr>
      </w:pPr>
      <w:r>
        <w:rPr>
          <w:rFonts w:hint="eastAsia"/>
          <w:szCs w:val="21"/>
          <w:u w:val="single"/>
        </w:rPr>
        <w:t>（备注：如联合体投标，投标供应商名称一栏仅需填写牵头人的名称）</w:t>
      </w:r>
    </w:p>
    <w:p w14:paraId="547D9071">
      <w:pPr>
        <w:spacing w:line="360" w:lineRule="auto"/>
        <w:rPr>
          <w:rFonts w:ascii="黑体" w:eastAsia="黑体"/>
          <w:b/>
          <w:sz w:val="24"/>
        </w:rPr>
      </w:pPr>
    </w:p>
    <w:p w14:paraId="6FB393DA">
      <w:pPr>
        <w:spacing w:line="360" w:lineRule="auto"/>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342F737">
      <w:pPr>
        <w:pStyle w:val="51"/>
      </w:pPr>
    </w:p>
    <w:p w14:paraId="020CEBAC">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四</w:t>
      </w:r>
      <w:r>
        <w:rPr>
          <w:rFonts w:hint="eastAsia" w:ascii="黑体" w:hAnsi="宋体" w:eastAsia="黑体"/>
          <w:bCs/>
          <w:kern w:val="0"/>
          <w:sz w:val="24"/>
          <w:szCs w:val="24"/>
        </w:rPr>
        <w:t>、实质性条款响应情况表</w:t>
      </w:r>
    </w:p>
    <w:tbl>
      <w:tblPr>
        <w:tblStyle w:val="4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4790"/>
        <w:gridCol w:w="3685"/>
      </w:tblGrid>
      <w:tr w14:paraId="3DC5F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2197DBB5">
            <w:pPr>
              <w:adjustRightInd w:val="0"/>
              <w:snapToGrid w:val="0"/>
              <w:spacing w:line="360" w:lineRule="auto"/>
              <w:jc w:val="center"/>
              <w:rPr>
                <w:rFonts w:ascii="宋体" w:hAnsi="宋体"/>
                <w:kern w:val="0"/>
                <w:szCs w:val="21"/>
              </w:rPr>
            </w:pPr>
            <w:r>
              <w:rPr>
                <w:rFonts w:hint="eastAsia" w:ascii="宋体" w:hAnsi="宋体"/>
                <w:kern w:val="0"/>
                <w:szCs w:val="21"/>
              </w:rPr>
              <w:t>序号</w:t>
            </w:r>
          </w:p>
        </w:tc>
        <w:tc>
          <w:tcPr>
            <w:tcW w:w="4790" w:type="dxa"/>
          </w:tcPr>
          <w:p w14:paraId="5966852C">
            <w:pPr>
              <w:adjustRightInd w:val="0"/>
              <w:snapToGrid w:val="0"/>
              <w:spacing w:line="360" w:lineRule="auto"/>
              <w:jc w:val="center"/>
              <w:rPr>
                <w:rFonts w:ascii="宋体" w:hAnsi="宋体"/>
                <w:kern w:val="0"/>
                <w:szCs w:val="21"/>
              </w:rPr>
            </w:pPr>
            <w:r>
              <w:rPr>
                <w:rFonts w:hint="eastAsia" w:ascii="宋体" w:hAnsi="宋体"/>
                <w:kern w:val="0"/>
                <w:szCs w:val="21"/>
              </w:rPr>
              <w:t>采购人要求内容</w:t>
            </w:r>
          </w:p>
        </w:tc>
        <w:tc>
          <w:tcPr>
            <w:tcW w:w="3685" w:type="dxa"/>
          </w:tcPr>
          <w:p w14:paraId="57782536">
            <w:pPr>
              <w:adjustRightInd w:val="0"/>
              <w:snapToGrid w:val="0"/>
              <w:spacing w:line="360" w:lineRule="auto"/>
              <w:jc w:val="center"/>
              <w:rPr>
                <w:rFonts w:ascii="宋体" w:hAnsi="宋体"/>
                <w:kern w:val="0"/>
                <w:szCs w:val="21"/>
              </w:rPr>
            </w:pPr>
            <w:r>
              <w:rPr>
                <w:rFonts w:hint="eastAsia" w:ascii="宋体" w:hAnsi="宋体"/>
                <w:kern w:val="0"/>
                <w:szCs w:val="21"/>
              </w:rPr>
              <w:t>投标人响应情况</w:t>
            </w:r>
          </w:p>
        </w:tc>
      </w:tr>
      <w:tr w14:paraId="2E41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tcPr>
          <w:p w14:paraId="1F7E7B85">
            <w:pPr>
              <w:adjustRightInd w:val="0"/>
              <w:snapToGrid w:val="0"/>
              <w:spacing w:line="360" w:lineRule="auto"/>
              <w:rPr>
                <w:rFonts w:ascii="宋体" w:hAnsi="宋体"/>
                <w:kern w:val="0"/>
                <w:szCs w:val="21"/>
              </w:rPr>
            </w:pPr>
            <w:r>
              <w:rPr>
                <w:rFonts w:hint="eastAsia" w:ascii="宋体" w:hAnsi="宋体"/>
                <w:kern w:val="0"/>
                <w:szCs w:val="21"/>
              </w:rPr>
              <w:t>1</w:t>
            </w:r>
          </w:p>
        </w:tc>
        <w:tc>
          <w:tcPr>
            <w:tcW w:w="4790" w:type="dxa"/>
          </w:tcPr>
          <w:p w14:paraId="00A9FA60">
            <w:pPr>
              <w:keepNext/>
              <w:keepLines/>
              <w:tabs>
                <w:tab w:val="left" w:pos="765"/>
              </w:tabs>
              <w:spacing w:line="376" w:lineRule="auto"/>
              <w:outlineLvl w:val="3"/>
              <w:rPr>
                <w:rFonts w:ascii="Times New Roman" w:hAnsi="宋体"/>
                <w:kern w:val="0"/>
                <w:szCs w:val="21"/>
              </w:rPr>
            </w:pPr>
            <w:r>
              <w:rPr>
                <w:rFonts w:hint="eastAsia" w:ascii="宋体" w:hAnsi="宋体" w:eastAsia="宋体" w:cs="宋体"/>
                <w:kern w:val="0"/>
                <w:sz w:val="21"/>
                <w:szCs w:val="21"/>
              </w:rPr>
              <w:t>满足本项目</w:t>
            </w:r>
            <w:r>
              <w:rPr>
                <w:rFonts w:hint="eastAsia" w:ascii="宋体" w:hAnsi="宋体" w:eastAsia="宋体" w:cs="宋体"/>
                <w:kern w:val="0"/>
                <w:sz w:val="21"/>
                <w:szCs w:val="21"/>
                <w:lang w:eastAsia="zh-CN"/>
              </w:rPr>
              <w:t>所有</w:t>
            </w:r>
            <w:r>
              <w:rPr>
                <w:rFonts w:hint="eastAsia" w:ascii="宋体" w:hAnsi="宋体" w:eastAsia="宋体" w:cs="宋体"/>
                <w:kern w:val="0"/>
                <w:sz w:val="21"/>
                <w:szCs w:val="21"/>
              </w:rPr>
              <w:t>标★的条款要求</w:t>
            </w:r>
            <w:r>
              <w:rPr>
                <w:rFonts w:hint="eastAsia" w:ascii="宋体" w:hAnsi="宋体" w:eastAsia="宋体" w:cs="宋体"/>
                <w:b/>
                <w:bCs/>
                <w:kern w:val="0"/>
                <w:sz w:val="21"/>
                <w:szCs w:val="21"/>
                <w:lang w:eastAsia="zh-CN"/>
              </w:rPr>
              <w:t>（涉及提供佐证材料的，应按要求提供相应证明材料，任一项未响应或不满足要求的，将导致投标无效。）</w:t>
            </w:r>
          </w:p>
        </w:tc>
        <w:tc>
          <w:tcPr>
            <w:tcW w:w="3685" w:type="dxa"/>
          </w:tcPr>
          <w:p w14:paraId="67C6C895">
            <w:pPr>
              <w:adjustRightInd w:val="0"/>
              <w:snapToGrid w:val="0"/>
              <w:spacing w:line="360" w:lineRule="auto"/>
              <w:rPr>
                <w:rFonts w:ascii="宋体" w:hAnsi="宋体"/>
                <w:kern w:val="0"/>
                <w:szCs w:val="21"/>
              </w:rPr>
            </w:pPr>
          </w:p>
        </w:tc>
      </w:tr>
    </w:tbl>
    <w:p w14:paraId="3F6019E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w:t>
      </w:r>
      <w:r>
        <w:rPr>
          <w:rFonts w:hint="eastAsia" w:ascii="宋体" w:hAnsi="宋体"/>
          <w:kern w:val="0"/>
          <w:szCs w:val="21"/>
        </w:rPr>
        <w:t>采购人要求内容</w:t>
      </w:r>
      <w:r>
        <w:rPr>
          <w:rFonts w:hint="eastAsia" w:asciiTheme="minorEastAsia" w:hAnsiTheme="minorEastAsia" w:eastAsiaTheme="minorEastAsia"/>
          <w:bCs/>
          <w:kern w:val="0"/>
          <w:szCs w:val="21"/>
        </w:rPr>
        <w:t>”为</w:t>
      </w:r>
      <w:r>
        <w:rPr>
          <w:rFonts w:hint="eastAsia" w:asciiTheme="minorEastAsia" w:hAnsiTheme="minorEastAsia" w:eastAsiaTheme="minorEastAsia"/>
          <w:b/>
          <w:bCs/>
          <w:kern w:val="0"/>
          <w:szCs w:val="21"/>
          <w:highlight w:val="yellow"/>
        </w:rPr>
        <w:t>“第一册  专用条款/第二章  招标项目需求”</w:t>
      </w:r>
      <w:r>
        <w:rPr>
          <w:rFonts w:hint="eastAsia" w:asciiTheme="minorEastAsia" w:hAnsiTheme="minorEastAsia" w:eastAsiaTheme="minorEastAsia"/>
          <w:bCs/>
          <w:kern w:val="0"/>
          <w:szCs w:val="21"/>
        </w:rPr>
        <w:t>中的不可负偏离的实质性条款，即“实质性条款”。</w:t>
      </w:r>
    </w:p>
    <w:p w14:paraId="5EFF77D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2.“投标人响应情况”一栏应如实填写“响应”或“不响应”。</w:t>
      </w:r>
    </w:p>
    <w:p w14:paraId="3E4A0951">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3.“实质性条款响应情况表”与投标文件其它内容冲突的，以“实质性条款响应情况表”为准。</w:t>
      </w:r>
    </w:p>
    <w:p w14:paraId="754F9F61">
      <w:pPr>
        <w:keepNext/>
        <w:keepLines/>
        <w:tabs>
          <w:tab w:val="left" w:pos="765"/>
        </w:tabs>
        <w:spacing w:line="376" w:lineRule="auto"/>
        <w:outlineLvl w:val="3"/>
        <w:rPr>
          <w:rFonts w:asciiTheme="minorEastAsia" w:hAnsiTheme="minorEastAsia" w:eastAsiaTheme="minorEastAsia"/>
          <w:bCs/>
          <w:kern w:val="0"/>
          <w:szCs w:val="21"/>
          <w:highlight w:val="yellow"/>
        </w:rPr>
      </w:pPr>
      <w:r>
        <w:rPr>
          <w:rFonts w:hint="eastAsia" w:asciiTheme="minorEastAsia" w:hAnsiTheme="minorEastAsia" w:eastAsiaTheme="minorEastAsia"/>
          <w:bCs/>
          <w:kern w:val="0"/>
          <w:szCs w:val="21"/>
          <w:highlight w:val="yellow"/>
        </w:rPr>
        <w:t>4.标★的条款要求提供证明材料的，应</w:t>
      </w:r>
      <w:r>
        <w:rPr>
          <w:rFonts w:hint="eastAsia" w:asciiTheme="minorEastAsia" w:hAnsiTheme="minorEastAsia" w:eastAsiaTheme="minorEastAsia"/>
          <w:bCs/>
          <w:kern w:val="0"/>
          <w:szCs w:val="21"/>
          <w:highlight w:val="yellow"/>
          <w:lang w:eastAsia="zh-CN"/>
        </w:rPr>
        <w:t>将证明材料</w:t>
      </w:r>
      <w:r>
        <w:rPr>
          <w:rFonts w:hint="eastAsia" w:asciiTheme="minorEastAsia" w:hAnsiTheme="minorEastAsia" w:eastAsiaTheme="minorEastAsia"/>
          <w:bCs/>
          <w:kern w:val="0"/>
          <w:szCs w:val="21"/>
          <w:highlight w:val="yellow"/>
        </w:rPr>
        <w:t>附在本表后，未提供证明材料或证明材料与响应情况不相符的，按负偏离处理。</w:t>
      </w:r>
    </w:p>
    <w:p w14:paraId="4EC6FA9E">
      <w:pPr>
        <w:keepNext/>
        <w:keepLines/>
        <w:spacing w:before="260" w:after="260"/>
        <w:jc w:val="center"/>
        <w:outlineLvl w:val="2"/>
        <w:rPr>
          <w:rFonts w:ascii="黑体" w:hAnsi="宋体" w:eastAsia="黑体"/>
          <w:bCs/>
          <w:kern w:val="0"/>
          <w:sz w:val="24"/>
          <w:szCs w:val="24"/>
        </w:rPr>
      </w:pPr>
      <w:r>
        <w:rPr>
          <w:rFonts w:hint="eastAsia" w:ascii="黑体" w:hAnsi="宋体" w:eastAsia="黑体"/>
          <w:bCs/>
          <w:kern w:val="0"/>
          <w:sz w:val="24"/>
          <w:szCs w:val="24"/>
          <w:lang w:eastAsia="zh-CN"/>
        </w:rPr>
        <w:t>五</w:t>
      </w:r>
      <w:r>
        <w:rPr>
          <w:rFonts w:hint="eastAsia" w:ascii="黑体" w:hAnsi="宋体" w:eastAsia="黑体"/>
          <w:bCs/>
          <w:kern w:val="0"/>
          <w:sz w:val="24"/>
          <w:szCs w:val="24"/>
        </w:rPr>
        <w:t>、详细分项报价清单</w:t>
      </w:r>
    </w:p>
    <w:tbl>
      <w:tblPr>
        <w:tblStyle w:val="42"/>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0D02CF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ED70707">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序号</w:t>
            </w:r>
          </w:p>
        </w:tc>
        <w:tc>
          <w:tcPr>
            <w:tcW w:w="2485" w:type="dxa"/>
            <w:vAlign w:val="center"/>
          </w:tcPr>
          <w:p w14:paraId="33B06F9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项目内容</w:t>
            </w:r>
          </w:p>
        </w:tc>
        <w:tc>
          <w:tcPr>
            <w:tcW w:w="876" w:type="dxa"/>
            <w:vAlign w:val="center"/>
          </w:tcPr>
          <w:p w14:paraId="1ACA19A5">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数量</w:t>
            </w:r>
          </w:p>
        </w:tc>
        <w:tc>
          <w:tcPr>
            <w:tcW w:w="909" w:type="dxa"/>
            <w:vAlign w:val="center"/>
          </w:tcPr>
          <w:p w14:paraId="2DDEF12A">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单位</w:t>
            </w:r>
          </w:p>
        </w:tc>
        <w:tc>
          <w:tcPr>
            <w:tcW w:w="1643" w:type="dxa"/>
            <w:vAlign w:val="center"/>
          </w:tcPr>
          <w:p w14:paraId="310424F2">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单价（单位：元）</w:t>
            </w:r>
          </w:p>
        </w:tc>
        <w:tc>
          <w:tcPr>
            <w:tcW w:w="1701" w:type="dxa"/>
            <w:vAlign w:val="center"/>
          </w:tcPr>
          <w:p w14:paraId="7773949E">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总价（单位：元）</w:t>
            </w:r>
          </w:p>
        </w:tc>
        <w:tc>
          <w:tcPr>
            <w:tcW w:w="1125" w:type="dxa"/>
            <w:vAlign w:val="center"/>
          </w:tcPr>
          <w:p w14:paraId="58873379">
            <w:pPr>
              <w:adjustRightInd w:val="0"/>
              <w:snapToGrid w:val="0"/>
              <w:spacing w:line="300" w:lineRule="auto"/>
              <w:jc w:val="center"/>
              <w:rPr>
                <w:rFonts w:ascii="Times New Roman" w:hAnsi="Times New Roman"/>
                <w:b/>
                <w:snapToGrid w:val="0"/>
                <w:kern w:val="0"/>
                <w:szCs w:val="24"/>
              </w:rPr>
            </w:pPr>
            <w:r>
              <w:rPr>
                <w:rFonts w:hint="eastAsia" w:ascii="Times New Roman" w:hAnsi="Times New Roman"/>
                <w:b/>
                <w:snapToGrid w:val="0"/>
                <w:kern w:val="0"/>
                <w:szCs w:val="24"/>
              </w:rPr>
              <w:t>备注</w:t>
            </w:r>
          </w:p>
        </w:tc>
      </w:tr>
      <w:tr w14:paraId="0156A1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CB59B6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1</w:t>
            </w:r>
          </w:p>
        </w:tc>
        <w:tc>
          <w:tcPr>
            <w:tcW w:w="2485" w:type="dxa"/>
            <w:vAlign w:val="center"/>
          </w:tcPr>
          <w:p w14:paraId="6E084386">
            <w:pPr>
              <w:adjustRightInd w:val="0"/>
              <w:snapToGrid w:val="0"/>
              <w:spacing w:line="300" w:lineRule="auto"/>
              <w:jc w:val="center"/>
              <w:rPr>
                <w:rFonts w:ascii="宋体" w:hAnsi="宋体"/>
                <w:szCs w:val="21"/>
                <w:lang w:val="zh-CN"/>
              </w:rPr>
            </w:pPr>
          </w:p>
        </w:tc>
        <w:tc>
          <w:tcPr>
            <w:tcW w:w="876" w:type="dxa"/>
            <w:vAlign w:val="center"/>
          </w:tcPr>
          <w:p w14:paraId="21DD7D59">
            <w:pPr>
              <w:adjustRightInd w:val="0"/>
              <w:snapToGrid w:val="0"/>
              <w:spacing w:line="300" w:lineRule="auto"/>
              <w:jc w:val="center"/>
              <w:rPr>
                <w:rFonts w:ascii="Times New Roman" w:hAnsi="Times New Roman"/>
                <w:snapToGrid w:val="0"/>
                <w:kern w:val="0"/>
                <w:szCs w:val="24"/>
              </w:rPr>
            </w:pPr>
          </w:p>
        </w:tc>
        <w:tc>
          <w:tcPr>
            <w:tcW w:w="909" w:type="dxa"/>
            <w:vAlign w:val="center"/>
          </w:tcPr>
          <w:p w14:paraId="269BFE7D">
            <w:pPr>
              <w:adjustRightInd w:val="0"/>
              <w:snapToGrid w:val="0"/>
              <w:spacing w:line="300" w:lineRule="auto"/>
              <w:jc w:val="center"/>
              <w:rPr>
                <w:rFonts w:ascii="Times New Roman" w:hAnsi="Times New Roman"/>
                <w:snapToGrid w:val="0"/>
                <w:kern w:val="0"/>
                <w:szCs w:val="24"/>
              </w:rPr>
            </w:pPr>
          </w:p>
        </w:tc>
        <w:tc>
          <w:tcPr>
            <w:tcW w:w="1643" w:type="dxa"/>
            <w:vAlign w:val="center"/>
          </w:tcPr>
          <w:p w14:paraId="762DEC98">
            <w:pPr>
              <w:adjustRightInd w:val="0"/>
              <w:snapToGrid w:val="0"/>
              <w:spacing w:line="300" w:lineRule="auto"/>
              <w:jc w:val="center"/>
              <w:rPr>
                <w:rFonts w:ascii="Times New Roman" w:hAnsi="Times New Roman"/>
                <w:snapToGrid w:val="0"/>
                <w:kern w:val="0"/>
                <w:szCs w:val="24"/>
              </w:rPr>
            </w:pPr>
          </w:p>
        </w:tc>
        <w:tc>
          <w:tcPr>
            <w:tcW w:w="1701" w:type="dxa"/>
            <w:vAlign w:val="center"/>
          </w:tcPr>
          <w:p w14:paraId="2C615352">
            <w:pPr>
              <w:adjustRightInd w:val="0"/>
              <w:snapToGrid w:val="0"/>
              <w:spacing w:line="300" w:lineRule="auto"/>
              <w:jc w:val="center"/>
              <w:rPr>
                <w:rFonts w:ascii="Times New Roman" w:hAnsi="Times New Roman"/>
                <w:snapToGrid w:val="0"/>
                <w:kern w:val="0"/>
                <w:szCs w:val="24"/>
              </w:rPr>
            </w:pPr>
          </w:p>
        </w:tc>
        <w:tc>
          <w:tcPr>
            <w:tcW w:w="1125" w:type="dxa"/>
            <w:vAlign w:val="center"/>
          </w:tcPr>
          <w:p w14:paraId="71CEBEA2">
            <w:pPr>
              <w:adjustRightInd w:val="0"/>
              <w:snapToGrid w:val="0"/>
              <w:spacing w:line="300" w:lineRule="auto"/>
              <w:jc w:val="center"/>
              <w:rPr>
                <w:rFonts w:ascii="Times New Roman" w:hAnsi="Times New Roman"/>
                <w:snapToGrid w:val="0"/>
                <w:kern w:val="0"/>
                <w:szCs w:val="24"/>
              </w:rPr>
            </w:pPr>
          </w:p>
        </w:tc>
      </w:tr>
      <w:tr w14:paraId="3FA9A4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15A92978">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2</w:t>
            </w:r>
          </w:p>
        </w:tc>
        <w:tc>
          <w:tcPr>
            <w:tcW w:w="2485" w:type="dxa"/>
            <w:vAlign w:val="center"/>
          </w:tcPr>
          <w:p w14:paraId="0D4A491C">
            <w:pPr>
              <w:adjustRightInd w:val="0"/>
              <w:snapToGrid w:val="0"/>
              <w:spacing w:line="300" w:lineRule="auto"/>
              <w:jc w:val="center"/>
              <w:rPr>
                <w:rFonts w:ascii="宋体" w:hAnsi="宋体"/>
                <w:szCs w:val="21"/>
                <w:lang w:val="zh-CN"/>
              </w:rPr>
            </w:pPr>
          </w:p>
        </w:tc>
        <w:tc>
          <w:tcPr>
            <w:tcW w:w="876" w:type="dxa"/>
            <w:vAlign w:val="center"/>
          </w:tcPr>
          <w:p w14:paraId="708A16AB">
            <w:pPr>
              <w:adjustRightInd w:val="0"/>
              <w:snapToGrid w:val="0"/>
              <w:spacing w:line="300" w:lineRule="auto"/>
              <w:jc w:val="center"/>
              <w:rPr>
                <w:rFonts w:ascii="Times New Roman" w:hAnsi="Times New Roman"/>
                <w:snapToGrid w:val="0"/>
                <w:kern w:val="0"/>
                <w:szCs w:val="24"/>
              </w:rPr>
            </w:pPr>
          </w:p>
        </w:tc>
        <w:tc>
          <w:tcPr>
            <w:tcW w:w="909" w:type="dxa"/>
            <w:vAlign w:val="center"/>
          </w:tcPr>
          <w:p w14:paraId="5B01ED45">
            <w:pPr>
              <w:adjustRightInd w:val="0"/>
              <w:snapToGrid w:val="0"/>
              <w:spacing w:line="300" w:lineRule="auto"/>
              <w:jc w:val="center"/>
              <w:rPr>
                <w:rFonts w:ascii="Times New Roman" w:hAnsi="Times New Roman"/>
                <w:snapToGrid w:val="0"/>
                <w:kern w:val="0"/>
                <w:szCs w:val="24"/>
              </w:rPr>
            </w:pPr>
          </w:p>
        </w:tc>
        <w:tc>
          <w:tcPr>
            <w:tcW w:w="1643" w:type="dxa"/>
            <w:vAlign w:val="center"/>
          </w:tcPr>
          <w:p w14:paraId="1855FA58">
            <w:pPr>
              <w:adjustRightInd w:val="0"/>
              <w:snapToGrid w:val="0"/>
              <w:spacing w:line="300" w:lineRule="auto"/>
              <w:jc w:val="center"/>
              <w:rPr>
                <w:rFonts w:ascii="Times New Roman" w:hAnsi="Times New Roman"/>
                <w:snapToGrid w:val="0"/>
                <w:kern w:val="0"/>
                <w:szCs w:val="24"/>
              </w:rPr>
            </w:pPr>
          </w:p>
        </w:tc>
        <w:tc>
          <w:tcPr>
            <w:tcW w:w="1701" w:type="dxa"/>
            <w:vAlign w:val="center"/>
          </w:tcPr>
          <w:p w14:paraId="07D64B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2C49303E">
            <w:pPr>
              <w:adjustRightInd w:val="0"/>
              <w:snapToGrid w:val="0"/>
              <w:spacing w:line="300" w:lineRule="auto"/>
              <w:jc w:val="center"/>
              <w:rPr>
                <w:rFonts w:ascii="Times New Roman" w:hAnsi="Times New Roman"/>
                <w:snapToGrid w:val="0"/>
                <w:kern w:val="0"/>
                <w:szCs w:val="24"/>
              </w:rPr>
            </w:pPr>
          </w:p>
        </w:tc>
      </w:tr>
      <w:tr w14:paraId="7499F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47DE21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 xml:space="preserve">3 </w:t>
            </w:r>
          </w:p>
        </w:tc>
        <w:tc>
          <w:tcPr>
            <w:tcW w:w="2485" w:type="dxa"/>
            <w:vAlign w:val="center"/>
          </w:tcPr>
          <w:p w14:paraId="59E423DE">
            <w:pPr>
              <w:adjustRightInd w:val="0"/>
              <w:snapToGrid w:val="0"/>
              <w:spacing w:line="300" w:lineRule="auto"/>
              <w:jc w:val="center"/>
              <w:rPr>
                <w:rFonts w:ascii="宋体" w:hAnsi="宋体"/>
                <w:szCs w:val="21"/>
                <w:lang w:val="zh-CN"/>
              </w:rPr>
            </w:pPr>
          </w:p>
        </w:tc>
        <w:tc>
          <w:tcPr>
            <w:tcW w:w="876" w:type="dxa"/>
            <w:vAlign w:val="center"/>
          </w:tcPr>
          <w:p w14:paraId="3B2A92F8">
            <w:pPr>
              <w:adjustRightInd w:val="0"/>
              <w:snapToGrid w:val="0"/>
              <w:spacing w:line="300" w:lineRule="auto"/>
              <w:jc w:val="center"/>
              <w:rPr>
                <w:rFonts w:ascii="Times New Roman" w:hAnsi="Times New Roman"/>
                <w:snapToGrid w:val="0"/>
                <w:kern w:val="0"/>
                <w:szCs w:val="24"/>
              </w:rPr>
            </w:pPr>
          </w:p>
        </w:tc>
        <w:tc>
          <w:tcPr>
            <w:tcW w:w="909" w:type="dxa"/>
            <w:vAlign w:val="center"/>
          </w:tcPr>
          <w:p w14:paraId="5468CF0E">
            <w:pPr>
              <w:adjustRightInd w:val="0"/>
              <w:snapToGrid w:val="0"/>
              <w:spacing w:line="300" w:lineRule="auto"/>
              <w:jc w:val="center"/>
              <w:rPr>
                <w:rFonts w:ascii="Times New Roman" w:hAnsi="Times New Roman"/>
                <w:snapToGrid w:val="0"/>
                <w:kern w:val="0"/>
                <w:szCs w:val="24"/>
              </w:rPr>
            </w:pPr>
          </w:p>
        </w:tc>
        <w:tc>
          <w:tcPr>
            <w:tcW w:w="1643" w:type="dxa"/>
            <w:vAlign w:val="center"/>
          </w:tcPr>
          <w:p w14:paraId="0E4139CF">
            <w:pPr>
              <w:adjustRightInd w:val="0"/>
              <w:snapToGrid w:val="0"/>
              <w:spacing w:line="300" w:lineRule="auto"/>
              <w:jc w:val="center"/>
              <w:rPr>
                <w:rFonts w:ascii="Times New Roman" w:hAnsi="Times New Roman"/>
                <w:snapToGrid w:val="0"/>
                <w:kern w:val="0"/>
                <w:szCs w:val="24"/>
              </w:rPr>
            </w:pPr>
          </w:p>
        </w:tc>
        <w:tc>
          <w:tcPr>
            <w:tcW w:w="1701" w:type="dxa"/>
            <w:vAlign w:val="center"/>
          </w:tcPr>
          <w:p w14:paraId="670C0818">
            <w:pPr>
              <w:adjustRightInd w:val="0"/>
              <w:snapToGrid w:val="0"/>
              <w:spacing w:line="300" w:lineRule="auto"/>
              <w:jc w:val="center"/>
              <w:rPr>
                <w:rFonts w:ascii="Times New Roman" w:hAnsi="Times New Roman"/>
                <w:snapToGrid w:val="0"/>
                <w:kern w:val="0"/>
                <w:szCs w:val="24"/>
              </w:rPr>
            </w:pPr>
          </w:p>
        </w:tc>
        <w:tc>
          <w:tcPr>
            <w:tcW w:w="1125" w:type="dxa"/>
            <w:vAlign w:val="center"/>
          </w:tcPr>
          <w:p w14:paraId="302D2576">
            <w:pPr>
              <w:adjustRightInd w:val="0"/>
              <w:snapToGrid w:val="0"/>
              <w:spacing w:line="300" w:lineRule="auto"/>
              <w:jc w:val="center"/>
              <w:rPr>
                <w:rFonts w:ascii="Times New Roman" w:hAnsi="Times New Roman"/>
                <w:snapToGrid w:val="0"/>
                <w:kern w:val="0"/>
                <w:szCs w:val="24"/>
              </w:rPr>
            </w:pPr>
          </w:p>
        </w:tc>
      </w:tr>
      <w:tr w14:paraId="26AB3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0F5A8F2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4</w:t>
            </w:r>
          </w:p>
        </w:tc>
        <w:tc>
          <w:tcPr>
            <w:tcW w:w="2485" w:type="dxa"/>
            <w:vAlign w:val="center"/>
          </w:tcPr>
          <w:p w14:paraId="59164360">
            <w:pPr>
              <w:adjustRightInd w:val="0"/>
              <w:snapToGrid w:val="0"/>
              <w:spacing w:line="300" w:lineRule="auto"/>
              <w:jc w:val="center"/>
              <w:rPr>
                <w:rFonts w:ascii="宋体" w:hAnsi="宋体"/>
                <w:szCs w:val="21"/>
                <w:lang w:val="zh-CN"/>
              </w:rPr>
            </w:pPr>
          </w:p>
        </w:tc>
        <w:tc>
          <w:tcPr>
            <w:tcW w:w="876" w:type="dxa"/>
            <w:vAlign w:val="center"/>
          </w:tcPr>
          <w:p w14:paraId="7E35DD39">
            <w:pPr>
              <w:adjustRightInd w:val="0"/>
              <w:snapToGrid w:val="0"/>
              <w:spacing w:line="300" w:lineRule="auto"/>
              <w:jc w:val="center"/>
              <w:rPr>
                <w:rFonts w:ascii="Times New Roman" w:hAnsi="Times New Roman"/>
                <w:snapToGrid w:val="0"/>
                <w:kern w:val="0"/>
                <w:szCs w:val="24"/>
              </w:rPr>
            </w:pPr>
          </w:p>
        </w:tc>
        <w:tc>
          <w:tcPr>
            <w:tcW w:w="909" w:type="dxa"/>
            <w:vAlign w:val="center"/>
          </w:tcPr>
          <w:p w14:paraId="4FD42C6F">
            <w:pPr>
              <w:adjustRightInd w:val="0"/>
              <w:snapToGrid w:val="0"/>
              <w:spacing w:line="300" w:lineRule="auto"/>
              <w:jc w:val="center"/>
              <w:rPr>
                <w:rFonts w:ascii="Times New Roman" w:hAnsi="Times New Roman"/>
                <w:snapToGrid w:val="0"/>
                <w:kern w:val="0"/>
                <w:szCs w:val="24"/>
              </w:rPr>
            </w:pPr>
          </w:p>
        </w:tc>
        <w:tc>
          <w:tcPr>
            <w:tcW w:w="1643" w:type="dxa"/>
            <w:vAlign w:val="center"/>
          </w:tcPr>
          <w:p w14:paraId="5566AF93">
            <w:pPr>
              <w:adjustRightInd w:val="0"/>
              <w:snapToGrid w:val="0"/>
              <w:spacing w:line="300" w:lineRule="auto"/>
              <w:jc w:val="center"/>
              <w:rPr>
                <w:rFonts w:ascii="Times New Roman" w:hAnsi="Times New Roman"/>
                <w:snapToGrid w:val="0"/>
                <w:kern w:val="0"/>
                <w:szCs w:val="24"/>
              </w:rPr>
            </w:pPr>
          </w:p>
        </w:tc>
        <w:tc>
          <w:tcPr>
            <w:tcW w:w="1701" w:type="dxa"/>
            <w:vAlign w:val="center"/>
          </w:tcPr>
          <w:p w14:paraId="450F859D">
            <w:pPr>
              <w:adjustRightInd w:val="0"/>
              <w:snapToGrid w:val="0"/>
              <w:spacing w:line="300" w:lineRule="auto"/>
              <w:jc w:val="center"/>
              <w:rPr>
                <w:rFonts w:ascii="Times New Roman" w:hAnsi="Times New Roman"/>
                <w:snapToGrid w:val="0"/>
                <w:kern w:val="0"/>
                <w:szCs w:val="24"/>
              </w:rPr>
            </w:pPr>
          </w:p>
        </w:tc>
        <w:tc>
          <w:tcPr>
            <w:tcW w:w="1125" w:type="dxa"/>
            <w:vAlign w:val="center"/>
          </w:tcPr>
          <w:p w14:paraId="14139FA0">
            <w:pPr>
              <w:adjustRightInd w:val="0"/>
              <w:snapToGrid w:val="0"/>
              <w:spacing w:line="300" w:lineRule="auto"/>
              <w:jc w:val="center"/>
              <w:rPr>
                <w:rFonts w:ascii="Times New Roman" w:hAnsi="Times New Roman"/>
                <w:snapToGrid w:val="0"/>
                <w:kern w:val="0"/>
                <w:szCs w:val="24"/>
              </w:rPr>
            </w:pPr>
          </w:p>
        </w:tc>
      </w:tr>
      <w:tr w14:paraId="763A54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525C10E3">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5</w:t>
            </w:r>
          </w:p>
        </w:tc>
        <w:tc>
          <w:tcPr>
            <w:tcW w:w="2485" w:type="dxa"/>
            <w:tcBorders>
              <w:bottom w:val="single" w:color="auto" w:sz="4" w:space="0"/>
            </w:tcBorders>
            <w:vAlign w:val="center"/>
          </w:tcPr>
          <w:p w14:paraId="4D6DF71D">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00ECCB8F">
            <w:pPr>
              <w:adjustRightInd w:val="0"/>
              <w:snapToGrid w:val="0"/>
              <w:spacing w:line="300" w:lineRule="auto"/>
              <w:jc w:val="center"/>
              <w:rPr>
                <w:rFonts w:ascii="Times New Roman" w:hAnsi="Times New Roman"/>
                <w:snapToGrid w:val="0"/>
                <w:kern w:val="0"/>
                <w:szCs w:val="24"/>
              </w:rPr>
            </w:pPr>
          </w:p>
        </w:tc>
        <w:tc>
          <w:tcPr>
            <w:tcW w:w="909" w:type="dxa"/>
            <w:tcBorders>
              <w:bottom w:val="single" w:color="auto" w:sz="4" w:space="0"/>
            </w:tcBorders>
            <w:vAlign w:val="center"/>
          </w:tcPr>
          <w:p w14:paraId="02AC8E77">
            <w:pPr>
              <w:adjustRightInd w:val="0"/>
              <w:snapToGrid w:val="0"/>
              <w:spacing w:line="300" w:lineRule="auto"/>
              <w:jc w:val="center"/>
              <w:rPr>
                <w:rFonts w:ascii="Times New Roman" w:hAnsi="Times New Roman"/>
                <w:snapToGrid w:val="0"/>
                <w:kern w:val="0"/>
                <w:szCs w:val="24"/>
              </w:rPr>
            </w:pPr>
          </w:p>
        </w:tc>
        <w:tc>
          <w:tcPr>
            <w:tcW w:w="1643" w:type="dxa"/>
            <w:tcBorders>
              <w:bottom w:val="single" w:color="auto" w:sz="4" w:space="0"/>
            </w:tcBorders>
            <w:vAlign w:val="center"/>
          </w:tcPr>
          <w:p w14:paraId="41C36D43">
            <w:pPr>
              <w:adjustRightInd w:val="0"/>
              <w:snapToGrid w:val="0"/>
              <w:spacing w:line="300" w:lineRule="auto"/>
              <w:jc w:val="center"/>
              <w:rPr>
                <w:rFonts w:ascii="Times New Roman" w:hAnsi="Times New Roman"/>
                <w:snapToGrid w:val="0"/>
                <w:kern w:val="0"/>
                <w:szCs w:val="24"/>
              </w:rPr>
            </w:pPr>
          </w:p>
        </w:tc>
        <w:tc>
          <w:tcPr>
            <w:tcW w:w="1701" w:type="dxa"/>
            <w:tcBorders>
              <w:bottom w:val="single" w:color="auto" w:sz="4" w:space="0"/>
            </w:tcBorders>
            <w:vAlign w:val="center"/>
          </w:tcPr>
          <w:p w14:paraId="7FD0BA84">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24962BF4">
            <w:pPr>
              <w:adjustRightInd w:val="0"/>
              <w:snapToGrid w:val="0"/>
              <w:spacing w:line="300" w:lineRule="auto"/>
              <w:jc w:val="center"/>
              <w:rPr>
                <w:rFonts w:ascii="Times New Roman" w:hAnsi="Times New Roman"/>
                <w:snapToGrid w:val="0"/>
                <w:kern w:val="0"/>
                <w:szCs w:val="24"/>
              </w:rPr>
            </w:pPr>
          </w:p>
        </w:tc>
      </w:tr>
      <w:tr w14:paraId="0EBF1F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7CC4A4AE">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6</w:t>
            </w:r>
          </w:p>
        </w:tc>
        <w:tc>
          <w:tcPr>
            <w:tcW w:w="2485" w:type="dxa"/>
            <w:tcBorders>
              <w:top w:val="single" w:color="auto" w:sz="4" w:space="0"/>
              <w:bottom w:val="single" w:color="auto" w:sz="4" w:space="0"/>
            </w:tcBorders>
            <w:vAlign w:val="center"/>
          </w:tcPr>
          <w:p w14:paraId="16BE0D2C">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298FA6FA">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75B0A302">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280F9F03">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76D8E391">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0A1471A7">
            <w:pPr>
              <w:adjustRightInd w:val="0"/>
              <w:snapToGrid w:val="0"/>
              <w:spacing w:line="300" w:lineRule="auto"/>
              <w:jc w:val="center"/>
              <w:rPr>
                <w:rFonts w:ascii="Times New Roman" w:hAnsi="Times New Roman"/>
                <w:snapToGrid w:val="0"/>
                <w:kern w:val="0"/>
                <w:szCs w:val="24"/>
              </w:rPr>
            </w:pPr>
          </w:p>
        </w:tc>
      </w:tr>
      <w:tr w14:paraId="670A47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18013727">
            <w:pPr>
              <w:adjustRightInd w:val="0"/>
              <w:snapToGrid w:val="0"/>
              <w:spacing w:line="300" w:lineRule="auto"/>
              <w:jc w:val="center"/>
              <w:rPr>
                <w:rFonts w:asciiTheme="minorEastAsia" w:hAnsiTheme="minorEastAsia" w:eastAsiaTheme="minorEastAsia"/>
                <w:snapToGrid w:val="0"/>
                <w:kern w:val="0"/>
                <w:szCs w:val="24"/>
              </w:rPr>
            </w:pPr>
            <w:r>
              <w:rPr>
                <w:rFonts w:asciiTheme="minorEastAsia" w:hAnsiTheme="minorEastAsia" w:eastAsiaTheme="minorEastAsia"/>
                <w:snapToGrid w:val="0"/>
                <w:kern w:val="0"/>
                <w:szCs w:val="24"/>
              </w:rPr>
              <w:t>7</w:t>
            </w:r>
          </w:p>
        </w:tc>
        <w:tc>
          <w:tcPr>
            <w:tcW w:w="2485" w:type="dxa"/>
            <w:tcBorders>
              <w:top w:val="single" w:color="auto" w:sz="4" w:space="0"/>
              <w:bottom w:val="single" w:color="auto" w:sz="4" w:space="0"/>
            </w:tcBorders>
            <w:vAlign w:val="center"/>
          </w:tcPr>
          <w:p w14:paraId="37D68DAA">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02B809E8">
            <w:pPr>
              <w:adjustRightInd w:val="0"/>
              <w:snapToGrid w:val="0"/>
              <w:spacing w:line="300" w:lineRule="auto"/>
              <w:jc w:val="center"/>
              <w:rPr>
                <w:rFonts w:ascii="Times New Roman" w:hAnsi="Times New Roman"/>
                <w:snapToGrid w:val="0"/>
                <w:kern w:val="0"/>
                <w:szCs w:val="24"/>
              </w:rPr>
            </w:pPr>
          </w:p>
        </w:tc>
        <w:tc>
          <w:tcPr>
            <w:tcW w:w="909" w:type="dxa"/>
            <w:tcBorders>
              <w:top w:val="single" w:color="auto" w:sz="4" w:space="0"/>
              <w:bottom w:val="single" w:color="auto" w:sz="4" w:space="0"/>
            </w:tcBorders>
            <w:vAlign w:val="center"/>
          </w:tcPr>
          <w:p w14:paraId="6C4B855B">
            <w:pPr>
              <w:adjustRightInd w:val="0"/>
              <w:snapToGrid w:val="0"/>
              <w:spacing w:line="300" w:lineRule="auto"/>
              <w:jc w:val="center"/>
              <w:rPr>
                <w:rFonts w:ascii="Times New Roman" w:hAnsi="Times New Roman"/>
                <w:snapToGrid w:val="0"/>
                <w:kern w:val="0"/>
                <w:szCs w:val="24"/>
              </w:rPr>
            </w:pPr>
          </w:p>
        </w:tc>
        <w:tc>
          <w:tcPr>
            <w:tcW w:w="1643" w:type="dxa"/>
            <w:tcBorders>
              <w:top w:val="single" w:color="auto" w:sz="4" w:space="0"/>
              <w:bottom w:val="single" w:color="auto" w:sz="4" w:space="0"/>
            </w:tcBorders>
            <w:vAlign w:val="center"/>
          </w:tcPr>
          <w:p w14:paraId="37DC29BB">
            <w:pPr>
              <w:adjustRightInd w:val="0"/>
              <w:snapToGrid w:val="0"/>
              <w:spacing w:line="300" w:lineRule="auto"/>
              <w:jc w:val="center"/>
              <w:rPr>
                <w:rFonts w:ascii="Times New Roman" w:hAnsi="Times New Roman"/>
                <w:snapToGrid w:val="0"/>
                <w:kern w:val="0"/>
                <w:szCs w:val="24"/>
              </w:rPr>
            </w:pPr>
          </w:p>
        </w:tc>
        <w:tc>
          <w:tcPr>
            <w:tcW w:w="1701" w:type="dxa"/>
            <w:tcBorders>
              <w:top w:val="single" w:color="auto" w:sz="4" w:space="0"/>
              <w:bottom w:val="single" w:color="auto" w:sz="4" w:space="0"/>
            </w:tcBorders>
            <w:vAlign w:val="center"/>
          </w:tcPr>
          <w:p w14:paraId="65D97FC7">
            <w:pPr>
              <w:adjustRightInd w:val="0"/>
              <w:snapToGrid w:val="0"/>
              <w:spacing w:line="300" w:lineRule="auto"/>
              <w:jc w:val="center"/>
              <w:rPr>
                <w:rFonts w:ascii="Times New Roman" w:hAnsi="Times New Roman"/>
                <w:snapToGrid w:val="0"/>
                <w:kern w:val="0"/>
                <w:szCs w:val="24"/>
              </w:rPr>
            </w:pPr>
          </w:p>
        </w:tc>
        <w:tc>
          <w:tcPr>
            <w:tcW w:w="1125" w:type="dxa"/>
            <w:tcBorders>
              <w:bottom w:val="single" w:color="auto" w:sz="4" w:space="0"/>
            </w:tcBorders>
            <w:vAlign w:val="center"/>
          </w:tcPr>
          <w:p w14:paraId="16698A1A">
            <w:pPr>
              <w:adjustRightInd w:val="0"/>
              <w:snapToGrid w:val="0"/>
              <w:spacing w:line="300" w:lineRule="auto"/>
              <w:jc w:val="center"/>
              <w:rPr>
                <w:rFonts w:ascii="Times New Roman" w:hAnsi="Times New Roman"/>
                <w:snapToGrid w:val="0"/>
                <w:kern w:val="0"/>
                <w:szCs w:val="24"/>
              </w:rPr>
            </w:pPr>
          </w:p>
        </w:tc>
      </w:tr>
      <w:tr w14:paraId="3E3506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1A5A61A9">
            <w:pPr>
              <w:adjustRightInd w:val="0"/>
              <w:snapToGrid w:val="0"/>
              <w:spacing w:line="300" w:lineRule="auto"/>
              <w:jc w:val="center"/>
              <w:rPr>
                <w:rFonts w:ascii="Times New Roman" w:hAnsi="Times New Roman"/>
                <w:snapToGrid w:val="0"/>
                <w:kern w:val="0"/>
                <w:szCs w:val="24"/>
              </w:rPr>
            </w:pPr>
            <w:r>
              <w:rPr>
                <w:rFonts w:hint="eastAsia" w:ascii="Times New Roman" w:hAnsi="Times New Roman"/>
                <w:snapToGrid w:val="0"/>
                <w:kern w:val="0"/>
                <w:szCs w:val="24"/>
              </w:rPr>
              <w:t>合</w:t>
            </w:r>
            <w:r>
              <w:rPr>
                <w:rFonts w:ascii="Times New Roman" w:hAnsi="Times New Roman"/>
                <w:snapToGrid w:val="0"/>
                <w:kern w:val="0"/>
                <w:szCs w:val="24"/>
              </w:rPr>
              <w:t xml:space="preserve">   </w:t>
            </w:r>
            <w:r>
              <w:rPr>
                <w:rFonts w:hint="eastAsia" w:ascii="Times New Roman" w:hAnsi="Times New Roman"/>
                <w:snapToGrid w:val="0"/>
                <w:kern w:val="0"/>
                <w:szCs w:val="24"/>
              </w:rPr>
              <w:t>计（即投标总价，单位：元）</w:t>
            </w:r>
          </w:p>
        </w:tc>
        <w:tc>
          <w:tcPr>
            <w:tcW w:w="1701" w:type="dxa"/>
            <w:tcBorders>
              <w:top w:val="single" w:color="auto" w:sz="4" w:space="0"/>
            </w:tcBorders>
            <w:vAlign w:val="center"/>
          </w:tcPr>
          <w:p w14:paraId="30DA7B50">
            <w:pPr>
              <w:adjustRightInd w:val="0"/>
              <w:snapToGrid w:val="0"/>
              <w:spacing w:line="300" w:lineRule="auto"/>
              <w:jc w:val="center"/>
              <w:rPr>
                <w:rFonts w:ascii="Times New Roman" w:hAnsi="Times New Roman"/>
                <w:snapToGrid w:val="0"/>
                <w:kern w:val="0"/>
                <w:szCs w:val="24"/>
              </w:rPr>
            </w:pPr>
          </w:p>
        </w:tc>
        <w:tc>
          <w:tcPr>
            <w:tcW w:w="1125" w:type="dxa"/>
            <w:tcBorders>
              <w:top w:val="single" w:color="auto" w:sz="4" w:space="0"/>
            </w:tcBorders>
            <w:vAlign w:val="center"/>
          </w:tcPr>
          <w:p w14:paraId="52FD4EB4">
            <w:pPr>
              <w:adjustRightInd w:val="0"/>
              <w:snapToGrid w:val="0"/>
              <w:spacing w:line="300" w:lineRule="auto"/>
              <w:jc w:val="center"/>
              <w:rPr>
                <w:rFonts w:ascii="Times New Roman" w:hAnsi="Times New Roman"/>
                <w:snapToGrid w:val="0"/>
                <w:kern w:val="0"/>
                <w:szCs w:val="24"/>
              </w:rPr>
            </w:pPr>
          </w:p>
        </w:tc>
      </w:tr>
    </w:tbl>
    <w:p w14:paraId="016F9A1B">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注：1、本表格仅为指导性范本，供应商可根据项目具体情况对各分项内容进行调整。</w:t>
      </w:r>
    </w:p>
    <w:p w14:paraId="7B9177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2、投标总价应为以上各分项价格之和。</w:t>
      </w:r>
    </w:p>
    <w:p w14:paraId="60C5A50A">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3、开标一览表的投标总价必须与以上分项报价清单的投标总价一致。</w:t>
      </w:r>
    </w:p>
    <w:p w14:paraId="4EE4E69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w:t>
      </w:r>
      <w:r>
        <w:rPr>
          <w:rFonts w:hint="eastAsia" w:ascii="宋体" w:hAnsi="宋体"/>
          <w:szCs w:val="21"/>
        </w:rPr>
        <w:t>根据《中华人民共和国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33E6802">
      <w:pPr>
        <w:keepNext/>
        <w:keepLines/>
        <w:tabs>
          <w:tab w:val="left" w:pos="765"/>
        </w:tabs>
        <w:spacing w:line="376" w:lineRule="auto"/>
        <w:outlineLvl w:val="3"/>
        <w:rPr>
          <w:rFonts w:asciiTheme="minorEastAsia" w:hAnsiTheme="minorEastAsia" w:eastAsiaTheme="minorEastAsia"/>
          <w:bCs/>
          <w:kern w:val="0"/>
          <w:szCs w:val="21"/>
        </w:rPr>
      </w:pPr>
    </w:p>
    <w:p w14:paraId="1F761FCA">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六</w:t>
      </w:r>
      <w:r>
        <w:rPr>
          <w:rFonts w:hint="eastAsia" w:ascii="黑体" w:hAnsi="宋体" w:eastAsia="黑体"/>
          <w:bCs/>
          <w:kern w:val="0"/>
          <w:sz w:val="24"/>
          <w:szCs w:val="24"/>
        </w:rPr>
        <w:t>、服务要求偏离表</w:t>
      </w:r>
    </w:p>
    <w:tbl>
      <w:tblPr>
        <w:tblStyle w:val="4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bl>
    <w:p w14:paraId="481C686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4C407108">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1</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“招标文件服务要求”一栏填写招标文件第二章“招标项目需求”</w:t>
      </w:r>
      <w:r>
        <w:rPr>
          <w:rFonts w:asciiTheme="minorEastAsia" w:hAnsiTheme="minorEastAsia" w:eastAsiaTheme="minorEastAsia"/>
          <w:b/>
          <w:bCs/>
          <w:kern w:val="0"/>
          <w:szCs w:val="21"/>
          <w:highlight w:val="yellow"/>
        </w:rPr>
        <w:t>“</w:t>
      </w:r>
      <w:r>
        <w:rPr>
          <w:rFonts w:hint="eastAsia" w:asciiTheme="minorEastAsia" w:hAnsiTheme="minorEastAsia" w:eastAsiaTheme="minorEastAsia"/>
          <w:b/>
          <w:bCs/>
          <w:kern w:val="0"/>
          <w:szCs w:val="21"/>
          <w:highlight w:val="yellow"/>
        </w:rPr>
        <w:t>四、项目</w:t>
      </w:r>
      <w:r>
        <w:rPr>
          <w:rFonts w:asciiTheme="minorEastAsia" w:hAnsiTheme="minorEastAsia" w:eastAsiaTheme="minorEastAsia"/>
          <w:b/>
          <w:bCs/>
          <w:kern w:val="0"/>
          <w:szCs w:val="21"/>
          <w:highlight w:val="yellow"/>
        </w:rPr>
        <w:t>服务</w:t>
      </w:r>
      <w:r>
        <w:rPr>
          <w:rFonts w:hint="eastAsia" w:asciiTheme="minorEastAsia" w:hAnsiTheme="minorEastAsia" w:eastAsiaTheme="minorEastAsia"/>
          <w:b/>
          <w:bCs/>
          <w:kern w:val="0"/>
          <w:szCs w:val="21"/>
          <w:highlight w:val="yellow"/>
        </w:rPr>
        <w:t>要求</w:t>
      </w:r>
      <w:r>
        <w:rPr>
          <w:rFonts w:asciiTheme="minorEastAsia" w:hAnsiTheme="minorEastAsia" w:eastAsiaTheme="minorEastAsia"/>
          <w:b/>
          <w:bCs/>
          <w:kern w:val="0"/>
          <w:szCs w:val="21"/>
          <w:highlight w:val="yellow"/>
        </w:rPr>
        <w:t>”</w:t>
      </w:r>
      <w:r>
        <w:rPr>
          <w:rFonts w:asciiTheme="minorEastAsia" w:hAnsiTheme="minorEastAsia" w:eastAsiaTheme="minorEastAsia"/>
          <w:bCs/>
          <w:kern w:val="0"/>
          <w:szCs w:val="21"/>
        </w:rPr>
        <w:t>的内容。</w:t>
      </w:r>
    </w:p>
    <w:p w14:paraId="4795A060">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2</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“投标文件服务</w:t>
      </w:r>
      <w:r>
        <w:rPr>
          <w:rFonts w:hint="eastAsia" w:asciiTheme="minorEastAsia" w:hAnsiTheme="minorEastAsia" w:eastAsiaTheme="minorEastAsia"/>
          <w:bCs/>
          <w:kern w:val="0"/>
          <w:szCs w:val="21"/>
        </w:rPr>
        <w:t>响应</w:t>
      </w:r>
      <w:r>
        <w:rPr>
          <w:rFonts w:asciiTheme="minorEastAsia" w:hAnsiTheme="minorEastAsia" w:eastAsiaTheme="minorEastAsia"/>
          <w:bCs/>
          <w:kern w:val="0"/>
          <w:szCs w:val="21"/>
        </w:rPr>
        <w:t>”一栏详细填写响应情况，并应对照</w:t>
      </w:r>
      <w:r>
        <w:rPr>
          <w:rFonts w:hint="eastAsia" w:asciiTheme="minorEastAsia" w:hAnsiTheme="minorEastAsia" w:eastAsiaTheme="minorEastAsia"/>
          <w:bCs/>
          <w:kern w:val="0"/>
          <w:szCs w:val="21"/>
        </w:rPr>
        <w:t>招</w:t>
      </w:r>
      <w:r>
        <w:rPr>
          <w:rFonts w:asciiTheme="minorEastAsia" w:hAnsiTheme="minorEastAsia" w:eastAsiaTheme="minorEastAsia"/>
          <w:bCs/>
          <w:kern w:val="0"/>
          <w:szCs w:val="21"/>
        </w:rPr>
        <w:t>标文件</w:t>
      </w:r>
      <w:r>
        <w:rPr>
          <w:rFonts w:hint="eastAsia" w:asciiTheme="minorEastAsia" w:hAnsiTheme="minorEastAsia" w:eastAsiaTheme="minorEastAsia"/>
          <w:bCs/>
          <w:kern w:val="0"/>
          <w:szCs w:val="21"/>
        </w:rPr>
        <w:t>服务</w:t>
      </w:r>
      <w:r>
        <w:rPr>
          <w:rFonts w:asciiTheme="minorEastAsia" w:hAnsiTheme="minorEastAsia" w:eastAsiaTheme="minorEastAsia"/>
          <w:bCs/>
          <w:kern w:val="0"/>
          <w:szCs w:val="21"/>
        </w:rPr>
        <w:t>要求一一对应响应。</w:t>
      </w:r>
    </w:p>
    <w:p w14:paraId="18856264">
      <w:pPr>
        <w:keepNext/>
        <w:keepLines/>
        <w:tabs>
          <w:tab w:val="left" w:pos="765"/>
        </w:tabs>
        <w:spacing w:line="376" w:lineRule="auto"/>
        <w:outlineLvl w:val="3"/>
        <w:rPr>
          <w:rFonts w:asciiTheme="minorEastAsia" w:hAnsiTheme="minorEastAsia" w:eastAsiaTheme="minorEastAsia"/>
          <w:bCs/>
          <w:kern w:val="0"/>
          <w:szCs w:val="21"/>
        </w:rPr>
      </w:pPr>
      <w:r>
        <w:rPr>
          <w:rFonts w:asciiTheme="minorEastAsia" w:hAnsiTheme="minorEastAsia" w:eastAsiaTheme="minorEastAsia"/>
          <w:bCs/>
          <w:kern w:val="0"/>
          <w:szCs w:val="21"/>
        </w:rPr>
        <w:t>3</w:t>
      </w:r>
      <w:r>
        <w:rPr>
          <w:rFonts w:hint="eastAsia" w:asciiTheme="minorEastAsia" w:hAnsiTheme="minorEastAsia" w:eastAsiaTheme="minorEastAsia"/>
          <w:bCs/>
          <w:kern w:val="0"/>
          <w:szCs w:val="21"/>
        </w:rPr>
        <w:t>、</w:t>
      </w:r>
      <w:r>
        <w:rPr>
          <w:rFonts w:asciiTheme="minorEastAsia" w:hAnsiTheme="minorEastAsia" w:eastAsiaTheme="minorEastAsia"/>
          <w:bCs/>
          <w:kern w:val="0"/>
          <w:szCs w:val="21"/>
        </w:rPr>
        <w:t>“偏离情况”一栏应如实填写“正偏离”、“负偏离”或“无偏离”。</w:t>
      </w:r>
    </w:p>
    <w:p w14:paraId="0BB97D25">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48E999F8">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32350FA9">
      <w:pPr>
        <w:spacing w:afterLines="50"/>
        <w:jc w:val="center"/>
        <w:rPr>
          <w:rFonts w:ascii="黑体" w:hAnsi="宋体" w:eastAsia="黑体"/>
          <w:bCs/>
          <w:kern w:val="0"/>
          <w:sz w:val="24"/>
          <w:szCs w:val="24"/>
        </w:rPr>
      </w:pPr>
      <w:r>
        <w:rPr>
          <w:rFonts w:hint="eastAsia" w:ascii="黑体" w:hAnsi="宋体" w:eastAsia="黑体"/>
          <w:bCs/>
          <w:kern w:val="0"/>
          <w:sz w:val="24"/>
          <w:szCs w:val="24"/>
          <w:lang w:eastAsia="zh-CN"/>
        </w:rPr>
        <w:t>七</w:t>
      </w:r>
      <w:r>
        <w:rPr>
          <w:rFonts w:hint="eastAsia" w:ascii="黑体" w:hAnsi="宋体" w:eastAsia="黑体"/>
          <w:bCs/>
          <w:kern w:val="0"/>
          <w:sz w:val="24"/>
          <w:szCs w:val="24"/>
        </w:rPr>
        <w:t>、商务要求偏离表</w:t>
      </w:r>
    </w:p>
    <w:tbl>
      <w:tblPr>
        <w:tblStyle w:val="42"/>
        <w:tblW w:w="91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410"/>
        <w:gridCol w:w="2551"/>
        <w:gridCol w:w="1344"/>
        <w:gridCol w:w="2008"/>
      </w:tblGrid>
      <w:tr w14:paraId="79AD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851" w:type="dxa"/>
            <w:vAlign w:val="center"/>
          </w:tcPr>
          <w:p w14:paraId="50E5A7B9">
            <w:pPr>
              <w:jc w:val="center"/>
              <w:rPr>
                <w:rFonts w:ascii="宋体" w:hAnsi="宋体"/>
                <w:szCs w:val="21"/>
              </w:rPr>
            </w:pPr>
            <w:r>
              <w:rPr>
                <w:rFonts w:hint="eastAsia" w:ascii="宋体" w:hAnsi="宋体"/>
                <w:szCs w:val="21"/>
              </w:rPr>
              <w:t>序号</w:t>
            </w:r>
          </w:p>
        </w:tc>
        <w:tc>
          <w:tcPr>
            <w:tcW w:w="2410" w:type="dxa"/>
            <w:vAlign w:val="center"/>
          </w:tcPr>
          <w:p w14:paraId="7AF764F6">
            <w:pPr>
              <w:jc w:val="center"/>
              <w:rPr>
                <w:rFonts w:ascii="宋体" w:hAnsi="宋体"/>
                <w:szCs w:val="21"/>
              </w:rPr>
            </w:pPr>
            <w:r>
              <w:rPr>
                <w:rFonts w:hint="eastAsia" w:ascii="宋体" w:hAnsi="宋体"/>
                <w:szCs w:val="21"/>
              </w:rPr>
              <w:t>招标文件商务要求</w:t>
            </w:r>
          </w:p>
        </w:tc>
        <w:tc>
          <w:tcPr>
            <w:tcW w:w="2551" w:type="dxa"/>
            <w:vAlign w:val="center"/>
          </w:tcPr>
          <w:p w14:paraId="42F0B6E4">
            <w:pPr>
              <w:jc w:val="center"/>
              <w:rPr>
                <w:rFonts w:ascii="宋体" w:hAnsi="宋体"/>
                <w:szCs w:val="21"/>
              </w:rPr>
            </w:pPr>
            <w:r>
              <w:rPr>
                <w:rFonts w:hint="eastAsia" w:ascii="宋体" w:hAnsi="宋体"/>
                <w:szCs w:val="21"/>
              </w:rPr>
              <w:t>投标文件商务响应</w:t>
            </w:r>
          </w:p>
        </w:tc>
        <w:tc>
          <w:tcPr>
            <w:tcW w:w="1344" w:type="dxa"/>
            <w:vAlign w:val="center"/>
          </w:tcPr>
          <w:p w14:paraId="62AFABD0">
            <w:pPr>
              <w:jc w:val="center"/>
              <w:rPr>
                <w:rFonts w:ascii="宋体" w:hAnsi="宋体"/>
                <w:szCs w:val="21"/>
              </w:rPr>
            </w:pPr>
            <w:r>
              <w:rPr>
                <w:rFonts w:hint="eastAsia" w:ascii="宋体" w:hAnsi="宋体"/>
                <w:szCs w:val="21"/>
              </w:rPr>
              <w:t>偏离情况</w:t>
            </w:r>
          </w:p>
        </w:tc>
        <w:tc>
          <w:tcPr>
            <w:tcW w:w="2008" w:type="dxa"/>
            <w:vAlign w:val="center"/>
          </w:tcPr>
          <w:p w14:paraId="18755FA9">
            <w:pPr>
              <w:jc w:val="center"/>
              <w:rPr>
                <w:rFonts w:ascii="宋体" w:hAnsi="宋体"/>
                <w:szCs w:val="21"/>
              </w:rPr>
            </w:pPr>
            <w:r>
              <w:rPr>
                <w:rFonts w:hint="eastAsia" w:ascii="宋体" w:hAnsi="宋体"/>
                <w:szCs w:val="21"/>
              </w:rPr>
              <w:t>说明</w:t>
            </w:r>
          </w:p>
        </w:tc>
      </w:tr>
      <w:tr w14:paraId="311F0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51" w:type="dxa"/>
          </w:tcPr>
          <w:p w14:paraId="00EEF4A7">
            <w:pPr>
              <w:rPr>
                <w:sz w:val="24"/>
              </w:rPr>
            </w:pPr>
          </w:p>
        </w:tc>
        <w:tc>
          <w:tcPr>
            <w:tcW w:w="2410" w:type="dxa"/>
          </w:tcPr>
          <w:p w14:paraId="03CB5AC6">
            <w:pPr>
              <w:rPr>
                <w:sz w:val="24"/>
              </w:rPr>
            </w:pPr>
          </w:p>
        </w:tc>
        <w:tc>
          <w:tcPr>
            <w:tcW w:w="2551" w:type="dxa"/>
          </w:tcPr>
          <w:p w14:paraId="629C5896">
            <w:pPr>
              <w:rPr>
                <w:sz w:val="24"/>
              </w:rPr>
            </w:pPr>
          </w:p>
        </w:tc>
        <w:tc>
          <w:tcPr>
            <w:tcW w:w="1344" w:type="dxa"/>
          </w:tcPr>
          <w:p w14:paraId="2A0C28EE">
            <w:pPr>
              <w:rPr>
                <w:sz w:val="24"/>
              </w:rPr>
            </w:pPr>
          </w:p>
        </w:tc>
        <w:tc>
          <w:tcPr>
            <w:tcW w:w="2008" w:type="dxa"/>
          </w:tcPr>
          <w:p w14:paraId="00CC59FA">
            <w:pPr>
              <w:rPr>
                <w:sz w:val="24"/>
              </w:rPr>
            </w:pPr>
            <w:r>
              <w:rPr>
                <w:rFonts w:hint="eastAsia"/>
                <w:szCs w:val="21"/>
              </w:rPr>
              <w:t>如需附证明文件，应在“说明”栏填写证明文件对应名称和页码。</w:t>
            </w:r>
          </w:p>
        </w:tc>
      </w:tr>
      <w:tr w14:paraId="7A13F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1" w:type="dxa"/>
          </w:tcPr>
          <w:p w14:paraId="57EF8A31">
            <w:pPr>
              <w:rPr>
                <w:sz w:val="24"/>
              </w:rPr>
            </w:pPr>
          </w:p>
        </w:tc>
        <w:tc>
          <w:tcPr>
            <w:tcW w:w="2410" w:type="dxa"/>
          </w:tcPr>
          <w:p w14:paraId="621CBA5F">
            <w:pPr>
              <w:rPr>
                <w:sz w:val="24"/>
              </w:rPr>
            </w:pPr>
          </w:p>
        </w:tc>
        <w:tc>
          <w:tcPr>
            <w:tcW w:w="2551" w:type="dxa"/>
          </w:tcPr>
          <w:p w14:paraId="4528F0C9">
            <w:pPr>
              <w:rPr>
                <w:sz w:val="24"/>
              </w:rPr>
            </w:pPr>
          </w:p>
        </w:tc>
        <w:tc>
          <w:tcPr>
            <w:tcW w:w="1344" w:type="dxa"/>
          </w:tcPr>
          <w:p w14:paraId="707065F9">
            <w:pPr>
              <w:rPr>
                <w:sz w:val="24"/>
              </w:rPr>
            </w:pPr>
          </w:p>
        </w:tc>
        <w:tc>
          <w:tcPr>
            <w:tcW w:w="2008" w:type="dxa"/>
          </w:tcPr>
          <w:p w14:paraId="0A5347C0">
            <w:pPr>
              <w:rPr>
                <w:sz w:val="24"/>
              </w:rPr>
            </w:pPr>
          </w:p>
        </w:tc>
      </w:tr>
    </w:tbl>
    <w:p w14:paraId="25B83E1D">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备注：</w:t>
      </w:r>
    </w:p>
    <w:p w14:paraId="01BDA369">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1、“招标文件商务服务要求”一栏填写招标文件第二章“招标项目需求”</w:t>
      </w:r>
      <w:r>
        <w:rPr>
          <w:rFonts w:hint="eastAsia" w:asciiTheme="minorEastAsia" w:hAnsiTheme="minorEastAsia" w:eastAsiaTheme="minorEastAsia"/>
          <w:b/>
          <w:bCs/>
          <w:kern w:val="0"/>
          <w:szCs w:val="21"/>
          <w:highlight w:val="yellow"/>
        </w:rPr>
        <w:t>“五、项目商务要求”</w:t>
      </w:r>
      <w:r>
        <w:rPr>
          <w:rFonts w:hint="eastAsia" w:asciiTheme="minorEastAsia" w:hAnsiTheme="minorEastAsia" w:eastAsiaTheme="minorEastAsia"/>
          <w:bCs/>
          <w:kern w:val="0"/>
          <w:szCs w:val="21"/>
        </w:rPr>
        <w:t>的内容</w:t>
      </w:r>
      <w:r>
        <w:rPr>
          <w:rFonts w:asciiTheme="minorEastAsia" w:hAnsiTheme="minorEastAsia" w:eastAsiaTheme="minorEastAsia"/>
          <w:bCs/>
          <w:kern w:val="0"/>
          <w:szCs w:val="21"/>
        </w:rPr>
        <w:t>。</w:t>
      </w:r>
    </w:p>
    <w:p w14:paraId="49B8AD4F">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2、“投标文件商务响应”一栏详细填写投标商务条款的内容</w:t>
      </w:r>
      <w:r>
        <w:rPr>
          <w:rFonts w:asciiTheme="minorEastAsia" w:hAnsiTheme="minorEastAsia" w:eastAsiaTheme="minorEastAsia"/>
          <w:bCs/>
          <w:kern w:val="0"/>
          <w:szCs w:val="21"/>
        </w:rPr>
        <w:t>。</w:t>
      </w:r>
    </w:p>
    <w:p w14:paraId="14D39D37">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3、“偏离情况”栏中应如实填写“正偏离”、“负偏离”或“无偏离”</w:t>
      </w:r>
      <w:r>
        <w:rPr>
          <w:rFonts w:asciiTheme="minorEastAsia" w:hAnsiTheme="minorEastAsia" w:eastAsiaTheme="minorEastAsia"/>
          <w:bCs/>
          <w:kern w:val="0"/>
          <w:szCs w:val="21"/>
        </w:rPr>
        <w:t>。</w:t>
      </w:r>
    </w:p>
    <w:p w14:paraId="3EE00CF2">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4、对于实质性条款，投标文件响应为“负偏离”的，投标文件将作投标无效处理</w:t>
      </w:r>
      <w:r>
        <w:rPr>
          <w:rFonts w:asciiTheme="minorEastAsia" w:hAnsiTheme="minorEastAsia" w:eastAsiaTheme="minorEastAsia"/>
          <w:bCs/>
          <w:kern w:val="0"/>
          <w:szCs w:val="21"/>
        </w:rPr>
        <w:t>。</w:t>
      </w:r>
    </w:p>
    <w:p w14:paraId="55E10043">
      <w:pPr>
        <w:keepNext/>
        <w:keepLines/>
        <w:tabs>
          <w:tab w:val="left" w:pos="765"/>
        </w:tabs>
        <w:spacing w:line="376" w:lineRule="auto"/>
        <w:outlineLvl w:val="3"/>
        <w:rPr>
          <w:rFonts w:asciiTheme="minorEastAsia" w:hAnsiTheme="minorEastAsia" w:eastAsiaTheme="minorEastAsia"/>
          <w:bCs/>
          <w:kern w:val="0"/>
          <w:szCs w:val="21"/>
        </w:rPr>
      </w:pPr>
      <w:r>
        <w:rPr>
          <w:rFonts w:hint="eastAsia" w:asciiTheme="minorEastAsia" w:hAnsiTheme="minorEastAsia" w:eastAsiaTheme="minorEastAsia"/>
          <w:bCs/>
          <w:kern w:val="0"/>
          <w:szCs w:val="21"/>
        </w:rPr>
        <w:t>5、如招标文件要求提供证明材料的，投标文件需提供相应证明材料扫描件（原件备查）并注明证明材料在投标文件中的具体位置，未按要求提供证明材料或未注明证明材料的具体位置或提供的证明资料显示不符合招标文件要求、模糊不清无法判断或未显示是否满足招标文件要求的，均视为负偏离。</w:t>
      </w:r>
    </w:p>
    <w:p w14:paraId="5B34A1CA">
      <w:pPr>
        <w:jc w:val="center"/>
        <w:rPr>
          <w:rFonts w:hint="eastAsia" w:ascii="宋体" w:hAnsi="宋体"/>
          <w:b/>
          <w:bCs/>
          <w:kern w:val="0"/>
          <w:sz w:val="24"/>
          <w:szCs w:val="20"/>
        </w:rPr>
      </w:pPr>
    </w:p>
    <w:p w14:paraId="178B501E">
      <w:pPr>
        <w:jc w:val="center"/>
        <w:rPr>
          <w:rFonts w:hint="eastAsia" w:ascii="宋体" w:hAnsi="宋体"/>
          <w:b/>
          <w:bCs/>
          <w:kern w:val="0"/>
          <w:sz w:val="24"/>
          <w:szCs w:val="20"/>
        </w:rPr>
      </w:pPr>
    </w:p>
    <w:p w14:paraId="73F422CA">
      <w:pPr>
        <w:jc w:val="center"/>
        <w:rPr>
          <w:rFonts w:hint="eastAsia" w:ascii="宋体" w:hAnsi="宋体"/>
          <w:b/>
          <w:bCs/>
          <w:kern w:val="0"/>
          <w:sz w:val="24"/>
          <w:szCs w:val="20"/>
        </w:rPr>
      </w:pPr>
    </w:p>
    <w:p w14:paraId="2212C60F">
      <w:pPr>
        <w:spacing w:afterLines="50"/>
        <w:jc w:val="center"/>
        <w:rPr>
          <w:rFonts w:hint="eastAsia" w:ascii="黑体" w:hAnsi="宋体" w:eastAsia="黑体" w:cs="Times New Roman"/>
          <w:bCs/>
          <w:color w:val="auto"/>
          <w:kern w:val="0"/>
          <w:sz w:val="24"/>
          <w:szCs w:val="24"/>
          <w:lang w:eastAsia="zh-CN"/>
        </w:rPr>
      </w:pPr>
      <w:r>
        <w:rPr>
          <w:rFonts w:hint="eastAsia" w:ascii="黑体" w:hAnsi="宋体" w:eastAsia="黑体" w:cs="Times New Roman"/>
          <w:bCs/>
          <w:color w:val="auto"/>
          <w:kern w:val="0"/>
          <w:sz w:val="24"/>
          <w:szCs w:val="24"/>
        </w:rPr>
        <w:t>招标文件要求的</w:t>
      </w:r>
      <w:r>
        <w:rPr>
          <w:rFonts w:hint="eastAsia" w:ascii="黑体" w:hAnsi="宋体" w:eastAsia="黑体" w:cs="Times New Roman"/>
          <w:bCs/>
          <w:color w:val="auto"/>
          <w:kern w:val="0"/>
          <w:sz w:val="24"/>
          <w:szCs w:val="24"/>
          <w:lang w:eastAsia="zh-CN"/>
        </w:rPr>
        <w:t>其他信息不公开</w:t>
      </w:r>
      <w:r>
        <w:rPr>
          <w:rFonts w:hint="eastAsia" w:ascii="黑体" w:hAnsi="宋体" w:eastAsia="黑体" w:cs="Times New Roman"/>
          <w:bCs/>
          <w:color w:val="auto"/>
          <w:kern w:val="0"/>
          <w:sz w:val="24"/>
          <w:szCs w:val="24"/>
        </w:rPr>
        <w:t>内容</w:t>
      </w:r>
      <w:r>
        <w:rPr>
          <w:rFonts w:hint="eastAsia" w:ascii="黑体" w:hAnsi="宋体" w:eastAsia="黑体" w:cs="Times New Roman"/>
          <w:bCs/>
          <w:color w:val="auto"/>
          <w:kern w:val="0"/>
          <w:sz w:val="24"/>
          <w:szCs w:val="24"/>
          <w:lang w:eastAsia="zh-CN"/>
        </w:rPr>
        <w:t>，由投标人自拟格式。</w:t>
      </w:r>
    </w:p>
    <w:p w14:paraId="2C820204">
      <w:pPr>
        <w:jc w:val="center"/>
        <w:rPr>
          <w:rFonts w:hint="eastAsia" w:ascii="黑体" w:hAnsi="宋体" w:eastAsia="黑体"/>
          <w:bCs/>
          <w:kern w:val="0"/>
          <w:sz w:val="24"/>
          <w:szCs w:val="24"/>
          <w:lang w:eastAsia="zh-CN"/>
        </w:rPr>
      </w:pPr>
    </w:p>
    <w:p w14:paraId="7B42746E">
      <w:pPr>
        <w:rPr>
          <w:rFonts w:hint="eastAsia" w:ascii="宋体" w:hAnsi="宋体"/>
          <w:b/>
          <w:bCs/>
          <w:kern w:val="0"/>
          <w:sz w:val="24"/>
          <w:szCs w:val="20"/>
        </w:rPr>
      </w:pPr>
      <w:r>
        <w:rPr>
          <w:rFonts w:hint="eastAsia" w:ascii="宋体" w:hAnsi="宋体"/>
          <w:b/>
          <w:bCs/>
          <w:kern w:val="0"/>
          <w:sz w:val="24"/>
          <w:szCs w:val="20"/>
        </w:rPr>
        <w:br w:type="page"/>
      </w:r>
    </w:p>
    <w:p w14:paraId="08129F67">
      <w:pPr>
        <w:jc w:val="center"/>
        <w:rPr>
          <w:rFonts w:ascii="宋体" w:hAnsi="宋体"/>
          <w:b/>
          <w:bCs/>
          <w:kern w:val="0"/>
          <w:sz w:val="24"/>
          <w:szCs w:val="20"/>
        </w:rPr>
      </w:pPr>
      <w:r>
        <w:rPr>
          <w:rFonts w:hint="eastAsia" w:ascii="宋体" w:hAnsi="宋体"/>
          <w:b/>
          <w:bCs/>
          <w:kern w:val="0"/>
          <w:sz w:val="24"/>
          <w:szCs w:val="20"/>
        </w:rPr>
        <w:t>第四章  合同及履约情况反馈格式</w:t>
      </w:r>
    </w:p>
    <w:p w14:paraId="7318CE04">
      <w:pPr>
        <w:ind w:firstLine="411" w:firstLineChars="196"/>
        <w:rPr>
          <w:rFonts w:ascii="Times New Roman" w:hAnsi="Times New Roman"/>
          <w:szCs w:val="24"/>
        </w:rPr>
      </w:pPr>
    </w:p>
    <w:p w14:paraId="5EA205C0">
      <w:pPr>
        <w:keepNext/>
        <w:keepLines/>
        <w:spacing w:before="260" w:after="260"/>
        <w:jc w:val="center"/>
        <w:outlineLvl w:val="2"/>
        <w:rPr>
          <w:rFonts w:ascii="Times New Roman" w:hAnsi="Times New Roman"/>
          <w:sz w:val="24"/>
          <w:szCs w:val="24"/>
        </w:rPr>
      </w:pPr>
      <w:r>
        <w:rPr>
          <w:rFonts w:hint="eastAsia" w:ascii="黑体" w:hAnsi="宋体" w:eastAsia="黑体"/>
          <w:bCs/>
          <w:kern w:val="0"/>
          <w:sz w:val="24"/>
          <w:szCs w:val="24"/>
        </w:rPr>
        <w:t>一、合同条款及格式（</w:t>
      </w:r>
      <w:r>
        <w:rPr>
          <w:rFonts w:hint="eastAsia" w:ascii="黑体" w:eastAsia="黑体"/>
          <w:kern w:val="0"/>
          <w:sz w:val="24"/>
          <w:szCs w:val="24"/>
        </w:rPr>
        <w:t>仅供参考</w:t>
      </w:r>
      <w:r>
        <w:rPr>
          <w:rFonts w:hint="eastAsia" w:ascii="黑体" w:hAnsi="宋体" w:eastAsia="黑体"/>
          <w:bCs/>
          <w:kern w:val="0"/>
          <w:sz w:val="24"/>
          <w:szCs w:val="24"/>
        </w:rPr>
        <w:t>）</w:t>
      </w:r>
      <w:bookmarkStart w:id="11" w:name="_Toc100052414"/>
      <w:bookmarkStart w:id="12" w:name="_Toc73518163"/>
      <w:bookmarkStart w:id="13" w:name="_Toc101074886"/>
      <w:bookmarkStart w:id="14" w:name="_Toc73517685"/>
      <w:bookmarkStart w:id="15" w:name="_Toc73521680"/>
      <w:bookmarkStart w:id="16" w:name="_Toc84303603"/>
      <w:bookmarkStart w:id="17" w:name="_Toc73521592"/>
    </w:p>
    <w:p w14:paraId="0C3E97E1">
      <w:pPr>
        <w:ind w:firstLine="470" w:firstLineChars="196"/>
        <w:jc w:val="center"/>
        <w:rPr>
          <w:rFonts w:ascii="Times New Roman" w:hAnsi="Times New Roman"/>
          <w:sz w:val="24"/>
          <w:szCs w:val="24"/>
        </w:rPr>
      </w:pPr>
    </w:p>
    <w:bookmarkEnd w:id="11"/>
    <w:bookmarkEnd w:id="12"/>
    <w:bookmarkEnd w:id="13"/>
    <w:bookmarkEnd w:id="14"/>
    <w:bookmarkEnd w:id="15"/>
    <w:bookmarkEnd w:id="16"/>
    <w:bookmarkEnd w:id="17"/>
    <w:p w14:paraId="0D6FB2FD">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C6A0976">
      <w:pPr>
        <w:snapToGrid w:val="0"/>
        <w:spacing w:line="560" w:lineRule="exact"/>
        <w:rPr>
          <w:sz w:val="24"/>
        </w:rPr>
      </w:pPr>
      <w:r>
        <w:rPr>
          <w:rFonts w:hint="eastAsia" w:ascii="黑体" w:eastAsia="黑体"/>
          <w:sz w:val="24"/>
        </w:rPr>
        <w:t>合同编号</w:t>
      </w:r>
      <w:r>
        <w:rPr>
          <w:rFonts w:hint="eastAsia"/>
          <w:sz w:val="24"/>
        </w:rPr>
        <w:t>：</w:t>
      </w:r>
      <w:r>
        <w:rPr>
          <w:rFonts w:hint="eastAsia"/>
          <w:sz w:val="24"/>
          <w:u w:val="single"/>
        </w:rPr>
        <w:t xml:space="preserve">                     </w:t>
      </w:r>
    </w:p>
    <w:p w14:paraId="6CFE4A57">
      <w:pPr>
        <w:snapToGrid w:val="0"/>
        <w:spacing w:line="560" w:lineRule="exact"/>
        <w:rPr>
          <w:sz w:val="24"/>
        </w:rPr>
      </w:pPr>
    </w:p>
    <w:p w14:paraId="6FE27CD7">
      <w:pPr>
        <w:snapToGrid w:val="0"/>
        <w:spacing w:line="560" w:lineRule="exact"/>
        <w:rPr>
          <w:sz w:val="24"/>
        </w:rPr>
      </w:pPr>
    </w:p>
    <w:p w14:paraId="5CCB77AF">
      <w:pPr>
        <w:snapToGrid w:val="0"/>
        <w:spacing w:line="560" w:lineRule="exact"/>
        <w:rPr>
          <w:sz w:val="24"/>
        </w:rPr>
      </w:pPr>
    </w:p>
    <w:p w14:paraId="457EC365">
      <w:pPr>
        <w:snapToGrid w:val="0"/>
        <w:spacing w:line="560" w:lineRule="exact"/>
        <w:rPr>
          <w:sz w:val="24"/>
        </w:rPr>
      </w:pPr>
    </w:p>
    <w:p w14:paraId="68EB4DF0">
      <w:pPr>
        <w:snapToGrid w:val="0"/>
        <w:spacing w:line="560" w:lineRule="exact"/>
        <w:rPr>
          <w:sz w:val="24"/>
        </w:rPr>
      </w:pPr>
    </w:p>
    <w:p w14:paraId="6ACB3AB4">
      <w:pPr>
        <w:snapToGrid w:val="0"/>
        <w:spacing w:line="560" w:lineRule="exact"/>
        <w:jc w:val="center"/>
        <w:outlineLvl w:val="0"/>
        <w:rPr>
          <w:rFonts w:ascii="黑体" w:eastAsia="黑体" w:cs="黑体"/>
          <w:sz w:val="36"/>
          <w:szCs w:val="36"/>
        </w:rPr>
      </w:pPr>
      <w:r>
        <w:rPr>
          <w:rFonts w:hint="eastAsia" w:ascii="宋体" w:hAnsi="宋体"/>
          <w:b/>
          <w:bCs/>
          <w:sz w:val="36"/>
          <w:szCs w:val="36"/>
          <w:u w:val="single"/>
        </w:rPr>
        <w:t>圳品工程--“圳品”标准体系建设和评价监督推广项目（</w:t>
      </w:r>
      <w:r>
        <w:rPr>
          <w:rFonts w:hint="eastAsia" w:ascii="宋体" w:hAnsi="宋体"/>
          <w:b/>
          <w:bCs/>
          <w:sz w:val="36"/>
          <w:szCs w:val="36"/>
          <w:u w:val="single"/>
          <w:lang w:val="en-US" w:eastAsia="zh-CN"/>
        </w:rPr>
        <w:t>G包</w:t>
      </w:r>
      <w:r>
        <w:rPr>
          <w:rFonts w:hint="eastAsia" w:ascii="宋体" w:hAnsi="宋体"/>
          <w:b/>
          <w:bCs/>
          <w:sz w:val="36"/>
          <w:szCs w:val="36"/>
          <w:u w:val="single"/>
        </w:rPr>
        <w:t>）</w:t>
      </w:r>
      <w:r>
        <w:rPr>
          <w:rFonts w:hint="eastAsia" w:ascii="黑体" w:eastAsia="黑体" w:cs="黑体"/>
          <w:sz w:val="36"/>
          <w:szCs w:val="36"/>
        </w:rPr>
        <w:t>合同</w:t>
      </w:r>
    </w:p>
    <w:p w14:paraId="0958F6F2">
      <w:pPr>
        <w:snapToGrid w:val="0"/>
        <w:spacing w:line="560" w:lineRule="exact"/>
        <w:rPr>
          <w:sz w:val="24"/>
        </w:rPr>
      </w:pPr>
    </w:p>
    <w:p w14:paraId="7739417D">
      <w:pPr>
        <w:snapToGrid w:val="0"/>
        <w:spacing w:line="560" w:lineRule="exact"/>
        <w:rPr>
          <w:sz w:val="24"/>
        </w:rPr>
      </w:pPr>
    </w:p>
    <w:p w14:paraId="067A288B">
      <w:pPr>
        <w:snapToGrid w:val="0"/>
        <w:spacing w:line="560" w:lineRule="exact"/>
        <w:rPr>
          <w:sz w:val="24"/>
        </w:rPr>
      </w:pPr>
    </w:p>
    <w:p w14:paraId="348D877A">
      <w:pPr>
        <w:snapToGrid w:val="0"/>
        <w:spacing w:line="560" w:lineRule="exact"/>
        <w:rPr>
          <w:sz w:val="24"/>
        </w:rPr>
      </w:pPr>
    </w:p>
    <w:p w14:paraId="30559FB8">
      <w:pPr>
        <w:snapToGrid w:val="0"/>
        <w:spacing w:line="560" w:lineRule="exact"/>
        <w:rPr>
          <w:sz w:val="24"/>
        </w:rPr>
      </w:pPr>
    </w:p>
    <w:p w14:paraId="13F08A61">
      <w:pPr>
        <w:snapToGrid w:val="0"/>
        <w:spacing w:line="560" w:lineRule="exact"/>
        <w:ind w:left="1260" w:hanging="1260" w:hangingChars="450"/>
        <w:rPr>
          <w:rFonts w:hint="eastAsia" w:ascii="黑体" w:eastAsia="黑体"/>
          <w:sz w:val="28"/>
          <w:szCs w:val="28"/>
          <w:u w:val="single"/>
        </w:rPr>
      </w:pPr>
      <w:r>
        <w:rPr>
          <w:rFonts w:hint="eastAsia" w:ascii="黑体" w:eastAsia="黑体"/>
          <w:sz w:val="28"/>
          <w:szCs w:val="28"/>
        </w:rPr>
        <w:t>项目名称：</w:t>
      </w:r>
      <w:r>
        <w:rPr>
          <w:rFonts w:hint="eastAsia" w:ascii="黑体" w:eastAsia="黑体"/>
          <w:sz w:val="28"/>
          <w:szCs w:val="28"/>
          <w:u w:val="single"/>
        </w:rPr>
        <w:t xml:space="preserve"> 圳品工程--“圳品”标准体系建设和评价监督推广项目（</w:t>
      </w:r>
      <w:r>
        <w:rPr>
          <w:rFonts w:hint="eastAsia" w:ascii="黑体" w:eastAsia="黑体"/>
          <w:sz w:val="28"/>
          <w:szCs w:val="28"/>
          <w:u w:val="single"/>
          <w:lang w:val="en-US" w:eastAsia="zh-CN"/>
        </w:rPr>
        <w:t>G包</w:t>
      </w:r>
      <w:r>
        <w:rPr>
          <w:rFonts w:hint="eastAsia" w:ascii="黑体" w:eastAsia="黑体"/>
          <w:sz w:val="28"/>
          <w:szCs w:val="28"/>
          <w:u w:val="single"/>
        </w:rPr>
        <w:t>）合同</w:t>
      </w:r>
    </w:p>
    <w:p w14:paraId="71115DAF">
      <w:pPr>
        <w:snapToGrid w:val="0"/>
        <w:spacing w:line="560" w:lineRule="exact"/>
        <w:rPr>
          <w:rFonts w:ascii="黑体" w:eastAsia="黑体"/>
          <w:sz w:val="28"/>
          <w:szCs w:val="28"/>
        </w:rPr>
      </w:pPr>
      <w:r>
        <w:rPr>
          <w:rFonts w:hint="eastAsia" w:ascii="黑体" w:eastAsia="黑体"/>
          <w:sz w:val="28"/>
          <w:szCs w:val="28"/>
        </w:rPr>
        <w:t>甲    方：</w:t>
      </w:r>
      <w:r>
        <w:rPr>
          <w:rFonts w:hint="eastAsia" w:ascii="黑体" w:eastAsia="黑体"/>
          <w:sz w:val="28"/>
          <w:szCs w:val="28"/>
          <w:u w:val="single"/>
        </w:rPr>
        <w:t xml:space="preserve"> </w:t>
      </w:r>
      <w:r>
        <w:rPr>
          <w:rFonts w:ascii="黑体" w:eastAsia="黑体"/>
          <w:sz w:val="28"/>
          <w:szCs w:val="28"/>
          <w:u w:val="single"/>
        </w:rPr>
        <w:t xml:space="preserve"> </w:t>
      </w:r>
      <w:r>
        <w:rPr>
          <w:rFonts w:hint="eastAsia" w:ascii="黑体" w:eastAsia="黑体"/>
          <w:sz w:val="28"/>
          <w:szCs w:val="28"/>
          <w:u w:val="single"/>
        </w:rPr>
        <w:t>深圳市市场监督管理局</w:t>
      </w:r>
      <w:r>
        <w:rPr>
          <w:rFonts w:ascii="黑体" w:eastAsia="黑体"/>
          <w:sz w:val="28"/>
          <w:szCs w:val="28"/>
          <w:u w:val="single"/>
        </w:rPr>
        <w:t xml:space="preserve"> </w:t>
      </w:r>
      <w:r>
        <w:rPr>
          <w:rFonts w:hint="eastAsia" w:ascii="黑体" w:eastAsia="黑体"/>
          <w:sz w:val="28"/>
          <w:szCs w:val="28"/>
          <w:u w:val="single"/>
        </w:rPr>
        <w:t xml:space="preserve">                        </w:t>
      </w:r>
    </w:p>
    <w:p w14:paraId="39D88129">
      <w:pPr>
        <w:snapToGrid w:val="0"/>
        <w:spacing w:line="560" w:lineRule="exact"/>
        <w:ind w:left="1400" w:hanging="1400" w:hangingChars="500"/>
        <w:rPr>
          <w:sz w:val="28"/>
          <w:szCs w:val="28"/>
          <w:u w:val="single"/>
        </w:rPr>
      </w:pPr>
      <w:r>
        <w:rPr>
          <w:rFonts w:hint="eastAsia" w:ascii="黑体" w:eastAsia="黑体"/>
          <w:sz w:val="28"/>
          <w:szCs w:val="28"/>
        </w:rPr>
        <w:t>乙    方：</w:t>
      </w:r>
      <w:r>
        <w:rPr>
          <w:rFonts w:hint="eastAsia" w:ascii="黑体" w:eastAsia="黑体"/>
          <w:sz w:val="28"/>
          <w:szCs w:val="28"/>
          <w:u w:val="single"/>
        </w:rPr>
        <w:t xml:space="preserve">                                               </w:t>
      </w:r>
    </w:p>
    <w:p w14:paraId="778A4BBE">
      <w:pPr>
        <w:snapToGrid w:val="0"/>
        <w:spacing w:line="560" w:lineRule="exact"/>
        <w:rPr>
          <w:sz w:val="28"/>
          <w:szCs w:val="28"/>
          <w:u w:val="single"/>
        </w:rPr>
      </w:pPr>
    </w:p>
    <w:p w14:paraId="1EF5E88E">
      <w:pPr>
        <w:snapToGrid w:val="0"/>
        <w:spacing w:line="560" w:lineRule="exact"/>
        <w:jc w:val="center"/>
        <w:rPr>
          <w:rFonts w:ascii="仿宋" w:eastAsia="仿宋"/>
          <w:sz w:val="28"/>
          <w:szCs w:val="28"/>
        </w:rPr>
      </w:pPr>
      <w:r>
        <w:rPr>
          <w:rFonts w:hint="eastAsia" w:ascii="仿宋" w:eastAsia="仿宋"/>
          <w:sz w:val="28"/>
          <w:szCs w:val="28"/>
        </w:rPr>
        <w:t>年   月   日</w:t>
      </w:r>
    </w:p>
    <w:p w14:paraId="43838D59">
      <w:pPr>
        <w:snapToGrid w:val="0"/>
        <w:spacing w:line="560" w:lineRule="exact"/>
        <w:rPr>
          <w:rFonts w:ascii="黑体" w:eastAsia="黑体"/>
          <w:sz w:val="32"/>
          <w:szCs w:val="32"/>
        </w:rPr>
        <w:sectPr>
          <w:pgSz w:w="11906" w:h="16838"/>
          <w:pgMar w:top="1440" w:right="1800" w:bottom="1440" w:left="1800" w:header="851" w:footer="992" w:gutter="0"/>
          <w:cols w:space="720" w:num="1"/>
          <w:docGrid w:type="lines" w:linePitch="387" w:charSpace="0"/>
        </w:sectPr>
      </w:pPr>
    </w:p>
    <w:p w14:paraId="0751853D">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甲方 ：</w:t>
      </w:r>
      <w:r>
        <w:rPr>
          <w:rFonts w:hint="eastAsia" w:asciiTheme="minorEastAsia" w:hAnsiTheme="minorEastAsia" w:eastAsiaTheme="minorEastAsia" w:cstheme="minorEastAsia"/>
          <w:sz w:val="21"/>
          <w:szCs w:val="21"/>
          <w:u w:val="single"/>
        </w:rPr>
        <w:t xml:space="preserve">                          </w:t>
      </w:r>
    </w:p>
    <w:p w14:paraId="20A53F23">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3FBCD0CE">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14D15772">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乙方：</w:t>
      </w:r>
      <w:r>
        <w:rPr>
          <w:rFonts w:hint="eastAsia" w:asciiTheme="minorEastAsia" w:hAnsiTheme="minorEastAsia" w:eastAsiaTheme="minorEastAsia" w:cstheme="minorEastAsia"/>
          <w:sz w:val="21"/>
          <w:szCs w:val="21"/>
          <w:u w:val="single"/>
        </w:rPr>
        <w:t xml:space="preserve">                        </w:t>
      </w:r>
    </w:p>
    <w:p w14:paraId="1AB1FA7C">
      <w:pPr>
        <w:snapToGrid w:val="0"/>
        <w:spacing w:line="560" w:lineRule="exac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住所：</w:t>
      </w:r>
    </w:p>
    <w:p w14:paraId="411E5FD5">
      <w:pPr>
        <w:snapToGrid w:val="0"/>
        <w:spacing w:line="560" w:lineRule="exac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联系电话：</w:t>
      </w:r>
    </w:p>
    <w:p w14:paraId="5A828E38">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2B593F9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招标公告，乙方投标并依法被确定为中标人。现甲、乙双方根据《招标投标法》《中华人民共和国民法典》等有关法律规定，本着平等、自愿原则，经友好协商，签订本合同。</w:t>
      </w:r>
    </w:p>
    <w:p w14:paraId="294A1B0F">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项目内容</w:t>
      </w:r>
    </w:p>
    <w:p w14:paraId="4704394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1．项目名称：</w:t>
      </w:r>
      <w:r>
        <w:rPr>
          <w:rFonts w:hint="eastAsia" w:asciiTheme="minorEastAsia" w:hAnsiTheme="minorEastAsia" w:eastAsiaTheme="minorEastAsia" w:cstheme="minorEastAsia"/>
          <w:sz w:val="21"/>
          <w:szCs w:val="21"/>
          <w:u w:val="single"/>
        </w:rPr>
        <w:t>圳品工程--“圳品”标准体系建设和评价监督推广项目（G包）</w:t>
      </w:r>
    </w:p>
    <w:p w14:paraId="1880543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2．项目内容、要求及实施阶段：</w:t>
      </w:r>
    </w:p>
    <w:p w14:paraId="54C3E9BE">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（1）服务总体要求</w:t>
      </w:r>
    </w:p>
    <w:p w14:paraId="1843D7E1">
      <w:pPr>
        <w:widowControl/>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乙方须根据本项目的实际情况，为本项目指定合格的项目负责人，并配备不少于30人的项目团队（含1名项目负责人），项目团队人员需具备项目相关的专业能力知识背景及工作经验；为项目配备必要的服务资源及工具设备等；制定科学合理的服务方案及工作计划；负责完成招标要求的全部服务工作；应严格按制定的项目实施方案组织实施，并接受甲方监督，确保项目工作高质量完成。其服务主要内容为在检测资质范围内对获证产品进行抽样、检测工作，组织实施不少于300个已获评“圳品”产品的证后监督抽样检测，且食用农产品的抽检数量不少于160个。</w:t>
      </w:r>
    </w:p>
    <w:p w14:paraId="55B56D54">
      <w:pPr>
        <w:snapToGrid w:val="0"/>
        <w:spacing w:line="560" w:lineRule="exact"/>
        <w:ind w:firstLine="420" w:firstLineChars="200"/>
        <w:jc w:val="left"/>
        <w:rPr>
          <w:rFonts w:hint="eastAsia" w:asciiTheme="minorEastAsia" w:hAnsiTheme="minorEastAsia" w:eastAsiaTheme="minorEastAsia" w:cstheme="minorEastAsia"/>
          <w:sz w:val="21"/>
          <w:szCs w:val="21"/>
          <w:highlight w:val="yellow"/>
          <w:u w:val="single"/>
        </w:rPr>
      </w:pPr>
      <w:r>
        <w:rPr>
          <w:rFonts w:hint="eastAsia" w:asciiTheme="minorEastAsia" w:hAnsiTheme="minorEastAsia" w:eastAsiaTheme="minorEastAsia" w:cstheme="minorEastAsia"/>
          <w:sz w:val="21"/>
          <w:szCs w:val="21"/>
          <w:u w:val="single"/>
        </w:rPr>
        <w:t>（2）项目内容和要求</w:t>
      </w:r>
    </w:p>
    <w:p w14:paraId="50CC932D">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①风险研判</w:t>
      </w:r>
    </w:p>
    <w:p w14:paraId="2E873A1A">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及时发现并对“圳品工程”运行过程中产生的问题作出风险研判，并提出合理化建议，同时对检测过程中发现的企业食品安全风险给予检测意见和风险提示。</w:t>
      </w:r>
    </w:p>
    <w:p w14:paraId="5988675C">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②制定证后监督检测产品的抽样检测计划</w:t>
      </w:r>
    </w:p>
    <w:p w14:paraId="127FA320">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根据产品风险等级、全国食品安全风险监测计划、重大食品安全舆情事件以及监督检查机构现场监督检查计划，科学确定抽检产品范围、检测指标及抽样方案，并确保检测全流程风险管控，报主管部门审批后执行。</w:t>
      </w:r>
    </w:p>
    <w:p w14:paraId="42D0BAAD">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③组织实施不少于300个已获评“圳品”产品的证后监督抽样检测</w:t>
      </w:r>
    </w:p>
    <w:p w14:paraId="03D3B256">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依据批准的抽样检测计划，在检测资质范围内对获证产品进行抽样、检测工作，组织实施不少于300个已获评“圳品”产品的证后监督抽样检测，且食用农产品的抽检数量不少于160个。</w:t>
      </w:r>
    </w:p>
    <w:p w14:paraId="0BB08084">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④现场抽样</w:t>
      </w:r>
    </w:p>
    <w:p w14:paraId="5ED18804">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按照《食品安全抽样检验工作规范》（市监食检发〔2023〕76号），安排人员进行抽样，确保抽样操作规范。</w:t>
      </w:r>
    </w:p>
    <w:p w14:paraId="7887AA53">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⑤出具检测报告</w:t>
      </w:r>
    </w:p>
    <w:p w14:paraId="11B2FCD6">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依据“圳品”标准《圳品评价细则 食用农产品》《圳品评价细则 预包装食品》对所抽样品进行检测，出具检测报告，并对检测报告的真实性完整性负责，同时对抽检不符合情况进行风险性分析，为“圳品”评价及相关工作提供技术支撑。</w:t>
      </w:r>
    </w:p>
    <w:p w14:paraId="5C3CD7BE">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⑥抽样检测信息完整记录</w:t>
      </w:r>
    </w:p>
    <w:p w14:paraId="45153271">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将现场抽样、样品封存、样品运输及移交、样品保存、检测报告等抽检全流程信息完整录入。</w:t>
      </w:r>
    </w:p>
    <w:p w14:paraId="011D6C19">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⑦检测档案提交</w:t>
      </w:r>
    </w:p>
    <w:p w14:paraId="5062038D">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及时完成检测档案的归档和提交，包括依据编码规则汇总电子和纸质档案，确保档案的完整、清晰。</w:t>
      </w:r>
    </w:p>
    <w:p w14:paraId="6C29719F">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⑧购样费用支付</w:t>
      </w:r>
    </w:p>
    <w:p w14:paraId="23852D88">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中标单位需自行承担所抽样品的购样费用。</w:t>
      </w:r>
    </w:p>
    <w:p w14:paraId="11B5E277">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⑨材料汇总与梳理</w:t>
      </w:r>
    </w:p>
    <w:p w14:paraId="56F573F2">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实施监督抽样检测过程中的相关材料、数据等，应及时汇总，完整梳理备查。</w:t>
      </w:r>
    </w:p>
    <w:p w14:paraId="2EFFE119">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⑩样品管理</w:t>
      </w:r>
    </w:p>
    <w:p w14:paraId="70E87B16">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按照相关法律法规和标准要求进行样品管理（包含但不限于样品保存、留样和留样期满后处置）。</w:t>
      </w:r>
    </w:p>
    <w:p w14:paraId="70F56BD7">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single"/>
        </w:rPr>
        <w:t>⑪参与“专家评审会”“供深食品标准工作委员会”的审议工作</w:t>
      </w:r>
    </w:p>
    <w:p w14:paraId="015B4E0F">
      <w:pPr>
        <w:snapToGrid w:val="0"/>
        <w:spacing w:line="560" w:lineRule="exact"/>
        <w:ind w:firstLine="422"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b/>
          <w:bCs/>
          <w:sz w:val="21"/>
          <w:szCs w:val="21"/>
          <w:u w:val="single"/>
        </w:rPr>
        <w:t>项目内容：</w:t>
      </w:r>
      <w:r>
        <w:rPr>
          <w:rFonts w:hint="eastAsia" w:asciiTheme="minorEastAsia" w:hAnsiTheme="minorEastAsia" w:eastAsiaTheme="minorEastAsia" w:cstheme="minorEastAsia"/>
          <w:sz w:val="21"/>
          <w:szCs w:val="21"/>
          <w:u w:val="single"/>
        </w:rPr>
        <w:t>指定对上会产品业务熟练的工作人员，参与“圳品”专家评审会及“供深食品标准工作委员会”会务准备及审议工作，保证上会材料的质量，并对专家或委员会、委员提出的问题，进行专业解答、问题整改及后续完善。</w:t>
      </w:r>
    </w:p>
    <w:p w14:paraId="13064DC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3．乙方应于合同生效后三日内向甲方提交项目具体实施方案，经甲方审核确认后，乙方受实施方案约束。具体实施方案原则上应当与</w:t>
      </w:r>
      <w:r>
        <w:rPr>
          <w:rFonts w:hint="eastAsia" w:asciiTheme="minorEastAsia" w:hAnsiTheme="minorEastAsia" w:eastAsiaTheme="minorEastAsia" w:cstheme="minorEastAsia"/>
          <w:bCs/>
          <w:sz w:val="21"/>
          <w:szCs w:val="21"/>
        </w:rPr>
        <w:t>招标文件的要求或投标文件的承诺保持一致，除甲方要求作出修改的。</w:t>
      </w:r>
    </w:p>
    <w:p w14:paraId="48A2989B">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合同期限</w:t>
      </w:r>
    </w:p>
    <w:p w14:paraId="6D049B4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1．合同签订之日起至</w:t>
      </w:r>
      <w:r>
        <w:rPr>
          <w:rFonts w:hint="eastAsia" w:asciiTheme="minorEastAsia" w:hAnsiTheme="minorEastAsia" w:eastAsiaTheme="minorEastAsia" w:cstheme="minorEastAsia"/>
          <w:sz w:val="21"/>
          <w:szCs w:val="21"/>
          <w:u w:val="single"/>
        </w:rPr>
        <w:t>2026</w:t>
      </w:r>
      <w:r>
        <w:rPr>
          <w:rFonts w:hint="eastAsia" w:asciiTheme="minorEastAsia" w:hAnsiTheme="minorEastAsia" w:eastAsiaTheme="minorEastAsia" w:cstheme="minorEastAsia"/>
          <w:sz w:val="21"/>
          <w:szCs w:val="21"/>
        </w:rPr>
        <w:t>年</w:t>
      </w:r>
      <w:r>
        <w:rPr>
          <w:rFonts w:hint="eastAsia" w:asciiTheme="minorEastAsia" w:hAnsiTheme="minorEastAsia" w:eastAsiaTheme="minorEastAsia" w:cstheme="minorEastAsia"/>
          <w:sz w:val="21"/>
          <w:szCs w:val="21"/>
          <w:u w:val="single"/>
        </w:rPr>
        <w:t>12</w:t>
      </w:r>
      <w:r>
        <w:rPr>
          <w:rFonts w:hint="eastAsia" w:asciiTheme="minorEastAsia" w:hAnsiTheme="minorEastAsia" w:eastAsiaTheme="minorEastAsia" w:cstheme="minorEastAsia"/>
          <w:sz w:val="21"/>
          <w:szCs w:val="21"/>
        </w:rPr>
        <w:t>月</w:t>
      </w:r>
      <w:r>
        <w:rPr>
          <w:rFonts w:hint="eastAsia" w:asciiTheme="minorEastAsia" w:hAnsiTheme="minorEastAsia" w:eastAsiaTheme="minorEastAsia" w:cstheme="minorEastAsia"/>
          <w:sz w:val="21"/>
          <w:szCs w:val="21"/>
          <w:u w:val="single"/>
        </w:rPr>
        <w:t>31</w:t>
      </w:r>
      <w:r>
        <w:rPr>
          <w:rFonts w:hint="eastAsia" w:asciiTheme="minorEastAsia" w:hAnsiTheme="minorEastAsia" w:eastAsiaTheme="minorEastAsia" w:cstheme="minorEastAsia"/>
          <w:sz w:val="21"/>
          <w:szCs w:val="21"/>
        </w:rPr>
        <w:t>日前完成。☑本项目不属于长期服务项目。</w:t>
      </w:r>
    </w:p>
    <w:p w14:paraId="0BE32345">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2．因乙方交付成果未通过验收而进行整改的，也应在上述日期之前完成整改，否则视为乙方违约。</w:t>
      </w:r>
    </w:p>
    <w:p w14:paraId="238B431B">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3．乙方在服务期满，后续服务公司未到位前仍按原合同服务承诺提供服务，甲方无需向乙方支付任何款项。</w:t>
      </w:r>
    </w:p>
    <w:p w14:paraId="05C50A3D">
      <w:pPr>
        <w:numPr>
          <w:ilvl w:val="0"/>
          <w:numId w:val="1"/>
        </w:numPr>
        <w:snapToGrid w:val="0"/>
        <w:spacing w:line="560" w:lineRule="exact"/>
        <w:ind w:hanging="318"/>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乙方人员配置</w:t>
      </w:r>
    </w:p>
    <w:p w14:paraId="17E0AEA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1．为实施本项目，乙方指定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为项目对接人。乙方应配备项目工作人员</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名，其中项目人员、职称、专业等方面情况如下表。</w:t>
      </w:r>
    </w:p>
    <w:p w14:paraId="078DCE62">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2．乙方配备的项目工作人员及配备人员的资质应当</w:t>
      </w:r>
      <w:r>
        <w:rPr>
          <w:rFonts w:hint="eastAsia" w:asciiTheme="minorEastAsia" w:hAnsiTheme="minorEastAsia" w:eastAsiaTheme="minorEastAsia" w:cstheme="minorEastAsia"/>
          <w:bCs/>
          <w:sz w:val="21"/>
          <w:szCs w:val="21"/>
        </w:rPr>
        <w:t>与招标文件的要求或投标文件的承诺保持一致，非经甲方同意不得更换。</w:t>
      </w:r>
    </w:p>
    <w:p w14:paraId="59EE84B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3．乙方保证上述工作人员信息的真实性，并对工作人员在工作中的行为承担最终法律责任。</w:t>
      </w:r>
    </w:p>
    <w:p w14:paraId="1E1B44AD">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合同费用及支付</w:t>
      </w:r>
    </w:p>
    <w:p w14:paraId="04B59ED8">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1．甲方就合同事项向乙方支付的费用总额为人民币</w:t>
      </w:r>
      <w:r>
        <w:rPr>
          <w:rFonts w:hint="eastAsia" w:asciiTheme="minorEastAsia" w:hAnsiTheme="minorEastAsia" w:eastAsiaTheme="minorEastAsia" w:cstheme="minorEastAsia"/>
          <w:sz w:val="21"/>
          <w:szCs w:val="21"/>
          <w:u w:val="single"/>
        </w:rPr>
        <w:t xml:space="preserve">         </w:t>
      </w:r>
    </w:p>
    <w:p w14:paraId="0798B596">
      <w:pPr>
        <w:snapToGrid w:val="0"/>
        <w:spacing w:line="560" w:lineRule="exac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），该费用包含但不限于乙方所承担的税费、工作人员和专家报酬、场地使用费、印刷费、耗材费、差旅费以及合理的利润等。除经协商一致变更本合同外，甲方无需再向乙方支付任何款项。</w:t>
      </w:r>
    </w:p>
    <w:p w14:paraId="18D1CDB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2．甲方将依照招标公告的要求选择以下方式向乙方支付合同费用：</w:t>
      </w:r>
    </w:p>
    <w:p w14:paraId="68D7D34E">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分期付款</w:t>
      </w:r>
      <w:r>
        <w:rPr>
          <w:rFonts w:hint="eastAsia" w:asciiTheme="minorEastAsia" w:hAnsiTheme="minorEastAsia" w:eastAsiaTheme="minorEastAsia" w:cstheme="minorEastAsia"/>
          <w:sz w:val="21"/>
          <w:szCs w:val="21"/>
        </w:rPr>
        <w:t>：本合同生效且乙方提供符合规定的发票之日起</w:t>
      </w:r>
      <w:r>
        <w:rPr>
          <w:rFonts w:hint="eastAsia" w:asciiTheme="minorEastAsia" w:hAnsiTheme="minorEastAsia" w:eastAsiaTheme="minorEastAsia" w:cstheme="minorEastAsia"/>
          <w:sz w:val="21"/>
          <w:szCs w:val="21"/>
          <w:u w:val="single"/>
        </w:rPr>
        <w:t>10</w:t>
      </w:r>
      <w:r>
        <w:rPr>
          <w:rFonts w:hint="eastAsia" w:asciiTheme="minorEastAsia" w:hAnsiTheme="minorEastAsia" w:eastAsiaTheme="minorEastAsia" w:cstheme="minorEastAsia"/>
          <w:sz w:val="21"/>
          <w:szCs w:val="21"/>
        </w:rPr>
        <w:t>个工作日内，甲方向乙方支付合同总额的</w:t>
      </w:r>
      <w:r>
        <w:rPr>
          <w:rFonts w:hint="eastAsia" w:asciiTheme="minorEastAsia" w:hAnsiTheme="minorEastAsia" w:eastAsiaTheme="minorEastAsia" w:cstheme="minorEastAsia"/>
          <w:sz w:val="21"/>
          <w:szCs w:val="21"/>
          <w:u w:val="single"/>
        </w:rPr>
        <w:t>50</w:t>
      </w:r>
      <w:r>
        <w:rPr>
          <w:rFonts w:hint="eastAsia" w:asciiTheme="minorEastAsia" w:hAnsiTheme="minorEastAsia" w:eastAsiaTheme="minorEastAsia" w:cstheme="minorEastAsia"/>
          <w:sz w:val="21"/>
          <w:szCs w:val="21"/>
        </w:rPr>
        <w:t>%，即人民币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（小写：</w:t>
      </w:r>
      <w:r>
        <w:rPr>
          <w:rFonts w:hint="eastAsia" w:asciiTheme="minorEastAsia" w:hAnsiTheme="minorEastAsia" w:eastAsiaTheme="minorEastAsia" w:cstheme="minorEastAsia"/>
          <w:sz w:val="21"/>
          <w:szCs w:val="21"/>
          <w:u w:val="single"/>
        </w:rPr>
        <w:t>￥    元</w:t>
      </w:r>
      <w:r>
        <w:rPr>
          <w:rFonts w:hint="eastAsia" w:asciiTheme="minorEastAsia" w:hAnsiTheme="minorEastAsia" w:eastAsiaTheme="minorEastAsia" w:cstheme="minorEastAsia"/>
          <w:sz w:val="21"/>
          <w:szCs w:val="21"/>
        </w:rPr>
        <w:t>），余款按照进度验收后支付。</w:t>
      </w:r>
    </w:p>
    <w:p w14:paraId="023A4CAC">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b/>
          <w:sz w:val="21"/>
          <w:szCs w:val="21"/>
        </w:rPr>
        <w:t>一次性付款：</w:t>
      </w:r>
      <w:r>
        <w:rPr>
          <w:rFonts w:hint="eastAsia" w:asciiTheme="minorEastAsia" w:hAnsiTheme="minorEastAsia" w:eastAsiaTheme="minorEastAsia" w:cstheme="minorEastAsia"/>
          <w:sz w:val="21"/>
          <w:szCs w:val="21"/>
        </w:rPr>
        <w:t>乙方交付成果且经甲方验收合格后，由乙方提供符合规定的发票，甲方应于收到发票之日起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个工作日内，一次性支付合同款项人民币</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元（小写：</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w:t>
      </w:r>
    </w:p>
    <w:p w14:paraId="25E65598">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其他付款方式：                                      </w:t>
      </w:r>
    </w:p>
    <w:p w14:paraId="1CE4D7B8">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3．乙方指定收款银行账户信息如下：</w:t>
      </w:r>
    </w:p>
    <w:p w14:paraId="136E5124">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开户单位：</w:t>
      </w:r>
      <w:r>
        <w:rPr>
          <w:rFonts w:hint="eastAsia" w:asciiTheme="minorEastAsia" w:hAnsiTheme="minorEastAsia" w:eastAsiaTheme="minorEastAsia" w:cstheme="minorEastAsia"/>
          <w:sz w:val="21"/>
          <w:szCs w:val="21"/>
          <w:u w:val="single"/>
        </w:rPr>
        <w:t xml:space="preserve">                               </w:t>
      </w:r>
    </w:p>
    <w:p w14:paraId="21923512">
      <w:pPr>
        <w:snapToGrid w:val="0"/>
        <w:spacing w:line="560" w:lineRule="exact"/>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账号：</w:t>
      </w:r>
      <w:r>
        <w:rPr>
          <w:rFonts w:hint="eastAsia" w:asciiTheme="minorEastAsia" w:hAnsiTheme="minorEastAsia" w:eastAsiaTheme="minorEastAsia" w:cstheme="minorEastAsia"/>
          <w:sz w:val="21"/>
          <w:szCs w:val="21"/>
          <w:u w:val="single"/>
        </w:rPr>
        <w:t xml:space="preserve">                                   </w:t>
      </w:r>
    </w:p>
    <w:p w14:paraId="00C1F783">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开户行：</w:t>
      </w:r>
      <w:r>
        <w:rPr>
          <w:rFonts w:hint="eastAsia" w:asciiTheme="minorEastAsia" w:hAnsiTheme="minorEastAsia" w:eastAsiaTheme="minorEastAsia" w:cstheme="minorEastAsia"/>
          <w:sz w:val="21"/>
          <w:szCs w:val="21"/>
          <w:u w:val="single"/>
        </w:rPr>
        <w:t xml:space="preserve">                                  </w:t>
      </w:r>
    </w:p>
    <w:p w14:paraId="2B50A3EB">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纳税识别号：</w:t>
      </w:r>
      <w:r>
        <w:rPr>
          <w:rFonts w:hint="eastAsia" w:asciiTheme="minorEastAsia" w:hAnsiTheme="minorEastAsia" w:eastAsiaTheme="minorEastAsia" w:cstheme="minorEastAsia"/>
          <w:sz w:val="21"/>
          <w:szCs w:val="21"/>
          <w:u w:val="single"/>
        </w:rPr>
        <w:t xml:space="preserve">                              </w:t>
      </w:r>
    </w:p>
    <w:p w14:paraId="1DF44F51">
      <w:pPr>
        <w:snapToGrid w:val="0"/>
        <w:spacing w:line="560" w:lineRule="exact"/>
        <w:ind w:firstLine="420" w:firstLineChars="200"/>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乙方变更收款银行账户信息的，应及时通知甲方，否则由此导致的款项延期支付等责任均由乙方自行承担。</w:t>
      </w:r>
    </w:p>
    <w:p w14:paraId="121830DA">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4．若根据本合同约定乙方应当支付违约金、承担赔偿责任，则甲方有权从上述任何一笔付款中直接扣除相应金额。</w:t>
      </w:r>
    </w:p>
    <w:p w14:paraId="44B420B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5．以上甲方支付时间是指甲方申请政府财政部门向乙方支付的时间，因财政审批等原因未及时付款的甲方不承担违约责任。</w:t>
      </w:r>
    </w:p>
    <w:p w14:paraId="78A209FE">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履约保函</w:t>
      </w:r>
    </w:p>
    <w:p w14:paraId="054F0819">
      <w:pPr>
        <w:snapToGrid w:val="0"/>
        <w:spacing w:line="560" w:lineRule="exact"/>
        <w:ind w:left="567"/>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w:t>
      </w:r>
    </w:p>
    <w:p w14:paraId="5A8EDDEA">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☑无履约保函。</w:t>
      </w:r>
    </w:p>
    <w:p w14:paraId="60A0978D">
      <w:pPr>
        <w:snapToGrid w:val="0"/>
        <w:spacing w:line="560" w:lineRule="exact"/>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□有履约保函。乙方应于合同签订后</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日内向甲方提供银行出具的不可撤销履约保函。在乙方承担支付义务或者赔偿责任时，甲方有权要求银行无条件支付款项。保函的具体要求由双方另行确定。</w:t>
      </w:r>
    </w:p>
    <w:p w14:paraId="7DCF3B31">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成果及验收</w:t>
      </w:r>
    </w:p>
    <w:p w14:paraId="2F316807">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1．项目任务完成后，乙方应向甲方交付以下成果供甲方验收：</w:t>
      </w:r>
    </w:p>
    <w:p w14:paraId="25CB76F0">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（1）提交项目完成情况总结报告，电子版1份，纸质版1份；</w:t>
      </w:r>
    </w:p>
    <w:p w14:paraId="13378901">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u w:val="single"/>
        </w:rPr>
        <w:t>（2）提交不少于300个“圳品”产品的检测报告（其中食用农产品的抽检数量不少于160个）。</w:t>
      </w:r>
    </w:p>
    <w:p w14:paraId="0185EA7D">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2．上述成果必须与招标文件的要求及投标文件的承诺一致。否则，甲方有权拒绝接收有关成果。</w:t>
      </w:r>
    </w:p>
    <w:p w14:paraId="3DABE60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3．就上述成果，乙方应提交纸质形式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套，电子形式</w:t>
      </w:r>
      <w:r>
        <w:rPr>
          <w:rFonts w:hint="eastAsia" w:asciiTheme="minorEastAsia" w:hAnsiTheme="minorEastAsia" w:eastAsiaTheme="minorEastAsia" w:cstheme="minorEastAsia"/>
          <w:bCs/>
          <w:sz w:val="21"/>
          <w:szCs w:val="21"/>
          <w:u w:val="single"/>
        </w:rPr>
        <w:t>1</w:t>
      </w:r>
      <w:r>
        <w:rPr>
          <w:rFonts w:hint="eastAsia" w:asciiTheme="minorEastAsia" w:hAnsiTheme="minorEastAsia" w:eastAsiaTheme="minorEastAsia" w:cstheme="minorEastAsia"/>
          <w:bCs/>
          <w:sz w:val="21"/>
          <w:szCs w:val="21"/>
        </w:rPr>
        <w:t>套。</w:t>
      </w:r>
    </w:p>
    <w:p w14:paraId="2C10C04A">
      <w:pPr>
        <w:snapToGrid w:val="0"/>
        <w:spacing w:line="560" w:lineRule="exact"/>
        <w:ind w:firstLine="420" w:firstLineChars="200"/>
        <w:jc w:val="left"/>
        <w:rPr>
          <w:rFonts w:hint="eastAsia" w:asciiTheme="minorEastAsia" w:hAnsiTheme="minorEastAsia" w:eastAsiaTheme="minorEastAsia" w:cstheme="minorEastAsia"/>
          <w:bCs/>
          <w:sz w:val="21"/>
          <w:szCs w:val="21"/>
          <w:u w:val="single"/>
        </w:rPr>
      </w:pPr>
      <w:r>
        <w:rPr>
          <w:rFonts w:hint="eastAsia" w:asciiTheme="minorEastAsia" w:hAnsiTheme="minorEastAsia" w:eastAsiaTheme="minorEastAsia" w:cstheme="minorEastAsia"/>
          <w:bCs/>
          <w:sz w:val="21"/>
          <w:szCs w:val="21"/>
        </w:rPr>
        <w:t>4．乙方提交的成果未验收合格的，乙方应进行整改，乙方不整改或因整改导致超出逾期交付的，均视为违约。</w:t>
      </w:r>
    </w:p>
    <w:p w14:paraId="6F1F69B8">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知识产权</w:t>
      </w:r>
    </w:p>
    <w:p w14:paraId="70218402">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1．乙方在项目实施过程中不得侵犯第三人知识产权以及其他权益。需要使用第三人知识产权的，乙方应取得权利人许可或者授权并由乙方承担费用。</w:t>
      </w:r>
    </w:p>
    <w:p w14:paraId="5682111B">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2．除第三人依法享有知识产权的除外，乙方实施本项目所形成成果的知识产权归甲方所有，未经甲方许可，乙方不得随意使用。</w:t>
      </w:r>
    </w:p>
    <w:p w14:paraId="5BB56B03">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保密义务</w:t>
      </w:r>
    </w:p>
    <w:p w14:paraId="3D85C5C5">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甲乙双方对知悉对方的财务、技术、专项数据、合同价款、未披露的政策、诉讼方案以及为实施项目提供给对方的文件或信息的内容(简称“保密资料”)等负有保密义务。未经信息披露方书面事先同意，不得向本合同以外的任何第三方披露。资料接受方可仅为本合同目的向其确有知悉必要的雇员披露对方提供的保密资料，但同时须指示其雇员遵守本条规定的保密及不披露义务。双方应仅为本合同目的而复制和使用保密资料。</w:t>
      </w:r>
    </w:p>
    <w:p w14:paraId="153F417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2．合同履行完毕或者终止不视为解除保密义务，双方仍应承担保密义务。</w:t>
      </w:r>
    </w:p>
    <w:p w14:paraId="7FA05931">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其他权利和义务</w:t>
      </w:r>
    </w:p>
    <w:p w14:paraId="7E91E1D0">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甲方有权监督、检查、了解乙方工作开展情况，有权对乙方的工作提出建议，并提供实施项目必要的有关资料。乙方应当每月向甲方汇报工作进展，对项目执行过程中发现的问题、阶段性成果及时报告甲方，同时按进度完成合同约定的项目内容并提交成果。</w:t>
      </w:r>
    </w:p>
    <w:p w14:paraId="6B16B4A1">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2．乙方在承担该项目期间，不得接受申报主体和相关方的宴请、礼品和礼金；不得接受申报主体和相关方邀请参加可能影响项目实施的考察交流、捐赠等相关活动。</w:t>
      </w:r>
    </w:p>
    <w:p w14:paraId="62D3BB5A">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sz w:val="21"/>
          <w:szCs w:val="21"/>
        </w:rPr>
        <w:t>3．乙方在服务期满一年内需在甲方有需要时负责对本项目相关情况进行解释、说明，提供相应的修正服务。</w:t>
      </w:r>
    </w:p>
    <w:p w14:paraId="07510E62">
      <w:pPr>
        <w:numPr>
          <w:ilvl w:val="0"/>
          <w:numId w:val="1"/>
        </w:numPr>
        <w:snapToGrid w:val="0"/>
        <w:spacing w:line="560" w:lineRule="exact"/>
        <w:ind w:hanging="318"/>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合同转让</w:t>
      </w:r>
    </w:p>
    <w:p w14:paraId="39D55E0A">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未经甲方同意，乙方不得将本合同项目的任务全部或者一部分转包或分包给第三人。</w:t>
      </w:r>
    </w:p>
    <w:p w14:paraId="3E701DBD">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第十一条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合同的变更</w:t>
      </w:r>
    </w:p>
    <w:p w14:paraId="130293D1">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双方不得擅自变更合同；若合同继续履行将损害国家利益和社会公共利益，则双方应当变更合同。</w:t>
      </w:r>
    </w:p>
    <w:p w14:paraId="255CEA67">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第十二条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lang w:eastAsia="zh-CN"/>
        </w:rPr>
        <w:t>合同解除</w:t>
      </w:r>
    </w:p>
    <w:p w14:paraId="763B915F">
      <w:pPr>
        <w:widowControl w:val="0"/>
        <w:numPr>
          <w:ilvl w:val="0"/>
          <w:numId w:val="0"/>
        </w:numPr>
        <w:tabs>
          <w:tab w:val="left" w:pos="0"/>
        </w:tabs>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经双方协商一致或一方依据本合同第十三条违约责任行使解除权并书面通知对方后，双方合同关系解除，合同终止履行，未履行部分不再履行，已履行部分按合同有关结算及违约赔偿条款处理。</w:t>
      </w:r>
    </w:p>
    <w:p w14:paraId="2A7B973A">
      <w:pPr>
        <w:numPr>
          <w:ilvl w:val="0"/>
          <w:numId w:val="0"/>
        </w:numPr>
        <w:snapToGrid w:val="0"/>
        <w:spacing w:line="560" w:lineRule="exact"/>
        <w:ind w:left="567" w:leftChars="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第十三条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违约责任</w:t>
      </w:r>
    </w:p>
    <w:p w14:paraId="73E7C274">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1．乙方未在约定期限内完成项目内容并提交成果的，每延迟一日按照合同总金额千分之一的标准向甲方支付违约金。延迟超过十日的，甲方有权解除合同并要求乙方返还已经支付的款项，未支付的不再支付。</w:t>
      </w:r>
    </w:p>
    <w:p w14:paraId="5DBBFE1D">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2．乙方交付的成果验收不合格的，经甲方要求整改再次验收仍不合格的或乙方提交的成果存在虚假、违法违规、重大错误的，甲方有权立即解除合同、要求乙方返还已经支付的款项并支付合同总额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798AA4E">
      <w:pPr>
        <w:snapToGrid w:val="0"/>
        <w:spacing w:line="560" w:lineRule="exact"/>
        <w:ind w:firstLine="420" w:firstLineChars="200"/>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3．因乙方实施本项目过程中侵犯第三人合法权益或者违约导致甲方承担赔偿责任的，甲方在承担赔偿责任后有权向乙方追偿，同时，甲方有权解除合同、要求乙方返还已经支付的款项并支付合同总额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E00AAB4">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4．乙方签订合同后，实际配备的工作人员与投标文件的承诺不一致的，或实施本项目时已不符合招标文件要求的，甲方有权解除合同，并要求乙方向甲方支付合同总额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4D1542FB">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5．乙方无正当理由解除合同的，应向甲方支付合同总额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05A9C0B5">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6．乙方违反本合同第十条的，甲方有权解除合同、要求乙方返还已经支付的款项并支付合同总额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061C21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7．乙方违反本合同第七条的，应向甲方支付合同总额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w:t>
      </w:r>
    </w:p>
    <w:p w14:paraId="72B8F19D">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8．甲方违反本合同第九条“其他权利和义务”约定的，应当及时整改；乙方违反本合同第一条“项目内容、要求及实施阶段”和第九条“其他权利和义务”约定的，甲方有权立即解除合同，要求乙方返还已经支付的款项并支付合同总额</w:t>
      </w:r>
      <w:r>
        <w:rPr>
          <w:rFonts w:hint="eastAsia" w:asciiTheme="minorEastAsia" w:hAnsiTheme="minorEastAsia" w:eastAsiaTheme="minorEastAsia" w:cstheme="minorEastAsia"/>
          <w:bCs/>
          <w:sz w:val="21"/>
          <w:szCs w:val="21"/>
          <w:u w:val="single"/>
        </w:rPr>
        <w:t>20%</w:t>
      </w:r>
      <w:r>
        <w:rPr>
          <w:rFonts w:hint="eastAsia" w:asciiTheme="minorEastAsia" w:hAnsiTheme="minorEastAsia" w:eastAsiaTheme="minorEastAsia" w:cstheme="minorEastAsia"/>
          <w:bCs/>
          <w:sz w:val="21"/>
          <w:szCs w:val="21"/>
        </w:rPr>
        <w:t>的违约金，因乙方行为给甲方造成损失的，由乙方承担一切赔偿责任。</w:t>
      </w:r>
    </w:p>
    <w:p w14:paraId="539A2C60">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9．甲方违约的，应按照《民法典》有关规定承担违约责任。</w:t>
      </w:r>
    </w:p>
    <w:p w14:paraId="37CC4D6B">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四</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法律适用和争议解决</w:t>
      </w:r>
    </w:p>
    <w:p w14:paraId="728ED6A9">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1．本合同适用中华人民共和国法律。</w:t>
      </w:r>
    </w:p>
    <w:p w14:paraId="03D2E1DF">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2．双方因履行本合同发生争议的，可协商解决，无法协商解决的：应向甲方住所地有管辖权的人民法院提起诉讼。</w:t>
      </w:r>
    </w:p>
    <w:p w14:paraId="19852EB3">
      <w:pPr>
        <w:snapToGrid w:val="0"/>
        <w:spacing w:line="560" w:lineRule="exact"/>
        <w:ind w:firstLine="420" w:firstLineChars="200"/>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3．诉讼进行过程中，双方将继续履行本合同未涉诉讼的其它部分。</w:t>
      </w:r>
    </w:p>
    <w:p w14:paraId="3CEF7F89">
      <w:pPr>
        <w:snapToGrid w:val="0"/>
        <w:spacing w:line="560" w:lineRule="exact"/>
        <w:ind w:left="567"/>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第十</w:t>
      </w:r>
      <w:r>
        <w:rPr>
          <w:rFonts w:hint="eastAsia" w:asciiTheme="minorEastAsia" w:hAnsiTheme="minorEastAsia" w:eastAsiaTheme="minorEastAsia" w:cstheme="minorEastAsia"/>
          <w:bCs/>
          <w:sz w:val="21"/>
          <w:szCs w:val="21"/>
          <w:lang w:eastAsia="zh-CN"/>
        </w:rPr>
        <w:t>五</w:t>
      </w:r>
      <w:r>
        <w:rPr>
          <w:rFonts w:hint="eastAsia" w:asciiTheme="minorEastAsia" w:hAnsiTheme="minorEastAsia" w:eastAsiaTheme="minorEastAsia" w:cstheme="minorEastAsia"/>
          <w:bCs/>
          <w:sz w:val="21"/>
          <w:szCs w:val="21"/>
        </w:rPr>
        <w:t>条</w:t>
      </w:r>
      <w:r>
        <w:rPr>
          <w:rFonts w:hint="eastAsia" w:asciiTheme="minorEastAsia" w:hAnsiTheme="minorEastAsia" w:eastAsiaTheme="minorEastAsia" w:cstheme="minorEastAsia"/>
          <w:bCs/>
          <w:sz w:val="21"/>
          <w:szCs w:val="21"/>
          <w:lang w:val="en-US" w:eastAsia="zh-CN"/>
        </w:rPr>
        <w:tab/>
      </w:r>
      <w:r>
        <w:rPr>
          <w:rFonts w:hint="eastAsia" w:asciiTheme="minorEastAsia" w:hAnsiTheme="minorEastAsia" w:eastAsiaTheme="minorEastAsia" w:cstheme="minorEastAsia"/>
          <w:bCs/>
          <w:sz w:val="21"/>
          <w:szCs w:val="21"/>
        </w:rPr>
        <w:t>附则</w:t>
      </w:r>
    </w:p>
    <w:p w14:paraId="448C6784">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sz w:val="21"/>
          <w:szCs w:val="21"/>
        </w:rPr>
        <w:t>．</w:t>
      </w:r>
      <w:r>
        <w:rPr>
          <w:rFonts w:hint="eastAsia" w:asciiTheme="minorEastAsia" w:hAnsiTheme="minorEastAsia" w:eastAsiaTheme="minorEastAsia" w:cstheme="minorEastAsia"/>
          <w:sz w:val="21"/>
          <w:szCs w:val="21"/>
        </w:rPr>
        <w:t>本项目招标文件、乙方投标文件和中标通知书均为本合同组成部分，与本合同文本具有相同法律效力。但本合同与招投标文件不一致的，以本合同内容为准。</w:t>
      </w:r>
    </w:p>
    <w:p w14:paraId="18A24CA2">
      <w:pPr>
        <w:snapToGrid w:val="0"/>
        <w:spacing w:line="560" w:lineRule="exact"/>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2．本合同□无附件/☑有附件，附件包括</w:t>
      </w:r>
      <w:r>
        <w:rPr>
          <w:rFonts w:hint="eastAsia" w:asciiTheme="minorEastAsia" w:hAnsiTheme="minorEastAsia" w:eastAsiaTheme="minorEastAsia" w:cstheme="minorEastAsia"/>
          <w:sz w:val="21"/>
          <w:szCs w:val="21"/>
          <w:u w:val="single"/>
        </w:rPr>
        <w:t>服务质量要求。</w:t>
      </w:r>
    </w:p>
    <w:p w14:paraId="5C9A7DC3">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3．本合同与招投标文件不一致的，以本合同内容为准。</w:t>
      </w:r>
    </w:p>
    <w:p w14:paraId="7ABC7EC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4．本合同自双方盖章后生效。</w:t>
      </w:r>
    </w:p>
    <w:p w14:paraId="4B45421B">
      <w:pPr>
        <w:snapToGrid w:val="0"/>
        <w:spacing w:line="560" w:lineRule="exact"/>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5．本合同一式</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份，甲方执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份，乙方执</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份，提交给财政部门</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份，具有同等法律效力</w:t>
      </w:r>
      <w:r>
        <w:rPr>
          <w:rFonts w:hint="eastAsia" w:asciiTheme="minorEastAsia" w:hAnsiTheme="minorEastAsia" w:eastAsiaTheme="minorEastAsia" w:cstheme="minorEastAsia"/>
          <w:sz w:val="21"/>
          <w:szCs w:val="21"/>
          <w:lang w:eastAsia="zh-CN"/>
        </w:rPr>
        <w:t>。</w:t>
      </w:r>
    </w:p>
    <w:p w14:paraId="706D5F21">
      <w:pPr>
        <w:snapToGrid w:val="0"/>
        <w:spacing w:line="560" w:lineRule="exact"/>
        <w:ind w:firstLine="420" w:firstLineChars="200"/>
        <w:jc w:val="left"/>
        <w:rPr>
          <w:rFonts w:hint="eastAsia" w:asciiTheme="minorEastAsia" w:hAnsiTheme="minorEastAsia" w:eastAsiaTheme="minorEastAsia" w:cstheme="minorEastAsia"/>
          <w:sz w:val="21"/>
          <w:szCs w:val="21"/>
        </w:rPr>
      </w:pPr>
    </w:p>
    <w:p w14:paraId="57028A16">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甲方（盖章）：</w:t>
      </w:r>
    </w:p>
    <w:p w14:paraId="3A63C77F">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37ADFFAB">
      <w:pPr>
        <w:snapToGrid w:val="0"/>
        <w:spacing w:line="560" w:lineRule="exact"/>
        <w:ind w:firstLine="1260" w:firstLineChars="6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2752687B">
      <w:pPr>
        <w:snapToGrid w:val="0"/>
        <w:spacing w:line="560" w:lineRule="exact"/>
        <w:jc w:val="left"/>
        <w:rPr>
          <w:rFonts w:hint="eastAsia" w:asciiTheme="minorEastAsia" w:hAnsiTheme="minorEastAsia" w:eastAsiaTheme="minorEastAsia" w:cstheme="minorEastAsia"/>
          <w:sz w:val="21"/>
          <w:szCs w:val="21"/>
        </w:rPr>
      </w:pPr>
    </w:p>
    <w:p w14:paraId="6C193639">
      <w:pPr>
        <w:snapToGrid w:val="0"/>
        <w:spacing w:line="560" w:lineRule="exact"/>
        <w:jc w:val="left"/>
        <w:rPr>
          <w:rFonts w:hint="eastAsia" w:asciiTheme="minorEastAsia" w:hAnsiTheme="minorEastAsia" w:eastAsiaTheme="minorEastAsia" w:cstheme="minorEastAsia"/>
          <w:sz w:val="21"/>
          <w:szCs w:val="21"/>
        </w:rPr>
      </w:pPr>
    </w:p>
    <w:p w14:paraId="0309BFB2">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乙方（盖章）：</w:t>
      </w:r>
    </w:p>
    <w:p w14:paraId="75B6C697">
      <w:pPr>
        <w:snapToGrid w:val="0"/>
        <w:spacing w:line="560" w:lineRule="exact"/>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法定代表人或授权代表签字：</w:t>
      </w:r>
    </w:p>
    <w:p w14:paraId="50C99DD0">
      <w:pPr>
        <w:snapToGrid w:val="0"/>
        <w:spacing w:line="560" w:lineRule="exact"/>
        <w:ind w:firstLine="1260" w:firstLineChars="6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年   月   日</w:t>
      </w:r>
    </w:p>
    <w:p w14:paraId="6E9D5484">
      <w:pPr>
        <w:snapToGrid w:val="0"/>
        <w:spacing w:line="560" w:lineRule="exact"/>
        <w:rPr>
          <w:rFonts w:hint="eastAsia" w:asciiTheme="minorEastAsia" w:hAnsiTheme="minorEastAsia" w:eastAsiaTheme="minorEastAsia" w:cstheme="minorEastAsia"/>
          <w:sz w:val="21"/>
          <w:szCs w:val="21"/>
        </w:rPr>
        <w:sectPr>
          <w:pgSz w:w="11906" w:h="16838"/>
          <w:pgMar w:top="1440" w:right="1800" w:bottom="1440" w:left="1800" w:header="851" w:footer="992" w:gutter="0"/>
          <w:cols w:space="720" w:num="1"/>
          <w:docGrid w:type="lines" w:linePitch="387" w:charSpace="0"/>
        </w:sectPr>
      </w:pPr>
    </w:p>
    <w:p w14:paraId="3D65F25D">
      <w:pPr>
        <w:outlineLvl w:val="2"/>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附件</w:t>
      </w:r>
    </w:p>
    <w:p w14:paraId="430EE3ED">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服务质量要求</w:t>
      </w:r>
    </w:p>
    <w:tbl>
      <w:tblPr>
        <w:tblStyle w:val="42"/>
        <w:tblW w:w="8502" w:type="dxa"/>
        <w:jc w:val="center"/>
        <w:tblLayout w:type="fixed"/>
        <w:tblCellMar>
          <w:top w:w="0" w:type="dxa"/>
          <w:left w:w="108" w:type="dxa"/>
          <w:bottom w:w="0" w:type="dxa"/>
          <w:right w:w="108" w:type="dxa"/>
        </w:tblCellMar>
      </w:tblPr>
      <w:tblGrid>
        <w:gridCol w:w="952"/>
        <w:gridCol w:w="1350"/>
        <w:gridCol w:w="6200"/>
      </w:tblGrid>
      <w:tr w14:paraId="7A6CB5CF">
        <w:tblPrEx>
          <w:tblCellMar>
            <w:top w:w="0" w:type="dxa"/>
            <w:left w:w="108" w:type="dxa"/>
            <w:bottom w:w="0" w:type="dxa"/>
            <w:right w:w="108" w:type="dxa"/>
          </w:tblCellMar>
        </w:tblPrEx>
        <w:trPr>
          <w:trHeight w:val="765"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EBD5063">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41B8D8F">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主要内容</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C7E9BD1">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具体内容</w:t>
            </w:r>
          </w:p>
        </w:tc>
      </w:tr>
      <w:tr w14:paraId="06D53646">
        <w:tblPrEx>
          <w:tblCellMar>
            <w:top w:w="0" w:type="dxa"/>
            <w:left w:w="108" w:type="dxa"/>
            <w:bottom w:w="0" w:type="dxa"/>
            <w:right w:w="108" w:type="dxa"/>
          </w:tblCellMar>
        </w:tblPrEx>
        <w:trPr>
          <w:trHeight w:val="162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20301EB3">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25B127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风险研判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58DC5AD8">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密切跟踪“圳品工程”全流程运行情况，及时发现标准指标设置、抽样检测等环节中存在的技术问题，并对识别出的问题进行科学研判，形成客观准确的风险研判意见，提出具有针对性和可操作性的优化建议或解决方案。在检测过程中，如发现企业产品存在食品安全风险隐患，应及时出具检测意见，明确问题表现、可能原因及整改建议，为“圳品”工作机制完善和决策调整提供技术支撑。</w:t>
            </w:r>
          </w:p>
        </w:tc>
      </w:tr>
      <w:tr w14:paraId="6E692B18">
        <w:tblPrEx>
          <w:tblCellMar>
            <w:top w:w="0" w:type="dxa"/>
            <w:left w:w="108" w:type="dxa"/>
            <w:bottom w:w="0" w:type="dxa"/>
            <w:right w:w="108" w:type="dxa"/>
          </w:tblCellMar>
        </w:tblPrEx>
        <w:trPr>
          <w:trHeight w:val="135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66C7A83F">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C9A4AD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制定证后监督检测产品的抽样检测计划</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1C73139B">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产品风险等级、全国食品安全风险监测计划、重大食品安全舆情事件以及监督检查机构现场监督检查计划，科学确定抽检实施方案，包括检测工作流程和工作制度、检测计划和风险管控、抽样方案、检验方案、报告判定原则、结果报送要求、异议及后续处理、检验过程的质量控制体系及方法、应急预案、后续服务等。</w:t>
            </w:r>
          </w:p>
        </w:tc>
      </w:tr>
      <w:tr w14:paraId="76E3133A">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2C5E04F1">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8E94DB2">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组织实施不少于300个已获评“圳品”产品的证后监督抽样检测</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1F3A4763">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批准的抽样检测计划，在检测资质范围内执行监督检查产品的抽样、检测工作，组织实施不少于300个已获评“圳品”的证后监督抽样检测，且食用农产品的抽检数量不少于160个。检测项目和要求依据《圳品评价细则 预包装食品》（SZS.TC.EC-2023-394）和《圳品评价细则 食用农产品》（SZS.TC.EC-2023-393）的执行。</w:t>
            </w:r>
          </w:p>
        </w:tc>
      </w:tr>
      <w:tr w14:paraId="60866407">
        <w:tblPrEx>
          <w:tblCellMar>
            <w:top w:w="0" w:type="dxa"/>
            <w:left w:w="108" w:type="dxa"/>
            <w:bottom w:w="0" w:type="dxa"/>
            <w:right w:w="108" w:type="dxa"/>
          </w:tblCellMar>
        </w:tblPrEx>
        <w:trPr>
          <w:trHeight w:val="486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186E5270">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79BCBC1">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现场抽样</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F5AA4C4">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按照《食品安全抽样检验工作规范》（市监食检发〔2023〕76号），安排人员进行抽样，确保抽样操作规范：</w:t>
            </w:r>
          </w:p>
          <w:p w14:paraId="2F0C3E30">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 抽样人员应当使用规范的抽样工作单及封条，如实详细记录抽样信息。抽样工作单应包含委托任务信息、被抽样单位信息、抽样位点信息、抽样单位信息、样品信息、抽样方式、样品储存环境条件、唯一性标识。抽样单填写完毕后，应当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 抽样人员应当采取有效的防拆封措施，对检验样品和检测结果再确认样品分别封样，并由抽样人员和被抽样单位签字或盖章确认；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 抽样人员应在抽样完成后及时将样品携带或寄送至检测实验室；</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 对有特殊贮存和运输要求的样品，应当采取相应措施，保证样品贮存、运输过程符合国家相关规定和包装标示的要求，不发生影响检验结论的变化。</w:t>
            </w:r>
          </w:p>
        </w:tc>
      </w:tr>
      <w:tr w14:paraId="361E76CB">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B74AFCB">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EE6AC0C">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出具检测报告</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153192D1">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依据“圳品”标准对所抽样品进行检测，出具检测报告，并对检测报告的真实性、完整性负责。同时，对抽检不符合情况进行风险性分析，为“圳品”评价及相关工作提供技术支撑：</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1. 各抽检任务的检验项目及方法应按照《圳品评价细则 预包装食品》（SZS.TC.EC-2023-394）和《圳品评价细则 食用农产品》（SZS.TC.EC-2023-393）开展检验。后续如有更新的通知，应以最新的为准。</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2. 按照有关法律、法规的规定，并依照食品安全标准和检验规范对样品进行检验，尊重科学，恪守职业道德，保证出具的检验数据和结论客观、公正，不得出具虚假的检验报告。</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3. 未经委托方同意，不得分包、转包检验任务，不得租赁或借用他人检测设备。</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4. 应对检验情况予以保密，在检验前以及检验过程中不得泄露任何有关检验及样品的信息；对于检验结果和检验情况只能向委托方报告，不得向任何第三方透露。</w:t>
            </w:r>
          </w:p>
        </w:tc>
      </w:tr>
      <w:tr w14:paraId="3590FAB1">
        <w:tblPrEx>
          <w:tblCellMar>
            <w:top w:w="0" w:type="dxa"/>
            <w:left w:w="108" w:type="dxa"/>
            <w:bottom w:w="0" w:type="dxa"/>
            <w:right w:w="108" w:type="dxa"/>
          </w:tblCellMar>
        </w:tblPrEx>
        <w:trPr>
          <w:trHeight w:val="108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0F4FEFA9">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5A9644F">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抽样检测信息完整记录</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6975C67">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严格按照检测工作规范开展检测工作，并按照委托方的要求使用指定系统，确保现场抽样、样品封存、样品运输及移交、样品保存、检测报告等抽检全流程的信息能够完整录入。</w:t>
            </w:r>
          </w:p>
        </w:tc>
      </w:tr>
      <w:tr w14:paraId="608C2898">
        <w:tblPrEx>
          <w:tblCellMar>
            <w:top w:w="0" w:type="dxa"/>
            <w:left w:w="108" w:type="dxa"/>
            <w:bottom w:w="0" w:type="dxa"/>
            <w:right w:w="108" w:type="dxa"/>
          </w:tblCellMar>
        </w:tblPrEx>
        <w:trPr>
          <w:trHeight w:val="30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4D486D24">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4F9152E">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检测档案提交</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6686BB51">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依据《“圳品”抽样和检验档案管理规范》（SZS.PR.OR-2023-034）的要求，及时完成检测档案的归档和提交，包括依据编码规则汇总的抽样任务书、抽样工作单、检测报告等电子和纸质档案，确保档案的完整清晰。</w:t>
            </w:r>
          </w:p>
        </w:tc>
      </w:tr>
      <w:tr w14:paraId="6810BF3A">
        <w:tblPrEx>
          <w:tblCellMar>
            <w:top w:w="0" w:type="dxa"/>
            <w:left w:w="108" w:type="dxa"/>
            <w:bottom w:w="0" w:type="dxa"/>
            <w:right w:w="108" w:type="dxa"/>
          </w:tblCellMar>
        </w:tblPrEx>
        <w:trPr>
          <w:trHeight w:val="81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1D4CF622">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C2CE3E4">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购样费用支付</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7422E34">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自行承担所抽样品的购样费用。由被抽样单位提供所抽样品的购样发票；如企业自愿免费提供样品，企业需提供免费样品声明以代替发票。</w:t>
            </w:r>
          </w:p>
        </w:tc>
      </w:tr>
      <w:tr w14:paraId="6A6B99F6">
        <w:tblPrEx>
          <w:tblCellMar>
            <w:top w:w="0" w:type="dxa"/>
            <w:left w:w="108" w:type="dxa"/>
            <w:bottom w:w="0" w:type="dxa"/>
            <w:right w:w="108" w:type="dxa"/>
          </w:tblCellMar>
        </w:tblPrEx>
        <w:trPr>
          <w:trHeight w:val="110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42DCB765">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1EAAC1CF">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材料汇总与梳理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7B5B2B3F">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实施监督抽样检测过程中的相关材料，如委托方下发的任务书、抽检计划、抽样单、样品照片、检测报告、数据等，应及时汇总，完整梳理以备查。</w:t>
            </w:r>
          </w:p>
        </w:tc>
      </w:tr>
      <w:tr w14:paraId="52A8793C">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32D38E25">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1FDED026">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样品管理</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EB0FEC5">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照相关法律法规和标准要求进行样品管理（包含但不限于样品保存、留样和留样期满后处置）。检验结论合格的，检测承检机构应当妥善保存检测结果再确认样品。检测结果再确认样品剩余保质期不足1个月的，应当保存至保质期结束。检验结论不合格的，检测承检机构应当妥善保存检测结果再确认样品。检测结果再确认样品剩余保质期不足3个月的，应当保存至保质期结束。</w:t>
            </w:r>
          </w:p>
        </w:tc>
      </w:tr>
      <w:tr w14:paraId="0B8AC3A2">
        <w:tblPrEx>
          <w:tblCellMar>
            <w:top w:w="0" w:type="dxa"/>
            <w:left w:w="108" w:type="dxa"/>
            <w:bottom w:w="0" w:type="dxa"/>
            <w:right w:w="108" w:type="dxa"/>
          </w:tblCellMar>
        </w:tblPrEx>
        <w:trPr>
          <w:trHeight w:val="1890" w:hRule="atLeast"/>
          <w:jc w:val="center"/>
        </w:trPr>
        <w:tc>
          <w:tcPr>
            <w:tcW w:w="952" w:type="dxa"/>
            <w:tcBorders>
              <w:top w:val="single" w:color="000000" w:sz="4" w:space="0"/>
              <w:left w:val="single" w:color="000000" w:sz="4" w:space="0"/>
              <w:bottom w:val="single" w:color="000000" w:sz="4" w:space="0"/>
              <w:right w:val="single" w:color="000000" w:sz="4" w:space="0"/>
            </w:tcBorders>
            <w:noWrap w:val="0"/>
            <w:vAlign w:val="center"/>
          </w:tcPr>
          <w:p w14:paraId="72BA5ADD">
            <w:pPr>
              <w:wordWrap w:val="0"/>
              <w:snapToGrid w:val="0"/>
              <w:spacing w:line="240" w:lineRule="atLeas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w:t>
            </w:r>
          </w:p>
        </w:tc>
        <w:tc>
          <w:tcPr>
            <w:tcW w:w="1350" w:type="dxa"/>
            <w:tcBorders>
              <w:top w:val="single" w:color="000000" w:sz="4" w:space="0"/>
              <w:left w:val="single" w:color="000000" w:sz="4" w:space="0"/>
              <w:bottom w:val="single" w:color="000000" w:sz="4" w:space="0"/>
              <w:right w:val="single" w:color="000000" w:sz="4" w:space="0"/>
            </w:tcBorders>
            <w:noWrap/>
            <w:vAlign w:val="center"/>
          </w:tcPr>
          <w:p w14:paraId="781CFA97">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参与“专家评审会”“供深食品标准工作委员会”的审议工作</w:t>
            </w:r>
          </w:p>
        </w:tc>
        <w:tc>
          <w:tcPr>
            <w:tcW w:w="6200" w:type="dxa"/>
            <w:tcBorders>
              <w:top w:val="single" w:color="000000" w:sz="4" w:space="0"/>
              <w:left w:val="single" w:color="000000" w:sz="4" w:space="0"/>
              <w:bottom w:val="single" w:color="000000" w:sz="4" w:space="0"/>
              <w:right w:val="single" w:color="000000" w:sz="4" w:space="0"/>
            </w:tcBorders>
            <w:noWrap w:val="0"/>
            <w:vAlign w:val="center"/>
          </w:tcPr>
          <w:p w14:paraId="4F3DE35F">
            <w:pPr>
              <w:wordWrap w:val="0"/>
              <w:snapToGrid w:val="0"/>
              <w:spacing w:line="240" w:lineRule="atLeast"/>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指定对上会产品业务熟练的工作人员，参与“圳品”专家评审会及“供深食品标准工作委员会”的审议工作，确保提交会议的材料准确无误、内容详实且符合相关标准。针对专家或委员会成员提出的问题，需能够提供专业的解答，并对所指出的问题进行认真分析和整改。此外，还需负责跟进问题的解决情况，确保所有提出的建议和改进措施得到有效落实，进一步完善相关工作的流程与成果。同时，保持与各方的良好沟通，促进信息的及时传递和反馈，以提升工作效率和质量。</w:t>
            </w:r>
          </w:p>
        </w:tc>
      </w:tr>
    </w:tbl>
    <w:p w14:paraId="141B258B">
      <w:pPr>
        <w:rPr>
          <w:rFonts w:hint="eastAsia" w:asciiTheme="minorEastAsia" w:hAnsiTheme="minorEastAsia" w:eastAsiaTheme="minorEastAsia" w:cstheme="minorEastAsia"/>
          <w:sz w:val="21"/>
          <w:szCs w:val="21"/>
        </w:rPr>
      </w:pPr>
    </w:p>
    <w:p w14:paraId="612C8F29">
      <w:pPr>
        <w:widowControl/>
        <w:jc w:val="left"/>
        <w:rPr>
          <w:rFonts w:ascii="宋体" w:hAnsi="宋体"/>
          <w:b/>
          <w:szCs w:val="21"/>
        </w:rPr>
      </w:pPr>
      <w:r>
        <w:rPr>
          <w:bCs/>
          <w:szCs w:val="21"/>
        </w:rPr>
        <w:br w:type="page"/>
      </w:r>
    </w:p>
    <w:p w14:paraId="2B560A7D">
      <w:pPr>
        <w:pStyle w:val="3"/>
        <w:spacing w:before="0"/>
        <w:jc w:val="center"/>
        <w:rPr>
          <w:rFonts w:ascii="黑体" w:eastAsia="黑体"/>
          <w:b w:val="0"/>
          <w:sz w:val="24"/>
          <w:szCs w:val="24"/>
        </w:rPr>
      </w:pPr>
      <w:r>
        <w:rPr>
          <w:rFonts w:hint="eastAsia" w:ascii="黑体" w:eastAsia="黑体"/>
          <w:b w:val="0"/>
          <w:sz w:val="24"/>
          <w:szCs w:val="24"/>
        </w:rPr>
        <w:t>二、政府采购履约情况反馈表</w:t>
      </w:r>
    </w:p>
    <w:p w14:paraId="636B4D40">
      <w:pPr>
        <w:spacing w:line="240" w:lineRule="atLeast"/>
        <w:rPr>
          <w:rFonts w:ascii="宋体" w:hAnsi="宋体"/>
          <w:b/>
          <w:szCs w:val="21"/>
        </w:rPr>
      </w:pPr>
      <w:r>
        <w:rPr>
          <w:rFonts w:hint="eastAsia" w:ascii="宋体" w:hAnsi="宋体"/>
          <w:b/>
          <w:szCs w:val="21"/>
        </w:rPr>
        <w:t>采购人名称：                       联系人及电话：</w:t>
      </w:r>
    </w:p>
    <w:p w14:paraId="59D16232">
      <w:pPr>
        <w:spacing w:line="60" w:lineRule="exact"/>
        <w:rPr>
          <w:rFonts w:ascii="宋体" w:hAnsi="宋体"/>
          <w:b/>
          <w:szCs w:val="21"/>
        </w:rPr>
      </w:pPr>
    </w:p>
    <w:tbl>
      <w:tblPr>
        <w:tblStyle w:val="42"/>
        <w:tblW w:w="89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2474B7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jc w:val="center"/>
        </w:trPr>
        <w:tc>
          <w:tcPr>
            <w:tcW w:w="2282" w:type="dxa"/>
            <w:gridSpan w:val="3"/>
            <w:vAlign w:val="center"/>
          </w:tcPr>
          <w:p w14:paraId="45329A73">
            <w:pPr>
              <w:spacing w:line="240" w:lineRule="atLeast"/>
              <w:jc w:val="center"/>
              <w:rPr>
                <w:rFonts w:ascii="宋体" w:hAnsi="宋体"/>
                <w:szCs w:val="21"/>
              </w:rPr>
            </w:pPr>
            <w:r>
              <w:rPr>
                <w:rFonts w:hint="eastAsia" w:ascii="宋体" w:hAnsi="宋体"/>
                <w:szCs w:val="21"/>
              </w:rPr>
              <w:t>采购项目名称</w:t>
            </w:r>
          </w:p>
        </w:tc>
        <w:tc>
          <w:tcPr>
            <w:tcW w:w="2520" w:type="dxa"/>
            <w:vAlign w:val="center"/>
          </w:tcPr>
          <w:p w14:paraId="1DB8195A">
            <w:pPr>
              <w:spacing w:line="240" w:lineRule="atLeast"/>
              <w:jc w:val="center"/>
              <w:rPr>
                <w:rFonts w:ascii="宋体" w:hAnsi="宋体"/>
                <w:szCs w:val="21"/>
              </w:rPr>
            </w:pPr>
          </w:p>
        </w:tc>
        <w:tc>
          <w:tcPr>
            <w:tcW w:w="1980" w:type="dxa"/>
            <w:vAlign w:val="center"/>
          </w:tcPr>
          <w:p w14:paraId="77615645">
            <w:pPr>
              <w:spacing w:line="240" w:lineRule="atLeast"/>
              <w:jc w:val="center"/>
              <w:rPr>
                <w:rFonts w:ascii="宋体" w:hAnsi="宋体"/>
                <w:szCs w:val="21"/>
              </w:rPr>
            </w:pPr>
            <w:r>
              <w:rPr>
                <w:rFonts w:hint="eastAsia" w:ascii="宋体" w:hAnsi="宋体"/>
                <w:szCs w:val="21"/>
              </w:rPr>
              <w:t>项目编号</w:t>
            </w:r>
          </w:p>
        </w:tc>
        <w:tc>
          <w:tcPr>
            <w:tcW w:w="2135" w:type="dxa"/>
            <w:vAlign w:val="center"/>
          </w:tcPr>
          <w:p w14:paraId="190518F4">
            <w:pPr>
              <w:spacing w:line="240" w:lineRule="atLeast"/>
              <w:jc w:val="center"/>
              <w:rPr>
                <w:rFonts w:ascii="宋体" w:hAnsi="宋体"/>
                <w:szCs w:val="21"/>
              </w:rPr>
            </w:pPr>
          </w:p>
        </w:tc>
      </w:tr>
      <w:tr w14:paraId="7AAE8C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jc w:val="center"/>
        </w:trPr>
        <w:tc>
          <w:tcPr>
            <w:tcW w:w="2282" w:type="dxa"/>
            <w:gridSpan w:val="3"/>
            <w:vAlign w:val="center"/>
          </w:tcPr>
          <w:p w14:paraId="5FCADD3F">
            <w:pPr>
              <w:spacing w:line="240" w:lineRule="atLeast"/>
              <w:jc w:val="center"/>
              <w:rPr>
                <w:rFonts w:ascii="宋体" w:hAnsi="宋体"/>
                <w:szCs w:val="21"/>
              </w:rPr>
            </w:pPr>
            <w:r>
              <w:rPr>
                <w:rFonts w:hint="eastAsia" w:ascii="宋体" w:hAnsi="宋体"/>
                <w:szCs w:val="21"/>
              </w:rPr>
              <w:t>中标供应商名称</w:t>
            </w:r>
          </w:p>
        </w:tc>
        <w:tc>
          <w:tcPr>
            <w:tcW w:w="2520" w:type="dxa"/>
            <w:vAlign w:val="center"/>
          </w:tcPr>
          <w:p w14:paraId="0C96782B">
            <w:pPr>
              <w:spacing w:line="240" w:lineRule="atLeast"/>
              <w:jc w:val="center"/>
              <w:rPr>
                <w:rFonts w:ascii="宋体" w:hAnsi="宋体"/>
                <w:szCs w:val="21"/>
              </w:rPr>
            </w:pPr>
          </w:p>
        </w:tc>
        <w:tc>
          <w:tcPr>
            <w:tcW w:w="1980" w:type="dxa"/>
            <w:vAlign w:val="center"/>
          </w:tcPr>
          <w:p w14:paraId="57B4C207">
            <w:pPr>
              <w:spacing w:line="240" w:lineRule="atLeast"/>
              <w:jc w:val="center"/>
              <w:rPr>
                <w:rFonts w:ascii="宋体" w:hAnsi="宋体"/>
                <w:szCs w:val="21"/>
              </w:rPr>
            </w:pPr>
            <w:r>
              <w:rPr>
                <w:rFonts w:hint="eastAsia" w:ascii="宋体" w:hAnsi="宋体"/>
                <w:szCs w:val="21"/>
              </w:rPr>
              <w:t>供应商</w:t>
            </w:r>
          </w:p>
          <w:p w14:paraId="02C5BDB4">
            <w:pPr>
              <w:spacing w:line="240" w:lineRule="atLeast"/>
              <w:jc w:val="center"/>
              <w:rPr>
                <w:rFonts w:ascii="宋体" w:hAnsi="宋体"/>
                <w:szCs w:val="21"/>
              </w:rPr>
            </w:pPr>
            <w:r>
              <w:rPr>
                <w:rFonts w:hint="eastAsia" w:ascii="宋体" w:hAnsi="宋体"/>
                <w:szCs w:val="21"/>
              </w:rPr>
              <w:t>联系人及电话</w:t>
            </w:r>
          </w:p>
        </w:tc>
        <w:tc>
          <w:tcPr>
            <w:tcW w:w="2135" w:type="dxa"/>
            <w:vAlign w:val="center"/>
          </w:tcPr>
          <w:p w14:paraId="226B0E87">
            <w:pPr>
              <w:spacing w:line="240" w:lineRule="atLeast"/>
              <w:jc w:val="center"/>
              <w:rPr>
                <w:rFonts w:ascii="宋体" w:hAnsi="宋体"/>
                <w:szCs w:val="21"/>
              </w:rPr>
            </w:pPr>
          </w:p>
        </w:tc>
      </w:tr>
      <w:tr w14:paraId="61C874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2282" w:type="dxa"/>
            <w:gridSpan w:val="3"/>
            <w:vAlign w:val="center"/>
          </w:tcPr>
          <w:p w14:paraId="5D009E73">
            <w:pPr>
              <w:spacing w:line="240" w:lineRule="atLeast"/>
              <w:jc w:val="center"/>
              <w:rPr>
                <w:rFonts w:ascii="宋体" w:hAnsi="宋体"/>
                <w:szCs w:val="21"/>
              </w:rPr>
            </w:pPr>
            <w:r>
              <w:rPr>
                <w:rFonts w:hint="eastAsia" w:ascii="宋体" w:hAnsi="宋体"/>
                <w:szCs w:val="21"/>
              </w:rPr>
              <w:t>中标金额</w:t>
            </w:r>
          </w:p>
        </w:tc>
        <w:tc>
          <w:tcPr>
            <w:tcW w:w="2520" w:type="dxa"/>
            <w:vAlign w:val="center"/>
          </w:tcPr>
          <w:p w14:paraId="478B4F66">
            <w:pPr>
              <w:spacing w:line="240" w:lineRule="atLeast"/>
              <w:jc w:val="center"/>
              <w:rPr>
                <w:rFonts w:ascii="宋体" w:hAnsi="宋体"/>
                <w:szCs w:val="21"/>
              </w:rPr>
            </w:pPr>
          </w:p>
        </w:tc>
        <w:tc>
          <w:tcPr>
            <w:tcW w:w="1980" w:type="dxa"/>
            <w:vAlign w:val="center"/>
          </w:tcPr>
          <w:p w14:paraId="5E9BFB3A">
            <w:pPr>
              <w:spacing w:line="240" w:lineRule="atLeast"/>
              <w:jc w:val="center"/>
              <w:rPr>
                <w:rFonts w:ascii="宋体" w:hAnsi="宋体"/>
                <w:szCs w:val="21"/>
              </w:rPr>
            </w:pPr>
            <w:r>
              <w:rPr>
                <w:rFonts w:hint="eastAsia" w:ascii="宋体" w:hAnsi="宋体"/>
                <w:szCs w:val="21"/>
              </w:rPr>
              <w:t>合同履约时间</w:t>
            </w:r>
          </w:p>
        </w:tc>
        <w:tc>
          <w:tcPr>
            <w:tcW w:w="2135" w:type="dxa"/>
            <w:vAlign w:val="center"/>
          </w:tcPr>
          <w:p w14:paraId="22BA939B">
            <w:pPr>
              <w:spacing w:line="240" w:lineRule="atLeast"/>
              <w:rPr>
                <w:rFonts w:ascii="宋体" w:hAnsi="宋体"/>
                <w:szCs w:val="21"/>
              </w:rPr>
            </w:pPr>
            <w:r>
              <w:rPr>
                <w:rFonts w:hint="eastAsia" w:ascii="宋体" w:hAnsi="宋体"/>
                <w:szCs w:val="21"/>
              </w:rPr>
              <w:t>自       至</w:t>
            </w:r>
          </w:p>
        </w:tc>
      </w:tr>
      <w:tr w14:paraId="483D2C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842" w:type="dxa"/>
            <w:vMerge w:val="restart"/>
            <w:vAlign w:val="center"/>
          </w:tcPr>
          <w:p w14:paraId="5FF15ED1">
            <w:pPr>
              <w:spacing w:line="240" w:lineRule="atLeast"/>
              <w:jc w:val="center"/>
              <w:rPr>
                <w:rFonts w:ascii="宋体" w:hAnsi="宋体"/>
                <w:b/>
                <w:szCs w:val="21"/>
              </w:rPr>
            </w:pPr>
            <w:r>
              <w:rPr>
                <w:rFonts w:hint="eastAsia" w:ascii="宋体" w:hAnsi="宋体"/>
                <w:b/>
                <w:szCs w:val="21"/>
              </w:rPr>
              <w:t>履约情况评价</w:t>
            </w:r>
          </w:p>
        </w:tc>
        <w:tc>
          <w:tcPr>
            <w:tcW w:w="1440" w:type="dxa"/>
            <w:gridSpan w:val="2"/>
            <w:tcBorders>
              <w:right w:val="single" w:color="auto" w:sz="4" w:space="0"/>
            </w:tcBorders>
            <w:vAlign w:val="center"/>
          </w:tcPr>
          <w:p w14:paraId="4E5624B0">
            <w:pPr>
              <w:spacing w:line="240" w:lineRule="atLeast"/>
              <w:jc w:val="center"/>
              <w:rPr>
                <w:rFonts w:ascii="宋体" w:hAnsi="宋体"/>
                <w:szCs w:val="21"/>
              </w:rPr>
            </w:pPr>
            <w:r>
              <w:rPr>
                <w:rFonts w:hint="eastAsia" w:ascii="宋体" w:hAnsi="宋体"/>
                <w:szCs w:val="21"/>
              </w:rPr>
              <w:t>总体评价</w:t>
            </w:r>
          </w:p>
        </w:tc>
        <w:tc>
          <w:tcPr>
            <w:tcW w:w="6635" w:type="dxa"/>
            <w:gridSpan w:val="3"/>
            <w:tcBorders>
              <w:left w:val="single" w:color="auto" w:sz="4" w:space="0"/>
            </w:tcBorders>
            <w:vAlign w:val="center"/>
          </w:tcPr>
          <w:p w14:paraId="20EA52FB">
            <w:pPr>
              <w:spacing w:line="240" w:lineRule="atLeast"/>
              <w:ind w:firstLine="105" w:firstLineChars="50"/>
              <w:jc w:val="center"/>
              <w:rPr>
                <w:rFonts w:ascii="宋体" w:hAnsi="宋体"/>
                <w:szCs w:val="21"/>
              </w:rPr>
            </w:pPr>
            <w:r>
              <w:rPr>
                <w:rFonts w:hint="eastAsia" w:ascii="宋体" w:hAnsi="宋体"/>
                <w:szCs w:val="21"/>
              </w:rPr>
              <w:t>□ 优          □ 良          □ 中           □ 差</w:t>
            </w:r>
          </w:p>
        </w:tc>
      </w:tr>
      <w:tr w14:paraId="07F9C7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0AB284CA">
            <w:pPr>
              <w:spacing w:line="240" w:lineRule="atLeast"/>
              <w:jc w:val="center"/>
              <w:rPr>
                <w:rFonts w:ascii="宋体" w:hAnsi="宋体"/>
                <w:szCs w:val="21"/>
              </w:rPr>
            </w:pPr>
          </w:p>
        </w:tc>
        <w:tc>
          <w:tcPr>
            <w:tcW w:w="720" w:type="dxa"/>
            <w:vMerge w:val="restart"/>
            <w:tcBorders>
              <w:right w:val="single" w:color="auto" w:sz="4" w:space="0"/>
            </w:tcBorders>
            <w:vAlign w:val="center"/>
          </w:tcPr>
          <w:p w14:paraId="453252F4">
            <w:pPr>
              <w:spacing w:line="240" w:lineRule="atLeast"/>
              <w:jc w:val="center"/>
              <w:rPr>
                <w:rFonts w:ascii="宋体" w:hAnsi="宋体"/>
                <w:szCs w:val="21"/>
              </w:rPr>
            </w:pPr>
            <w:r>
              <w:rPr>
                <w:rFonts w:hint="eastAsia" w:ascii="宋体" w:hAnsi="宋体"/>
                <w:szCs w:val="21"/>
              </w:rPr>
              <w:t>分项评价</w:t>
            </w:r>
          </w:p>
        </w:tc>
        <w:tc>
          <w:tcPr>
            <w:tcW w:w="720" w:type="dxa"/>
            <w:tcBorders>
              <w:left w:val="single" w:color="auto" w:sz="4" w:space="0"/>
              <w:right w:val="single" w:color="auto" w:sz="4" w:space="0"/>
            </w:tcBorders>
            <w:vAlign w:val="center"/>
          </w:tcPr>
          <w:p w14:paraId="4913A4AB">
            <w:pPr>
              <w:spacing w:line="240" w:lineRule="atLeast"/>
              <w:jc w:val="center"/>
              <w:rPr>
                <w:rFonts w:ascii="宋体" w:hAnsi="宋体"/>
                <w:szCs w:val="21"/>
              </w:rPr>
            </w:pPr>
            <w:r>
              <w:rPr>
                <w:rFonts w:hint="eastAsia" w:ascii="宋体" w:hAnsi="宋体"/>
                <w:szCs w:val="21"/>
              </w:rPr>
              <w:t>质量方面</w:t>
            </w:r>
          </w:p>
        </w:tc>
        <w:tc>
          <w:tcPr>
            <w:tcW w:w="6635" w:type="dxa"/>
            <w:gridSpan w:val="3"/>
            <w:tcBorders>
              <w:left w:val="single" w:color="auto" w:sz="4" w:space="0"/>
            </w:tcBorders>
            <w:vAlign w:val="center"/>
          </w:tcPr>
          <w:p w14:paraId="00CC63CD">
            <w:pPr>
              <w:spacing w:line="240" w:lineRule="atLeast"/>
              <w:jc w:val="center"/>
              <w:rPr>
                <w:rFonts w:ascii="宋体" w:hAnsi="宋体"/>
                <w:szCs w:val="21"/>
              </w:rPr>
            </w:pPr>
            <w:r>
              <w:rPr>
                <w:rFonts w:hint="eastAsia" w:ascii="宋体" w:hAnsi="宋体"/>
                <w:szCs w:val="21"/>
              </w:rPr>
              <w:t xml:space="preserve"> □ 优          □ 良          □ 中           □ 差</w:t>
            </w:r>
          </w:p>
        </w:tc>
      </w:tr>
      <w:tr w14:paraId="3514CD4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5C576A5">
            <w:pPr>
              <w:spacing w:line="240" w:lineRule="atLeast"/>
              <w:jc w:val="center"/>
              <w:rPr>
                <w:rFonts w:ascii="宋体" w:hAnsi="宋体"/>
                <w:szCs w:val="21"/>
              </w:rPr>
            </w:pPr>
          </w:p>
        </w:tc>
        <w:tc>
          <w:tcPr>
            <w:tcW w:w="720" w:type="dxa"/>
            <w:vMerge w:val="continue"/>
            <w:tcBorders>
              <w:right w:val="single" w:color="auto" w:sz="4" w:space="0"/>
            </w:tcBorders>
            <w:vAlign w:val="center"/>
          </w:tcPr>
          <w:p w14:paraId="094CE00C">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6FAAE94D">
            <w:pPr>
              <w:spacing w:line="240" w:lineRule="atLeast"/>
              <w:jc w:val="center"/>
              <w:rPr>
                <w:rFonts w:ascii="宋体" w:hAnsi="宋体"/>
                <w:szCs w:val="21"/>
              </w:rPr>
            </w:pPr>
            <w:r>
              <w:rPr>
                <w:rFonts w:hint="eastAsia" w:ascii="宋体" w:hAnsi="宋体"/>
                <w:szCs w:val="21"/>
              </w:rPr>
              <w:t>价格方面</w:t>
            </w:r>
          </w:p>
        </w:tc>
        <w:tc>
          <w:tcPr>
            <w:tcW w:w="6635" w:type="dxa"/>
            <w:gridSpan w:val="3"/>
            <w:tcBorders>
              <w:left w:val="single" w:color="auto" w:sz="4" w:space="0"/>
            </w:tcBorders>
            <w:vAlign w:val="center"/>
          </w:tcPr>
          <w:p w14:paraId="2883F7AC">
            <w:pPr>
              <w:spacing w:line="240" w:lineRule="atLeast"/>
              <w:jc w:val="center"/>
              <w:rPr>
                <w:rFonts w:ascii="宋体" w:hAnsi="宋体"/>
                <w:szCs w:val="21"/>
              </w:rPr>
            </w:pPr>
            <w:r>
              <w:rPr>
                <w:rFonts w:hint="eastAsia" w:ascii="宋体" w:hAnsi="宋体"/>
                <w:szCs w:val="21"/>
              </w:rPr>
              <w:t xml:space="preserve"> □ 优          □ 良          □ 中           □ 差</w:t>
            </w:r>
          </w:p>
        </w:tc>
      </w:tr>
      <w:tr w14:paraId="7D87B5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31CBE5A3">
            <w:pPr>
              <w:spacing w:line="240" w:lineRule="atLeast"/>
              <w:jc w:val="center"/>
              <w:rPr>
                <w:rFonts w:ascii="宋体" w:hAnsi="宋体"/>
                <w:szCs w:val="21"/>
              </w:rPr>
            </w:pPr>
          </w:p>
        </w:tc>
        <w:tc>
          <w:tcPr>
            <w:tcW w:w="720" w:type="dxa"/>
            <w:vMerge w:val="continue"/>
            <w:tcBorders>
              <w:right w:val="single" w:color="auto" w:sz="4" w:space="0"/>
            </w:tcBorders>
            <w:vAlign w:val="center"/>
          </w:tcPr>
          <w:p w14:paraId="4F706AC7">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4541826">
            <w:pPr>
              <w:spacing w:line="240" w:lineRule="atLeast"/>
              <w:jc w:val="center"/>
              <w:rPr>
                <w:rFonts w:ascii="宋体" w:hAnsi="宋体"/>
                <w:szCs w:val="21"/>
              </w:rPr>
            </w:pPr>
            <w:r>
              <w:rPr>
                <w:rFonts w:hint="eastAsia" w:ascii="宋体" w:hAnsi="宋体"/>
                <w:szCs w:val="21"/>
              </w:rPr>
              <w:t>服务方面</w:t>
            </w:r>
          </w:p>
        </w:tc>
        <w:tc>
          <w:tcPr>
            <w:tcW w:w="6635" w:type="dxa"/>
            <w:gridSpan w:val="3"/>
            <w:tcBorders>
              <w:left w:val="single" w:color="auto" w:sz="4" w:space="0"/>
            </w:tcBorders>
            <w:vAlign w:val="center"/>
          </w:tcPr>
          <w:p w14:paraId="2E1B8932">
            <w:pPr>
              <w:spacing w:line="240" w:lineRule="atLeast"/>
              <w:jc w:val="center"/>
              <w:rPr>
                <w:rFonts w:ascii="宋体" w:hAnsi="宋体"/>
                <w:szCs w:val="21"/>
              </w:rPr>
            </w:pPr>
            <w:r>
              <w:rPr>
                <w:rFonts w:hint="eastAsia" w:ascii="宋体" w:hAnsi="宋体"/>
                <w:szCs w:val="21"/>
              </w:rPr>
              <w:t xml:space="preserve"> □ 优          □ 良          □ 中           □ 差</w:t>
            </w:r>
          </w:p>
        </w:tc>
      </w:tr>
      <w:tr w14:paraId="71DE00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657B8238">
            <w:pPr>
              <w:spacing w:line="240" w:lineRule="atLeast"/>
              <w:jc w:val="center"/>
              <w:rPr>
                <w:rFonts w:ascii="宋体" w:hAnsi="宋体"/>
                <w:szCs w:val="21"/>
              </w:rPr>
            </w:pPr>
          </w:p>
        </w:tc>
        <w:tc>
          <w:tcPr>
            <w:tcW w:w="720" w:type="dxa"/>
            <w:vMerge w:val="continue"/>
            <w:tcBorders>
              <w:right w:val="single" w:color="auto" w:sz="4" w:space="0"/>
            </w:tcBorders>
            <w:vAlign w:val="center"/>
          </w:tcPr>
          <w:p w14:paraId="39EDC40F">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2A4983F">
            <w:pPr>
              <w:spacing w:line="240" w:lineRule="atLeast"/>
              <w:jc w:val="center"/>
              <w:rPr>
                <w:rFonts w:ascii="宋体" w:hAnsi="宋体"/>
                <w:szCs w:val="21"/>
              </w:rPr>
            </w:pPr>
            <w:r>
              <w:rPr>
                <w:rFonts w:hint="eastAsia" w:ascii="宋体" w:hAnsi="宋体"/>
                <w:szCs w:val="21"/>
              </w:rPr>
              <w:t>时间方面</w:t>
            </w:r>
          </w:p>
        </w:tc>
        <w:tc>
          <w:tcPr>
            <w:tcW w:w="6635" w:type="dxa"/>
            <w:gridSpan w:val="3"/>
            <w:tcBorders>
              <w:left w:val="single" w:color="auto" w:sz="4" w:space="0"/>
            </w:tcBorders>
            <w:vAlign w:val="center"/>
          </w:tcPr>
          <w:p w14:paraId="04DD1BDE">
            <w:pPr>
              <w:spacing w:line="240" w:lineRule="atLeast"/>
              <w:jc w:val="center"/>
              <w:rPr>
                <w:rFonts w:ascii="宋体" w:hAnsi="宋体"/>
                <w:szCs w:val="21"/>
              </w:rPr>
            </w:pPr>
            <w:r>
              <w:rPr>
                <w:rFonts w:hint="eastAsia" w:ascii="宋体" w:hAnsi="宋体"/>
                <w:szCs w:val="21"/>
              </w:rPr>
              <w:t xml:space="preserve"> □ 优          □ 良          □ 中           □ 差</w:t>
            </w:r>
          </w:p>
        </w:tc>
      </w:tr>
      <w:tr w14:paraId="3E1886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4E601484">
            <w:pPr>
              <w:spacing w:line="240" w:lineRule="atLeast"/>
              <w:jc w:val="center"/>
              <w:rPr>
                <w:rFonts w:ascii="宋体" w:hAnsi="宋体"/>
                <w:szCs w:val="21"/>
              </w:rPr>
            </w:pPr>
          </w:p>
        </w:tc>
        <w:tc>
          <w:tcPr>
            <w:tcW w:w="720" w:type="dxa"/>
            <w:vMerge w:val="continue"/>
            <w:tcBorders>
              <w:right w:val="single" w:color="auto" w:sz="4" w:space="0"/>
            </w:tcBorders>
            <w:vAlign w:val="center"/>
          </w:tcPr>
          <w:p w14:paraId="03D99A73">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753DC93F">
            <w:pPr>
              <w:spacing w:line="240" w:lineRule="atLeast"/>
              <w:jc w:val="center"/>
              <w:rPr>
                <w:rFonts w:ascii="宋体" w:hAnsi="宋体"/>
                <w:szCs w:val="21"/>
              </w:rPr>
            </w:pPr>
            <w:r>
              <w:rPr>
                <w:rFonts w:hint="eastAsia" w:ascii="宋体" w:hAnsi="宋体"/>
                <w:szCs w:val="21"/>
              </w:rPr>
              <w:t>环境保护</w:t>
            </w:r>
          </w:p>
        </w:tc>
        <w:tc>
          <w:tcPr>
            <w:tcW w:w="6635" w:type="dxa"/>
            <w:gridSpan w:val="3"/>
            <w:tcBorders>
              <w:left w:val="single" w:color="auto" w:sz="4" w:space="0"/>
            </w:tcBorders>
            <w:vAlign w:val="center"/>
          </w:tcPr>
          <w:p w14:paraId="1EBD70F5">
            <w:pPr>
              <w:spacing w:line="240" w:lineRule="atLeast"/>
              <w:jc w:val="center"/>
              <w:rPr>
                <w:rFonts w:ascii="宋体" w:hAnsi="宋体"/>
                <w:szCs w:val="21"/>
              </w:rPr>
            </w:pPr>
            <w:r>
              <w:rPr>
                <w:rFonts w:hint="eastAsia" w:ascii="宋体" w:hAnsi="宋体"/>
                <w:szCs w:val="21"/>
              </w:rPr>
              <w:t xml:space="preserve"> □ 优          □ 良          □ 中           □ 差</w:t>
            </w:r>
          </w:p>
        </w:tc>
      </w:tr>
      <w:tr w14:paraId="0A0059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42" w:type="dxa"/>
            <w:vMerge w:val="continue"/>
            <w:vAlign w:val="center"/>
          </w:tcPr>
          <w:p w14:paraId="7BE90246">
            <w:pPr>
              <w:spacing w:line="240" w:lineRule="atLeast"/>
              <w:jc w:val="center"/>
              <w:rPr>
                <w:rFonts w:ascii="宋体" w:hAnsi="宋体"/>
                <w:szCs w:val="21"/>
              </w:rPr>
            </w:pPr>
          </w:p>
        </w:tc>
        <w:tc>
          <w:tcPr>
            <w:tcW w:w="720" w:type="dxa"/>
            <w:vMerge w:val="continue"/>
            <w:tcBorders>
              <w:right w:val="single" w:color="auto" w:sz="4" w:space="0"/>
            </w:tcBorders>
            <w:vAlign w:val="center"/>
          </w:tcPr>
          <w:p w14:paraId="40119A81">
            <w:pPr>
              <w:spacing w:line="240" w:lineRule="atLeast"/>
              <w:jc w:val="center"/>
              <w:rPr>
                <w:rFonts w:ascii="宋体" w:hAnsi="宋体"/>
                <w:szCs w:val="21"/>
              </w:rPr>
            </w:pPr>
          </w:p>
        </w:tc>
        <w:tc>
          <w:tcPr>
            <w:tcW w:w="720" w:type="dxa"/>
            <w:tcBorders>
              <w:left w:val="single" w:color="auto" w:sz="4" w:space="0"/>
              <w:right w:val="single" w:color="auto" w:sz="4" w:space="0"/>
            </w:tcBorders>
            <w:vAlign w:val="center"/>
          </w:tcPr>
          <w:p w14:paraId="256D26A3">
            <w:pPr>
              <w:spacing w:line="240" w:lineRule="atLeast"/>
              <w:jc w:val="center"/>
              <w:rPr>
                <w:rFonts w:ascii="宋体" w:hAnsi="宋体"/>
                <w:szCs w:val="21"/>
              </w:rPr>
            </w:pPr>
            <w:r>
              <w:rPr>
                <w:rFonts w:hint="eastAsia" w:ascii="宋体" w:hAnsi="宋体"/>
                <w:szCs w:val="21"/>
              </w:rPr>
              <w:t>其他</w:t>
            </w:r>
          </w:p>
        </w:tc>
        <w:tc>
          <w:tcPr>
            <w:tcW w:w="6635" w:type="dxa"/>
            <w:gridSpan w:val="3"/>
            <w:tcBorders>
              <w:left w:val="single" w:color="auto" w:sz="4" w:space="0"/>
            </w:tcBorders>
            <w:vAlign w:val="center"/>
          </w:tcPr>
          <w:p w14:paraId="1B839F8C">
            <w:pPr>
              <w:spacing w:beforeLines="50" w:afterLines="50" w:line="240" w:lineRule="atLeast"/>
              <w:rPr>
                <w:rFonts w:ascii="宋体" w:hAnsi="宋体"/>
                <w:szCs w:val="21"/>
                <w:u w:val="single"/>
              </w:rPr>
            </w:pPr>
            <w:r>
              <w:rPr>
                <w:rFonts w:hint="eastAsia" w:ascii="宋体" w:hAnsi="宋体"/>
                <w:szCs w:val="21"/>
              </w:rPr>
              <w:t>评价内容为：</w:t>
            </w:r>
            <w:r>
              <w:rPr>
                <w:rFonts w:hint="eastAsia" w:ascii="宋体" w:hAnsi="宋体"/>
                <w:szCs w:val="21"/>
                <w:u w:val="single"/>
              </w:rPr>
              <w:t xml:space="preserve">                    </w:t>
            </w:r>
          </w:p>
          <w:p w14:paraId="3BFE9435">
            <w:pPr>
              <w:spacing w:beforeLines="50" w:afterLines="50" w:line="240" w:lineRule="atLeast"/>
              <w:rPr>
                <w:rFonts w:ascii="宋体" w:hAnsi="宋体"/>
                <w:szCs w:val="21"/>
              </w:rPr>
            </w:pPr>
            <w:r>
              <w:rPr>
                <w:rFonts w:hint="eastAsia" w:ascii="宋体" w:hAnsi="宋体"/>
                <w:szCs w:val="21"/>
              </w:rPr>
              <w:t>评价等级为：  □ 优       □ 良        □ 中         □ 差</w:t>
            </w:r>
          </w:p>
        </w:tc>
      </w:tr>
      <w:tr w14:paraId="2C8D14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261" w:hRule="atLeast"/>
          <w:jc w:val="center"/>
        </w:trPr>
        <w:tc>
          <w:tcPr>
            <w:tcW w:w="1562" w:type="dxa"/>
            <w:gridSpan w:val="2"/>
            <w:vAlign w:val="center"/>
          </w:tcPr>
          <w:p w14:paraId="23FA3816">
            <w:pPr>
              <w:spacing w:line="240" w:lineRule="atLeast"/>
              <w:jc w:val="center"/>
              <w:rPr>
                <w:rFonts w:ascii="宋体" w:hAnsi="宋体"/>
                <w:szCs w:val="21"/>
              </w:rPr>
            </w:pPr>
            <w:r>
              <w:rPr>
                <w:rFonts w:hint="eastAsia" w:ascii="宋体" w:hAnsi="宋体"/>
                <w:szCs w:val="21"/>
              </w:rPr>
              <w:t>具体情况说明</w:t>
            </w:r>
          </w:p>
        </w:tc>
        <w:tc>
          <w:tcPr>
            <w:tcW w:w="7355" w:type="dxa"/>
            <w:gridSpan w:val="4"/>
          </w:tcPr>
          <w:p w14:paraId="297F394A">
            <w:pPr>
              <w:spacing w:line="240" w:lineRule="atLeast"/>
              <w:rPr>
                <w:rFonts w:ascii="宋体" w:hAnsi="宋体"/>
                <w:szCs w:val="21"/>
              </w:rPr>
            </w:pPr>
          </w:p>
          <w:p w14:paraId="62B89C98">
            <w:pPr>
              <w:spacing w:line="240" w:lineRule="atLeast"/>
              <w:rPr>
                <w:rFonts w:ascii="宋体" w:hAnsi="宋体"/>
                <w:szCs w:val="21"/>
              </w:rPr>
            </w:pPr>
          </w:p>
          <w:p w14:paraId="6916AD55">
            <w:pPr>
              <w:spacing w:line="240" w:lineRule="atLeast"/>
              <w:rPr>
                <w:rFonts w:ascii="宋体" w:hAnsi="宋体"/>
                <w:szCs w:val="21"/>
              </w:rPr>
            </w:pPr>
          </w:p>
          <w:p w14:paraId="70DD4F8F">
            <w:pPr>
              <w:spacing w:line="240" w:lineRule="atLeast"/>
              <w:rPr>
                <w:rFonts w:ascii="宋体" w:hAnsi="宋体"/>
                <w:szCs w:val="21"/>
              </w:rPr>
            </w:pPr>
          </w:p>
          <w:p w14:paraId="492A92F5">
            <w:pPr>
              <w:spacing w:line="240" w:lineRule="atLeast"/>
              <w:rPr>
                <w:rFonts w:ascii="宋体" w:hAnsi="宋体"/>
                <w:szCs w:val="21"/>
              </w:rPr>
            </w:pPr>
          </w:p>
          <w:p w14:paraId="2C7EE866">
            <w:pPr>
              <w:spacing w:line="240" w:lineRule="atLeast"/>
              <w:rPr>
                <w:rFonts w:ascii="宋体" w:hAnsi="宋体"/>
                <w:szCs w:val="21"/>
              </w:rPr>
            </w:pPr>
          </w:p>
          <w:p w14:paraId="0FCBB159">
            <w:pPr>
              <w:spacing w:line="240" w:lineRule="atLeast"/>
              <w:rPr>
                <w:rFonts w:ascii="宋体" w:hAnsi="宋体"/>
                <w:szCs w:val="21"/>
              </w:rPr>
            </w:pPr>
          </w:p>
          <w:p w14:paraId="7ACA2E97">
            <w:pPr>
              <w:spacing w:line="240" w:lineRule="atLeast"/>
              <w:rPr>
                <w:rFonts w:ascii="宋体" w:hAnsi="宋体"/>
                <w:szCs w:val="21"/>
              </w:rPr>
            </w:pPr>
          </w:p>
        </w:tc>
      </w:tr>
      <w:tr w14:paraId="50DB7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62" w:type="dxa"/>
            <w:gridSpan w:val="2"/>
            <w:vAlign w:val="center"/>
          </w:tcPr>
          <w:p w14:paraId="07727D77">
            <w:pPr>
              <w:spacing w:line="240" w:lineRule="atLeast"/>
              <w:jc w:val="center"/>
              <w:rPr>
                <w:rFonts w:ascii="宋体" w:hAnsi="宋体"/>
                <w:szCs w:val="21"/>
              </w:rPr>
            </w:pPr>
            <w:r>
              <w:rPr>
                <w:rFonts w:hint="eastAsia" w:ascii="宋体" w:hAnsi="宋体"/>
                <w:szCs w:val="21"/>
              </w:rPr>
              <w:t>采购人意见</w:t>
            </w:r>
          </w:p>
          <w:p w14:paraId="72133A30">
            <w:pPr>
              <w:spacing w:line="240" w:lineRule="atLeast"/>
              <w:jc w:val="center"/>
              <w:rPr>
                <w:rFonts w:ascii="宋体" w:hAnsi="宋体"/>
                <w:szCs w:val="21"/>
              </w:rPr>
            </w:pPr>
            <w:r>
              <w:rPr>
                <w:rFonts w:hint="eastAsia" w:ascii="宋体" w:hAnsi="宋体"/>
                <w:szCs w:val="21"/>
              </w:rPr>
              <w:t>（公章）</w:t>
            </w:r>
          </w:p>
        </w:tc>
        <w:tc>
          <w:tcPr>
            <w:tcW w:w="7355" w:type="dxa"/>
            <w:gridSpan w:val="4"/>
            <w:vAlign w:val="center"/>
          </w:tcPr>
          <w:p w14:paraId="444ED1B3">
            <w:pPr>
              <w:spacing w:line="240" w:lineRule="atLeast"/>
              <w:rPr>
                <w:rFonts w:ascii="宋体" w:hAnsi="宋体"/>
                <w:szCs w:val="21"/>
              </w:rPr>
            </w:pPr>
          </w:p>
          <w:p w14:paraId="07BD5378">
            <w:pPr>
              <w:spacing w:line="240" w:lineRule="atLeast"/>
              <w:rPr>
                <w:rFonts w:ascii="宋体" w:hAnsi="宋体"/>
                <w:szCs w:val="21"/>
              </w:rPr>
            </w:pPr>
            <w:r>
              <w:rPr>
                <w:rFonts w:hint="eastAsia" w:ascii="宋体" w:hAnsi="宋体"/>
                <w:szCs w:val="21"/>
              </w:rPr>
              <w:t xml:space="preserve">                                        </w:t>
            </w:r>
          </w:p>
          <w:p w14:paraId="1007B101">
            <w:pPr>
              <w:spacing w:line="240" w:lineRule="atLeast"/>
              <w:ind w:firstLine="3780" w:firstLineChars="1800"/>
              <w:rPr>
                <w:rFonts w:ascii="宋体" w:hAnsi="宋体"/>
                <w:szCs w:val="21"/>
              </w:rPr>
            </w:pPr>
          </w:p>
          <w:p w14:paraId="1788A0A4">
            <w:pPr>
              <w:spacing w:line="240" w:lineRule="atLeast"/>
              <w:ind w:firstLine="3780" w:firstLineChars="1800"/>
              <w:rPr>
                <w:rFonts w:ascii="宋体" w:hAnsi="宋体"/>
                <w:szCs w:val="21"/>
              </w:rPr>
            </w:pPr>
            <w:r>
              <w:rPr>
                <w:rFonts w:hint="eastAsia" w:ascii="宋体" w:hAnsi="宋体"/>
                <w:szCs w:val="21"/>
              </w:rPr>
              <w:t>日期：   年   月   日</w:t>
            </w:r>
          </w:p>
        </w:tc>
      </w:tr>
    </w:tbl>
    <w:p w14:paraId="0F6EDB5C">
      <w:pPr>
        <w:spacing w:line="240" w:lineRule="atLeast"/>
        <w:rPr>
          <w:rFonts w:ascii="宋体" w:hAnsi="宋体"/>
          <w:szCs w:val="21"/>
        </w:rPr>
      </w:pPr>
      <w:r>
        <w:rPr>
          <w:rFonts w:hint="eastAsia" w:ascii="宋体" w:hAnsi="宋体"/>
          <w:szCs w:val="21"/>
        </w:rPr>
        <w:t>说明：</w:t>
      </w:r>
    </w:p>
    <w:p w14:paraId="5BAB8757">
      <w:pPr>
        <w:spacing w:line="240" w:lineRule="atLeast"/>
        <w:rPr>
          <w:rFonts w:ascii="宋体" w:hAnsi="宋体"/>
          <w:szCs w:val="21"/>
        </w:rPr>
      </w:pPr>
      <w:r>
        <w:rPr>
          <w:rFonts w:hint="eastAsia" w:ascii="宋体" w:hAnsi="宋体"/>
          <w:szCs w:val="21"/>
        </w:rPr>
        <w:t>履约情况评价分为优、良、中、差四个等级，请在对应的框前打“√”，然后在“具体情况说明”一栏详细说明有关情况。</w:t>
      </w:r>
      <w:r>
        <w:rPr>
          <w:rFonts w:ascii="宋体" w:hAnsi="宋体"/>
          <w:szCs w:val="21"/>
        </w:rPr>
        <w:tab/>
      </w:r>
      <w:r>
        <w:rPr>
          <w:rFonts w:ascii="宋体" w:hAnsi="宋体"/>
          <w:szCs w:val="21"/>
        </w:rPr>
        <w:tab/>
      </w:r>
    </w:p>
    <w:p w14:paraId="7CDBC3CF">
      <w:pPr>
        <w:spacing w:line="240" w:lineRule="atLeast"/>
        <w:rPr>
          <w:rFonts w:ascii="宋体" w:hAnsi="宋体"/>
          <w:szCs w:val="21"/>
        </w:rPr>
        <w:sectPr>
          <w:footerReference r:id="rId3" w:type="default"/>
          <w:pgSz w:w="11906" w:h="16838"/>
          <w:pgMar w:top="1440" w:right="1417" w:bottom="1440" w:left="1417" w:header="851" w:footer="992" w:gutter="0"/>
          <w:pgBorders>
            <w:top w:val="none" w:sz="0" w:space="0"/>
            <w:left w:val="none" w:sz="0" w:space="0"/>
            <w:bottom w:val="none" w:sz="0" w:space="0"/>
            <w:right w:val="none" w:sz="0" w:space="0"/>
          </w:pgBorders>
          <w:cols w:space="720" w:num="1"/>
          <w:titlePg/>
          <w:docGrid w:type="lines" w:linePitch="312" w:charSpace="0"/>
        </w:sectPr>
      </w:pPr>
    </w:p>
    <w:p w14:paraId="786140EA">
      <w:pPr>
        <w:jc w:val="center"/>
        <w:rPr>
          <w:rFonts w:ascii="宋体" w:hAnsi="宋体"/>
          <w:b/>
          <w:bCs/>
          <w:kern w:val="0"/>
          <w:sz w:val="24"/>
          <w:szCs w:val="20"/>
        </w:rPr>
      </w:pPr>
      <w:r>
        <w:rPr>
          <w:rFonts w:hint="eastAsia" w:ascii="宋体" w:hAnsi="宋体"/>
          <w:b/>
          <w:bCs/>
          <w:kern w:val="0"/>
          <w:sz w:val="24"/>
          <w:szCs w:val="20"/>
        </w:rPr>
        <w:t>第五章  附件</w:t>
      </w:r>
    </w:p>
    <w:p w14:paraId="5AF19A8B">
      <w:pPr>
        <w:jc w:val="center"/>
        <w:rPr>
          <w:rFonts w:ascii="宋体" w:hAnsi="宋体"/>
          <w:b/>
          <w:bCs/>
          <w:kern w:val="0"/>
          <w:sz w:val="24"/>
          <w:szCs w:val="20"/>
        </w:rPr>
      </w:pPr>
    </w:p>
    <w:p w14:paraId="4C75582F">
      <w:pPr>
        <w:pStyle w:val="3"/>
        <w:spacing w:before="0" w:after="0"/>
        <w:jc w:val="center"/>
      </w:pPr>
      <w:bookmarkStart w:id="18" w:name="_Toc73613644"/>
      <w:bookmarkStart w:id="19" w:name="_Toc73610162"/>
      <w:r>
        <w:rPr>
          <w:rFonts w:hint="eastAsia"/>
        </w:rPr>
        <w:t>一、财政部 工业和信息化部关于印发《政府采购促进中小企业发展管理办法》的通知</w:t>
      </w:r>
      <w:bookmarkEnd w:id="18"/>
      <w:bookmarkEnd w:id="19"/>
    </w:p>
    <w:p w14:paraId="41A8C1FE">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财库〔2020〕46号</w:t>
      </w:r>
    </w:p>
    <w:p w14:paraId="3273F07D">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各中央预算单位办公厅（室），各省、自治区、直辖市、计划单列市财政厅（局）、工业和信息化主管部门，新疆生产建设兵团财政局、工业和信息化主管部门：</w:t>
      </w:r>
    </w:p>
    <w:p w14:paraId="2A1D627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27F4B3D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附件：政府采购促进中小企业发展管理办法</w:t>
      </w:r>
    </w:p>
    <w:p w14:paraId="04DB8F23">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财　　政　　部</w:t>
      </w:r>
    </w:p>
    <w:p w14:paraId="1447179A">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工业和信息化部</w:t>
      </w:r>
    </w:p>
    <w:p w14:paraId="4CBB4F77">
      <w:pPr>
        <w:pStyle w:val="37"/>
        <w:shd w:val="clear" w:color="auto" w:fill="FFFFFF"/>
        <w:spacing w:before="0" w:beforeAutospacing="0" w:after="0" w:afterAutospacing="0" w:line="360" w:lineRule="auto"/>
        <w:jc w:val="right"/>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2020年12月18日</w:t>
      </w:r>
    </w:p>
    <w:p w14:paraId="01B42C5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4C1C9E09">
      <w:pPr>
        <w:pStyle w:val="37"/>
        <w:shd w:val="clear" w:color="auto" w:fill="FFFFFF"/>
        <w:spacing w:before="0" w:beforeAutospacing="0" w:after="0" w:afterAutospacing="0" w:line="360" w:lineRule="auto"/>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附件</w:t>
      </w:r>
    </w:p>
    <w:p w14:paraId="3446B87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780A02DD">
      <w:pPr>
        <w:pStyle w:val="37"/>
        <w:shd w:val="clear" w:color="auto" w:fill="FFFFFF"/>
        <w:spacing w:before="0" w:beforeAutospacing="0" w:after="0" w:afterAutospacing="0" w:line="360" w:lineRule="auto"/>
        <w:jc w:val="center"/>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政府采购促进中小企业发展管理办法</w:t>
      </w:r>
    </w:p>
    <w:p w14:paraId="69421DF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p>
    <w:p w14:paraId="688783A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第一条</w:t>
      </w:r>
      <w:r>
        <w:rPr>
          <w:rFonts w:hint="eastAsia" w:asciiTheme="minorEastAsia" w:hAnsiTheme="minorEastAsia" w:eastAsiaTheme="minorEastAsia"/>
          <w:color w:val="333333"/>
          <w:sz w:val="21"/>
          <w:szCs w:val="21"/>
        </w:rPr>
        <w:t>　为了发挥政府采购的政策功能，促进中小企业健康发展，根据《中华人民共和国政府采购法》、《中华人民共和国中小企业促进法》等有关法律法规，制定本办法。</w:t>
      </w:r>
    </w:p>
    <w:p w14:paraId="280C0EB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第二条</w:t>
      </w:r>
      <w:r>
        <w:rPr>
          <w:rFonts w:hint="eastAsia" w:asciiTheme="minorEastAsia" w:hAnsiTheme="minorEastAsia" w:eastAsiaTheme="minorEastAsia"/>
          <w:color w:val="333333"/>
          <w:sz w:val="21"/>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3BC7DD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符合中小企业划分标准的个体工商户，在政府采购活动中视同中小企业。</w:t>
      </w:r>
    </w:p>
    <w:p w14:paraId="3444D43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第三条</w:t>
      </w:r>
      <w:r>
        <w:rPr>
          <w:rFonts w:hint="eastAsia" w:asciiTheme="minorEastAsia" w:hAnsiTheme="minorEastAsia" w:eastAsiaTheme="minorEastAsia"/>
          <w:color w:val="333333"/>
          <w:sz w:val="21"/>
          <w:szCs w:val="21"/>
        </w:rPr>
        <w:t>　采购人在政府采购活动中应当通过加强采购需求管理，落实预留采购份额、价格评审优惠、优先采购等措施，提高中小企业在政府采购中的份额，支持中小企业发展。</w:t>
      </w:r>
    </w:p>
    <w:p w14:paraId="5BFD5DB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第四条</w:t>
      </w:r>
      <w:r>
        <w:rPr>
          <w:rFonts w:hint="eastAsia" w:asciiTheme="minorEastAsia" w:hAnsiTheme="minorEastAsia" w:eastAsiaTheme="minorEastAsia"/>
          <w:color w:val="333333"/>
          <w:sz w:val="21"/>
          <w:szCs w:val="21"/>
        </w:rPr>
        <w:t>　在政府采购活动中，供应商提供的货物、工程或者服务符合下列情形的，享受本办法规定的中小企业扶持政策：</w:t>
      </w:r>
    </w:p>
    <w:p w14:paraId="2919430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（一）在货物采购项目中，货物由中小企业制造，即货物由中小企业生产且使用该中小企业商号或者注册商标；</w:t>
      </w:r>
    </w:p>
    <w:p w14:paraId="5AAF7F8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（二）在工程采购项目中，工程由中小企业承建，即工程施工单位为中小企业；</w:t>
      </w:r>
    </w:p>
    <w:p w14:paraId="43B4CDC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（三）在服务采购项目中，服务由中小企业承接，即提供服务的人员为中小企业依照《中华人民共和国劳动合同法》订立劳动合同的从业人员。</w:t>
      </w:r>
    </w:p>
    <w:p w14:paraId="6E5BC3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在货物采购项目中，供应商提供的货物既有中小企业制造货物，也有大型企业制造货物的，不享受本办法规定的中小企业扶持政策。</w:t>
      </w:r>
    </w:p>
    <w:p w14:paraId="7816AD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以联合体形式参加政府采购活动，联合体各方均为中小企业的，联合体视同中小企业。其中，联合体各方均为小微企业的，联合体视同小微企业。</w:t>
      </w:r>
    </w:p>
    <w:p w14:paraId="5116734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第五条</w:t>
      </w:r>
      <w:r>
        <w:rPr>
          <w:rFonts w:hint="eastAsia" w:asciiTheme="minorEastAsia" w:hAnsiTheme="minorEastAsia" w:eastAsiaTheme="minorEastAsia"/>
          <w:color w:val="333333"/>
          <w:sz w:val="21"/>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65EB74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第六条</w:t>
      </w:r>
      <w:r>
        <w:rPr>
          <w:rFonts w:hint="eastAsia" w:asciiTheme="minorEastAsia" w:hAnsiTheme="minorEastAsia" w:eastAsiaTheme="minorEastAsia"/>
          <w:color w:val="333333"/>
          <w:sz w:val="21"/>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2DCD578">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符合下列情形之一的，可不专门面向中小企业预留采购份额：</w:t>
      </w:r>
    </w:p>
    <w:p w14:paraId="0F9867D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（一）法律法规和国家有关政策明确规定优先或者应当面向事业单位、社会组织等非企业主体采购的；</w:t>
      </w:r>
    </w:p>
    <w:p w14:paraId="2425343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（二）因确需使用不可替代的专利、专有技术，基础设施限制，或者提供特定公共服务等原因，只能从中小企业之外的供应商处采购的；</w:t>
      </w:r>
    </w:p>
    <w:p w14:paraId="331AA11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（三）按照本办法规定预留采购份额无法确保充分供应、充分竞争，或者存在可能影响政府采购目标实现的情形；</w:t>
      </w:r>
    </w:p>
    <w:p w14:paraId="35CF293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（四）框架协议采购项目；</w:t>
      </w:r>
    </w:p>
    <w:p w14:paraId="0D20D38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（五）省级以上人民政府财政部门规定的其他情形。</w:t>
      </w:r>
    </w:p>
    <w:p w14:paraId="779194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除上述情形外，其他均为适宜由中小企业提供的情形。</w:t>
      </w:r>
    </w:p>
    <w:p w14:paraId="746A2EC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第七条</w:t>
      </w:r>
      <w:r>
        <w:rPr>
          <w:rFonts w:hint="eastAsia" w:asciiTheme="minorEastAsia" w:hAnsiTheme="minorEastAsia" w:eastAsiaTheme="minorEastAsia"/>
          <w:color w:val="333333"/>
          <w:sz w:val="21"/>
          <w:szCs w:val="21"/>
        </w:rPr>
        <w:t>　采购限额标准以上，200万元以下的货物和服务采购项目、400万元以下的工程采购项目，适宜由中小企业提供的，采购人应当专门面向中小企业采购。</w:t>
      </w:r>
    </w:p>
    <w:p w14:paraId="3AFF35D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第八条</w:t>
      </w:r>
      <w:r>
        <w:rPr>
          <w:rFonts w:hint="eastAsia" w:asciiTheme="minorEastAsia" w:hAnsiTheme="minorEastAsia" w:eastAsiaTheme="minorEastAsia"/>
          <w:color w:val="333333"/>
          <w:sz w:val="21"/>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4E745EC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（一）将采购项目整体或者设置采购包专门面向中小企业采购；</w:t>
      </w:r>
    </w:p>
    <w:p w14:paraId="62B2AE0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（二）要求供应商以联合体形式参加采购活动，且联合体中中小企业承担的部分达到一定比例；</w:t>
      </w:r>
    </w:p>
    <w:p w14:paraId="60B981A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（三）要求获得采购合同的供应商将采购项目中的一定比例分包给一家或者多家中小企业。</w:t>
      </w:r>
    </w:p>
    <w:p w14:paraId="55BAA92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组成联合体或者接受分包合同的中小企业与联合体内其他企业、分包企业之间不得存在直接控股、管理关系。</w:t>
      </w:r>
    </w:p>
    <w:p w14:paraId="291AB9E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第九条</w:t>
      </w:r>
      <w:r>
        <w:rPr>
          <w:rFonts w:hint="eastAsia" w:asciiTheme="minorEastAsia" w:hAnsiTheme="minorEastAsia" w:eastAsiaTheme="minorEastAsia"/>
          <w:color w:val="333333"/>
          <w:sz w:val="21"/>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20052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0494DA3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1EFB4AE0">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第十条</w:t>
      </w:r>
      <w:r>
        <w:rPr>
          <w:rFonts w:hint="eastAsia" w:asciiTheme="minorEastAsia" w:hAnsiTheme="minorEastAsia" w:eastAsiaTheme="minorEastAsia"/>
          <w:color w:val="333333"/>
          <w:sz w:val="21"/>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401FB4E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第十一条</w:t>
      </w:r>
      <w:r>
        <w:rPr>
          <w:rFonts w:hint="eastAsia" w:asciiTheme="minorEastAsia" w:hAnsiTheme="minorEastAsia" w:eastAsiaTheme="minorEastAsia"/>
          <w:color w:val="333333"/>
          <w:sz w:val="21"/>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BFA559">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第十二条</w:t>
      </w:r>
      <w:r>
        <w:rPr>
          <w:rFonts w:hint="eastAsia" w:asciiTheme="minorEastAsia" w:hAnsiTheme="minorEastAsia" w:eastAsiaTheme="minorEastAsia"/>
          <w:color w:val="333333"/>
          <w:sz w:val="21"/>
          <w:szCs w:val="21"/>
        </w:rPr>
        <w:t>　采购项目涉及中小企业采购的，采购文件应当明确以下内容：</w:t>
      </w:r>
    </w:p>
    <w:p w14:paraId="55CF59AF">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（一）预留份额的采购项目或者采购包，明确该项目或相关采购包专门面向中小企业采购，以及相关标的及预算金额；</w:t>
      </w:r>
    </w:p>
    <w:p w14:paraId="415A8B8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（二）要求以联合体形式参加或者合同分包的，明确联合协议或者分包意向协议中中小企业合同金额应当达到的比例，并作为供应商资格条件；</w:t>
      </w:r>
    </w:p>
    <w:p w14:paraId="13E9FF75">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（三）非预留份额的采购项目或者采购包，明确有关价格扣除比例或者价格分加分比例；</w:t>
      </w:r>
    </w:p>
    <w:p w14:paraId="10D82E8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（四）规定依据本办法规定享受扶持政策获得政府采购合同的，小微企业不得将合同分包给大中型企业，中型企业不得将合同分包给大型企业；</w:t>
      </w:r>
    </w:p>
    <w:p w14:paraId="2D8AF00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（五）采购人认为具备相关条件的，明确对中小企业在资金支付期限、预付款比例等方面的优惠措施；</w:t>
      </w:r>
    </w:p>
    <w:p w14:paraId="33B9254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（六）明确采购标的对应的中小企业划分标准所属行业；</w:t>
      </w:r>
    </w:p>
    <w:p w14:paraId="722D189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（七）法律法规和省级以上人民政府财政部门规定的其他事项。</w:t>
      </w:r>
    </w:p>
    <w:p w14:paraId="4C34B8A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第十三条</w:t>
      </w:r>
      <w:r>
        <w:rPr>
          <w:rFonts w:hint="eastAsia" w:asciiTheme="minorEastAsia" w:hAnsiTheme="minorEastAsia" w:eastAsiaTheme="minorEastAsia"/>
          <w:color w:val="333333"/>
          <w:sz w:val="21"/>
          <w:szCs w:val="21"/>
        </w:rPr>
        <w:t>　中标、成交供应商享受本办法规定的中小企业扶持政策的，采购人、采购代理机构应当随中标、成交结果公开中标、成交供应商的《中小企业声明函》。</w:t>
      </w:r>
    </w:p>
    <w:p w14:paraId="7C593D6B">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适用招标投标法的政府采购工程建设项目，应当在公示中标候选人时公开中标候选人的《中小企业声明函》。</w:t>
      </w:r>
    </w:p>
    <w:p w14:paraId="23A0A0B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第十四条</w:t>
      </w:r>
      <w:r>
        <w:rPr>
          <w:rFonts w:hint="eastAsia" w:asciiTheme="minorEastAsia" w:hAnsiTheme="minorEastAsia" w:eastAsiaTheme="minorEastAsia"/>
          <w:color w:val="333333"/>
          <w:sz w:val="21"/>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25768812">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第十五条</w:t>
      </w:r>
      <w:r>
        <w:rPr>
          <w:rFonts w:hint="eastAsia" w:asciiTheme="minorEastAsia" w:hAnsiTheme="minorEastAsia" w:eastAsiaTheme="minorEastAsia"/>
          <w:color w:val="333333"/>
          <w:sz w:val="21"/>
          <w:szCs w:val="21"/>
        </w:rPr>
        <w:t>　鼓励各地区、各部门在采购活动中允许中小企业引入信用担保手段，为中小企业在投标（响应）保证、履约保证等方面提供专业化服务。鼓励中小企业依法合规通过政府采购合同融资。</w:t>
      </w:r>
    </w:p>
    <w:p w14:paraId="5EDEC5A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第十六条</w:t>
      </w:r>
      <w:r>
        <w:rPr>
          <w:rFonts w:hint="eastAsia" w:asciiTheme="minorEastAsia" w:hAnsiTheme="minorEastAsia" w:eastAsiaTheme="minorEastAsia"/>
          <w:color w:val="333333"/>
          <w:sz w:val="21"/>
          <w:szCs w:val="21"/>
        </w:rPr>
        <w:t>　政府采购监督检查、投诉处理及政府采购行政处罚中对中小企业的认定，由货物制造商或者工程、服务供应商注册登记所在地的县级以上人民政府中小企业主管部门负责。</w:t>
      </w:r>
    </w:p>
    <w:p w14:paraId="02EB47C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中小企业主管部门应当在收到财政部门或者有关招标投标行政监督部门关于协助开展中小企业认定函后10个工作日内做出书面答复。</w:t>
      </w:r>
    </w:p>
    <w:p w14:paraId="4F2F542A">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第十七条</w:t>
      </w:r>
      <w:r>
        <w:rPr>
          <w:rFonts w:hint="eastAsia" w:asciiTheme="minorEastAsia" w:hAnsiTheme="minorEastAsia" w:eastAsiaTheme="minorEastAsia"/>
          <w:color w:val="333333"/>
          <w:sz w:val="21"/>
          <w:szCs w:val="21"/>
        </w:rPr>
        <w:t>　各地区、各部门应当对涉及中小企业采购的预算项目实施全过程绩效管理，合理设置绩效目标和指标，落实扶持中小企业有关政策要求，定期开展绩效监控和评价，强化绩效评价结果应用。</w:t>
      </w:r>
    </w:p>
    <w:p w14:paraId="0C738EB1">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第十八条</w:t>
      </w:r>
      <w:r>
        <w:rPr>
          <w:rFonts w:hint="eastAsia" w:asciiTheme="minorEastAsia" w:hAnsiTheme="minorEastAsia" w:eastAsiaTheme="minorEastAsia"/>
          <w:color w:val="333333"/>
          <w:sz w:val="21"/>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274A989D">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第十九条</w:t>
      </w:r>
      <w:r>
        <w:rPr>
          <w:rFonts w:hint="eastAsia" w:asciiTheme="minorEastAsia" w:hAnsiTheme="minorEastAsia" w:eastAsiaTheme="minorEastAsia"/>
          <w:color w:val="333333"/>
          <w:sz w:val="21"/>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39C165E">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第二十条</w:t>
      </w:r>
      <w:r>
        <w:rPr>
          <w:rFonts w:hint="eastAsia" w:asciiTheme="minorEastAsia" w:hAnsiTheme="minorEastAsia" w:eastAsiaTheme="minorEastAsia"/>
          <w:color w:val="333333"/>
          <w:sz w:val="21"/>
          <w:szCs w:val="21"/>
        </w:rPr>
        <w:t>　供应商按照本办法规定提供声明函内容不实的，属于提供虚假材料谋取中标、成交，依照《中华人民共和国政府采购法》等国家有关规定追究相应责任。</w:t>
      </w:r>
    </w:p>
    <w:p w14:paraId="0E441D8C">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color w:val="333333"/>
          <w:sz w:val="21"/>
          <w:szCs w:val="21"/>
        </w:rPr>
        <w:t>适用招标投标法的政府采购工程建设项目，投标人按照本办法规定提供声明函内容不实的，属于弄虚作假骗取中标，依照《中华人民共和国招标投标法》等国家有关规定追究相应责任。</w:t>
      </w:r>
    </w:p>
    <w:p w14:paraId="1655D197">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第二十一条</w:t>
      </w:r>
      <w:r>
        <w:rPr>
          <w:rFonts w:hint="eastAsia" w:asciiTheme="minorEastAsia" w:hAnsiTheme="minorEastAsia" w:eastAsiaTheme="minorEastAsia"/>
          <w:color w:val="333333"/>
          <w:sz w:val="21"/>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E5E2AE4">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第二十二条</w:t>
      </w:r>
      <w:r>
        <w:rPr>
          <w:rFonts w:hint="eastAsia" w:asciiTheme="minorEastAsia" w:hAnsiTheme="minorEastAsia" w:eastAsiaTheme="minorEastAsia"/>
          <w:color w:val="333333"/>
          <w:sz w:val="21"/>
          <w:szCs w:val="21"/>
        </w:rPr>
        <w:t>　对外援助项目、国家相关资格或者资质管理制度另有规定的项目，不适用本办法。</w:t>
      </w:r>
    </w:p>
    <w:p w14:paraId="025CA9F3">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第二十三条</w:t>
      </w:r>
      <w:r>
        <w:rPr>
          <w:rFonts w:hint="eastAsia" w:asciiTheme="minorEastAsia" w:hAnsiTheme="minorEastAsia" w:eastAsiaTheme="minorEastAsia"/>
          <w:color w:val="333333"/>
          <w:sz w:val="21"/>
          <w:szCs w:val="21"/>
        </w:rPr>
        <w:t>　关于视同中小企业的其他主体的政府采购扶持政策，由财政部会同有关部门另行规定。</w:t>
      </w:r>
    </w:p>
    <w:p w14:paraId="263E8EC6">
      <w:pPr>
        <w:pStyle w:val="37"/>
        <w:shd w:val="clear" w:color="auto" w:fill="FFFFFF"/>
        <w:spacing w:before="0" w:beforeAutospacing="0" w:after="0" w:afterAutospacing="0" w:line="360" w:lineRule="auto"/>
        <w:ind w:firstLine="480"/>
        <w:jc w:val="both"/>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第二十四条</w:t>
      </w:r>
      <w:r>
        <w:rPr>
          <w:rFonts w:hint="eastAsia" w:asciiTheme="minorEastAsia" w:hAnsiTheme="minorEastAsia" w:eastAsiaTheme="minorEastAsia"/>
          <w:color w:val="333333"/>
          <w:sz w:val="21"/>
          <w:szCs w:val="21"/>
        </w:rPr>
        <w:t>　省级财政部门可以会同中小企业主管部门根据本办法的规定制定具体实施办法。</w:t>
      </w:r>
    </w:p>
    <w:p w14:paraId="12ACCC87">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r>
        <w:rPr>
          <w:rFonts w:hint="eastAsia" w:asciiTheme="minorEastAsia" w:hAnsiTheme="minorEastAsia" w:eastAsiaTheme="minorEastAsia"/>
          <w:b/>
          <w:bCs/>
          <w:color w:val="333333"/>
          <w:sz w:val="21"/>
          <w:szCs w:val="21"/>
        </w:rPr>
        <w:t>第二十五条</w:t>
      </w:r>
      <w:r>
        <w:rPr>
          <w:rFonts w:hint="eastAsia" w:asciiTheme="minorEastAsia" w:hAnsiTheme="minorEastAsia" w:eastAsiaTheme="minorEastAsia"/>
          <w:color w:val="333333"/>
          <w:sz w:val="21"/>
          <w:szCs w:val="21"/>
        </w:rPr>
        <w:t>　本办法自2021年1月1日起施行。《财政部 工业和信息化部关于印发〈政府采购促进中小企业发展暂行办法〉的通知》（财库〔2011〕181号）同时废止。</w:t>
      </w:r>
    </w:p>
    <w:p w14:paraId="78CD9BD5">
      <w:pPr>
        <w:pStyle w:val="37"/>
        <w:shd w:val="clear" w:color="auto" w:fill="FFFFFF"/>
        <w:spacing w:before="0" w:beforeAutospacing="0" w:after="0" w:afterAutospacing="0" w:line="360" w:lineRule="auto"/>
        <w:ind w:firstLine="480"/>
        <w:rPr>
          <w:rFonts w:asciiTheme="minorEastAsia" w:hAnsiTheme="minorEastAsia" w:eastAsiaTheme="minorEastAsia"/>
          <w:color w:val="333333"/>
          <w:sz w:val="21"/>
          <w:szCs w:val="21"/>
        </w:rPr>
      </w:pPr>
    </w:p>
    <w:p w14:paraId="29E3CF5D">
      <w:pPr>
        <w:spacing w:line="360" w:lineRule="auto"/>
        <w:rPr>
          <w:rFonts w:asciiTheme="minorEastAsia" w:hAnsiTheme="minorEastAsia" w:eastAsiaTheme="minorEastAsia"/>
          <w:szCs w:val="21"/>
        </w:rPr>
      </w:pPr>
    </w:p>
    <w:p w14:paraId="3C37A92B">
      <w:pPr>
        <w:pStyle w:val="3"/>
        <w:spacing w:before="0" w:after="0"/>
        <w:jc w:val="center"/>
      </w:pPr>
      <w:bookmarkStart w:id="20" w:name="_Toc73610163"/>
      <w:bookmarkStart w:id="21" w:name="_Toc73613645"/>
      <w:r>
        <w:rPr>
          <w:rFonts w:hint="eastAsia"/>
        </w:rPr>
        <w:t>二、关于印发中小企业划型标准规定的通知</w:t>
      </w:r>
      <w:bookmarkEnd w:id="20"/>
      <w:bookmarkEnd w:id="21"/>
    </w:p>
    <w:p w14:paraId="5836FC33">
      <w:pPr>
        <w:pStyle w:val="37"/>
        <w:shd w:val="clear" w:color="auto" w:fill="FFFFFF"/>
        <w:spacing w:line="360" w:lineRule="auto"/>
        <w:jc w:val="center"/>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工信部联企业〔2011〕300号</w:t>
      </w:r>
    </w:p>
    <w:p w14:paraId="717BF8FC">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各省、自治区、直辖市人民政府，国务院各部委、各直属机构及有关单位：</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EF6ECD2">
      <w:pPr>
        <w:pStyle w:val="37"/>
        <w:shd w:val="clear" w:color="auto" w:fill="FFFFFF"/>
        <w:spacing w:line="360" w:lineRule="auto"/>
        <w:jc w:val="right"/>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工业和信息化部　国家统计局</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国家发展和改革委员会　财政部</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二○一一年六月十八日</w:t>
      </w:r>
    </w:p>
    <w:p w14:paraId="77B34B40">
      <w:pPr>
        <w:pStyle w:val="37"/>
        <w:shd w:val="clear" w:color="auto" w:fill="FFFFFF"/>
        <w:spacing w:line="360" w:lineRule="auto"/>
        <w:jc w:val="center"/>
        <w:rPr>
          <w:rFonts w:asciiTheme="minorEastAsia" w:hAnsiTheme="minorEastAsia" w:eastAsiaTheme="minorEastAsia"/>
          <w:color w:val="000000"/>
          <w:sz w:val="21"/>
          <w:szCs w:val="21"/>
        </w:rPr>
      </w:pPr>
      <w:r>
        <w:rPr>
          <w:rStyle w:val="45"/>
          <w:rFonts w:hint="eastAsia" w:asciiTheme="minorEastAsia" w:hAnsiTheme="minorEastAsia" w:eastAsiaTheme="minorEastAsia"/>
          <w:color w:val="000000"/>
          <w:sz w:val="21"/>
          <w:szCs w:val="21"/>
        </w:rPr>
        <w:t>中小企业划型标准规定</w:t>
      </w:r>
    </w:p>
    <w:p w14:paraId="09968051">
      <w:pPr>
        <w:pStyle w:val="37"/>
        <w:shd w:val="clear" w:color="auto" w:fill="FFFFFF"/>
        <w:spacing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　　一、根据《中华人民共和国中小企业促进法》和《国务院关于进一步促进中小企业发展的若干意见》(国发〔2009〕36号)，制定本规定。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二、中小企业划分为中型、小型、微型三种类型，具体标准根据企业从业人员、营业收入、资产总额等指标，结合行业特点制定。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四、各行业划型标准为：</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（一）农、林、牧、渔业。营业收入20000万元以下的为中小微型企业。其中，营业收入500万元及以上的为中型企业，营业收入50万元及以上的为小型企业，营业收入50万元以下的为微型企业。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（十六）其他未列明行业。从业人员300人以下的为中小微型企业。其中，从业人员100人及以上的为中型企业；从业人员10人及以上的为小型企业；从业人员10人以下的为微型企业。</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五、企业类型的划分以统计部门的统计数据为依据。</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六、本规定适用于在中华人民共和国境内依法设立的各类所有制和各种组织形式的企业。个体工商户和本规定以外的行业，参照本规定进行划型。</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八、本规定由工业和信息化部、国家统计局会同有关部门根据《国民经济行业分类》修订情况和企业发展变化情况适时修订。</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九、本规定由工业和信息化部、国家统计局会同有关部门负责解释。</w:t>
      </w:r>
      <w:r>
        <w:rPr>
          <w:rFonts w:hint="eastAsia"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rPr>
        <w:t>　　十、本规定自发布之日起执行，原国家经贸委、原国家计委、财政部和国家统计局2003年颁布的《中小企业标准暂行规定》同时废止。</w:t>
      </w:r>
    </w:p>
    <w:p w14:paraId="69E7667C">
      <w:pPr>
        <w:pStyle w:val="37"/>
        <w:shd w:val="clear" w:color="auto" w:fill="FFFFFF"/>
        <w:spacing w:line="360" w:lineRule="auto"/>
        <w:rPr>
          <w:rFonts w:asciiTheme="minorEastAsia" w:hAnsiTheme="minorEastAsia" w:eastAsiaTheme="minorEastAsia"/>
          <w:color w:val="000000"/>
          <w:sz w:val="21"/>
          <w:szCs w:val="21"/>
        </w:rPr>
      </w:pPr>
    </w:p>
    <w:p w14:paraId="1B8FBD2C">
      <w:pPr>
        <w:pStyle w:val="3"/>
        <w:spacing w:before="0" w:after="0"/>
        <w:jc w:val="center"/>
        <w:rPr>
          <w:rFonts w:asciiTheme="minorEastAsia" w:hAnsiTheme="minorEastAsia" w:eastAsiaTheme="minorEastAsia"/>
        </w:rPr>
      </w:pPr>
      <w:bookmarkStart w:id="22" w:name="_Toc73610164"/>
      <w:bookmarkStart w:id="23" w:name="_Toc73613646"/>
      <w:r>
        <w:rPr>
          <w:rFonts w:hint="eastAsia" w:asciiTheme="minorEastAsia" w:hAnsiTheme="minorEastAsia" w:eastAsiaTheme="minorEastAsia"/>
          <w:bCs w:val="0"/>
        </w:rPr>
        <w:t>三、</w:t>
      </w:r>
      <w:r>
        <w:rPr>
          <w:rFonts w:asciiTheme="minorEastAsia" w:hAnsiTheme="minorEastAsia" w:eastAsiaTheme="minorEastAsia"/>
          <w:bCs w:val="0"/>
        </w:rPr>
        <w:t>国家统计局关于印发《统计上大中小微型企业划分办法 （2017）》的通知</w:t>
      </w:r>
      <w:bookmarkEnd w:id="22"/>
      <w:bookmarkEnd w:id="23"/>
      <w:r>
        <w:rPr>
          <w:rFonts w:asciiTheme="minorEastAsia" w:hAnsiTheme="minorEastAsia" w:eastAsiaTheme="minorEastAsia"/>
          <w:bCs w:val="0"/>
        </w:rPr>
        <w:t> </w:t>
      </w:r>
    </w:p>
    <w:p w14:paraId="0FB64294">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14AD6BF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76C60E0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60D3DA3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08019A56">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488104F2">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266F6994">
      <w:pPr>
        <w:widowControl/>
        <w:spacing w:line="360" w:lineRule="auto"/>
        <w:jc w:val="center"/>
        <w:rPr>
          <w:rFonts w:cs="宋体" w:asciiTheme="minorEastAsia" w:hAnsiTheme="minorEastAsia" w:eastAsiaTheme="minorEastAsia"/>
          <w:b/>
          <w:bCs/>
          <w:kern w:val="0"/>
          <w:szCs w:val="21"/>
        </w:rPr>
      </w:pPr>
    </w:p>
    <w:p w14:paraId="48F77017">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6C748B47">
      <w:pPr>
        <w:widowControl/>
        <w:spacing w:line="360" w:lineRule="auto"/>
        <w:jc w:val="left"/>
        <w:rPr>
          <w:rFonts w:cs="宋体" w:asciiTheme="minorEastAsia" w:hAnsiTheme="minorEastAsia" w:eastAsiaTheme="minorEastAsia"/>
          <w:kern w:val="0"/>
          <w:szCs w:val="21"/>
        </w:rPr>
      </w:pPr>
    </w:p>
    <w:p w14:paraId="2E7711BB">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356018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706C793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7DD1AF9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5AE801F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0EE15FA">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503E7CD8">
      <w:pPr>
        <w:widowControl/>
        <w:spacing w:line="360" w:lineRule="auto"/>
        <w:jc w:val="left"/>
        <w:rPr>
          <w:rFonts w:cs="宋体" w:asciiTheme="minorEastAsia" w:hAnsiTheme="minorEastAsia" w:eastAsiaTheme="minorEastAsia"/>
          <w:kern w:val="0"/>
          <w:szCs w:val="21"/>
        </w:rPr>
      </w:pPr>
    </w:p>
    <w:p w14:paraId="2F6B3A88">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5332F30D">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6AA1DB49">
      <w:pPr>
        <w:widowControl/>
        <w:spacing w:line="360" w:lineRule="auto"/>
        <w:jc w:val="left"/>
        <w:rPr>
          <w:rFonts w:cs="宋体" w:asciiTheme="minorEastAsia" w:hAnsiTheme="minorEastAsia" w:eastAsiaTheme="minorEastAsia"/>
          <w:kern w:val="0"/>
          <w:szCs w:val="21"/>
        </w:rPr>
      </w:pPr>
    </w:p>
    <w:p w14:paraId="0BC84334">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5CB38B9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B64F3C6">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648D198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5C4FFC5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6FC56A1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4C01BB39">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409DF568">
      <w:pPr>
        <w:widowControl/>
        <w:spacing w:line="360" w:lineRule="auto"/>
        <w:jc w:val="left"/>
        <w:rPr>
          <w:rFonts w:cs="宋体" w:asciiTheme="minorEastAsia" w:hAnsiTheme="minorEastAsia" w:eastAsiaTheme="minorEastAsia"/>
          <w:kern w:val="0"/>
          <w:szCs w:val="21"/>
        </w:rPr>
      </w:pPr>
    </w:p>
    <w:p w14:paraId="2851B57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0859B152">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42"/>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7C10DECE">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78333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5BAE7D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1ECE82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58E668E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6A37EB0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559FD32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691DFEC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166BC528">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3FE06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67D8517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ED27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46476F">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06F0BBB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FA71AE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EA12404">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07F916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CEF328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6D8051B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26C809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7BFF75C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392E82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55CBE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49AF1EA">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BB2C9D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8D77A0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4C454F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7D1C2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2C79DB">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EB482B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3C0EACF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6A45DD6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AAB45E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9B6419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2F5A221D">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9C6EC7D">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1BF78E3">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5213AC3">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F8172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452D2669">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A106E4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2606B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5B2392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4C0BBDD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C1331A0">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3528CBC0">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2850E4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D938B31">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2150CAF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575C9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5CD096C7">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91268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F903DC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E131AA">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5090C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0B4D28E6">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51B0E90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127A7D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311C39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2058C9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3B42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2A353E0D">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39B80136">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65F814B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2D34C2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FEBA29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603E552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4327B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0C9C46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200D58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2585DC9F">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139069D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3CE770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35905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EA56B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594F6B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09A1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279CA7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6B491E1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63EC557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F735BCB">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ED203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376C08F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4ADB42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F372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B4F2068">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6B513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3C2650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CE7451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1317E9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CDD37E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06D589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9D1B61A">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D6B01AD">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1356CB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184082F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00041FB7">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59159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0B9BC6A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E4EA4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D13DDB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7C25CA3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6EE09DA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4E3B1159">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ACBA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4C2283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D3F40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BC683C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FE6E242">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60C1C39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36455B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7DAC6C40">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D39884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A241A8D">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0E9F126A">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80BA15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4B5E596">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7D0841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1C13C2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6237F5C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DD10AA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0E62DA">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3F0E2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B356DC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964196B">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4341CA03">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15200E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1E8E5F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1A0C2D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7E4829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A17CA6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C346CE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4A9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040D1B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7E98F2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076EAC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443D862">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87E0D4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DB3B9A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45CFD5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519CC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2E6353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30B1F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93A1CA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5D3811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26E8C2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5CDC1F8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60EBA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5E278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4A8C0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ACA571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6BDF1754">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338EE5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B8E97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D0FF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03F819C">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C59F6C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D1FA1D5">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EF1292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4CE04C3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B896821">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908FF9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31AEF6F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9DF6E6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C2AD1F1">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30D1DE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5ECE46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5E3FBB76">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95166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52758A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B17020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6357F7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95F3C3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52CD401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40EF012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133204D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75B6A1B8">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C09F8C3">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5FEC8B3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74DAF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B37C96">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8E1EE43">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1A5C52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2BEF1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24DF3CE5">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501B0F61">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C6E41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63D68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E85577">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06B00F2">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2BF31E7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9A73E0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7F56798E">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C9F640">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103B2A6C">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A1A6A0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4EE9270">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79013EB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0CDD3B9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28C6F4D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29B6E8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27F6F140">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794CB0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7506A7A8">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FC9BAA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0A0AC0B">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78DBCC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30C14F55">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483EA5CF">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22055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3F6391A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82FFB1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66623B2">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0D02DC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2713BD6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27A0E4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31EFF22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61B9E2E7">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0B258A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36736D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0B96CD0">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1389B99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0D0A9C3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10D9A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02E61D4">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84E3423">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2235E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5C2BB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6E1BD3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3830252">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C2745F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30C613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74F959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0CD4D72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DD5C48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E9E5310">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DD9FBF5">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9BF81CC">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2F6369B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5E3ADE">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71CFDBA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60263CD8">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234708C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483DEBC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194E3279">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72DB67A">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3AF285B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3604E3E1">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27F3F77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692B9B5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99D707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5F47177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61075020">
      <w:pPr>
        <w:spacing w:line="360" w:lineRule="auto"/>
        <w:rPr>
          <w:rFonts w:asciiTheme="minorEastAsia" w:hAnsiTheme="minorEastAsia" w:eastAsiaTheme="minorEastAsia"/>
          <w:szCs w:val="21"/>
        </w:rPr>
      </w:pPr>
    </w:p>
    <w:p w14:paraId="3166F3E3">
      <w:pPr>
        <w:pStyle w:val="3"/>
        <w:spacing w:before="0" w:after="0"/>
        <w:jc w:val="center"/>
      </w:pPr>
      <w:bookmarkStart w:id="24" w:name="_Toc73613647"/>
      <w:bookmarkStart w:id="25" w:name="_Toc73610165"/>
      <w:r>
        <w:rPr>
          <w:rFonts w:hint="eastAsia"/>
        </w:rPr>
        <w:t>四、</w:t>
      </w:r>
      <w:r>
        <w:t>财政部 民政部 中国残疾人联合会关于促进残疾人就业 政府采购政策的通知</w:t>
      </w:r>
      <w:bookmarkEnd w:id="24"/>
      <w:bookmarkEnd w:id="25"/>
      <w:r>
        <w:t xml:space="preserve"> </w:t>
      </w:r>
    </w:p>
    <w:p w14:paraId="7BFDB946">
      <w:pPr>
        <w:pStyle w:val="37"/>
        <w:shd w:val="clear" w:color="auto" w:fill="FFFFFF"/>
        <w:spacing w:line="360" w:lineRule="auto"/>
        <w:jc w:val="center"/>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财库〔2017〕141号</w:t>
      </w:r>
    </w:p>
    <w:p w14:paraId="16F28E6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1197822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43DE72C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494F16A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7AF91E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6782944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A4F44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71AB97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50E8D84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0C94BB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1130A9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2F0F09D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178CF15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31CD34A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235FE7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1F5C204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0CFD163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7C0FEF2F">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7748170F">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48A7F3CE">
      <w:pPr>
        <w:widowControl/>
        <w:spacing w:line="360" w:lineRule="auto"/>
        <w:jc w:val="right"/>
        <w:rPr>
          <w:rFonts w:cs="宋体" w:asciiTheme="minorEastAsia" w:hAnsiTheme="minorEastAsia" w:eastAsiaTheme="minorEastAsia"/>
          <w:kern w:val="0"/>
          <w:szCs w:val="21"/>
        </w:rPr>
      </w:pPr>
    </w:p>
    <w:p w14:paraId="5B9DFE3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DC05904">
      <w:pPr>
        <w:tabs>
          <w:tab w:val="left" w:pos="1875"/>
        </w:tabs>
      </w:pPr>
    </w:p>
    <w:p w14:paraId="029DE2CA"/>
    <w:p w14:paraId="62B87F86">
      <w:pPr>
        <w:pStyle w:val="3"/>
        <w:spacing w:before="0" w:after="0"/>
        <w:jc w:val="center"/>
      </w:pPr>
      <w:r>
        <w:rPr>
          <w:rFonts w:hint="eastAsia"/>
        </w:rPr>
        <w:t>五、财政部 司法部关于政府采购支持监狱企业发展有关问题的通知</w:t>
      </w:r>
      <w:r>
        <w:t xml:space="preserve"> </w:t>
      </w:r>
    </w:p>
    <w:p w14:paraId="41B3894D">
      <w:pPr>
        <w:widowControl/>
        <w:spacing w:line="360" w:lineRule="auto"/>
        <w:jc w:val="center"/>
        <w:rPr>
          <w:rFonts w:cs="宋体" w:asciiTheme="minorEastAsia" w:hAnsiTheme="minorEastAsia" w:eastAsiaTheme="minorEastAsia"/>
          <w:kern w:val="0"/>
          <w:szCs w:val="21"/>
        </w:rPr>
      </w:pPr>
    </w:p>
    <w:p w14:paraId="69789DEB">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160A76">
      <w:pPr>
        <w:widowControl/>
        <w:spacing w:line="360" w:lineRule="auto"/>
        <w:jc w:val="left"/>
        <w:rPr>
          <w:rFonts w:cs="宋体" w:asciiTheme="minorEastAsia" w:hAnsiTheme="minorEastAsia" w:eastAsiaTheme="minorEastAsia"/>
          <w:kern w:val="0"/>
          <w:szCs w:val="21"/>
        </w:rPr>
      </w:pPr>
    </w:p>
    <w:p w14:paraId="2B19091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0B82F698">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0E8D592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F3F89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DFF692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6803755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3D9FA27B">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51D2E13">
      <w:pPr>
        <w:widowControl/>
        <w:spacing w:line="360" w:lineRule="auto"/>
        <w:jc w:val="left"/>
        <w:rPr>
          <w:rFonts w:cs="宋体" w:asciiTheme="minorEastAsia" w:hAnsiTheme="minorEastAsia" w:eastAsiaTheme="minorEastAsia"/>
          <w:kern w:val="0"/>
          <w:szCs w:val="21"/>
        </w:rPr>
      </w:pPr>
    </w:p>
    <w:p w14:paraId="5B08312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6E08BC0B">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2E2657F2">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6BF65DA8">
      <w:pPr>
        <w:widowControl/>
        <w:spacing w:line="360" w:lineRule="auto"/>
        <w:jc w:val="center"/>
        <w:rPr>
          <w:rFonts w:asciiTheme="majorEastAsia" w:hAnsiTheme="majorEastAsia" w:eastAsiaTheme="majorEastAsia"/>
          <w:b/>
          <w:sz w:val="32"/>
          <w:szCs w:val="32"/>
        </w:rPr>
      </w:pPr>
      <w:r>
        <w:rPr>
          <w:rFonts w:cs="宋体" w:asciiTheme="minorEastAsia" w:hAnsiTheme="minorEastAsia" w:eastAsiaTheme="minorEastAsia"/>
          <w:kern w:val="0"/>
          <w:szCs w:val="21"/>
        </w:rPr>
        <w:br w:type="page"/>
      </w:r>
      <w:r>
        <w:rPr>
          <w:rFonts w:hint="eastAsia" w:asciiTheme="majorEastAsia" w:hAnsiTheme="majorEastAsia" w:eastAsiaTheme="majorEastAsia"/>
          <w:b/>
          <w:sz w:val="32"/>
          <w:szCs w:val="32"/>
        </w:rPr>
        <w:t>第二册  通用条款（公开招标）</w:t>
      </w:r>
    </w:p>
    <w:p w14:paraId="30086E90">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26" w:name="_Hlk72399513"/>
      <w:r>
        <w:rPr>
          <w:rFonts w:hint="eastAsia" w:asciiTheme="majorEastAsia" w:hAnsiTheme="majorEastAsia" w:eastAsiaTheme="majorEastAsia"/>
          <w:b/>
          <w:bCs/>
          <w:kern w:val="0"/>
          <w:sz w:val="28"/>
          <w:szCs w:val="28"/>
        </w:rPr>
        <w:t>总则</w:t>
      </w:r>
    </w:p>
    <w:bookmarkEnd w:id="26"/>
    <w:p w14:paraId="3BED2F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 通用条款说明</w:t>
      </w:r>
    </w:p>
    <w:p w14:paraId="489F8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1.1采购代理机构发出招标文件通用条款版本，列出深圳市政府采购项目进行招标采购所适用的通用条款内容。</w:t>
      </w:r>
      <w:bookmarkStart w:id="27" w:name="_Hlk72399729"/>
      <w:r>
        <w:rPr>
          <w:rFonts w:hint="eastAsia" w:asciiTheme="majorEastAsia" w:hAnsiTheme="majorEastAsia" w:eastAsiaTheme="majorEastAsia"/>
          <w:szCs w:val="21"/>
        </w:rPr>
        <w:t>如有需要，采购代理机构可以对通用条款的内容进行补充。</w:t>
      </w:r>
      <w:bookmarkEnd w:id="27"/>
    </w:p>
    <w:p w14:paraId="2C779DB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1.2招标文件分为第一册“专用条款”和第二册“通用条款”。</w:t>
      </w:r>
    </w:p>
    <w:p w14:paraId="5C769D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1.3“专用条款”是对本次采购项目的具体要求，包含招标公告、对通用条款的补充内容及其他关键信息、用户需求书、投标文件格式及附件、合同条款及格式等内容。</w:t>
      </w:r>
    </w:p>
    <w:p w14:paraId="61E0D01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1.4“通用条款”是适用于政府采购公开招标项目的基础性条款，具有普遍性和通用性。</w:t>
      </w:r>
    </w:p>
    <w:p w14:paraId="08CC21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1.5 “专用条款”和“通用条款”表述不一致或有冲突时，以“专用条款”为准。</w:t>
      </w:r>
    </w:p>
    <w:p w14:paraId="3C674490">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2</w:t>
      </w:r>
      <w:r>
        <w:rPr>
          <w:rFonts w:asciiTheme="majorEastAsia" w:hAnsiTheme="majorEastAsia" w:eastAsiaTheme="majorEastAsia"/>
          <w:b/>
          <w:bCs/>
          <w:szCs w:val="21"/>
        </w:rPr>
        <w:t>．</w:t>
      </w:r>
      <w:r>
        <w:rPr>
          <w:rFonts w:hint="eastAsia" w:asciiTheme="majorEastAsia" w:hAnsiTheme="majorEastAsia" w:eastAsiaTheme="majorEastAsia"/>
          <w:b/>
          <w:bCs/>
          <w:szCs w:val="21"/>
        </w:rPr>
        <w:t>招标说明</w:t>
      </w:r>
    </w:p>
    <w:p w14:paraId="12F943A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本项目按照《深圳经济特区政府采购条例》、《深圳经济特区政府采购条例实施细则》及政府采购其他法律法规，通过公开招标方式确定中标供应商。</w:t>
      </w:r>
    </w:p>
    <w:p w14:paraId="2E0D1D22">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3．定义</w:t>
      </w:r>
    </w:p>
    <w:p w14:paraId="32314D3D">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招标文件中下列术语应解释为：</w:t>
      </w:r>
    </w:p>
    <w:p w14:paraId="59E398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1</w:t>
      </w:r>
      <w:r>
        <w:rPr>
          <w:rFonts w:hint="eastAsia" w:asciiTheme="majorEastAsia" w:hAnsiTheme="majorEastAsia" w:eastAsiaTheme="majorEastAsia"/>
          <w:szCs w:val="21"/>
        </w:rPr>
        <w:t>“采购人”：指利用财政性资金依法进行政府采购的国家机关、事业单位、团体组织；</w:t>
      </w:r>
    </w:p>
    <w:p w14:paraId="15E64A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 “政府集中采购机构”</w:t>
      </w:r>
      <w:r>
        <w:rPr>
          <w:rFonts w:hint="eastAsia" w:cs="Arial" w:asciiTheme="majorEastAsia" w:hAnsiTheme="majorEastAsia" w:eastAsiaTheme="majorEastAsia"/>
          <w:szCs w:val="21"/>
          <w:shd w:val="clear" w:color="auto" w:fill="FFFFFF"/>
        </w:rPr>
        <w:t>是指市政府设立的，对纳入集中采购目录内的采购项目组织实施采购，并对政府采购活动提供服务的专门机构；</w:t>
      </w:r>
      <w:r>
        <w:rPr>
          <w:rFonts w:hint="eastAsia" w:asciiTheme="majorEastAsia" w:hAnsiTheme="majorEastAsia" w:eastAsiaTheme="majorEastAsia"/>
          <w:szCs w:val="21"/>
        </w:rPr>
        <w:t>本文件所述的“政府集中采购机构”</w:t>
      </w:r>
      <w:r>
        <w:rPr>
          <w:rFonts w:asciiTheme="majorEastAsia" w:hAnsiTheme="majorEastAsia" w:eastAsiaTheme="majorEastAsia"/>
          <w:szCs w:val="21"/>
        </w:rPr>
        <w:t>指</w:t>
      </w:r>
      <w:r>
        <w:rPr>
          <w:rFonts w:hint="eastAsia" w:asciiTheme="majorEastAsia" w:hAnsiTheme="majorEastAsia" w:eastAsiaTheme="majorEastAsia"/>
          <w:szCs w:val="21"/>
        </w:rPr>
        <w:t>深圳公共资源交易中心；</w:t>
      </w:r>
    </w:p>
    <w:p w14:paraId="05BC79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3.3“采购代理机构”是指根据采购人委托，代理政府采购事宜的社会采购代理机构。本招标文件的招标机构特指</w:t>
      </w:r>
      <w:r>
        <w:rPr>
          <w:rFonts w:hint="eastAsia" w:asciiTheme="majorEastAsia" w:hAnsiTheme="majorEastAsia" w:eastAsiaTheme="majorEastAsia"/>
          <w:b/>
          <w:bCs/>
          <w:szCs w:val="21"/>
        </w:rPr>
        <w:t>深圳市中正招标有限公司；</w:t>
      </w:r>
    </w:p>
    <w:p w14:paraId="5ECAD37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3.4“投标人”，即供应商，指参加投标竞争并愿意按照招标文件要求向采购人提供货物、工程或者服务的依法成立的法人、其他组织或者自然人；</w:t>
      </w:r>
    </w:p>
    <w:p w14:paraId="03A4BB4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3.5“评审委员会”是依据《深圳经济特区政府采购条例》、《深圳经济特区政府采购条例实施细则》等有关规定组建的专门负责本次招标其评审工作的临时性机构；</w:t>
      </w:r>
    </w:p>
    <w:p w14:paraId="6B37143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3.6“日期”</w:t>
      </w:r>
      <w:r>
        <w:rPr>
          <w:rFonts w:asciiTheme="majorEastAsia" w:hAnsiTheme="majorEastAsia" w:eastAsiaTheme="majorEastAsia"/>
          <w:szCs w:val="21"/>
        </w:rPr>
        <w:t>指</w:t>
      </w:r>
      <w:r>
        <w:rPr>
          <w:rFonts w:hint="eastAsia" w:asciiTheme="majorEastAsia" w:hAnsiTheme="majorEastAsia" w:eastAsiaTheme="majorEastAsia"/>
          <w:szCs w:val="21"/>
        </w:rPr>
        <w:t>公历日；</w:t>
      </w:r>
    </w:p>
    <w:p w14:paraId="19C0B06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3.7“合同”指由本次招标所产生的合同或合约文件；</w:t>
      </w:r>
    </w:p>
    <w:p w14:paraId="5373EF1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3.8“电子投标文件”指利用</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站提供的深圳智慧采购平台投标文件制作专用软件（以下简称：投标文件制作软件）制作并加密的投标文件,适用于网上投标；（投标文件制作软件可从“下载地址：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TPBidder/DownLoad/深圳市智慧采购平台投标文件制作专用软件.zip”下载）；</w:t>
      </w:r>
    </w:p>
    <w:p w14:paraId="5B0FB09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3.9“网上投标”指通过</w:t>
      </w:r>
      <w:r>
        <w:rPr>
          <w:rFonts w:hint="eastAsia" w:asciiTheme="majorEastAsia" w:hAnsiTheme="majorEastAsia" w:eastAsiaTheme="majorEastAsia"/>
          <w:bCs/>
          <w:szCs w:val="21"/>
        </w:rPr>
        <w:t>深圳公共资源交易网</w:t>
      </w:r>
      <w:r>
        <w:rPr>
          <w:rFonts w:hint="eastAsia" w:asciiTheme="majorEastAsia" w:hAnsiTheme="majorEastAsia" w:eastAsiaTheme="majorEastAsia"/>
          <w:szCs w:val="21"/>
        </w:rPr>
        <w:t>站上传电子投标文件；</w:t>
      </w:r>
    </w:p>
    <w:p w14:paraId="4724E7D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3.10招标文件中的标题或题名仅起引导作用，而不应视为对招标文件内容的理解和解释。</w:t>
      </w:r>
    </w:p>
    <w:p w14:paraId="0A5F058F">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 xml:space="preserve">4. </w:t>
      </w:r>
      <w:bookmarkStart w:id="28" w:name="_Hlk72398643"/>
      <w:r>
        <w:rPr>
          <w:rFonts w:hint="eastAsia" w:asciiTheme="majorEastAsia" w:hAnsiTheme="majorEastAsia" w:eastAsiaTheme="majorEastAsia"/>
          <w:b/>
          <w:bCs/>
          <w:szCs w:val="21"/>
        </w:rPr>
        <w:t>政府采购供应商责任</w:t>
      </w:r>
    </w:p>
    <w:p w14:paraId="48CBB5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4.1欢迎诚信、有实力和有社会责任心的供应商参与政府采购事业。</w:t>
      </w:r>
    </w:p>
    <w:p w14:paraId="052C029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4.2投标人应当遵循公平竞争的原则，不得恶意串通，不得妨碍其他投标人的竞争行为，不得损害采购人或者其他投标人的合法权益。如违反上述要求，经核实后，供应商的投标无效。</w:t>
      </w:r>
    </w:p>
    <w:p w14:paraId="67ADC5C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5．投标人参加政府采购的条件</w:t>
      </w:r>
    </w:p>
    <w:p w14:paraId="0EA173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5.1投标人应在投标前到</w:t>
      </w:r>
      <w:r>
        <w:rPr>
          <w:rFonts w:hint="eastAsia" w:asciiTheme="majorEastAsia" w:hAnsiTheme="majorEastAsia" w:eastAsiaTheme="majorEastAsia"/>
          <w:b/>
          <w:bCs/>
          <w:szCs w:val="21"/>
        </w:rPr>
        <w:t>深圳公共资源交易中心（具体在深圳交易集团有限公司政府采购业务分公司进行办理）</w:t>
      </w:r>
      <w:r>
        <w:rPr>
          <w:rFonts w:hint="eastAsia" w:asciiTheme="majorEastAsia" w:hAnsiTheme="majorEastAsia" w:eastAsiaTheme="majorEastAsia"/>
          <w:szCs w:val="21"/>
        </w:rPr>
        <w:t>进行注册并办理电子密钥。《</w:t>
      </w:r>
      <w:r>
        <w:fldChar w:fldCharType="begin"/>
      </w:r>
      <w:r>
        <w:instrText xml:space="preserve"> HYPERLINK "http://www.szzfcg.cn/viewer.do?id=2455258" \t "documentViewer2455258" </w:instrText>
      </w:r>
      <w:r>
        <w:fldChar w:fldCharType="separate"/>
      </w:r>
      <w:r>
        <w:rPr>
          <w:rFonts w:asciiTheme="majorEastAsia" w:hAnsiTheme="majorEastAsia" w:eastAsiaTheme="majorEastAsia"/>
          <w:szCs w:val="21"/>
        </w:rPr>
        <w:t>供应商注册及电子密钥新申请指引</w:t>
      </w:r>
      <w:r>
        <w:rPr>
          <w:rFonts w:asciiTheme="majorEastAsia" w:hAnsiTheme="majorEastAsia" w:eastAsiaTheme="majorEastAsia"/>
          <w:szCs w:val="21"/>
        </w:rPr>
        <w:fldChar w:fldCharType="end"/>
      </w:r>
      <w:r>
        <w:rPr>
          <w:rFonts w:hint="eastAsia" w:asciiTheme="majorEastAsia" w:hAnsiTheme="majorEastAsia" w:eastAsiaTheme="majorEastAsia"/>
          <w:szCs w:val="21"/>
        </w:rPr>
        <w:t>》详见</w:t>
      </w:r>
      <w:r>
        <w:rPr>
          <w:rFonts w:asciiTheme="majorEastAsia" w:hAnsiTheme="majorEastAsia" w:eastAsiaTheme="majorEastAsia"/>
          <w:szCs w:val="21"/>
        </w:rPr>
        <w:t>http://zfcg.szggzy.com/</w:t>
      </w:r>
      <w:r>
        <w:rPr>
          <w:rFonts w:hint="eastAsia" w:asciiTheme="majorEastAsia" w:hAnsiTheme="majorEastAsia" w:eastAsiaTheme="majorEastAsia"/>
          <w:szCs w:val="21"/>
        </w:rPr>
        <w:t>。</w:t>
      </w:r>
    </w:p>
    <w:p w14:paraId="110A3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5.2投标人资格要求</w:t>
      </w:r>
    </w:p>
    <w:p w14:paraId="2E88E67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参加本项目的投标人应具备的资格条件详见本项目招标公告中 “投标人资格要求”（即申请人的资格要求）的内容。</w:t>
      </w:r>
    </w:p>
    <w:p w14:paraId="7217FF3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5.3联合体投标</w:t>
      </w:r>
    </w:p>
    <w:p w14:paraId="500263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5.3.1　以下有关联合体投标的条款仅适用于允许投标人组成联合体投标的项目。</w:t>
      </w:r>
    </w:p>
    <w:p w14:paraId="13BD81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5.3.2  由两个或两个以上的自然人、法人或者其他组织可以组成一个联合体，以一个供应商的身份共同投标时，应符合以下原则：</w:t>
      </w:r>
    </w:p>
    <w:p w14:paraId="5886A09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（1）投标联合体各方参加政府采购活动应当具备下列条件：</w:t>
      </w:r>
    </w:p>
    <w:p w14:paraId="02D89777">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1、具有独立承担民事责任的能力；</w:t>
      </w:r>
    </w:p>
    <w:p w14:paraId="2E834455">
      <w:pPr>
        <w:spacing w:line="360" w:lineRule="auto"/>
        <w:ind w:left="420" w:firstLine="411" w:firstLineChars="196"/>
        <w:rPr>
          <w:rFonts w:asciiTheme="majorEastAsia" w:hAnsiTheme="majorEastAsia" w:eastAsiaTheme="majorEastAsia"/>
          <w:szCs w:val="21"/>
        </w:rPr>
      </w:pPr>
      <w:r>
        <w:rPr>
          <w:rFonts w:hint="eastAsia" w:asciiTheme="majorEastAsia" w:hAnsiTheme="majorEastAsia" w:eastAsiaTheme="majorEastAsia"/>
          <w:szCs w:val="21"/>
        </w:rPr>
        <w:t>2、有良好的商业信誉和健全的财务会计制度；</w:t>
      </w:r>
    </w:p>
    <w:p w14:paraId="3442932F">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3、具有履行合同所必需的设备和专业技术能力；</w:t>
      </w:r>
    </w:p>
    <w:p w14:paraId="25FCFC7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4、有依法缴纳税收和社会保障资金的良好记录；</w:t>
      </w:r>
    </w:p>
    <w:p w14:paraId="4FA91B5B">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5、参加政府采购活动前三年内，在经营活动中没有重大违法记录；</w:t>
      </w:r>
    </w:p>
    <w:p w14:paraId="6ABA5329">
      <w:pPr>
        <w:spacing w:line="360" w:lineRule="auto"/>
        <w:ind w:left="420" w:leftChars="200" w:firstLine="411" w:firstLineChars="196"/>
        <w:rPr>
          <w:rFonts w:asciiTheme="majorEastAsia" w:hAnsiTheme="majorEastAsia" w:eastAsiaTheme="majorEastAsia"/>
          <w:szCs w:val="21"/>
        </w:rPr>
      </w:pPr>
      <w:r>
        <w:rPr>
          <w:rFonts w:hint="eastAsia" w:asciiTheme="majorEastAsia" w:hAnsiTheme="majorEastAsia" w:eastAsiaTheme="majorEastAsia"/>
          <w:szCs w:val="21"/>
        </w:rPr>
        <w:t>6、法律、行政法规规定的其他条件。</w:t>
      </w:r>
    </w:p>
    <w:p w14:paraId="6C62FE6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（2）联合体中有同类资质的供应商按照联合体分工承担相同工作的，应当按照资质等级较低的供应商确定资质等级；</w:t>
      </w:r>
    </w:p>
    <w:p w14:paraId="0675584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（3）是否允许联合体参加投标，应当由采购人和采购代理机构根据项目的实际情况和潜在供应商的数量自主决定，如果决定接受联合体投标则应当在招标公告中明示；</w:t>
      </w:r>
    </w:p>
    <w:p w14:paraId="5CE7FCA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（4）投标人的投标文件及中标后签署的合同协议对联合体各方均具法律约束力；</w:t>
      </w:r>
    </w:p>
    <w:p w14:paraId="0985060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（5）联合体各方应当签订联合体投标协议，明确约定各方拟承担的工作和责任，并将该协议随投标文件一并递交给采购代理机构；</w:t>
      </w:r>
    </w:p>
    <w:p w14:paraId="5670A93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（6）联合体中标后，联合体各方应当共同与采购人签订合同，就中标项目向采购人承担连带责任；</w:t>
      </w:r>
    </w:p>
    <w:p w14:paraId="3A5D49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以联合体形式参加政府采购活动的，联合体各方不得再单独参加或者与其他供应商另外组成联合体参加同一合同项下的政府采购活动，出现上述情况者，其投标和与此有关联合体、总包单位的投标将被拒绝；</w:t>
      </w:r>
    </w:p>
    <w:p w14:paraId="713348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（8）本通用条款中“投标人”一词亦指联合体各方，专用条款另有规定或说明的除外。</w:t>
      </w:r>
    </w:p>
    <w:p w14:paraId="7E7B8E16">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6．政策导向</w:t>
      </w:r>
    </w:p>
    <w:p w14:paraId="75BD631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6.1政府采购扶持贫困地区、中小企业、监狱企业和残疾人福利性单位发展，支持节能减排、环境保护。</w:t>
      </w:r>
    </w:p>
    <w:p w14:paraId="2848B251">
      <w:pPr>
        <w:spacing w:line="360" w:lineRule="auto"/>
        <w:ind w:firstLine="405"/>
        <w:rPr>
          <w:rFonts w:asciiTheme="majorEastAsia" w:hAnsiTheme="majorEastAsia" w:eastAsiaTheme="majorEastAsia"/>
          <w:szCs w:val="21"/>
          <w:shd w:val="clear" w:color="auto" w:fill="FFFFFF"/>
        </w:rPr>
      </w:pPr>
      <w:r>
        <w:rPr>
          <w:rFonts w:hint="eastAsia" w:asciiTheme="majorEastAsia" w:hAnsiTheme="majorEastAsia" w:eastAsiaTheme="majorEastAsia"/>
          <w:szCs w:val="21"/>
        </w:rPr>
        <w:t>6.2本项目落实深圳市政府采购供应商诚信管理政策要求。</w:t>
      </w:r>
    </w:p>
    <w:p w14:paraId="76749E7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7. 本项目若涉及采购货物，则合格的货物及相应服务应满足以下要求：</w:t>
      </w:r>
    </w:p>
    <w:p w14:paraId="61D9AE9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 xml:space="preserve">.1  </w:t>
      </w:r>
      <w:r>
        <w:rPr>
          <w:rFonts w:hint="eastAsia" w:asciiTheme="majorEastAsia" w:hAnsiTheme="majorEastAsia" w:eastAsiaTheme="majorEastAsia"/>
          <w:szCs w:val="21"/>
        </w:rPr>
        <w:t>必须是全新、未使用过的原装合格正品（包括零部件），如安装或配置了软件的，须为正版软件。</w:t>
      </w:r>
    </w:p>
    <w:p w14:paraId="671FFDE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7.2  国产的货物及其有关服务必须符合中华人民共和国的设计、制造生产标准及行业标准。招标公告有其他要求的，亦应符合其要求。</w:t>
      </w:r>
    </w:p>
    <w:p w14:paraId="0A7477A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3AC4A3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4投标人</w:t>
      </w:r>
      <w:bookmarkStart w:id="29" w:name="_Hlk72152753"/>
      <w:r>
        <w:rPr>
          <w:rFonts w:hint="eastAsia" w:asciiTheme="majorEastAsia" w:hAnsiTheme="majorEastAsia" w:eastAsiaTheme="majorEastAsia"/>
          <w:szCs w:val="21"/>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9"/>
    </w:p>
    <w:p w14:paraId="5EA243C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7671A0B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7.6  工期要求：投标人在投标时对其所投项目应提交交货进度、交货计划等，在合同规定的时间内完成项目实施工作。</w:t>
      </w:r>
    </w:p>
    <w:p w14:paraId="1BCFF7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7.7  投标人必须承担的设备运输、安装调试、验收检测和提供设备操作说明书、图纸等其他相关及类似的义务。</w:t>
      </w:r>
    </w:p>
    <w:p w14:paraId="7F48BE68">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8．投标费用</w:t>
      </w:r>
    </w:p>
    <w:p w14:paraId="010FCC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不论投标结果如何，投标人应承担其编制投标文件与递交投标文件所涉及的一切费用。</w:t>
      </w:r>
    </w:p>
    <w:p w14:paraId="76B96779">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9．踏勘现场</w:t>
      </w:r>
    </w:p>
    <w:p w14:paraId="6DB56E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DDACC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9.2投标人及其人员经过采购人的允许，可以进入采购人的项目现场踏勘。若招标文件要求投标人于统一时间地点踏勘现场的，投标人应当按时前往。</w:t>
      </w:r>
    </w:p>
    <w:p w14:paraId="58B654E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9.3采购人应当通过采购代理机构向投标人提供有关现场的书面资料和数据。</w:t>
      </w:r>
    </w:p>
    <w:p w14:paraId="78A4C8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9.4任何人或任何组织在踏勘现场时向投标人提供的任何书面资料或口头承诺，未经采购代理机构在网上发布或书面通知，均作无效处理。</w:t>
      </w:r>
    </w:p>
    <w:p w14:paraId="483F754B">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9</w:t>
      </w:r>
      <w:r>
        <w:rPr>
          <w:rFonts w:hint="eastAsia" w:asciiTheme="majorEastAsia" w:hAnsiTheme="majorEastAsia" w:eastAsiaTheme="majorEastAsia"/>
          <w:szCs w:val="21"/>
        </w:rPr>
        <w:t>.</w:t>
      </w:r>
      <w:r>
        <w:rPr>
          <w:rFonts w:asciiTheme="majorEastAsia" w:hAnsiTheme="majorEastAsia" w:eastAsiaTheme="majorEastAsia"/>
          <w:szCs w:val="21"/>
        </w:rPr>
        <w:t>5</w:t>
      </w:r>
      <w:r>
        <w:rPr>
          <w:rFonts w:hint="eastAsia" w:asciiTheme="majorEastAsia" w:hAnsiTheme="majorEastAsia" w:eastAsiaTheme="majorEastAsia"/>
          <w:szCs w:val="21"/>
        </w:rPr>
        <w:t>未参与踏勘现场不作为否定投标人资格的理由。</w:t>
      </w:r>
    </w:p>
    <w:p w14:paraId="097819E5">
      <w:pPr>
        <w:spacing w:line="360" w:lineRule="auto"/>
        <w:outlineLvl w:val="1"/>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0</w:t>
      </w:r>
      <w:r>
        <w:rPr>
          <w:rFonts w:hint="eastAsia" w:asciiTheme="majorEastAsia" w:hAnsiTheme="majorEastAsia" w:eastAsiaTheme="majorEastAsia"/>
          <w:b/>
          <w:bCs/>
          <w:szCs w:val="21"/>
        </w:rPr>
        <w:t>．标前会议</w:t>
      </w:r>
    </w:p>
    <w:p w14:paraId="672630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如采购人或采购代理机构认为有必要组织标前会议，投标人应按照招标文件规定的时间或采购代理机构另行书面通知（包括采购代理机构网站发布方式，如更正公告等）的时间和地点，参与标前会议。</w:t>
      </w:r>
    </w:p>
    <w:p w14:paraId="57A2D3D6">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w:t>
      </w:r>
      <w:r>
        <w:rPr>
          <w:rFonts w:asciiTheme="majorEastAsia" w:hAnsiTheme="majorEastAsia" w:eastAsiaTheme="majorEastAsia"/>
          <w:szCs w:val="21"/>
        </w:rPr>
        <w:t>2</w:t>
      </w:r>
      <w:r>
        <w:rPr>
          <w:rFonts w:hint="eastAsia" w:asciiTheme="majorEastAsia" w:hAnsiTheme="majorEastAsia" w:eastAsiaTheme="majorEastAsia"/>
          <w:szCs w:val="21"/>
        </w:rPr>
        <w:t>任何人或任何组织在标前会议时向投标人提供的任何书面资料或口头承诺，未经采购代理机构在网上发布或书面通知，均作无效处理。</w:t>
      </w:r>
    </w:p>
    <w:p w14:paraId="4A4BD0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0</w:t>
      </w:r>
      <w:r>
        <w:rPr>
          <w:rFonts w:hint="eastAsia" w:asciiTheme="majorEastAsia" w:hAnsiTheme="majorEastAsia" w:eastAsiaTheme="majorEastAsia"/>
          <w:szCs w:val="21"/>
        </w:rPr>
        <w:t>.</w:t>
      </w:r>
      <w:r>
        <w:rPr>
          <w:rFonts w:asciiTheme="majorEastAsia" w:hAnsiTheme="majorEastAsia" w:eastAsiaTheme="majorEastAsia"/>
          <w:szCs w:val="21"/>
        </w:rPr>
        <w:t>3</w:t>
      </w:r>
      <w:r>
        <w:rPr>
          <w:rFonts w:hint="eastAsia" w:asciiTheme="majorEastAsia" w:hAnsiTheme="majorEastAsia" w:eastAsiaTheme="majorEastAsia"/>
          <w:szCs w:val="21"/>
        </w:rPr>
        <w:t>未参与标前会议不作为否定投标人资格的理由。</w:t>
      </w:r>
    </w:p>
    <w:bookmarkEnd w:id="28"/>
    <w:p w14:paraId="4F957864">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招标文件</w:t>
      </w:r>
    </w:p>
    <w:p w14:paraId="17E39CA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1</w:t>
      </w:r>
      <w:r>
        <w:rPr>
          <w:rFonts w:hint="eastAsia" w:asciiTheme="majorEastAsia" w:hAnsiTheme="majorEastAsia" w:eastAsiaTheme="majorEastAsia"/>
          <w:b/>
          <w:bCs/>
          <w:szCs w:val="21"/>
        </w:rPr>
        <w:t>．</w:t>
      </w:r>
      <w:bookmarkStart w:id="30" w:name="_Hlk72399819"/>
      <w:r>
        <w:rPr>
          <w:rFonts w:hint="eastAsia" w:asciiTheme="majorEastAsia" w:hAnsiTheme="majorEastAsia" w:eastAsiaTheme="majorEastAsia"/>
          <w:b/>
          <w:bCs/>
          <w:szCs w:val="21"/>
        </w:rPr>
        <w:t>招标文件的编制与组成</w:t>
      </w:r>
    </w:p>
    <w:p w14:paraId="181908F7">
      <w:pPr>
        <w:snapToGrid w:val="0"/>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.1招标文件除以下内容外，采购代理机构在招标期间发出的澄清或修改等相关公告或通知内容，均是招标文件的组成部分，对投标人起约束作用；</w:t>
      </w:r>
    </w:p>
    <w:p w14:paraId="78B18CB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招标文件包括下列内容：</w:t>
      </w:r>
    </w:p>
    <w:p w14:paraId="4C33CFA5">
      <w:pPr>
        <w:spacing w:line="360" w:lineRule="auto"/>
        <w:ind w:left="420" w:leftChars="200"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第一册  专用条款</w:t>
      </w:r>
    </w:p>
    <w:p w14:paraId="795D4521">
      <w:pPr>
        <w:spacing w:line="360" w:lineRule="auto"/>
        <w:ind w:left="1079" w:leftChars="514"/>
        <w:rPr>
          <w:rFonts w:asciiTheme="majorEastAsia" w:hAnsiTheme="majorEastAsia" w:eastAsiaTheme="majorEastAsia"/>
          <w:b/>
          <w:szCs w:val="21"/>
        </w:rPr>
      </w:pPr>
      <w:r>
        <w:rPr>
          <w:rFonts w:hint="eastAsia" w:asciiTheme="majorEastAsia" w:hAnsiTheme="majorEastAsia" w:eastAsiaTheme="majorEastAsia"/>
          <w:b/>
          <w:szCs w:val="21"/>
        </w:rPr>
        <w:t>关键信息</w:t>
      </w:r>
    </w:p>
    <w:p w14:paraId="4EAFBF8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招标公告</w:t>
      </w:r>
    </w:p>
    <w:p w14:paraId="2AB3AE87">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对通用条款的补充内容及其他关键信息</w:t>
      </w:r>
    </w:p>
    <w:p w14:paraId="251C5FD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用户需求书</w:t>
      </w:r>
    </w:p>
    <w:p w14:paraId="2101808D">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投标文件格式及附件</w:t>
      </w:r>
    </w:p>
    <w:p w14:paraId="65D6AE5E">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合同条款及格式</w:t>
      </w:r>
    </w:p>
    <w:p w14:paraId="051B2583">
      <w:pPr>
        <w:spacing w:line="360" w:lineRule="auto"/>
        <w:ind w:left="420" w:leftChars="200" w:firstLine="413" w:firstLineChars="196"/>
        <w:outlineLvl w:val="0"/>
        <w:rPr>
          <w:rFonts w:asciiTheme="majorEastAsia" w:hAnsiTheme="majorEastAsia" w:eastAsiaTheme="majorEastAsia"/>
          <w:b/>
          <w:szCs w:val="21"/>
        </w:rPr>
      </w:pPr>
      <w:r>
        <w:rPr>
          <w:rFonts w:hint="eastAsia" w:asciiTheme="majorEastAsia" w:hAnsiTheme="majorEastAsia" w:eastAsiaTheme="majorEastAsia"/>
          <w:b/>
          <w:szCs w:val="21"/>
        </w:rPr>
        <w:t>第二册  通用条款</w:t>
      </w:r>
    </w:p>
    <w:p w14:paraId="61F61BE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第一章  总则</w:t>
      </w:r>
    </w:p>
    <w:p w14:paraId="12CFB6A9">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第二章  招标文件</w:t>
      </w:r>
    </w:p>
    <w:p w14:paraId="1CFB19E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第三章  投标文件的编制</w:t>
      </w:r>
    </w:p>
    <w:p w14:paraId="6FA276A5">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第四章  投标文件的递交</w:t>
      </w:r>
    </w:p>
    <w:p w14:paraId="72DAEA20">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第五章  开标</w:t>
      </w:r>
    </w:p>
    <w:p w14:paraId="103125D1">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第六章  评审要求</w:t>
      </w:r>
    </w:p>
    <w:p w14:paraId="6988638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第七章  评审程序及评审方法</w:t>
      </w:r>
    </w:p>
    <w:p w14:paraId="71EFD6D8">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第八章  定标及公示</w:t>
      </w:r>
    </w:p>
    <w:p w14:paraId="04242E33">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第九章  公开招标失败的后续处理</w:t>
      </w:r>
    </w:p>
    <w:p w14:paraId="4EE3480C">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第十章  合同的授予与备案</w:t>
      </w:r>
    </w:p>
    <w:p w14:paraId="7ED647DA">
      <w:pPr>
        <w:spacing w:line="360" w:lineRule="auto"/>
        <w:ind w:left="630" w:leftChars="300" w:firstLine="411" w:firstLineChars="196"/>
        <w:outlineLvl w:val="0"/>
        <w:rPr>
          <w:rFonts w:asciiTheme="majorEastAsia" w:hAnsiTheme="majorEastAsia" w:eastAsiaTheme="majorEastAsia"/>
          <w:szCs w:val="21"/>
        </w:rPr>
      </w:pPr>
      <w:r>
        <w:rPr>
          <w:rFonts w:hint="eastAsia" w:asciiTheme="majorEastAsia" w:hAnsiTheme="majorEastAsia" w:eastAsiaTheme="majorEastAsia"/>
          <w:szCs w:val="21"/>
        </w:rPr>
        <w:t>第十一章  质疑处理</w:t>
      </w:r>
    </w:p>
    <w:p w14:paraId="6E9090F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173A66F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1</w:t>
      </w:r>
      <w:r>
        <w:rPr>
          <w:rFonts w:hint="eastAsia" w:asciiTheme="majorEastAsia" w:hAnsiTheme="majorEastAsia" w:eastAsiaTheme="majorEastAsia"/>
          <w:szCs w:val="21"/>
        </w:rPr>
        <w:t>.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6270E4B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w:t>
      </w:r>
      <w:r>
        <w:rPr>
          <w:rFonts w:asciiTheme="majorEastAsia" w:hAnsiTheme="majorEastAsia" w:eastAsiaTheme="majorEastAsia"/>
          <w:b/>
          <w:bCs/>
          <w:szCs w:val="21"/>
        </w:rPr>
        <w:t>2</w:t>
      </w:r>
      <w:r>
        <w:rPr>
          <w:rFonts w:hint="eastAsia" w:asciiTheme="majorEastAsia" w:hAnsiTheme="majorEastAsia" w:eastAsiaTheme="majorEastAsia"/>
          <w:b/>
          <w:bCs/>
          <w:szCs w:val="21"/>
        </w:rPr>
        <w:t>．招标文件的澄清</w:t>
      </w:r>
    </w:p>
    <w:p w14:paraId="43DE9E4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.1招标文件澄清的目的是澄清、解答投标人在查阅招标文件后或现场踏勘中可能提出的与投标有关的疑问或询问。</w:t>
      </w:r>
    </w:p>
    <w:p w14:paraId="24F75E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.2投标人如对招标文件内容有疑问，应当在招标公告规定的澄清（提问）截止时间前以网上提问的形式通过网上政府采购系统提交采购代理机构。</w:t>
      </w:r>
    </w:p>
    <w:p w14:paraId="06F657E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2</w:t>
      </w:r>
      <w:r>
        <w:rPr>
          <w:rFonts w:hint="eastAsia" w:asciiTheme="majorEastAsia" w:hAnsiTheme="majorEastAsia" w:eastAsiaTheme="majorEastAsia"/>
          <w:szCs w:val="21"/>
        </w:rPr>
        <w:t>.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w:t>
      </w:r>
      <w:r>
        <w:rPr>
          <w:rFonts w:asciiTheme="majorEastAsia" w:hAnsiTheme="majorEastAsia" w:eastAsiaTheme="majorEastAsia"/>
          <w:szCs w:val="21"/>
        </w:rPr>
        <w:t>3.3</w:t>
      </w:r>
      <w:r>
        <w:rPr>
          <w:rFonts w:hint="eastAsia" w:asciiTheme="majorEastAsia" w:hAnsiTheme="majorEastAsia" w:eastAsiaTheme="majorEastAsia"/>
          <w:szCs w:val="21"/>
        </w:rPr>
        <w:t>、1</w:t>
      </w:r>
      <w:r>
        <w:rPr>
          <w:rFonts w:asciiTheme="majorEastAsia" w:hAnsiTheme="majorEastAsia" w:eastAsiaTheme="majorEastAsia"/>
          <w:szCs w:val="21"/>
        </w:rPr>
        <w:t>3.4</w:t>
      </w:r>
      <w:r>
        <w:rPr>
          <w:rFonts w:hint="eastAsia" w:asciiTheme="majorEastAsia" w:hAnsiTheme="majorEastAsia" w:eastAsiaTheme="majorEastAsia"/>
          <w:szCs w:val="21"/>
        </w:rPr>
        <w:t>款规定执行。</w:t>
      </w:r>
    </w:p>
    <w:p w14:paraId="351687F8">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w:t>
      </w:r>
      <w:r>
        <w:rPr>
          <w:rFonts w:hint="eastAsia" w:asciiTheme="majorEastAsia" w:hAnsiTheme="majorEastAsia" w:eastAsiaTheme="majorEastAsia"/>
          <w:b/>
          <w:bCs/>
          <w:szCs w:val="21"/>
        </w:rPr>
        <w:t>3．招标文件的修改</w:t>
      </w:r>
    </w:p>
    <w:p w14:paraId="3E708B0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3.1招标文件发出后，在投标截止日期前任何时候，确需要变更招标文件内容的，采购代理机构可主动或在解答投标人提出的澄清问题时对招标文件进行修改。</w:t>
      </w:r>
    </w:p>
    <w:p w14:paraId="709ADEB0">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3.2招标文件的修改以书面形式（包括采购代理机构网站发布方式，如更正公告等）发送给所有投标人，招标文件的修改内容作为招标文件的组成部分，并具有约束力。</w:t>
      </w:r>
    </w:p>
    <w:p w14:paraId="79915C8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EE5E54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30"/>
    </w:p>
    <w:p w14:paraId="1009A40E">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投标文件的编制</w:t>
      </w:r>
    </w:p>
    <w:p w14:paraId="27500CA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14．</w:t>
      </w:r>
      <w:bookmarkStart w:id="31" w:name="_Hlk72400236"/>
      <w:r>
        <w:rPr>
          <w:rFonts w:hint="eastAsia" w:asciiTheme="majorEastAsia" w:hAnsiTheme="majorEastAsia" w:eastAsiaTheme="majorEastAsia"/>
          <w:b/>
          <w:bCs/>
          <w:szCs w:val="21"/>
        </w:rPr>
        <w:t>投标文件的语言及度量单位</w:t>
      </w:r>
    </w:p>
    <w:p w14:paraId="7B6C0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4595B48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14.2 除技术规范另有规定外，投标文件使用的度量单位，均采用中华人民共和国法定计量单位。</w:t>
      </w:r>
    </w:p>
    <w:bookmarkEnd w:id="31"/>
    <w:p w14:paraId="62738F2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15．</w:t>
      </w:r>
      <w:bookmarkStart w:id="32" w:name="_Hlk72401567"/>
      <w:r>
        <w:rPr>
          <w:rFonts w:hint="eastAsia" w:asciiTheme="majorEastAsia" w:hAnsiTheme="majorEastAsia" w:eastAsiaTheme="majorEastAsia"/>
          <w:b/>
          <w:bCs/>
          <w:szCs w:val="21"/>
        </w:rPr>
        <w:t>投标文件的组成</w:t>
      </w:r>
    </w:p>
    <w:p w14:paraId="36702CD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具体内容在招标文件专用条款中进行规定。</w:t>
      </w:r>
    </w:p>
    <w:p w14:paraId="7BE7A1BC">
      <w:pPr>
        <w:spacing w:line="360" w:lineRule="auto"/>
        <w:rPr>
          <w:rFonts w:asciiTheme="majorEastAsia" w:hAnsiTheme="majorEastAsia" w:eastAsiaTheme="majorEastAsia"/>
          <w:b/>
          <w:bCs/>
          <w:szCs w:val="21"/>
        </w:rPr>
      </w:pPr>
      <w:r>
        <w:rPr>
          <w:rFonts w:asciiTheme="majorEastAsia" w:hAnsiTheme="majorEastAsia" w:eastAsiaTheme="majorEastAsia"/>
          <w:b/>
          <w:bCs/>
          <w:szCs w:val="21"/>
        </w:rPr>
        <w:t>16．投标文件格式</w:t>
      </w:r>
    </w:p>
    <w:p w14:paraId="08FF9F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投标文件包括本通用条款第</w:t>
      </w:r>
      <w:r>
        <w:rPr>
          <w:rFonts w:asciiTheme="majorEastAsia" w:hAnsiTheme="majorEastAsia" w:eastAsiaTheme="majorEastAsia"/>
          <w:szCs w:val="21"/>
        </w:rPr>
        <w:t>15条中规定的内容。如招标文件提供了投标文件格式，则</w:t>
      </w:r>
      <w:r>
        <w:rPr>
          <w:rFonts w:hint="eastAsia" w:asciiTheme="majorEastAsia" w:hAnsiTheme="majorEastAsia" w:eastAsiaTheme="majorEastAsia"/>
          <w:b/>
          <w:bCs/>
          <w:szCs w:val="21"/>
        </w:rPr>
        <w:t>投标人提交的投标文件应使用招标文件所提供的相应格式</w:t>
      </w:r>
      <w:r>
        <w:rPr>
          <w:rFonts w:hint="eastAsia" w:asciiTheme="majorEastAsia" w:hAnsiTheme="majorEastAsia" w:eastAsiaTheme="majorEastAsia"/>
          <w:szCs w:val="21"/>
        </w:rPr>
        <w:t>（表格均可按同样格式扩展）。</w:t>
      </w:r>
    </w:p>
    <w:p w14:paraId="613A081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17．投标货币</w:t>
      </w:r>
    </w:p>
    <w:p w14:paraId="44CD07C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本项目的投标报价应以人民币计。</w:t>
      </w:r>
    </w:p>
    <w:bookmarkEnd w:id="32"/>
    <w:p w14:paraId="5A3A0E7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18．</w:t>
      </w:r>
      <w:bookmarkStart w:id="33" w:name="_Hlk72401735"/>
      <w:r>
        <w:rPr>
          <w:rFonts w:hint="eastAsia" w:asciiTheme="majorEastAsia" w:hAnsiTheme="majorEastAsia" w:eastAsiaTheme="majorEastAsia"/>
          <w:b/>
          <w:bCs/>
          <w:szCs w:val="21"/>
        </w:rPr>
        <w:t>证明投标文件投标技术方案的合格性和符合招标文件规定的文件要求</w:t>
      </w:r>
    </w:p>
    <w:p w14:paraId="266E162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w:t>
      </w:r>
      <w:r>
        <w:rPr>
          <w:rFonts w:asciiTheme="majorEastAsia" w:hAnsiTheme="majorEastAsia" w:eastAsiaTheme="majorEastAsia"/>
          <w:szCs w:val="21"/>
        </w:rPr>
        <w:t xml:space="preserve">.1 </w:t>
      </w:r>
      <w:r>
        <w:rPr>
          <w:rFonts w:hint="eastAsia" w:asciiTheme="majorEastAsia" w:hAnsiTheme="majorEastAsia" w:eastAsiaTheme="majorEastAsia"/>
          <w:szCs w:val="21"/>
        </w:rPr>
        <w:t>投标人应提交证明文件，证明其投标技术方案项下的货物和服务的合格性符合招标文件规定。该投标技术方案及其证明文件均作为投标文件组成部分。</w:t>
      </w:r>
    </w:p>
    <w:p w14:paraId="2CC8D10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 xml:space="preserve">.2 </w:t>
      </w:r>
      <w:r>
        <w:rPr>
          <w:rFonts w:hint="eastAsia" w:asciiTheme="majorEastAsia" w:hAnsiTheme="majorEastAsia" w:eastAsiaTheme="major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3849B0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18.2.1主要技术指标和性能的详细说明。</w:t>
      </w:r>
    </w:p>
    <w:p w14:paraId="34FA3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2</w:t>
      </w:r>
      <w:r>
        <w:rPr>
          <w:rFonts w:hint="eastAsia" w:asciiTheme="majorEastAsia" w:hAnsiTheme="majorEastAsia" w:eastAsiaTheme="majorEastAsia"/>
          <w:szCs w:val="21"/>
        </w:rPr>
        <w:t>投标产品从采购人开始使用至招标文件中规定的周期内正常、连续地使用所必须的备件和专用工具清单，包括备件和专用工具的货源及现行价格。</w:t>
      </w:r>
    </w:p>
    <w:p w14:paraId="2A66D2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w:t>
      </w:r>
      <w:r>
        <w:rPr>
          <w:rFonts w:asciiTheme="majorEastAsia" w:hAnsiTheme="majorEastAsia" w:eastAsiaTheme="majorEastAsia"/>
          <w:szCs w:val="21"/>
        </w:rPr>
        <w:t>3</w:t>
      </w:r>
      <w:r>
        <w:rPr>
          <w:rFonts w:hint="eastAsia" w:asciiTheme="majorEastAsia" w:hAnsiTheme="majorEastAsia" w:eastAsiaTheme="majorEastAsia"/>
          <w:szCs w:val="21"/>
        </w:rPr>
        <w:t>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0B244BE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4F85056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35BA7CB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18.3相关资料不符合18.2款要求的，评审委员会有权认定为投标技术方案不合格响应，其相关分数予以扣减或作投标无效处理。</w:t>
      </w:r>
    </w:p>
    <w:p w14:paraId="6E8F2993">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6484738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18.5除非另有规定或说明，投标人对同一项目投标时，不得同时提供两套或两套以上的投标方案。</w:t>
      </w:r>
    </w:p>
    <w:bookmarkEnd w:id="33"/>
    <w:p w14:paraId="3C8928A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19．</w:t>
      </w:r>
      <w:bookmarkStart w:id="34" w:name="_Hlk72402034"/>
      <w:r>
        <w:rPr>
          <w:rFonts w:hint="eastAsia" w:asciiTheme="majorEastAsia" w:hAnsiTheme="majorEastAsia" w:eastAsiaTheme="majorEastAsia"/>
          <w:b/>
          <w:bCs/>
          <w:szCs w:val="21"/>
        </w:rPr>
        <w:t>投标文件其他证明文件的要求</w:t>
      </w:r>
    </w:p>
    <w:p w14:paraId="7596A47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19.1采用综合评分法的项目，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35" w:name="_Hlk71407299"/>
    </w:p>
    <w:bookmarkEnd w:id="35"/>
    <w:p w14:paraId="404792A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115DAAB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20．投标有效期</w:t>
      </w:r>
    </w:p>
    <w:bookmarkEnd w:id="34"/>
    <w:p w14:paraId="5BB8D7BE">
      <w:pPr>
        <w:spacing w:line="360" w:lineRule="auto"/>
        <w:ind w:firstLine="411" w:firstLineChars="196"/>
        <w:rPr>
          <w:rFonts w:asciiTheme="majorEastAsia" w:hAnsiTheme="majorEastAsia" w:eastAsiaTheme="majorEastAsia"/>
          <w:szCs w:val="21"/>
        </w:rPr>
      </w:pPr>
      <w:bookmarkStart w:id="36" w:name="_Hlk72402214"/>
      <w:r>
        <w:rPr>
          <w:rFonts w:hint="eastAsia" w:asciiTheme="majorEastAsia" w:hAnsiTheme="majorEastAsia" w:eastAsiaTheme="majorEastAsia"/>
          <w:szCs w:val="21"/>
        </w:rPr>
        <w:t>20.1 投标有效期为</w:t>
      </w:r>
      <w:r>
        <w:rPr>
          <w:rFonts w:hint="eastAsia" w:cs="Arial" w:asciiTheme="majorEastAsia" w:hAnsiTheme="majorEastAsia" w:eastAsiaTheme="majorEastAsia"/>
          <w:szCs w:val="21"/>
        </w:rPr>
        <w:t>从投标截止之日算起的日历天数。</w:t>
      </w:r>
      <w:r>
        <w:rPr>
          <w:rFonts w:hint="eastAsia" w:asciiTheme="majorEastAsia" w:hAnsiTheme="majorEastAsia" w:eastAsiaTheme="majorEastAsia"/>
          <w:szCs w:val="21"/>
        </w:rPr>
        <w:t>在此期限内，所有投标文件均保持有效。</w:t>
      </w:r>
    </w:p>
    <w:p w14:paraId="0BCE97C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20.2 在特殊情况下，采购代理机构在原定的投标有效期满之前，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5D8E4A8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20</w:t>
      </w:r>
      <w:r>
        <w:rPr>
          <w:rFonts w:asciiTheme="majorEastAsia" w:hAnsiTheme="majorEastAsia" w:eastAsiaTheme="majorEastAsia"/>
          <w:szCs w:val="21"/>
        </w:rPr>
        <w:t>.3</w:t>
      </w:r>
      <w:r>
        <w:rPr>
          <w:rFonts w:hint="eastAsia" w:asciiTheme="majorEastAsia" w:hAnsiTheme="majorEastAsia" w:eastAsiaTheme="majorEastAsia"/>
          <w:szCs w:val="21"/>
        </w:rPr>
        <w:t xml:space="preserve"> 中标供应商的投标文件有效期，截止于完成本招标文件规定的全部项目内容，并通过竣工验收及保修期结束。</w:t>
      </w:r>
    </w:p>
    <w:bookmarkEnd w:id="36"/>
    <w:p w14:paraId="23213E4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21．</w:t>
      </w:r>
      <w:bookmarkStart w:id="37" w:name="_Hlk72402325"/>
      <w:r>
        <w:rPr>
          <w:rFonts w:hint="eastAsia" w:asciiTheme="majorEastAsia" w:hAnsiTheme="majorEastAsia" w:eastAsiaTheme="majorEastAsia"/>
          <w:szCs w:val="21"/>
        </w:rPr>
        <w:t xml:space="preserve">关于投标保证金 </w:t>
      </w:r>
    </w:p>
    <w:p w14:paraId="5E265D1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21.1 根据《</w:t>
      </w:r>
      <w:r>
        <w:rPr>
          <w:rFonts w:asciiTheme="majorEastAsia" w:hAnsiTheme="majorEastAsia" w:eastAsiaTheme="majorEastAsia"/>
          <w:szCs w:val="21"/>
        </w:rPr>
        <w:t>深圳市财政局关于明确政府采购保证金管理工作的通知</w:t>
      </w:r>
      <w:r>
        <w:rPr>
          <w:rFonts w:hint="eastAsia" w:asciiTheme="majorEastAsia" w:hAnsiTheme="majorEastAsia" w:eastAsiaTheme="majorEastAsia"/>
          <w:szCs w:val="21"/>
        </w:rPr>
        <w:t>》（深财购[</w:t>
      </w:r>
      <w:r>
        <w:rPr>
          <w:rFonts w:asciiTheme="majorEastAsia" w:hAnsiTheme="majorEastAsia" w:eastAsiaTheme="majorEastAsia"/>
          <w:szCs w:val="21"/>
        </w:rPr>
        <w:t>2019]42</w:t>
      </w:r>
      <w:r>
        <w:rPr>
          <w:rFonts w:hint="eastAsia" w:asciiTheme="majorEastAsia" w:hAnsiTheme="majorEastAsia" w:eastAsiaTheme="majorEastAsia"/>
          <w:szCs w:val="21"/>
        </w:rPr>
        <w:t>号）文的规定，本项目不收取投标保证金。</w:t>
      </w:r>
    </w:p>
    <w:p w14:paraId="085C088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22．投标人的替代方案</w:t>
      </w:r>
    </w:p>
    <w:p w14:paraId="21AFC2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294A3C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37"/>
    <w:p w14:paraId="3BCA160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23．</w:t>
      </w:r>
      <w:bookmarkStart w:id="38" w:name="_Hlk72402860"/>
      <w:r>
        <w:rPr>
          <w:rFonts w:asciiTheme="majorEastAsia" w:hAnsiTheme="majorEastAsia" w:eastAsiaTheme="majorEastAsia"/>
          <w:b/>
          <w:bCs/>
          <w:szCs w:val="21"/>
        </w:rPr>
        <w:t>投标文件的</w:t>
      </w:r>
      <w:r>
        <w:rPr>
          <w:rFonts w:hint="eastAsia" w:asciiTheme="majorEastAsia" w:hAnsiTheme="majorEastAsia" w:eastAsiaTheme="majorEastAsia"/>
          <w:b/>
          <w:bCs/>
          <w:szCs w:val="21"/>
        </w:rPr>
        <w:t>制作</w:t>
      </w:r>
      <w:r>
        <w:rPr>
          <w:rFonts w:asciiTheme="majorEastAsia" w:hAnsiTheme="majorEastAsia" w:eastAsiaTheme="majorEastAsia"/>
          <w:b/>
          <w:bCs/>
          <w:szCs w:val="21"/>
        </w:rPr>
        <w:t>要求</w:t>
      </w:r>
    </w:p>
    <w:p w14:paraId="2AD95E4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23.1投标人应准备所投项目的电子投标文件一份。此电子投标文件须由投标人根据采购代理机构提供的后缀名为.szczf的电子招标文件，下载并使用相应的深圳智慧采购平台投标文件制作专用软件打开招标文件（.szczf格式）【下载地址：</w:t>
      </w:r>
      <w:r>
        <w:rPr>
          <w:rFonts w:asciiTheme="majorEastAsia" w:hAnsiTheme="majorEastAsia" w:eastAsiaTheme="majorEastAsia"/>
          <w:szCs w:val="21"/>
        </w:rPr>
        <w:t>http://zfcg.szggzy.com/</w:t>
      </w:r>
      <w:r>
        <w:rPr>
          <w:rFonts w:hint="eastAsia" w:asciiTheme="majorEastAsia" w:hAnsiTheme="majorEastAsia" w:eastAsiaTheme="majorEastAsia"/>
          <w:szCs w:val="21"/>
        </w:rPr>
        <w:t>TPBidder/DownLoad/深圳市智慧采购平台投标文件制作专用软件.zip】。</w:t>
      </w:r>
    </w:p>
    <w:p w14:paraId="2F2A47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23.2投标人在使用《投标文件制作软件》编制投标书时须注意：</w:t>
      </w:r>
    </w:p>
    <w:p w14:paraId="14861C9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23.2.1导入《投标文件制作软件》的招标文件项目编号、包号应与以此制作的投标文件项目编号、包号一致。例如，不能将甲项目A包的招标书导入《投标文件制作软件》，制作乙项目B包的投标书。</w:t>
      </w:r>
    </w:p>
    <w:p w14:paraId="3C6222F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23.2.2不能用非本公司的电子密钥加密本公司的投标文件，或者用其它公司的登录用户上传本公司的投标文件。</w:t>
      </w:r>
    </w:p>
    <w:p w14:paraId="27E5A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23.2.3要求用《投标文件制作软件》编制投标书的包，不能用其它方式编制投标书。编制投标文件时，电脑须连通互联网。</w:t>
      </w:r>
    </w:p>
    <w:p w14:paraId="12F68E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23.2.4投标文件不能带病毒。采购代理机构将用专业杀毒软件对投标文件进行病毒检测，如果这两种软件均报告发现病毒，则采购代理机构认为该投标文件带病毒。</w:t>
      </w:r>
    </w:p>
    <w:p w14:paraId="1AF20B3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23.2.5完整填写“投标关键信息”，如下图所示：</w:t>
      </w:r>
    </w:p>
    <w:p w14:paraId="38FFC1DF">
      <w:pPr>
        <w:tabs>
          <w:tab w:val="left" w:pos="0"/>
        </w:tabs>
        <w:spacing w:line="360" w:lineRule="auto"/>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8" name="图片 6"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4BCB144B">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备注：上述“开标一览表”中的“投标总价”将作为价格分计算依据；其它信息仅是对投标文件相关内容的概括性表述，不作为评审依据。</w:t>
      </w:r>
    </w:p>
    <w:p w14:paraId="0B582A7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23.2.6投标人在编辑投标文件时，</w:t>
      </w:r>
      <w:r>
        <w:rPr>
          <w:rFonts w:hint="eastAsia" w:asciiTheme="majorEastAsia" w:hAnsiTheme="majorEastAsia" w:eastAsiaTheme="majorEastAsia"/>
          <w:b/>
          <w:szCs w:val="21"/>
        </w:rPr>
        <w:t>在投标文件目录中属于本节点内容的必须在本节点中填写，填写到其他节点或附件，</w:t>
      </w:r>
      <w:r>
        <w:rPr>
          <w:rFonts w:hint="eastAsia" w:asciiTheme="majorEastAsia" w:hAnsiTheme="majorEastAsia" w:eastAsiaTheme="majorEastAsia"/>
          <w:szCs w:val="21"/>
        </w:rPr>
        <w:t>一切后果由供应商自行承担。</w:t>
      </w:r>
    </w:p>
    <w:p w14:paraId="7B29406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23.2.7投标文件编写完成后，</w:t>
      </w:r>
      <w:r>
        <w:rPr>
          <w:rFonts w:hint="eastAsia" w:asciiTheme="majorEastAsia" w:hAnsiTheme="majorEastAsia" w:eastAsiaTheme="majorEastAsia"/>
          <w:b/>
          <w:szCs w:val="21"/>
        </w:rPr>
        <w:t>必须用属于投标人的电子密钥进行加密，否则视同未盖公章，将导致投标文件无效。</w:t>
      </w:r>
    </w:p>
    <w:p w14:paraId="6FEDC21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23.2.8采购代理机构不接受投标截止时间后递交的纸质、电子、传真等所有形式的投标文件。由于对网上政府采购系统操作不熟悉或自身电脑、网络等原因导致不能在投标截止时间之前上传投标文件，采购代理机构概不负责。建议于开标前一个工作日完成投标文件的制作与上传，如上传确有困难，请及时咨询。</w:t>
      </w:r>
    </w:p>
    <w:p w14:paraId="226CEFA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23.2.9如果开标时出现网络故障、技术故障，影响了政府采购活动，采购代理机构有权采取措施如延期、接受无法从网上上传的投标书等，以保障政府采购活动的公开、公平和公正。</w:t>
      </w:r>
    </w:p>
    <w:p w14:paraId="3B3A2B7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23.3电报、电话、传真形式的投标概不接受。</w:t>
      </w:r>
    </w:p>
    <w:p w14:paraId="762866A0">
      <w:pPr>
        <w:spacing w:line="360" w:lineRule="auto"/>
        <w:ind w:firstLine="413" w:firstLineChars="196"/>
        <w:rPr>
          <w:rFonts w:asciiTheme="majorEastAsia" w:hAnsiTheme="majorEastAsia" w:eastAsiaTheme="majorEastAsia"/>
          <w:b/>
          <w:szCs w:val="21"/>
        </w:rPr>
      </w:pPr>
      <w:r>
        <w:rPr>
          <w:rFonts w:hint="eastAsia" w:asciiTheme="majorEastAsia" w:hAnsiTheme="majorEastAsia" w:eastAsiaTheme="majorEastAsia"/>
          <w:b/>
          <w:szCs w:val="21"/>
        </w:rPr>
        <w:t>23.4经投标人电子密钥加密的投标文件无须盖章或签字，</w:t>
      </w:r>
      <w:r>
        <w:rPr>
          <w:rFonts w:hint="eastAsia" w:asciiTheme="majorEastAsia" w:hAnsiTheme="majorEastAsia" w:eastAsiaTheme="majorEastAsia"/>
          <w:szCs w:val="21"/>
        </w:rPr>
        <w:t>专用条款另有要求的除外。</w:t>
      </w:r>
    </w:p>
    <w:p w14:paraId="6D0E5046">
      <w:pPr>
        <w:spacing w:line="360" w:lineRule="auto"/>
        <w:ind w:firstLine="413" w:firstLineChars="196"/>
        <w:rPr>
          <w:rFonts w:asciiTheme="majorEastAsia" w:hAnsiTheme="majorEastAsia" w:eastAsiaTheme="majorEastAsia"/>
          <w:szCs w:val="21"/>
        </w:rPr>
      </w:pPr>
      <w:r>
        <w:rPr>
          <w:rFonts w:hint="eastAsia" w:asciiTheme="majorEastAsia" w:hAnsiTheme="majorEastAsia" w:eastAsiaTheme="majorEastAsia"/>
          <w:b/>
          <w:szCs w:val="21"/>
        </w:rPr>
        <w:t>23.5</w:t>
      </w:r>
      <w:r>
        <w:rPr>
          <w:rFonts w:hint="eastAsia" w:asciiTheme="majorEastAsia" w:hAnsiTheme="majorEastAsia" w:eastAsiaTheme="majorEastAsia"/>
          <w:szCs w:val="21"/>
        </w:rPr>
        <w:t xml:space="preserve"> 各类资格（资质）文件提供扫描件，专用条款另有要求的除外。</w:t>
      </w:r>
      <w:bookmarkEnd w:id="38"/>
    </w:p>
    <w:p w14:paraId="3727EF68">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投标文件的递交</w:t>
      </w:r>
      <w:bookmarkStart w:id="39" w:name="_Hlk72405459"/>
    </w:p>
    <w:p w14:paraId="1D71F9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24．投标书的保密</w:t>
      </w:r>
    </w:p>
    <w:p w14:paraId="624CF72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24.1在投标文件制作完成后，在投标文件制作软件点击【生成标书】按钮进入【填写开标一览表界面】界面，在该界面填写完开标一览表信息后点击【确定】，进入投标文件生成环节。投标文件制作软件会在投标文件生成过程中，提示用户输入密码，输入密码后对标文件自动进行加密，此加密程序确保投标文件在到达开标时间后才能解密查看。在加密过程中，请按照软件提示进行操作。加密操作界面如下图所示：</w:t>
      </w:r>
    </w:p>
    <w:p w14:paraId="3D8E052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drawing>
          <wp:inline distT="0" distB="0" distL="0" distR="0">
            <wp:extent cx="5278755" cy="2721610"/>
            <wp:effectExtent l="0" t="0" r="0" b="2540"/>
            <wp:docPr id="9"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图形用户界面, 应用程序&#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8755" cy="2721610"/>
                    </a:xfrm>
                    <a:prstGeom prst="rect">
                      <a:avLst/>
                    </a:prstGeom>
                    <a:noFill/>
                    <a:ln>
                      <a:noFill/>
                    </a:ln>
                  </pic:spPr>
                </pic:pic>
              </a:graphicData>
            </a:graphic>
          </wp:inline>
        </w:drawing>
      </w:r>
    </w:p>
    <w:p w14:paraId="04B0A3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在投标文件制作软件点击【生成标书】按钮进入【填写开标一览表界面】界面，在该界面填写完开标一览表信息后点击【确定】，进入投标文件生成环节。</w:t>
      </w:r>
      <w:r>
        <w:rPr>
          <w:rFonts w:asciiTheme="majorEastAsia" w:hAnsiTheme="majorEastAsia" w:eastAsiaTheme="majorEastAsia"/>
          <w:szCs w:val="21"/>
        </w:rPr>
        <w:drawing>
          <wp:inline distT="0" distB="0" distL="0" distR="0">
            <wp:extent cx="5278755" cy="2732405"/>
            <wp:effectExtent l="0" t="0" r="0" b="0"/>
            <wp:docPr id="12" name="图片 8"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图形用户界面&#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8755" cy="2732405"/>
                    </a:xfrm>
                    <a:prstGeom prst="rect">
                      <a:avLst/>
                    </a:prstGeom>
                    <a:noFill/>
                    <a:ln>
                      <a:noFill/>
                    </a:ln>
                  </pic:spPr>
                </pic:pic>
              </a:graphicData>
            </a:graphic>
          </wp:inline>
        </w:drawing>
      </w:r>
    </w:p>
    <w:p w14:paraId="38554B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投标文件制作软件会在投标文件生成过程中，提示用户输入密码，输入密码后对标文件自动进行加密。</w:t>
      </w:r>
    </w:p>
    <w:p w14:paraId="48B8E180">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24.2若采购项目出现延期情况：</w:t>
      </w:r>
    </w:p>
    <w:p w14:paraId="548BA4F9">
      <w:pPr>
        <w:spacing w:line="360" w:lineRule="auto"/>
        <w:ind w:firstLine="422" w:firstLineChars="200"/>
        <w:rPr>
          <w:rFonts w:asciiTheme="majorEastAsia" w:hAnsiTheme="majorEastAsia" w:eastAsiaTheme="majorEastAsia"/>
          <w:b/>
          <w:szCs w:val="21"/>
        </w:rPr>
      </w:pPr>
      <w:r>
        <w:rPr>
          <w:rFonts w:hint="eastAsia" w:asciiTheme="majorEastAsia" w:hAnsiTheme="majorEastAsia" w:eastAsiaTheme="majorEastAsia"/>
          <w:b/>
          <w:szCs w:val="21"/>
        </w:rPr>
        <w:t>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）有更新，投标人必须重新下载招标文件、重新制作投标文件、重新加密投标文件、重新上传投标文件；如果供下载的招标文件（后缀名为.</w:t>
      </w:r>
      <w:r>
        <w:rPr>
          <w:rFonts w:asciiTheme="majorEastAsia" w:hAnsiTheme="majorEastAsia" w:eastAsiaTheme="majorEastAsia"/>
          <w:b/>
          <w:szCs w:val="21"/>
        </w:rPr>
        <w:t>szczf</w:t>
      </w:r>
      <w:r>
        <w:rPr>
          <w:rFonts w:hint="eastAsia" w:asciiTheme="majorEastAsia" w:hAnsiTheme="majorEastAsia" w:eastAsiaTheme="majorEastAsia"/>
          <w:b/>
          <w:szCs w:val="21"/>
        </w:rPr>
        <w:t>）没有更新，投标人必须重新加密投标文件、重新上传投标文件（是否重新制作投标文件根据项目实际情况定）。否则，投标人自行承担投标文件无法解密导致投标无效的后果。</w:t>
      </w:r>
    </w:p>
    <w:p w14:paraId="07CC2C83">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25．上传投标文件及投标截止日期</w:t>
      </w:r>
    </w:p>
    <w:p w14:paraId="6023C7F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1实行网上投标，</w:t>
      </w:r>
      <w:r>
        <w:rPr>
          <w:rFonts w:asciiTheme="majorEastAsia" w:hAnsiTheme="majorEastAsia" w:eastAsiaTheme="majorEastAsia"/>
          <w:szCs w:val="21"/>
        </w:rPr>
        <w:t>投标人必须</w:t>
      </w:r>
      <w:r>
        <w:rPr>
          <w:rFonts w:hint="eastAsia" w:asciiTheme="majorEastAsia" w:hAnsiTheme="majorEastAsia" w:eastAsiaTheme="majorEastAsia"/>
          <w:szCs w:val="21"/>
        </w:rPr>
        <w:t>在招标</w:t>
      </w:r>
      <w:r>
        <w:rPr>
          <w:rFonts w:asciiTheme="majorEastAsia" w:hAnsiTheme="majorEastAsia" w:eastAsiaTheme="majorEastAsia"/>
          <w:szCs w:val="21"/>
        </w:rPr>
        <w:t>文件规定的投标截止时间前</w:t>
      </w:r>
      <w:r>
        <w:rPr>
          <w:rFonts w:hint="eastAsia" w:asciiTheme="majorEastAsia" w:hAnsiTheme="majorEastAsia" w:eastAsiaTheme="majorEastAsia"/>
          <w:szCs w:val="21"/>
        </w:rPr>
        <w:t>用电子密钥登录“深圳政府采购智慧平台用户网上办事子系统（http://zfcg.szggzy.com/TPBidder/memberLogin）”，用“【我的项目】→【项目流程】→【递交投标(应答)文件】”功能点上传投标文件。</w:t>
      </w:r>
    </w:p>
    <w:p w14:paraId="7C28008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341ED83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w:t>
      </w:r>
      <w:r>
        <w:rPr>
          <w:rFonts w:asciiTheme="majorEastAsia" w:hAnsiTheme="majorEastAsia" w:eastAsiaTheme="majorEastAsia"/>
          <w:szCs w:val="21"/>
        </w:rPr>
        <w:t>.</w:t>
      </w:r>
      <w:r>
        <w:rPr>
          <w:rFonts w:hint="eastAsia" w:asciiTheme="majorEastAsia" w:hAnsiTheme="majorEastAsia" w:eastAsiaTheme="majorEastAsia"/>
          <w:szCs w:val="21"/>
        </w:rPr>
        <w:t>3投标截止时间以后不得上传投标文件。</w:t>
      </w:r>
    </w:p>
    <w:p w14:paraId="293E02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25.4.投标人须在开标当日的开标时间至解密截止时间内进行解密，逾期未解密的作无效处理。解密方法：登录“深圳政府采购智慧平台用户网上办事子系统（http://zfcg.szggzy.com/TPBidder/memberLogin）”，使用本单位制作电子投标文件同一个电子密钥，在“【我的项目】→【项目流程】→【开标及解密】”进行在线解密、查询开标情况。</w:t>
      </w:r>
    </w:p>
    <w:bookmarkEnd w:id="39"/>
    <w:p w14:paraId="39BBE85F">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26. 样品、现场演示、方案讲解</w:t>
      </w:r>
    </w:p>
    <w:p w14:paraId="1CDF153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26.1 样品、现场演示、方案讲解等事项在招标文件专用条款中进行规定。</w:t>
      </w:r>
    </w:p>
    <w:p w14:paraId="3E0B048C">
      <w:pPr>
        <w:spacing w:line="360" w:lineRule="auto"/>
        <w:rPr>
          <w:rFonts w:asciiTheme="majorEastAsia" w:hAnsiTheme="majorEastAsia" w:eastAsiaTheme="majorEastAsia"/>
          <w:b/>
          <w:bCs/>
          <w:szCs w:val="21"/>
        </w:rPr>
      </w:pPr>
      <w:bookmarkStart w:id="40" w:name="_Hlk72428346"/>
      <w:r>
        <w:rPr>
          <w:rFonts w:asciiTheme="majorEastAsia" w:hAnsiTheme="majorEastAsia" w:eastAsiaTheme="majorEastAsia"/>
          <w:b/>
          <w:bCs/>
          <w:szCs w:val="21"/>
        </w:rPr>
        <w:t>2</w:t>
      </w:r>
      <w:r>
        <w:rPr>
          <w:rFonts w:hint="eastAsia" w:asciiTheme="majorEastAsia" w:hAnsiTheme="majorEastAsia" w:eastAsiaTheme="majorEastAsia"/>
          <w:b/>
          <w:bCs/>
          <w:szCs w:val="21"/>
        </w:rPr>
        <w:t>7．</w:t>
      </w:r>
      <w:r>
        <w:rPr>
          <w:rFonts w:asciiTheme="majorEastAsia" w:hAnsiTheme="majorEastAsia" w:eastAsiaTheme="majorEastAsia"/>
          <w:b/>
          <w:bCs/>
          <w:szCs w:val="21"/>
        </w:rPr>
        <w:t>投标文件的修改和撤销</w:t>
      </w:r>
    </w:p>
    <w:p w14:paraId="388803B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1</w:t>
      </w:r>
      <w:r>
        <w:rPr>
          <w:rFonts w:asciiTheme="majorEastAsia" w:hAnsiTheme="majorEastAsia" w:eastAsiaTheme="majorEastAsia"/>
          <w:szCs w:val="21"/>
        </w:rPr>
        <w:t>投标方在提交投标文件后可对其投标文件进行修改</w:t>
      </w:r>
      <w:r>
        <w:rPr>
          <w:rFonts w:hint="eastAsia" w:asciiTheme="majorEastAsia" w:hAnsiTheme="majorEastAsia" w:eastAsiaTheme="majorEastAsia"/>
          <w:szCs w:val="21"/>
        </w:rPr>
        <w:t>并重新上传投标文件</w:t>
      </w:r>
      <w:r>
        <w:rPr>
          <w:rFonts w:asciiTheme="majorEastAsia" w:hAnsiTheme="majorEastAsia" w:eastAsiaTheme="majorEastAsia"/>
          <w:szCs w:val="21"/>
        </w:rPr>
        <w:t>或</w:t>
      </w:r>
      <w:r>
        <w:rPr>
          <w:rFonts w:hint="eastAsia" w:asciiTheme="majorEastAsia" w:hAnsiTheme="majorEastAsia" w:eastAsiaTheme="majorEastAsia"/>
          <w:szCs w:val="21"/>
        </w:rPr>
        <w:t>在网上进行</w:t>
      </w:r>
      <w:r>
        <w:rPr>
          <w:rFonts w:asciiTheme="majorEastAsia" w:hAnsiTheme="majorEastAsia" w:eastAsiaTheme="majorEastAsia"/>
          <w:szCs w:val="21"/>
        </w:rPr>
        <w:t>撤销</w:t>
      </w:r>
      <w:r>
        <w:rPr>
          <w:rFonts w:hint="eastAsia" w:asciiTheme="majorEastAsia" w:hAnsiTheme="majorEastAsia" w:eastAsiaTheme="majorEastAsia"/>
          <w:szCs w:val="21"/>
        </w:rPr>
        <w:t>投标的操作</w:t>
      </w:r>
      <w:r>
        <w:rPr>
          <w:rFonts w:asciiTheme="majorEastAsia" w:hAnsiTheme="majorEastAsia" w:eastAsiaTheme="majorEastAsia"/>
          <w:szCs w:val="21"/>
        </w:rPr>
        <w:t>。</w:t>
      </w:r>
    </w:p>
    <w:p w14:paraId="317DC6A9">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投标截止时间以后不得修改投标文件。</w:t>
      </w:r>
    </w:p>
    <w:p w14:paraId="5139E5CC">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7</w:t>
      </w:r>
      <w:r>
        <w:rPr>
          <w:rFonts w:asciiTheme="majorEastAsia" w:hAnsiTheme="majorEastAsia" w:eastAsiaTheme="majorEastAsia"/>
          <w:szCs w:val="21"/>
        </w:rPr>
        <w:t>.</w:t>
      </w:r>
      <w:r>
        <w:rPr>
          <w:rFonts w:hint="eastAsia" w:asciiTheme="majorEastAsia" w:hAnsiTheme="majorEastAsia" w:eastAsiaTheme="majorEastAsia"/>
          <w:szCs w:val="21"/>
        </w:rPr>
        <w:t>3从投标截止期至投标人在投标文件中确定的投标有效期之间的这段时间内，投标人不得撤回其投标。</w:t>
      </w:r>
    </w:p>
    <w:p w14:paraId="3F62120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27.4采购代理机构不退还投标文件，专用条款另有规定的除外。</w:t>
      </w:r>
    </w:p>
    <w:bookmarkEnd w:id="40"/>
    <w:p w14:paraId="78D5BC3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开标</w:t>
      </w:r>
    </w:p>
    <w:p w14:paraId="17802E3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28．开标</w:t>
      </w:r>
    </w:p>
    <w:p w14:paraId="3A3E7F09">
      <w:pPr>
        <w:spacing w:line="360" w:lineRule="auto"/>
        <w:ind w:firstLine="420" w:firstLineChars="200"/>
        <w:rPr>
          <w:rFonts w:asciiTheme="majorEastAsia" w:hAnsiTheme="majorEastAsia" w:eastAsiaTheme="majorEastAsia"/>
          <w:szCs w:val="21"/>
        </w:rPr>
      </w:pPr>
      <w:r>
        <w:rPr>
          <w:rFonts w:asciiTheme="majorEastAsia" w:hAnsiTheme="majorEastAsia" w:eastAsiaTheme="majorEastAsia"/>
          <w:szCs w:val="21"/>
        </w:rPr>
        <w:t>2</w:t>
      </w:r>
      <w:r>
        <w:rPr>
          <w:rFonts w:hint="eastAsia" w:asciiTheme="majorEastAsia" w:hAnsiTheme="majorEastAsia" w:eastAsiaTheme="majorEastAsia"/>
          <w:szCs w:val="21"/>
        </w:rPr>
        <w:t>8</w:t>
      </w:r>
      <w:r>
        <w:rPr>
          <w:rFonts w:asciiTheme="majorEastAsia" w:hAnsiTheme="majorEastAsia" w:eastAsiaTheme="majorEastAsia"/>
          <w:szCs w:val="21"/>
        </w:rPr>
        <w:t>.</w:t>
      </w:r>
      <w:r>
        <w:rPr>
          <w:rFonts w:hint="eastAsia" w:asciiTheme="majorEastAsia" w:hAnsiTheme="majorEastAsia" w:eastAsiaTheme="majorEastAsia"/>
          <w:szCs w:val="21"/>
        </w:rPr>
        <w:t>1投标人须在开标当日的开标时间至解密截止时间内进行解密，逾期未解密的作无效处理。解密方法：登录“深圳政府采购智慧平台用户网上办事子系统（</w:t>
      </w:r>
      <w:r>
        <w:rPr>
          <w:rFonts w:asciiTheme="majorEastAsia" w:hAnsiTheme="majorEastAsia" w:eastAsiaTheme="majorEastAsia"/>
          <w:szCs w:val="21"/>
        </w:rPr>
        <w:t>http://zfcg.szggzy.com/</w:t>
      </w:r>
      <w:r>
        <w:rPr>
          <w:rFonts w:hint="eastAsia" w:asciiTheme="majorEastAsia" w:hAnsiTheme="majorEastAsia" w:eastAsiaTheme="majorEastAsia"/>
          <w:szCs w:val="21"/>
        </w:rPr>
        <w:t>TPBidder/memberLogin）”，使用本单位制作电子投标文件同一个电子密钥，在“【我的项目】→【项目流程】→【开标及解密】”进行在线解密、查询开标情况。</w:t>
      </w:r>
    </w:p>
    <w:p w14:paraId="5A94C477">
      <w:pPr>
        <w:spacing w:line="360" w:lineRule="auto"/>
        <w:ind w:firstLine="359" w:firstLineChars="171"/>
        <w:rPr>
          <w:rFonts w:asciiTheme="majorEastAsia" w:hAnsiTheme="majorEastAsia" w:eastAsiaTheme="majorEastAsia"/>
          <w:szCs w:val="21"/>
        </w:rPr>
      </w:pPr>
      <w:r>
        <w:rPr>
          <w:rFonts w:hint="eastAsia" w:asciiTheme="majorEastAsia" w:hAnsiTheme="majorEastAsia" w:eastAsiaTheme="majorEastAsia"/>
          <w:szCs w:val="21"/>
        </w:rPr>
        <w:t>2</w:t>
      </w:r>
      <w:r>
        <w:rPr>
          <w:rFonts w:asciiTheme="majorEastAsia" w:hAnsiTheme="majorEastAsia" w:eastAsiaTheme="majorEastAsia"/>
          <w:szCs w:val="21"/>
        </w:rPr>
        <w:t xml:space="preserve">8.2 </w:t>
      </w:r>
      <w:r>
        <w:rPr>
          <w:rFonts w:hint="eastAsia" w:asciiTheme="majorEastAsia" w:hAnsiTheme="majorEastAsia" w:eastAsiaTheme="majorEastAsia"/>
          <w:szCs w:val="21"/>
        </w:rPr>
        <w:t>采购代理机构将在满足开标条件（</w:t>
      </w:r>
      <w:r>
        <w:rPr>
          <w:rFonts w:hint="eastAsia" w:cs="宋体" w:asciiTheme="majorEastAsia" w:hAnsiTheme="majorEastAsia" w:eastAsiaTheme="majorEastAsia"/>
          <w:color w:val="333333"/>
          <w:szCs w:val="21"/>
          <w:shd w:val="clear" w:color="auto" w:fill="FFFFFF"/>
        </w:rPr>
        <w:t>①</w:t>
      </w:r>
      <w:r>
        <w:rPr>
          <w:rFonts w:hint="eastAsia" w:asciiTheme="majorEastAsia" w:hAnsiTheme="majorEastAsia" w:eastAsiaTheme="majorEastAsia"/>
          <w:szCs w:val="21"/>
        </w:rPr>
        <w:t>解密时间结束，解密后的投标供应商数量满足开标要求或</w:t>
      </w:r>
      <w:r>
        <w:rPr>
          <w:rFonts w:hint="eastAsia" w:cs="宋体" w:asciiTheme="majorEastAsia" w:hAnsiTheme="majorEastAsia" w:eastAsiaTheme="majorEastAsia"/>
          <w:color w:val="333333"/>
          <w:szCs w:val="21"/>
          <w:shd w:val="clear" w:color="auto" w:fill="FFFFFF"/>
        </w:rPr>
        <w:t>②</w:t>
      </w:r>
      <w:r>
        <w:rPr>
          <w:rFonts w:hint="eastAsia" w:asciiTheme="majorEastAsia" w:hAnsiTheme="majorEastAsia" w:eastAsiaTheme="majorEastAsia"/>
          <w:szCs w:val="21"/>
        </w:rPr>
        <w:t>解密时间结束前所有投标供应商均完成投标文件解密）后，对投标文件进行开标，并在网上公布开标结果。</w:t>
      </w:r>
    </w:p>
    <w:p w14:paraId="6DA7F9BA">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评审要求</w:t>
      </w:r>
    </w:p>
    <w:p w14:paraId="26BBC07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29．评审委员会组成</w:t>
      </w:r>
    </w:p>
    <w:p w14:paraId="27D7CBF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29.1网上开标结束后召开评审会议，评审委员会由采购代理机构依法组建，负责评审活动。</w:t>
      </w:r>
    </w:p>
    <w:p w14:paraId="2F82B4CF">
      <w:pPr>
        <w:spacing w:line="360" w:lineRule="auto"/>
        <w:ind w:firstLine="411" w:firstLineChars="196"/>
        <w:rPr>
          <w:rFonts w:asciiTheme="majorEastAsia" w:hAnsiTheme="majorEastAsia" w:eastAsiaTheme="majorEastAsia"/>
          <w:szCs w:val="21"/>
        </w:rPr>
      </w:pPr>
      <w:bookmarkStart w:id="41" w:name="_Hlk72436580"/>
      <w:r>
        <w:rPr>
          <w:rFonts w:hint="eastAsia" w:asciiTheme="majorEastAsia" w:hAnsiTheme="majorEastAsia" w:eastAsiaTheme="majorEastAsia"/>
          <w:szCs w:val="21"/>
        </w:rPr>
        <w:t>评审委员会由采购人代表和评审专家组成，成员人数应当为5人以上单数（部分条件下为7人以上单数），其中评审专家不得少于成员总数的三分之二。</w:t>
      </w:r>
      <w:bookmarkEnd w:id="41"/>
      <w:r>
        <w:rPr>
          <w:rFonts w:hint="eastAsia" w:asciiTheme="majorEastAsia" w:hAnsiTheme="majorEastAsia" w:eastAsiaTheme="majorEastAsia"/>
          <w:szCs w:val="21"/>
        </w:rPr>
        <w:t>评定分离项目</w:t>
      </w:r>
      <w:r>
        <w:rPr>
          <w:rFonts w:asciiTheme="majorEastAsia" w:hAnsiTheme="majorEastAsia" w:eastAsiaTheme="majorEastAsia"/>
          <w:szCs w:val="21"/>
        </w:rPr>
        <w:t>评审专家</w:t>
      </w:r>
      <w:r>
        <w:rPr>
          <w:rFonts w:hint="eastAsia" w:asciiTheme="majorEastAsia" w:hAnsiTheme="majorEastAsia" w:eastAsiaTheme="majorEastAsia"/>
          <w:szCs w:val="21"/>
        </w:rPr>
        <w:t>均</w:t>
      </w:r>
      <w:r>
        <w:rPr>
          <w:rFonts w:asciiTheme="majorEastAsia" w:hAnsiTheme="majorEastAsia" w:eastAsiaTheme="majorEastAsia"/>
          <w:szCs w:val="21"/>
        </w:rPr>
        <w:t>由</w:t>
      </w:r>
      <w:r>
        <w:rPr>
          <w:rFonts w:hint="eastAsia" w:asciiTheme="majorEastAsia" w:hAnsiTheme="majorEastAsia" w:eastAsiaTheme="majorEastAsia"/>
          <w:szCs w:val="21"/>
        </w:rPr>
        <w:t>评审专家组成。评审专家一般是从深圳市政府采购评审专家库中随机抽取。采购人代表须持本单位签发的《评审授权书》参加评审。</w:t>
      </w:r>
    </w:p>
    <w:p w14:paraId="7D76BBE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29.2评审定标应当遵循公平、公正、科学、择优的原则。</w:t>
      </w:r>
    </w:p>
    <w:p w14:paraId="24A21DD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29.3评审活动依法进行，任何单位和个人不得非法干预评标过程和结果。</w:t>
      </w:r>
    </w:p>
    <w:p w14:paraId="5089C00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29.4评审过程中不允许违背评标程序或采用招标文件未载明的评标方法或评标因素进行评标。</w:t>
      </w:r>
    </w:p>
    <w:p w14:paraId="09AEA153">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29.5 开标后，直到签订合同为止，凡属于对投标文件的审查、澄清、评价和比较的有关资料以及中标候选人的推荐情况、与评审有关的其他任何情况均严格保密（</w:t>
      </w:r>
      <w:r>
        <w:rPr>
          <w:rFonts w:hint="eastAsia" w:asciiTheme="majorEastAsia" w:hAnsiTheme="majorEastAsia" w:eastAsiaTheme="majorEastAsia"/>
          <w:szCs w:val="21"/>
        </w:rPr>
        <w:t>信息公开的内容除外</w:t>
      </w:r>
      <w:r>
        <w:rPr>
          <w:rFonts w:hint="eastAsia" w:asciiTheme="majorEastAsia" w:hAnsiTheme="majorEastAsia" w:eastAsiaTheme="majorEastAsia"/>
          <w:bCs/>
          <w:szCs w:val="21"/>
        </w:rPr>
        <w:t>）。</w:t>
      </w:r>
    </w:p>
    <w:p w14:paraId="034C7B6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30．向评审委员会提供的资料</w:t>
      </w:r>
    </w:p>
    <w:p w14:paraId="3D64644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30.1公开发布的招标文件，包括图纸、服务清单、答疑文件等；</w:t>
      </w:r>
    </w:p>
    <w:p w14:paraId="21A282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30.2其他评标必须的资料。</w:t>
      </w:r>
    </w:p>
    <w:p w14:paraId="1D56A00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30.3评审委员会应当认真研究招标文件，至少应了解熟悉以下内容：</w:t>
      </w:r>
    </w:p>
    <w:p w14:paraId="54BA3F2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（1）招标的目的；</w:t>
      </w:r>
    </w:p>
    <w:p w14:paraId="383FD0B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（2）招标项目需求的范围和性质；</w:t>
      </w:r>
    </w:p>
    <w:p w14:paraId="4389B33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（3）招标文件规定的投标人的资格、财政预算限额、商务条款；</w:t>
      </w:r>
    </w:p>
    <w:p w14:paraId="0312BA5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（4）招标文件规定的评标程序、评标方法和评标因素；</w:t>
      </w:r>
    </w:p>
    <w:p w14:paraId="3AB4B56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（5）招标文件所列示的资格性审查表及符合性审查表。</w:t>
      </w:r>
    </w:p>
    <w:p w14:paraId="3A4E8A7B">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31．独立评审</w:t>
      </w:r>
    </w:p>
    <w:p w14:paraId="6B8EC0C7">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.1</w:t>
      </w:r>
      <w:r>
        <w:rPr>
          <w:rFonts w:hint="eastAsia" w:asciiTheme="majorEastAsia" w:hAnsiTheme="majorEastAsia" w:eastAsiaTheme="majorEastAsia"/>
          <w:szCs w:val="21"/>
        </w:rPr>
        <w:t>评审委员会</w:t>
      </w:r>
      <w:r>
        <w:rPr>
          <w:rFonts w:hint="eastAsia" w:asciiTheme="majorEastAsia" w:hAnsiTheme="majorEastAsia" w:eastAsiaTheme="majorEastAsia"/>
          <w:bCs/>
          <w:szCs w:val="21"/>
        </w:rPr>
        <w:t>成员的评标活动应当独立进行，并应遵循投标文件初审、澄清有关问题、比较与评价、确定中标供应商、编写评审报告的工作程序。</w:t>
      </w:r>
    </w:p>
    <w:p w14:paraId="7FEEC99F">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评审程序及评审方法</w:t>
      </w:r>
    </w:p>
    <w:p w14:paraId="62E00C76">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32．投标文件初审</w:t>
      </w:r>
    </w:p>
    <w:p w14:paraId="795E395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32.1投标文件初审包括资格性审查和符合性审查。</w:t>
      </w:r>
    </w:p>
    <w:p w14:paraId="651589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资格性审查：依据法律法规和招标文件的规定，对投标文件中的资格证明等进行审查，以确定投标供应商是否具备投标资格。</w:t>
      </w:r>
    </w:p>
    <w:p w14:paraId="6F9A3C3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符合性审查：依据招标文件的规定，对投标文件的有效性、完整性和对招标文件的响应程度进行审查，以确定是否满足符合性审查的要求。</w:t>
      </w:r>
    </w:p>
    <w:p w14:paraId="6DC44D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32.2 投标文件初审内容请详见《资格性审查表》和《符合性审查表》部分。投标人若有一条审查不通过则按投标无效处理。</w:t>
      </w:r>
    </w:p>
    <w:p w14:paraId="2414436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 投标文件初审中关于供应商家数的计算:</w:t>
      </w:r>
    </w:p>
    <w:p w14:paraId="4BA29545">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38829604">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312506F">
      <w:pPr>
        <w:spacing w:line="360" w:lineRule="auto"/>
        <w:ind w:firstLine="411" w:firstLineChars="196"/>
        <w:rPr>
          <w:rFonts w:asciiTheme="majorEastAsia" w:hAnsiTheme="majorEastAsia" w:eastAsiaTheme="majorEastAsia"/>
          <w:bCs/>
          <w:szCs w:val="21"/>
        </w:rPr>
      </w:pPr>
      <w:r>
        <w:rPr>
          <w:rFonts w:hint="eastAsia" w:asciiTheme="majorEastAsia" w:hAnsiTheme="majorEastAsia" w:eastAsiaTheme="majorEastAsia"/>
          <w:bCs/>
          <w:szCs w:val="21"/>
        </w:rPr>
        <w:t>32.3.3非单一产品采购项目，采购人应当根据采购项目技术构成、产品价格比重等合理确定核心产品，并在招标文件中载明。多家投标人提供的核心产品品牌相同的，按前两款规定处理。</w:t>
      </w:r>
    </w:p>
    <w:p w14:paraId="3AAC7EA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32.4投标人投标文件作无效处理的情形，具体包括但不限于以下：</w:t>
      </w:r>
    </w:p>
    <w:p w14:paraId="26C17CE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32.4.1不同投标人的投标文件由同一单位或者同一个人编制，或者由同一个人分阶段参与编制；</w:t>
      </w:r>
    </w:p>
    <w:p w14:paraId="486B0121">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32.4.</w:t>
      </w:r>
      <w:r>
        <w:rPr>
          <w:rFonts w:hint="eastAsia" w:asciiTheme="majorEastAsia" w:hAnsiTheme="majorEastAsia" w:eastAsiaTheme="majorEastAsia"/>
          <w:szCs w:val="21"/>
        </w:rPr>
        <w:t>2不同投标人委托同一单位或者个人办理投标事宜；</w:t>
      </w:r>
    </w:p>
    <w:p w14:paraId="10BB19D7">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32.4.3不同投标人的投标文件载明的项目管理成员或者联系人员为同一人；</w:t>
      </w:r>
    </w:p>
    <w:p w14:paraId="6DDD15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32.4.4不同投标人的投标文件异常一致或者投标报价呈规律性差异；</w:t>
      </w:r>
    </w:p>
    <w:p w14:paraId="3C0158F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32.4.5</w:t>
      </w:r>
      <w:r>
        <w:rPr>
          <w:rFonts w:asciiTheme="majorEastAsia" w:hAnsiTheme="majorEastAsia" w:eastAsiaTheme="majorEastAsia"/>
          <w:szCs w:val="21"/>
        </w:rPr>
        <w:t>不同投标供应商的投标文件或部分投标文件相互混装</w:t>
      </w:r>
      <w:r>
        <w:rPr>
          <w:rFonts w:hint="eastAsia" w:asciiTheme="majorEastAsia" w:hAnsiTheme="majorEastAsia" w:eastAsiaTheme="majorEastAsia"/>
          <w:szCs w:val="21"/>
        </w:rPr>
        <w:t>；</w:t>
      </w:r>
    </w:p>
    <w:p w14:paraId="378EB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32.4.6投标供应商之间相互约定给予未中标的供应商利益补偿；</w:t>
      </w:r>
    </w:p>
    <w:p w14:paraId="48767BA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32.4.7不同投标供应商的法定代表人、主要经营负责人、项目投标授权代表人、项目负责人、主要技术人员为同一人、属同一单位或者同一单位缴纳社会保险；</w:t>
      </w:r>
    </w:p>
    <w:p w14:paraId="2B7A05E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32.4.8不同投标供应商的投标文件内容存在非正常一致；</w:t>
      </w:r>
    </w:p>
    <w:p w14:paraId="52E2B3B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32.4.9在同一单位工作人员为两家以上（含两家）供应商进行同一项投标活动；</w:t>
      </w:r>
    </w:p>
    <w:p w14:paraId="37E75A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32.4.10主管部门依照法律、法规认定的其他情形。</w:t>
      </w:r>
    </w:p>
    <w:p w14:paraId="488DD9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32.5对不属于《资格性审查表》和《符合性审查表》所列的其他情形，除专用条款另有规定和32.4条款所列情形外，不得作为投标无效的理由。</w:t>
      </w:r>
    </w:p>
    <w:p w14:paraId="0F4FFD1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33．澄清有关问题</w:t>
      </w:r>
    </w:p>
    <w:p w14:paraId="7057FF3F">
      <w:pPr>
        <w:spacing w:line="360" w:lineRule="auto"/>
        <w:ind w:firstLine="411" w:firstLineChars="196"/>
        <w:rPr>
          <w:rFonts w:asciiTheme="majorEastAsia" w:hAnsiTheme="majorEastAsia" w:eastAsiaTheme="majorEastAsia"/>
          <w:szCs w:val="21"/>
        </w:rPr>
      </w:pPr>
      <w:bookmarkStart w:id="42" w:name="_Hlk71407321"/>
      <w:r>
        <w:rPr>
          <w:rFonts w:hint="eastAsia" w:asciiTheme="majorEastAsia" w:hAnsiTheme="majorEastAsia" w:eastAsiaTheme="majorEastAsia"/>
          <w:szCs w:val="21"/>
        </w:rPr>
        <w:t>3</w:t>
      </w:r>
      <w:r>
        <w:rPr>
          <w:rFonts w:asciiTheme="majorEastAsia" w:hAnsiTheme="majorEastAsia" w:eastAsiaTheme="majorEastAsia"/>
          <w:szCs w:val="21"/>
        </w:rPr>
        <w:t>3.1</w:t>
      </w:r>
      <w:r>
        <w:rPr>
          <w:rFonts w:hint="eastAsia" w:asciiTheme="majorEastAsia" w:hAnsiTheme="majorEastAsia" w:eastAsiaTheme="majorEastAsia"/>
          <w:szCs w:val="21"/>
        </w:rPr>
        <w:t>对招标文件中描述有歧义或前后不一致的地方（不含</w:t>
      </w:r>
      <w:r>
        <w:rPr>
          <w:rFonts w:asciiTheme="majorEastAsia" w:hAnsiTheme="majorEastAsia" w:eastAsiaTheme="majorEastAsia"/>
          <w:szCs w:val="21"/>
        </w:rPr>
        <w:t>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w:t>
      </w:r>
      <w:r>
        <w:rPr>
          <w:rFonts w:hint="eastAsia" w:asciiTheme="majorEastAsia" w:hAnsiTheme="majorEastAsia" w:eastAsiaTheme="majorEastAsia"/>
          <w:szCs w:val="21"/>
        </w:rPr>
        <w:t>的情况），评审委员会有权进行评判，但对同一条款的评判应适用于每个投标人。</w:t>
      </w:r>
      <w:bookmarkEnd w:id="42"/>
    </w:p>
    <w:p w14:paraId="6F1AFE3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w:t>
      </w:r>
      <w:r>
        <w:rPr>
          <w:rFonts w:asciiTheme="majorEastAsia" w:hAnsiTheme="majorEastAsia" w:eastAsiaTheme="majorEastAsia"/>
          <w:szCs w:val="21"/>
        </w:rPr>
        <w:t>3.2评</w:t>
      </w:r>
      <w:r>
        <w:rPr>
          <w:rFonts w:hint="eastAsia" w:asciiTheme="majorEastAsia" w:hAnsiTheme="majorEastAsia" w:eastAsiaTheme="majorEastAsia"/>
          <w:szCs w:val="21"/>
        </w:rPr>
        <w:t>审</w:t>
      </w:r>
      <w:r>
        <w:rPr>
          <w:rFonts w:asciiTheme="majorEastAsia" w:hAnsiTheme="majorEastAsia" w:eastAsiaTheme="majorEastAsia"/>
          <w:szCs w:val="21"/>
        </w:rPr>
        <w:t>委员会发现招标文件存在歧义、重大缺陷导致评</w:t>
      </w:r>
      <w:r>
        <w:rPr>
          <w:rFonts w:hint="eastAsia" w:asciiTheme="majorEastAsia" w:hAnsiTheme="majorEastAsia" w:eastAsiaTheme="majorEastAsia"/>
          <w:szCs w:val="21"/>
        </w:rPr>
        <w:t>审</w:t>
      </w:r>
      <w:r>
        <w:rPr>
          <w:rFonts w:asciiTheme="majorEastAsia" w:hAnsiTheme="majorEastAsia" w:eastAsiaTheme="majorEastAsia"/>
          <w:szCs w:val="21"/>
        </w:rPr>
        <w:t>工作无法进行，或者招标文件内容违反国家有关强制性规定的，应当停止评</w:t>
      </w:r>
      <w:r>
        <w:rPr>
          <w:rFonts w:hint="eastAsia" w:asciiTheme="majorEastAsia" w:hAnsiTheme="majorEastAsia" w:eastAsiaTheme="majorEastAsia"/>
          <w:szCs w:val="21"/>
        </w:rPr>
        <w:t>审</w:t>
      </w:r>
      <w:r>
        <w:rPr>
          <w:rFonts w:asciiTheme="majorEastAsia" w:hAnsiTheme="majorEastAsia" w:eastAsiaTheme="majorEastAsia"/>
          <w:szCs w:val="21"/>
        </w:rPr>
        <w:t>工作，与</w:t>
      </w:r>
      <w:r>
        <w:rPr>
          <w:rFonts w:hint="eastAsia" w:asciiTheme="majorEastAsia" w:hAnsiTheme="majorEastAsia" w:eastAsiaTheme="majorEastAsia"/>
          <w:szCs w:val="21"/>
        </w:rPr>
        <w:t>采购代理机构</w:t>
      </w:r>
      <w:r>
        <w:rPr>
          <w:rFonts w:asciiTheme="majorEastAsia" w:hAnsiTheme="majorEastAsia" w:eastAsiaTheme="majorEastAsia"/>
          <w:szCs w:val="21"/>
        </w:rPr>
        <w:t>沟通并作书面记录。</w:t>
      </w:r>
      <w:r>
        <w:rPr>
          <w:rFonts w:hint="eastAsia" w:asciiTheme="majorEastAsia" w:hAnsiTheme="majorEastAsia" w:eastAsiaTheme="majorEastAsia"/>
          <w:szCs w:val="21"/>
        </w:rPr>
        <w:t>经</w:t>
      </w:r>
      <w:r>
        <w:rPr>
          <w:rFonts w:asciiTheme="majorEastAsia" w:hAnsiTheme="majorEastAsia" w:eastAsiaTheme="majorEastAsia"/>
          <w:szCs w:val="21"/>
        </w:rPr>
        <w:t>确认后，</w:t>
      </w:r>
      <w:r>
        <w:rPr>
          <w:rFonts w:hint="eastAsia" w:asciiTheme="majorEastAsia" w:hAnsiTheme="majorEastAsia" w:eastAsiaTheme="majorEastAsia"/>
          <w:szCs w:val="21"/>
        </w:rPr>
        <w:t>项目</w:t>
      </w:r>
      <w:r>
        <w:rPr>
          <w:rFonts w:asciiTheme="majorEastAsia" w:hAnsiTheme="majorEastAsia" w:eastAsiaTheme="majorEastAsia"/>
          <w:szCs w:val="21"/>
        </w:rPr>
        <w:t>应当修改招标文件，重新组织采购活动。</w:t>
      </w:r>
    </w:p>
    <w:p w14:paraId="211F5218">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33.3</w:t>
      </w:r>
      <w:r>
        <w:rPr>
          <w:rFonts w:hint="eastAsia" w:asciiTheme="majorEastAsia" w:hAnsiTheme="majorEastAsia" w:eastAsiaTheme="majorEastAsia"/>
          <w:szCs w:val="21"/>
        </w:rPr>
        <w:t>对于投标文件中含义不明确、同类问题表述不一致或者有明显文字和计算错误的内容，评审委员会应当以书面形式要求投标人作出必要的澄清、说明或者补正。</w:t>
      </w:r>
    </w:p>
    <w:p w14:paraId="61A52A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4851B2C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根据本通用条款第34条，凡属于评审委员会在评审中发现的算术错误进行核实的修改不在此列。</w:t>
      </w:r>
    </w:p>
    <w:p w14:paraId="037F7C21">
      <w:pPr>
        <w:spacing w:line="360" w:lineRule="auto"/>
        <w:rPr>
          <w:rFonts w:asciiTheme="majorEastAsia" w:hAnsiTheme="majorEastAsia" w:eastAsiaTheme="majorEastAsia"/>
          <w:b/>
          <w:bCs/>
          <w:szCs w:val="21"/>
        </w:rPr>
      </w:pPr>
      <w:bookmarkStart w:id="43" w:name="_Toc73518151"/>
      <w:bookmarkStart w:id="44" w:name="_Toc73521581"/>
      <w:bookmarkStart w:id="45" w:name="_Toc73517673"/>
      <w:bookmarkStart w:id="46" w:name="_Toc100052400"/>
      <w:bookmarkStart w:id="47" w:name="_Toc73521669"/>
      <w:r>
        <w:rPr>
          <w:rFonts w:hint="eastAsia" w:asciiTheme="majorEastAsia" w:hAnsiTheme="majorEastAsia" w:eastAsiaTheme="majorEastAsia"/>
          <w:b/>
          <w:bCs/>
          <w:szCs w:val="21"/>
        </w:rPr>
        <w:t>34．错误的修正</w:t>
      </w:r>
      <w:bookmarkEnd w:id="43"/>
      <w:bookmarkEnd w:id="44"/>
      <w:bookmarkEnd w:id="45"/>
      <w:bookmarkEnd w:id="46"/>
      <w:bookmarkEnd w:id="47"/>
    </w:p>
    <w:p w14:paraId="147D67A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投标文件报价出现前后不一致的，除专用条款另有规定外，按照下列规定修正：</w:t>
      </w:r>
    </w:p>
    <w:p w14:paraId="4686BDB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34.1投标文件中开标一览表投标报价内容与投标文件中投标报价相应内容不一致的，以开标一览表为准；</w:t>
      </w:r>
    </w:p>
    <w:p w14:paraId="7EE7DA9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34.2大写金额和小写金额不一致的，以大写金额为准；</w:t>
      </w:r>
    </w:p>
    <w:p w14:paraId="01E3357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34.3单价金额小数点或者百分比有明显错位，以开标一览表的总价为准，并修改单价；</w:t>
      </w:r>
    </w:p>
    <w:p w14:paraId="51E650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34.4总价金额与按单价汇总金额不一致的，以单价金额计算结果为准。</w:t>
      </w:r>
    </w:p>
    <w:p w14:paraId="702405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34.5同时出现两种以上不一致的，按照前款规定的顺序修正</w:t>
      </w:r>
      <w:r>
        <w:rPr>
          <w:rFonts w:hint="eastAsia" w:ascii="宋体" w:hAnsi="宋体"/>
          <w:snapToGrid w:val="0"/>
          <w:kern w:val="0"/>
        </w:rPr>
        <w:t>（次序排先者优先）</w:t>
      </w:r>
      <w:r>
        <w:rPr>
          <w:rFonts w:hint="eastAsia" w:asciiTheme="majorEastAsia" w:hAnsiTheme="majorEastAsia" w:eastAsiaTheme="majorEastAsia"/>
          <w:szCs w:val="21"/>
        </w:rPr>
        <w:t>。修正后的报价按照本通用条款33条的规定，经投标人确认后产生约束力，投标人不确认的，其投标无效。</w:t>
      </w:r>
    </w:p>
    <w:p w14:paraId="75244569">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35．投标文件的比较与评价</w:t>
      </w:r>
    </w:p>
    <w:p w14:paraId="1F5564D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477BA15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评审委员会成员对需要共同认定的事项存在争议的，应当按照少数服从多数的原则作出结论。持不同意见的评审委员会成员应当书面作出说明，否则视为无异议。</w:t>
      </w:r>
    </w:p>
    <w:p w14:paraId="3661F0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36. 实地考察或资料查验</w:t>
      </w:r>
    </w:p>
    <w:p w14:paraId="2344C4E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36.1在评审过程中，评审委员会有权决定是否对本项目投标人进行实地考察或资料查验（原件）。投标人应随时做好接受实地考察或资料查验的准备。</w:t>
      </w:r>
    </w:p>
    <w:p w14:paraId="123701D2">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37．评审方法</w:t>
      </w:r>
    </w:p>
    <w:p w14:paraId="4C21C357">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37.1.1最低价法</w:t>
      </w:r>
    </w:p>
    <w:p w14:paraId="19B240B7">
      <w:pPr>
        <w:spacing w:line="360" w:lineRule="auto"/>
        <w:ind w:firstLine="411" w:firstLineChars="196"/>
        <w:rPr>
          <w:rFonts w:asciiTheme="majorEastAsia" w:hAnsiTheme="majorEastAsia" w:eastAsiaTheme="majorEastAsia"/>
          <w:szCs w:val="21"/>
        </w:rPr>
      </w:pPr>
      <w:bookmarkStart w:id="48" w:name="_Hlk72438142"/>
      <w:r>
        <w:rPr>
          <w:rFonts w:asciiTheme="majorEastAsia" w:hAnsiTheme="majorEastAsia" w:eastAsiaTheme="majorEastAsia"/>
          <w:szCs w:val="21"/>
        </w:rPr>
        <w:t>最低价法，是指</w:t>
      </w:r>
      <w:r>
        <w:rPr>
          <w:rFonts w:hint="eastAsia" w:asciiTheme="majorEastAsia" w:hAnsiTheme="majorEastAsia" w:eastAsiaTheme="majorEastAsia"/>
          <w:szCs w:val="21"/>
        </w:rPr>
        <w:t>完全</w:t>
      </w:r>
      <w:r>
        <w:rPr>
          <w:rFonts w:asciiTheme="majorEastAsia" w:hAnsiTheme="majorEastAsia" w:eastAsiaTheme="majorEastAsia"/>
          <w:szCs w:val="21"/>
        </w:rPr>
        <w:t>满足招标文件实质性要求，</w:t>
      </w:r>
      <w:r>
        <w:rPr>
          <w:rFonts w:hint="eastAsia" w:asciiTheme="majorEastAsia" w:hAnsiTheme="majorEastAsia" w:eastAsiaTheme="majorEastAsia"/>
          <w:szCs w:val="21"/>
        </w:rPr>
        <w:t>按照报价由低到高的顺序，依据招标文件中规定的数量或者比例推荐候选中标供应商。</w:t>
      </w:r>
    </w:p>
    <w:p w14:paraId="31D899FA">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37.1.2综合评分法</w:t>
      </w:r>
    </w:p>
    <w:p w14:paraId="3A368B02">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综合评分法，是指</w:t>
      </w:r>
      <w:r>
        <w:rPr>
          <w:rFonts w:hint="eastAsia" w:asciiTheme="majorEastAsia" w:hAnsiTheme="majorEastAsia" w:eastAsiaTheme="majorEastAsia"/>
          <w:szCs w:val="21"/>
        </w:rPr>
        <w:t>在</w:t>
      </w:r>
      <w:r>
        <w:rPr>
          <w:rFonts w:asciiTheme="majorEastAsia" w:hAnsiTheme="majorEastAsia" w:eastAsiaTheme="majorEastAsia"/>
          <w:szCs w:val="21"/>
        </w:rPr>
        <w:t>满足招标文件全部实质性要求</w:t>
      </w:r>
      <w:r>
        <w:rPr>
          <w:rFonts w:hint="eastAsia" w:asciiTheme="majorEastAsia" w:hAnsiTheme="majorEastAsia" w:eastAsiaTheme="majorEastAsia"/>
          <w:szCs w:val="21"/>
        </w:rPr>
        <w:t>的前提下</w:t>
      </w:r>
      <w:r>
        <w:rPr>
          <w:rFonts w:asciiTheme="majorEastAsia" w:hAnsiTheme="majorEastAsia" w:eastAsiaTheme="majorEastAsia"/>
          <w:szCs w:val="21"/>
        </w:rPr>
        <w:t>，</w:t>
      </w:r>
      <w:r>
        <w:rPr>
          <w:rFonts w:hint="eastAsia" w:asciiTheme="majorEastAsia" w:hAnsiTheme="majorEastAsia" w:eastAsiaTheme="majorEastAsia"/>
          <w:szCs w:val="21"/>
        </w:rPr>
        <w:t>按照招标文件中规定的各项因素进行综合评审，评审总得分排名前列的投标人，作为推荐的候选中标供应商。</w:t>
      </w:r>
      <w:bookmarkEnd w:id="48"/>
    </w:p>
    <w:p w14:paraId="6B25CD42">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37.2 本项目采用的评审方法见本项目招标文件第一册“专用条款”的相关内容。</w:t>
      </w:r>
    </w:p>
    <w:p w14:paraId="793C03EC">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37.3重新评审的情形</w:t>
      </w:r>
    </w:p>
    <w:p w14:paraId="26E8D8AE">
      <w:pPr>
        <w:spacing w:line="360" w:lineRule="auto"/>
        <w:ind w:firstLine="411" w:firstLineChars="196"/>
        <w:rPr>
          <w:rFonts w:asciiTheme="majorEastAsia" w:hAnsiTheme="majorEastAsia" w:eastAsiaTheme="majorEastAsia"/>
          <w:b/>
          <w:bCs/>
          <w:szCs w:val="21"/>
        </w:rPr>
      </w:pPr>
      <w:r>
        <w:rPr>
          <w:rFonts w:hint="eastAsia" w:cs="宋体" w:asciiTheme="majorEastAsia" w:hAnsiTheme="majorEastAsia" w:eastAsiaTheme="majorEastAsia"/>
          <w:szCs w:val="21"/>
        </w:rPr>
        <w:t>评审结果汇总完成后，除下列情形外，任何人不得修改评审结果：</w:t>
      </w:r>
    </w:p>
    <w:p w14:paraId="38B1EE83">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37.3.1分值汇总计算错误的；</w:t>
      </w:r>
    </w:p>
    <w:p w14:paraId="7B5A66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37.3.2分项评分超出评分标准范围的；</w:t>
      </w:r>
    </w:p>
    <w:p w14:paraId="6DB042A8">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37.3.3评审委员会成员对客观评审因素评分不一致的；</w:t>
      </w:r>
    </w:p>
    <w:p w14:paraId="78AD04B9">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37.3.4经评审委员会认定评分畸高、畸低的。</w:t>
      </w:r>
    </w:p>
    <w:p w14:paraId="6B8128F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04080A6A">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投标人对本条第一款情形提出质疑的，采购人或者采购代理机构可以组织原评审委员会进行重新评审，重新评审改变评审结果的，应当书面报告本级财政部门。</w:t>
      </w:r>
    </w:p>
    <w:p w14:paraId="0810CD9D">
      <w:pPr>
        <w:spacing w:line="360" w:lineRule="auto"/>
        <w:ind w:firstLine="413" w:firstLineChars="196"/>
        <w:rPr>
          <w:rFonts w:asciiTheme="majorEastAsia" w:hAnsiTheme="majorEastAsia" w:eastAsiaTheme="majorEastAsia"/>
          <w:b/>
          <w:bCs/>
          <w:szCs w:val="21"/>
        </w:rPr>
      </w:pPr>
      <w:r>
        <w:rPr>
          <w:rFonts w:hint="eastAsia" w:asciiTheme="majorEastAsia" w:hAnsiTheme="majorEastAsia" w:eastAsiaTheme="majorEastAsia"/>
          <w:b/>
          <w:bCs/>
          <w:szCs w:val="21"/>
        </w:rPr>
        <w:t xml:space="preserve"> 37.4重新组建评审委员会的情形</w:t>
      </w:r>
    </w:p>
    <w:p w14:paraId="0B0AB2E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评审委员会或者其成员存在下列情形导致评审结果无效的，重新组建评审委员会进行评标，并书面报告本级财政部门：</w:t>
      </w:r>
    </w:p>
    <w:p w14:paraId="71E5198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37.4.1评审委员会组成不符合《政府采购货物和服务招标投标管理办法》规定的；</w:t>
      </w:r>
    </w:p>
    <w:p w14:paraId="2FC06A2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37.4.2有《政府采购货物和服务招标投标管理办法》第六十二条第一至五项情形的；</w:t>
      </w:r>
    </w:p>
    <w:p w14:paraId="2E547931">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37.4.3评审委员会及其成员独立评标受到非法干预的；</w:t>
      </w:r>
    </w:p>
    <w:p w14:paraId="22C3D22F">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37.4.4有政府采购法实施条例第七十五条规定的违法行为的。</w:t>
      </w:r>
    </w:p>
    <w:p w14:paraId="03949EC6">
      <w:pPr>
        <w:spacing w:line="360" w:lineRule="auto"/>
        <w:ind w:firstLine="411" w:firstLineChars="196"/>
        <w:rPr>
          <w:rFonts w:cs="宋体" w:asciiTheme="majorEastAsia" w:hAnsiTheme="majorEastAsia" w:eastAsiaTheme="majorEastAsia"/>
          <w:szCs w:val="21"/>
        </w:rPr>
      </w:pPr>
      <w:r>
        <w:rPr>
          <w:rFonts w:hint="eastAsia" w:cs="宋体" w:asciiTheme="majorEastAsia" w:hAnsiTheme="majorEastAsia" w:eastAsiaTheme="majorEastAsia"/>
          <w:szCs w:val="21"/>
        </w:rPr>
        <w:t>有违法违规行为的原评审委员会成员不得参加重新组建的评审委员会。</w:t>
      </w:r>
    </w:p>
    <w:p w14:paraId="454E87D3">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定标及公示</w:t>
      </w:r>
    </w:p>
    <w:p w14:paraId="0D62BD3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38．定标方法</w:t>
      </w:r>
    </w:p>
    <w:p w14:paraId="5B8BE8D2">
      <w:pPr>
        <w:spacing w:line="360" w:lineRule="auto"/>
        <w:ind w:firstLine="411" w:firstLineChars="196"/>
        <w:rPr>
          <w:rFonts w:asciiTheme="majorEastAsia" w:hAnsiTheme="majorEastAsia" w:eastAsiaTheme="majorEastAsia"/>
          <w:szCs w:val="21"/>
        </w:rPr>
      </w:pPr>
      <w:bookmarkStart w:id="49" w:name="_Hlk73782795"/>
      <w:r>
        <w:rPr>
          <w:rFonts w:hint="eastAsia" w:asciiTheme="majorEastAsia" w:hAnsiTheme="majorEastAsia" w:eastAsiaTheme="majorEastAsia"/>
          <w:szCs w:val="21"/>
        </w:rPr>
        <w:t>38.1非评定分离项目定标方法</w:t>
      </w:r>
    </w:p>
    <w:p w14:paraId="061ED38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1.1评审委员会依据本项目招标文件所约定的评审方法进行评审和比较，向采购代理机构提交书面评审报告，并根据评审方法比较评价结果从优到劣进行排序，确定候选中标供应商。</w:t>
      </w:r>
    </w:p>
    <w:p w14:paraId="57D96ABB">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1.2</w:t>
      </w:r>
      <w:r>
        <w:rPr>
          <w:rFonts w:asciiTheme="majorEastAsia" w:hAnsiTheme="majorEastAsia" w:eastAsiaTheme="majorEastAsia"/>
          <w:szCs w:val="21"/>
        </w:rPr>
        <w:t>采用最低价法的，评</w:t>
      </w:r>
      <w:r>
        <w:rPr>
          <w:rFonts w:hint="eastAsia" w:asciiTheme="majorEastAsia" w:hAnsiTheme="majorEastAsia" w:eastAsiaTheme="majorEastAsia"/>
          <w:szCs w:val="21"/>
        </w:rPr>
        <w:t>审</w:t>
      </w:r>
      <w:r>
        <w:rPr>
          <w:rFonts w:asciiTheme="majorEastAsia" w:hAnsiTheme="majorEastAsia" w:eastAsiaTheme="majorEastAsia"/>
          <w:szCs w:val="21"/>
        </w:rPr>
        <w:t>结果按投标报价由低到高顺序排列。投标报价相同的并列。投标文件满足招标文件全部实质性要求且投标报价最低的</w:t>
      </w:r>
      <w:r>
        <w:rPr>
          <w:rFonts w:hint="eastAsia" w:asciiTheme="majorEastAsia" w:hAnsiTheme="majorEastAsia" w:eastAsiaTheme="majorEastAsia"/>
          <w:szCs w:val="21"/>
        </w:rPr>
        <w:t>投标人为</w:t>
      </w:r>
      <w:bookmarkStart w:id="50" w:name="_Hlk73821177"/>
      <w:r>
        <w:rPr>
          <w:rFonts w:hint="eastAsia" w:asciiTheme="majorEastAsia" w:hAnsiTheme="majorEastAsia" w:eastAsiaTheme="majorEastAsia"/>
          <w:szCs w:val="21"/>
        </w:rPr>
        <w:t>中标供应商</w:t>
      </w:r>
      <w:r>
        <w:rPr>
          <w:rFonts w:asciiTheme="majorEastAsia" w:hAnsiTheme="majorEastAsia" w:eastAsiaTheme="majorEastAsia"/>
          <w:szCs w:val="21"/>
        </w:rPr>
        <w:t>（</w:t>
      </w:r>
      <w:r>
        <w:rPr>
          <w:rFonts w:hint="eastAsia" w:asciiTheme="majorEastAsia" w:hAnsiTheme="majorEastAsia" w:eastAsiaTheme="majorEastAsia"/>
          <w:szCs w:val="21"/>
        </w:rPr>
        <w:t>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bookmarkEnd w:id="50"/>
      <w:r>
        <w:rPr>
          <w:rFonts w:asciiTheme="majorEastAsia" w:hAnsiTheme="majorEastAsia" w:eastAsiaTheme="majorEastAsia"/>
          <w:szCs w:val="21"/>
        </w:rPr>
        <w:t>）。</w:t>
      </w:r>
    </w:p>
    <w:p w14:paraId="4FB3C95B">
      <w:pPr>
        <w:spacing w:line="360" w:lineRule="auto"/>
        <w:ind w:firstLine="411" w:firstLineChars="196"/>
        <w:rPr>
          <w:rFonts w:hint="eastAsia" w:asciiTheme="majorEastAsia" w:hAnsiTheme="majorEastAsia" w:eastAsiaTheme="majorEastAsia"/>
          <w:szCs w:val="21"/>
        </w:rPr>
      </w:pPr>
      <w:r>
        <w:rPr>
          <w:rFonts w:hint="eastAsia" w:asciiTheme="majorEastAsia" w:hAnsiTheme="majorEastAsia" w:eastAsiaTheme="majorEastAsia"/>
          <w:szCs w:val="21"/>
        </w:rPr>
        <w:t>38</w:t>
      </w:r>
      <w:r>
        <w:rPr>
          <w:rFonts w:asciiTheme="majorEastAsia" w:hAnsiTheme="majorEastAsia" w:eastAsiaTheme="majorEastAsia"/>
          <w:szCs w:val="21"/>
        </w:rPr>
        <w:t>.</w:t>
      </w:r>
      <w:r>
        <w:rPr>
          <w:rFonts w:hint="eastAsia" w:asciiTheme="majorEastAsia" w:hAnsiTheme="majorEastAsia" w:eastAsiaTheme="majorEastAsia"/>
          <w:szCs w:val="21"/>
        </w:rPr>
        <w:t>1.3</w:t>
      </w:r>
      <w:r>
        <w:rPr>
          <w:rFonts w:asciiTheme="majorEastAsia" w:hAnsiTheme="majorEastAsia" w:eastAsiaTheme="majorEastAsia"/>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w:t>
      </w:r>
      <w:r>
        <w:rPr>
          <w:rFonts w:hint="eastAsia" w:asciiTheme="majorEastAsia" w:hAnsiTheme="majorEastAsia" w:eastAsiaTheme="majorEastAsia"/>
          <w:szCs w:val="21"/>
        </w:rPr>
        <w:t>为中标供应商</w:t>
      </w:r>
      <w:r>
        <w:rPr>
          <w:rFonts w:asciiTheme="majorEastAsia" w:hAnsiTheme="majorEastAsia" w:eastAsiaTheme="majorEastAsia"/>
          <w:szCs w:val="21"/>
        </w:rPr>
        <w:t>（</w:t>
      </w:r>
      <w:r>
        <w:rPr>
          <w:rFonts w:hint="eastAsia" w:asciiTheme="majorEastAsia" w:hAnsiTheme="majorEastAsia" w:eastAsiaTheme="majorEastAsia"/>
          <w:szCs w:val="21"/>
        </w:rPr>
        <w:t>中标候选人如不止一名，则推选排名</w:t>
      </w:r>
      <w:r>
        <w:rPr>
          <w:rFonts w:asciiTheme="majorEastAsia" w:hAnsiTheme="majorEastAsia" w:eastAsiaTheme="majorEastAsia"/>
          <w:szCs w:val="21"/>
        </w:rPr>
        <w:t>第二</w:t>
      </w:r>
      <w:r>
        <w:rPr>
          <w:rFonts w:hint="eastAsia" w:asciiTheme="majorEastAsia" w:hAnsiTheme="majorEastAsia" w:eastAsiaTheme="majorEastAsia"/>
          <w:szCs w:val="21"/>
        </w:rPr>
        <w:t>的投标人为第一替补中标候选人、排名</w:t>
      </w:r>
      <w:r>
        <w:rPr>
          <w:rFonts w:asciiTheme="majorEastAsia" w:hAnsiTheme="majorEastAsia" w:eastAsiaTheme="majorEastAsia"/>
          <w:szCs w:val="21"/>
        </w:rPr>
        <w:t>第</w:t>
      </w:r>
      <w:r>
        <w:rPr>
          <w:rFonts w:hint="eastAsia" w:asciiTheme="majorEastAsia" w:hAnsiTheme="majorEastAsia" w:eastAsiaTheme="majorEastAsia"/>
          <w:szCs w:val="21"/>
        </w:rPr>
        <w:t>三的投标人为第二替补中标候选人</w:t>
      </w:r>
      <w:r>
        <w:rPr>
          <w:rFonts w:asciiTheme="majorEastAsia" w:hAnsiTheme="majorEastAsia" w:eastAsiaTheme="majorEastAsia"/>
          <w:szCs w:val="21"/>
        </w:rPr>
        <w:t>）。</w:t>
      </w:r>
      <w:r>
        <w:rPr>
          <w:rFonts w:hint="eastAsia" w:asciiTheme="majorEastAsia" w:hAnsiTheme="majorEastAsia" w:eastAsiaTheme="majorEastAsia"/>
          <w:szCs w:val="21"/>
        </w:rPr>
        <w:t>出现</w:t>
      </w:r>
      <w:r>
        <w:rPr>
          <w:rFonts w:asciiTheme="majorEastAsia" w:hAnsiTheme="majorEastAsia" w:eastAsiaTheme="majorEastAsia"/>
          <w:szCs w:val="21"/>
        </w:rPr>
        <w:t>得分且投标报价相同的并列</w:t>
      </w:r>
      <w:r>
        <w:rPr>
          <w:rFonts w:hint="eastAsia" w:asciiTheme="majorEastAsia" w:hAnsiTheme="majorEastAsia" w:eastAsiaTheme="majorEastAsia"/>
          <w:szCs w:val="21"/>
        </w:rPr>
        <w:t>情况时，采取随机抽取的方式确定，具体操作办法及流程由评审委员会确定（因落实政府采购政策进行价格调整的，以调整后的价格计算投标报价）。</w:t>
      </w:r>
    </w:p>
    <w:p w14:paraId="200E28D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38.2评定分离项目定标方法</w:t>
      </w:r>
    </w:p>
    <w:p w14:paraId="012BB62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38.2.1评定分离是指在政府集中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5BB654A">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 xml:space="preserve">38.2.2 </w:t>
      </w:r>
      <w:bookmarkStart w:id="51" w:name="_Hlk71469733"/>
      <w:r>
        <w:rPr>
          <w:rFonts w:asciiTheme="majorEastAsia" w:hAnsiTheme="majorEastAsia" w:eastAsiaTheme="majorEastAsia"/>
          <w:szCs w:val="21"/>
        </w:rPr>
        <w:t>适用评定分离的政府采购项目，采用综合评分法评</w:t>
      </w:r>
      <w:r>
        <w:rPr>
          <w:rFonts w:hint="eastAsia" w:asciiTheme="majorEastAsia" w:hAnsiTheme="majorEastAsia" w:eastAsiaTheme="majorEastAsia"/>
          <w:szCs w:val="21"/>
        </w:rPr>
        <w:t>审。评审委员会按照评审结果，推荐</w:t>
      </w:r>
      <w:r>
        <w:rPr>
          <w:rFonts w:asciiTheme="majorEastAsia" w:hAnsiTheme="majorEastAsia" w:eastAsiaTheme="majorEastAsia"/>
          <w:szCs w:val="21"/>
        </w:rPr>
        <w:t>三个合格的候选中标供应商</w:t>
      </w:r>
      <w:r>
        <w:rPr>
          <w:rFonts w:hint="eastAsia" w:asciiTheme="majorEastAsia" w:hAnsiTheme="majorEastAsia" w:eastAsiaTheme="majorEastAsia"/>
          <w:szCs w:val="21"/>
          <w:lang w:eastAsia="zh-CN"/>
        </w:rPr>
        <w:t>，推荐候选中标供应商不进行排名</w:t>
      </w:r>
      <w:r>
        <w:rPr>
          <w:rFonts w:asciiTheme="majorEastAsia" w:hAnsiTheme="majorEastAsia" w:eastAsiaTheme="majorEastAsia"/>
          <w:szCs w:val="21"/>
        </w:rPr>
        <w:t>。</w:t>
      </w:r>
    </w:p>
    <w:p w14:paraId="46385AB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38.2.3</w:t>
      </w:r>
      <w:bookmarkStart w:id="52" w:name="_Hlk71469688"/>
      <w:r>
        <w:rPr>
          <w:rFonts w:asciiTheme="majorEastAsia" w:hAnsiTheme="majorEastAsia" w:eastAsiaTheme="majorEastAsia"/>
          <w:szCs w:val="21"/>
        </w:rPr>
        <w:t>适用评定分离的政府采购项目，</w:t>
      </w:r>
      <w:r>
        <w:rPr>
          <w:rFonts w:hint="eastAsia" w:asciiTheme="majorEastAsia" w:hAnsiTheme="majorEastAsia" w:eastAsiaTheme="majorEastAsia"/>
          <w:szCs w:val="21"/>
        </w:rPr>
        <w:t>按照自定法确定中标供应商：自定法是指采购人组织定标委员会，由定标委员会在三家候选中标供应商中确定中标供应商。</w:t>
      </w:r>
      <w:bookmarkEnd w:id="51"/>
      <w:bookmarkEnd w:id="52"/>
    </w:p>
    <w:p w14:paraId="58CD53A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38.2.4</w:t>
      </w:r>
      <w:r>
        <w:rPr>
          <w:rFonts w:hint="eastAsia" w:asciiTheme="majorEastAsia" w:hAnsiTheme="majorEastAsia" w:eastAsiaTheme="majorEastAsia"/>
          <w:szCs w:val="21"/>
        </w:rPr>
        <w:t>采购代理机构</w:t>
      </w:r>
      <w:r>
        <w:rPr>
          <w:rFonts w:asciiTheme="majorEastAsia" w:hAnsiTheme="majorEastAsia" w:eastAsiaTheme="majorEastAsia"/>
          <w:szCs w:val="21"/>
        </w:rPr>
        <w:t>应当自评审结束之日起两个工作日内将候选中标供应商名单及其投标文件、评审报告送交采购人</w:t>
      </w:r>
      <w:r>
        <w:rPr>
          <w:rFonts w:hint="eastAsia" w:asciiTheme="majorEastAsia" w:hAnsiTheme="majorEastAsia" w:eastAsiaTheme="majorEastAsia"/>
          <w:szCs w:val="21"/>
        </w:rPr>
        <w:t>。</w:t>
      </w:r>
      <w:r>
        <w:rPr>
          <w:rFonts w:asciiTheme="majorEastAsia" w:hAnsiTheme="majorEastAsia" w:eastAsiaTheme="majorEastAsia"/>
          <w:szCs w:val="21"/>
        </w:rPr>
        <w:t>采购人应当安排专人对定标过程进行书面记录，形成定标报告，作为采购文件的组成部分存档，并及时将定标结果反馈</w:t>
      </w:r>
      <w:r>
        <w:rPr>
          <w:rFonts w:hint="eastAsia" w:asciiTheme="majorEastAsia" w:hAnsiTheme="majorEastAsia" w:eastAsiaTheme="majorEastAsia"/>
          <w:szCs w:val="21"/>
        </w:rPr>
        <w:t>采购代理机构。具体定标程序及相关要求以按照《</w:t>
      </w:r>
      <w:r>
        <w:rPr>
          <w:rFonts w:asciiTheme="majorEastAsia" w:hAnsiTheme="majorEastAsia" w:eastAsiaTheme="majorEastAsia"/>
          <w:szCs w:val="21"/>
        </w:rPr>
        <w:t>深圳市财政局关于印发</w:t>
      </w:r>
      <w:r>
        <w:rPr>
          <w:rFonts w:hint="eastAsia" w:asciiTheme="majorEastAsia" w:hAnsiTheme="majorEastAsia" w:eastAsiaTheme="majorEastAsia"/>
          <w:szCs w:val="21"/>
        </w:rPr>
        <w:t>〈</w:t>
      </w:r>
      <w:r>
        <w:rPr>
          <w:rFonts w:asciiTheme="majorEastAsia" w:hAnsiTheme="majorEastAsia" w:eastAsiaTheme="majorEastAsia"/>
          <w:szCs w:val="21"/>
        </w:rPr>
        <w:t>深圳市政府采购评标定标分离管理办法</w:t>
      </w:r>
      <w:r>
        <w:rPr>
          <w:rFonts w:hint="eastAsia" w:asciiTheme="majorEastAsia" w:hAnsiTheme="majorEastAsia" w:eastAsiaTheme="majorEastAsia"/>
          <w:szCs w:val="21"/>
        </w:rPr>
        <w:t>〉</w:t>
      </w:r>
      <w:r>
        <w:rPr>
          <w:rFonts w:asciiTheme="majorEastAsia" w:hAnsiTheme="majorEastAsia" w:eastAsiaTheme="majorEastAsia"/>
          <w:szCs w:val="21"/>
        </w:rPr>
        <w:t>的通知</w:t>
      </w:r>
      <w:r>
        <w:rPr>
          <w:rFonts w:hint="eastAsia" w:asciiTheme="majorEastAsia" w:hAnsiTheme="majorEastAsia" w:eastAsiaTheme="majorEastAsia"/>
          <w:szCs w:val="21"/>
        </w:rPr>
        <w:t>》（深财规【2</w:t>
      </w:r>
      <w:r>
        <w:rPr>
          <w:rFonts w:asciiTheme="majorEastAsia" w:hAnsiTheme="majorEastAsia" w:eastAsiaTheme="majorEastAsia"/>
          <w:szCs w:val="21"/>
        </w:rPr>
        <w:t>020</w:t>
      </w:r>
      <w:r>
        <w:rPr>
          <w:rFonts w:hint="eastAsia" w:asciiTheme="majorEastAsia" w:hAnsiTheme="majorEastAsia" w:eastAsiaTheme="majorEastAsia"/>
          <w:szCs w:val="21"/>
        </w:rPr>
        <w:t>】1号）执行。</w:t>
      </w:r>
    </w:p>
    <w:p w14:paraId="7A1CF98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说明：采购人及投标供应商应按照上述方法提前做好相关准备。</w:t>
      </w:r>
    </w:p>
    <w:p w14:paraId="07959F0A">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38.3专用条款另有规定的，按专用条款相关要求定标。</w:t>
      </w:r>
      <w:bookmarkEnd w:id="49"/>
    </w:p>
    <w:p w14:paraId="578C728D">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39．编写评审报告</w:t>
      </w:r>
    </w:p>
    <w:p w14:paraId="5C227F3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799AF51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40．中标公告</w:t>
      </w:r>
    </w:p>
    <w:p w14:paraId="2FF97D7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40.1</w:t>
      </w:r>
      <w:bookmarkStart w:id="53" w:name="_Hlk72438709"/>
      <w:r>
        <w:rPr>
          <w:rFonts w:hint="eastAsia" w:asciiTheme="majorEastAsia" w:hAnsiTheme="majorEastAsia" w:eastAsiaTheme="majorEastAsia"/>
          <w:szCs w:val="21"/>
        </w:rPr>
        <w:t>为体现“公开、公平、公正”的原则，评审结束后经采购人确认（确定）评审结果，采购代理机构将在“深圳政府采购智慧平台（http://zfcg.szggzy.com/）”上发布中标结果公告。</w:t>
      </w:r>
      <w:bookmarkEnd w:id="53"/>
      <w:bookmarkStart w:id="54" w:name="_Hlk72438751"/>
      <w:r>
        <w:rPr>
          <w:rFonts w:hint="eastAsia" w:asciiTheme="majorEastAsia" w:hAnsiTheme="majorEastAsia" w:eastAsiaTheme="majorEastAsia"/>
          <w:szCs w:val="21"/>
        </w:rPr>
        <w:t>供应商如对评审结果有异议，</w:t>
      </w:r>
      <w:r>
        <w:rPr>
          <w:rFonts w:asciiTheme="majorEastAsia" w:hAnsiTheme="majorEastAsia" w:eastAsiaTheme="majorEastAsia"/>
          <w:szCs w:val="21"/>
        </w:rPr>
        <w:t>可在发布公示日期起</w:t>
      </w:r>
      <w:r>
        <w:rPr>
          <w:rFonts w:hint="eastAsia" w:asciiTheme="majorEastAsia" w:hAnsiTheme="majorEastAsia" w:eastAsiaTheme="majorEastAsia"/>
          <w:szCs w:val="21"/>
        </w:rPr>
        <w:t>七</w:t>
      </w:r>
      <w:r>
        <w:rPr>
          <w:rFonts w:asciiTheme="majorEastAsia" w:hAnsiTheme="majorEastAsia" w:eastAsiaTheme="majorEastAsia"/>
          <w:szCs w:val="21"/>
        </w:rPr>
        <w:t>个工作日内向</w:t>
      </w:r>
      <w:r>
        <w:rPr>
          <w:rFonts w:hint="eastAsia" w:asciiTheme="majorEastAsia" w:hAnsiTheme="majorEastAsia" w:eastAsiaTheme="majorEastAsia"/>
          <w:szCs w:val="21"/>
        </w:rPr>
        <w:t>采购代理机构</w:t>
      </w:r>
      <w:r>
        <w:rPr>
          <w:rFonts w:asciiTheme="majorEastAsia" w:hAnsiTheme="majorEastAsia" w:eastAsiaTheme="majorEastAsia"/>
          <w:szCs w:val="21"/>
        </w:rPr>
        <w:t>提出。 监督电话：0755-83948143。</w:t>
      </w:r>
      <w:r>
        <w:rPr>
          <w:rFonts w:hint="eastAsia" w:asciiTheme="majorEastAsia" w:hAnsiTheme="majorEastAsia" w:eastAsiaTheme="majorEastAsia"/>
          <w:szCs w:val="21"/>
        </w:rPr>
        <w:t>若在公示期内未提出质疑，则视为认同该评审结果。</w:t>
      </w:r>
    </w:p>
    <w:bookmarkEnd w:id="54"/>
    <w:p w14:paraId="6037794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40.2质疑、投诉供应商应保证质疑、投诉内容的真实性和可靠性，并承担相应的法律责任。</w:t>
      </w:r>
    </w:p>
    <w:p w14:paraId="2E85B228">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41．中标通知书</w:t>
      </w:r>
    </w:p>
    <w:p w14:paraId="71CF2DA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w:t>
      </w:r>
      <w:r>
        <w:rPr>
          <w:rFonts w:hint="eastAsia" w:asciiTheme="majorEastAsia" w:hAnsiTheme="majorEastAsia" w:eastAsiaTheme="majorEastAsia"/>
          <w:szCs w:val="21"/>
        </w:rPr>
        <w:t>1</w:t>
      </w:r>
      <w:bookmarkStart w:id="55" w:name="_Hlk72438863"/>
      <w:r>
        <w:rPr>
          <w:rFonts w:hint="eastAsia" w:asciiTheme="majorEastAsia" w:hAnsiTheme="majorEastAsia" w:eastAsiaTheme="majorEastAsia"/>
          <w:szCs w:val="21"/>
        </w:rPr>
        <w:t>中标公告公布以后无异常的情况下,采购代理机构将向中标供应商和采购人发出中标通知书。</w:t>
      </w:r>
      <w:bookmarkEnd w:id="55"/>
    </w:p>
    <w:p w14:paraId="40CBE6AC">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41</w:t>
      </w:r>
      <w:r>
        <w:rPr>
          <w:rFonts w:asciiTheme="majorEastAsia" w:hAnsiTheme="majorEastAsia" w:eastAsiaTheme="majorEastAsia"/>
          <w:szCs w:val="21"/>
        </w:rPr>
        <w:t>.2</w:t>
      </w:r>
      <w:r>
        <w:rPr>
          <w:rFonts w:hint="eastAsia" w:asciiTheme="majorEastAsia" w:hAnsiTheme="majorEastAsia" w:eastAsiaTheme="majorEastAsia"/>
          <w:szCs w:val="21"/>
        </w:rPr>
        <w:t>中标通知书是合同的重要组成部分。</w:t>
      </w:r>
    </w:p>
    <w:p w14:paraId="4273479C">
      <w:pPr>
        <w:spacing w:line="360" w:lineRule="auto"/>
        <w:ind w:firstLine="411" w:firstLineChars="196"/>
        <w:rPr>
          <w:rFonts w:asciiTheme="majorEastAsia" w:hAnsiTheme="majorEastAsia" w:eastAsiaTheme="majorEastAsia"/>
          <w:szCs w:val="21"/>
        </w:rPr>
      </w:pPr>
      <w:bookmarkStart w:id="56" w:name="_Hlk71407340"/>
      <w:r>
        <w:rPr>
          <w:rFonts w:hint="eastAsia" w:asciiTheme="majorEastAsia" w:hAnsiTheme="majorEastAsia" w:eastAsiaTheme="majorEastAsia"/>
          <w:szCs w:val="21"/>
        </w:rPr>
        <w:t>41.3因质疑投诉或其它原因导致项目结果变更或采购终止的，采购代理机构有权吊销中标通知书。</w:t>
      </w:r>
    </w:p>
    <w:p w14:paraId="44EABEBC">
      <w:pPr>
        <w:spacing w:line="360" w:lineRule="auto"/>
        <w:ind w:firstLine="411" w:firstLineChars="196"/>
        <w:rPr>
          <w:rFonts w:hint="eastAsia" w:asciiTheme="majorEastAsia" w:hAnsiTheme="majorEastAsia" w:eastAsiaTheme="majorEastAsia"/>
          <w:szCs w:val="21"/>
          <w:lang w:eastAsia="zh-CN"/>
        </w:rPr>
      </w:pPr>
      <w:r>
        <w:rPr>
          <w:rFonts w:hint="eastAsia" w:asciiTheme="majorEastAsia" w:hAnsiTheme="majorEastAsia" w:eastAsiaTheme="majorEastAsia"/>
          <w:szCs w:val="21"/>
        </w:rPr>
        <w:t>41.4</w:t>
      </w:r>
      <w:r>
        <w:rPr>
          <w:rFonts w:hint="eastAsia" w:asciiTheme="majorEastAsia" w:hAnsiTheme="majorEastAsia" w:eastAsiaTheme="majorEastAsia"/>
          <w:szCs w:val="21"/>
          <w:lang w:eastAsia="zh-CN"/>
        </w:rPr>
        <w:t>代理服务费</w:t>
      </w:r>
    </w:p>
    <w:p w14:paraId="6CF6951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中标人须在中标公告公示期结束后，向采购代理机构缴纳</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w:t>
      </w:r>
      <w:r>
        <w:rPr>
          <w:rFonts w:hint="eastAsia" w:asciiTheme="majorEastAsia" w:hAnsiTheme="majorEastAsia" w:eastAsiaTheme="majorEastAsia"/>
          <w:szCs w:val="21"/>
          <w:lang w:eastAsia="zh-CN"/>
        </w:rPr>
        <w:t>代理服务费</w:t>
      </w:r>
      <w:r>
        <w:rPr>
          <w:rFonts w:hint="eastAsia" w:asciiTheme="majorEastAsia" w:hAnsiTheme="majorEastAsia" w:eastAsiaTheme="majorEastAsia"/>
          <w:szCs w:val="21"/>
        </w:rPr>
        <w:t>收费标准根据《深圳市财政委员会关于规范深圳市社会采购代理机构的管理有关事项的补充通知（深财购[2018]27号）》文件相关规定，按照差额定率累进法计算。具体收费标准详见下表：</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027"/>
        <w:gridCol w:w="2158"/>
        <w:gridCol w:w="2158"/>
      </w:tblGrid>
      <w:tr w14:paraId="4660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2802" w:type="dxa"/>
          </w:tcPr>
          <w:p w14:paraId="08538546">
            <w:pPr>
              <w:spacing w:line="360" w:lineRule="auto"/>
              <w:ind w:firstLine="1629" w:firstLineChars="776"/>
              <w:rPr>
                <w:rFonts w:asciiTheme="majorEastAsia" w:hAnsiTheme="majorEastAsia" w:eastAsiaTheme="majorEastAsia"/>
                <w:b/>
                <w:szCs w:val="21"/>
              </w:rPr>
            </w:pPr>
            <w:r>
              <w:rPr>
                <w:rFonts w:asciiTheme="majorEastAsia" w:hAnsiTheme="majorEastAsia" w:eastAsiaTheme="majorEastAsia"/>
                <w:szCs w:val="21"/>
              </w:rPr>
              <w:pict>
                <v:line id="_x0000_s2052" o:spid="_x0000_s2052" o:spt="20" style="position:absolute;left:0pt;flip:x y;margin-left:-1.5pt;margin-top:34.35pt;height:31.05pt;width:136.5pt;z-index:251661312;mso-width-relative:page;mso-height-relative:page;" coordsize="21600,21600" o:allowincell="f" o:gfxdata="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alQLG1AAAAAkBAAAPAAAAAAAAAAEAIAAAACIAAABkcnMvZG93&#10;bnJldi54bWxQSwECFAAUAAAACACHTuJA5DiR7gQCAAD/AwAADgAAAAAAAAABACAAAAAjAQAAZHJz&#10;L2Uyb0RvYy54bWxQSwUGAAAAAAYABgBZAQAAmQUAAAAA&#10;">
                  <v:path arrowok="t"/>
                  <v:fill focussize="0,0"/>
                  <v:stroke/>
                  <v:imagedata o:title=""/>
                  <o:lock v:ext="edit"/>
                </v:line>
              </w:pict>
            </w:r>
            <w:r>
              <w:rPr>
                <w:rFonts w:asciiTheme="majorEastAsia" w:hAnsiTheme="majorEastAsia" w:eastAsiaTheme="majorEastAsia"/>
                <w:szCs w:val="21"/>
              </w:rPr>
              <w:pict>
                <v:line id="_x0000_s2051" o:spid="_x0000_s2051" o:spt="20" style="position:absolute;left:0pt;flip:x y;margin-left:30.9pt;margin-top:2.5pt;height:62.9pt;width:104.1pt;z-index:251660288;mso-width-relative:page;mso-height-relative:page;" coordsize="21600,21600" o:allowincell="f" o:gfxdata="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atdP1dMAAAAIAQAADwAAAAAAAAABACAAAAAiAAAAZHJzL2Rvd25yZXYu&#10;eG1sUEsBAhQAFAAAAAgAh07iQPjl/UYAAgAA/wMAAA4AAAAAAAAAAQAgAAAAIgEAAGRycy9lMm9E&#10;b2MueG1sUEsFBgAAAAAGAAYAWQEAAJQFAAAAAA==&#10;">
                  <v:path arrowok="t"/>
                  <v:fill focussize="0,0"/>
                  <v:stroke/>
                  <v:imagedata o:title=""/>
                  <o:lock v:ext="edit"/>
                </v:line>
              </w:pict>
            </w:r>
            <w:r>
              <w:rPr>
                <w:rFonts w:asciiTheme="majorEastAsia" w:hAnsiTheme="majorEastAsia" w:eastAsiaTheme="majorEastAsia"/>
                <w:szCs w:val="21"/>
              </w:rPr>
              <w:pict>
                <v:line id="_x0000_s2050" o:spid="_x0000_s2050" o:spt="20" style="position:absolute;left:0pt;margin-left:-9pt;margin-top:-0.5pt;height:0pt;width:0.05pt;z-index:251662336;mso-width-relative:page;mso-height-relative:page;"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uR037V&#10;AAAACQEAAA8AAAAAAAAAAQAgAAAAIgAAAGRycy9kb3ducmV2LnhtbFBLAQIUABQAAAAIAIdO4kCU&#10;Y33D6gEAAOADAAAOAAAAAAAAAAEAIAAAACQBAABkcnMvZTJvRG9jLnhtbFBLBQYAAAAABgAGAFkB&#10;AACABQAAAAA=&#10;">
                  <v:path arrowok="t"/>
                  <v:fill focussize="0,0"/>
                  <v:stroke/>
                  <v:imagedata o:title=""/>
                  <o:lock v:ext="edit"/>
                </v:line>
              </w:pict>
            </w:r>
            <w:r>
              <w:rPr>
                <w:rFonts w:hint="eastAsia" w:asciiTheme="majorEastAsia" w:hAnsiTheme="majorEastAsia" w:eastAsiaTheme="majorEastAsia"/>
                <w:b/>
                <w:szCs w:val="21"/>
              </w:rPr>
              <w:t>服务类型</w:t>
            </w:r>
          </w:p>
          <w:p w14:paraId="0A9B9151">
            <w:pPr>
              <w:spacing w:line="360" w:lineRule="auto"/>
              <w:ind w:firstLine="637" w:firstLineChars="302"/>
              <w:rPr>
                <w:rFonts w:asciiTheme="majorEastAsia" w:hAnsiTheme="majorEastAsia" w:eastAsiaTheme="majorEastAsia"/>
                <w:b/>
                <w:szCs w:val="21"/>
              </w:rPr>
            </w:pPr>
            <w:r>
              <w:rPr>
                <w:rFonts w:hint="eastAsia" w:asciiTheme="majorEastAsia" w:hAnsiTheme="majorEastAsia" w:eastAsiaTheme="majorEastAsia"/>
                <w:b/>
                <w:szCs w:val="21"/>
              </w:rPr>
              <w:t>费率　　　　　</w:t>
            </w:r>
          </w:p>
          <w:p w14:paraId="680DD8E7">
            <w:pPr>
              <w:spacing w:line="360" w:lineRule="auto"/>
              <w:rPr>
                <w:rFonts w:asciiTheme="majorEastAsia" w:hAnsiTheme="majorEastAsia" w:eastAsiaTheme="majorEastAsia"/>
                <w:b/>
                <w:szCs w:val="21"/>
              </w:rPr>
            </w:pPr>
            <w:r>
              <w:rPr>
                <w:rFonts w:hint="eastAsia" w:asciiTheme="majorEastAsia" w:hAnsiTheme="majorEastAsia" w:eastAsiaTheme="majorEastAsia"/>
                <w:b/>
                <w:szCs w:val="21"/>
              </w:rPr>
              <w:t>中标金额（万元）</w:t>
            </w:r>
          </w:p>
        </w:tc>
        <w:tc>
          <w:tcPr>
            <w:tcW w:w="2027" w:type="dxa"/>
            <w:vAlign w:val="center"/>
          </w:tcPr>
          <w:p w14:paraId="29CD1A3B">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货物招标</w:t>
            </w:r>
          </w:p>
        </w:tc>
        <w:tc>
          <w:tcPr>
            <w:tcW w:w="2158" w:type="dxa"/>
            <w:vAlign w:val="center"/>
          </w:tcPr>
          <w:p w14:paraId="2E1BF4D3">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服务招标</w:t>
            </w:r>
          </w:p>
        </w:tc>
        <w:tc>
          <w:tcPr>
            <w:tcW w:w="2158" w:type="dxa"/>
            <w:vAlign w:val="center"/>
          </w:tcPr>
          <w:p w14:paraId="18A9A2D6">
            <w:pPr>
              <w:spacing w:line="360" w:lineRule="auto"/>
              <w:jc w:val="center"/>
              <w:rPr>
                <w:rFonts w:asciiTheme="majorEastAsia" w:hAnsiTheme="majorEastAsia" w:eastAsiaTheme="majorEastAsia"/>
                <w:b/>
                <w:szCs w:val="21"/>
              </w:rPr>
            </w:pPr>
            <w:r>
              <w:rPr>
                <w:rFonts w:hint="eastAsia" w:asciiTheme="majorEastAsia" w:hAnsiTheme="majorEastAsia" w:eastAsiaTheme="majorEastAsia"/>
                <w:b/>
                <w:szCs w:val="21"/>
              </w:rPr>
              <w:t>工程招标</w:t>
            </w:r>
          </w:p>
        </w:tc>
      </w:tr>
      <w:tr w14:paraId="78BC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F6DEA76">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以下</w:t>
            </w:r>
          </w:p>
        </w:tc>
        <w:tc>
          <w:tcPr>
            <w:tcW w:w="2027" w:type="dxa"/>
            <w:vAlign w:val="center"/>
          </w:tcPr>
          <w:p w14:paraId="52BC5359">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431F16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1.500%</w:t>
            </w:r>
          </w:p>
        </w:tc>
        <w:tc>
          <w:tcPr>
            <w:tcW w:w="2158" w:type="dxa"/>
            <w:vAlign w:val="center"/>
          </w:tcPr>
          <w:p w14:paraId="0FD7DD21">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1.000%</w:t>
            </w:r>
          </w:p>
        </w:tc>
      </w:tr>
      <w:tr w14:paraId="6E93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C492C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w:t>
            </w:r>
            <w:r>
              <w:rPr>
                <w:rFonts w:asciiTheme="majorEastAsia" w:hAnsiTheme="majorEastAsia" w:eastAsiaTheme="majorEastAsia"/>
                <w:szCs w:val="21"/>
              </w:rPr>
              <w:t>500</w:t>
            </w:r>
          </w:p>
        </w:tc>
        <w:tc>
          <w:tcPr>
            <w:tcW w:w="2027" w:type="dxa"/>
            <w:vAlign w:val="center"/>
          </w:tcPr>
          <w:p w14:paraId="666B6C3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1.100%</w:t>
            </w:r>
          </w:p>
        </w:tc>
        <w:tc>
          <w:tcPr>
            <w:tcW w:w="2158" w:type="dxa"/>
            <w:vAlign w:val="center"/>
          </w:tcPr>
          <w:p w14:paraId="01CAF80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724444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0.700%</w:t>
            </w:r>
          </w:p>
        </w:tc>
      </w:tr>
      <w:tr w14:paraId="37FE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7B89556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500</w:t>
            </w:r>
            <w:r>
              <w:rPr>
                <w:rFonts w:hint="eastAsia" w:asciiTheme="majorEastAsia" w:hAnsiTheme="majorEastAsia" w:eastAsiaTheme="majorEastAsia"/>
                <w:szCs w:val="21"/>
              </w:rPr>
              <w:t>～</w:t>
            </w:r>
            <w:r>
              <w:rPr>
                <w:rFonts w:asciiTheme="majorEastAsia" w:hAnsiTheme="majorEastAsia" w:eastAsiaTheme="majorEastAsia"/>
                <w:szCs w:val="21"/>
              </w:rPr>
              <w:t>1</w:t>
            </w:r>
            <w:r>
              <w:rPr>
                <w:rFonts w:hint="eastAsia" w:asciiTheme="majorEastAsia" w:hAnsiTheme="majorEastAsia" w:eastAsiaTheme="majorEastAsia"/>
                <w:szCs w:val="21"/>
              </w:rPr>
              <w:t>000</w:t>
            </w:r>
          </w:p>
        </w:tc>
        <w:tc>
          <w:tcPr>
            <w:tcW w:w="2027" w:type="dxa"/>
            <w:vAlign w:val="center"/>
          </w:tcPr>
          <w:p w14:paraId="66E4AE7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0.800%</w:t>
            </w:r>
          </w:p>
        </w:tc>
        <w:tc>
          <w:tcPr>
            <w:tcW w:w="2158" w:type="dxa"/>
            <w:vAlign w:val="center"/>
          </w:tcPr>
          <w:p w14:paraId="15B23B9C">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0.450%</w:t>
            </w:r>
          </w:p>
        </w:tc>
        <w:tc>
          <w:tcPr>
            <w:tcW w:w="2158" w:type="dxa"/>
            <w:vAlign w:val="center"/>
          </w:tcPr>
          <w:p w14:paraId="076FCE90">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0.550%</w:t>
            </w:r>
          </w:p>
        </w:tc>
      </w:tr>
      <w:tr w14:paraId="5482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36C7BCD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w:t>
            </w:r>
            <w:r>
              <w:rPr>
                <w:rFonts w:asciiTheme="majorEastAsia" w:hAnsiTheme="majorEastAsia" w:eastAsiaTheme="majorEastAsia"/>
                <w:szCs w:val="21"/>
              </w:rPr>
              <w:t>5</w:t>
            </w:r>
            <w:r>
              <w:rPr>
                <w:rFonts w:hint="eastAsia" w:asciiTheme="majorEastAsia" w:hAnsiTheme="majorEastAsia" w:eastAsiaTheme="majorEastAsia"/>
                <w:szCs w:val="21"/>
              </w:rPr>
              <w:t>000</w:t>
            </w:r>
          </w:p>
        </w:tc>
        <w:tc>
          <w:tcPr>
            <w:tcW w:w="2027" w:type="dxa"/>
            <w:vAlign w:val="center"/>
          </w:tcPr>
          <w:p w14:paraId="67F515B3">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0.500%</w:t>
            </w:r>
          </w:p>
        </w:tc>
        <w:tc>
          <w:tcPr>
            <w:tcW w:w="2158" w:type="dxa"/>
            <w:vAlign w:val="center"/>
          </w:tcPr>
          <w:p w14:paraId="5FA5299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61FE2B2E">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0.350%</w:t>
            </w:r>
          </w:p>
        </w:tc>
      </w:tr>
      <w:tr w14:paraId="5E8F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0C7D672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w:t>
            </w:r>
            <w:r>
              <w:rPr>
                <w:rFonts w:asciiTheme="majorEastAsia" w:hAnsiTheme="majorEastAsia" w:eastAsiaTheme="majorEastAsia"/>
                <w:szCs w:val="21"/>
              </w:rPr>
              <w:t>1</w:t>
            </w:r>
            <w:r>
              <w:rPr>
                <w:rFonts w:hint="eastAsia" w:asciiTheme="majorEastAsia" w:hAnsiTheme="majorEastAsia" w:eastAsiaTheme="majorEastAsia"/>
                <w:szCs w:val="21"/>
              </w:rPr>
              <w:t>0000</w:t>
            </w:r>
          </w:p>
        </w:tc>
        <w:tc>
          <w:tcPr>
            <w:tcW w:w="2027" w:type="dxa"/>
            <w:vAlign w:val="center"/>
          </w:tcPr>
          <w:p w14:paraId="3E8097B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0.250%</w:t>
            </w:r>
          </w:p>
        </w:tc>
        <w:tc>
          <w:tcPr>
            <w:tcW w:w="2158" w:type="dxa"/>
            <w:vAlign w:val="center"/>
          </w:tcPr>
          <w:p w14:paraId="719ECE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0.100%</w:t>
            </w:r>
          </w:p>
        </w:tc>
        <w:tc>
          <w:tcPr>
            <w:tcW w:w="2158" w:type="dxa"/>
            <w:vAlign w:val="center"/>
          </w:tcPr>
          <w:p w14:paraId="3F15E06B">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0.200%</w:t>
            </w:r>
          </w:p>
        </w:tc>
      </w:tr>
      <w:tr w14:paraId="46126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802" w:type="dxa"/>
            <w:vAlign w:val="center"/>
          </w:tcPr>
          <w:p w14:paraId="30FED40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w:t>
            </w:r>
            <w:r>
              <w:rPr>
                <w:rFonts w:hint="eastAsia" w:asciiTheme="majorEastAsia" w:hAnsiTheme="majorEastAsia" w:eastAsiaTheme="majorEastAsia"/>
                <w:szCs w:val="21"/>
              </w:rPr>
              <w:t>0000～</w:t>
            </w:r>
            <w:r>
              <w:rPr>
                <w:rFonts w:asciiTheme="majorEastAsia" w:hAnsiTheme="majorEastAsia" w:eastAsiaTheme="majorEastAsia"/>
                <w:szCs w:val="21"/>
              </w:rPr>
              <w:t>5</w:t>
            </w:r>
            <w:r>
              <w:rPr>
                <w:rFonts w:hint="eastAsia" w:asciiTheme="majorEastAsia" w:hAnsiTheme="majorEastAsia" w:eastAsiaTheme="majorEastAsia"/>
                <w:szCs w:val="21"/>
              </w:rPr>
              <w:t>0000</w:t>
            </w:r>
          </w:p>
        </w:tc>
        <w:tc>
          <w:tcPr>
            <w:tcW w:w="2027" w:type="dxa"/>
            <w:vAlign w:val="center"/>
          </w:tcPr>
          <w:p w14:paraId="532C1118">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662C293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0.050%</w:t>
            </w:r>
          </w:p>
        </w:tc>
        <w:tc>
          <w:tcPr>
            <w:tcW w:w="2158" w:type="dxa"/>
            <w:vAlign w:val="center"/>
          </w:tcPr>
          <w:p w14:paraId="780E35DA">
            <w:pPr>
              <w:snapToGrid w:val="0"/>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0.050%</w:t>
            </w:r>
          </w:p>
        </w:tc>
      </w:tr>
      <w:tr w14:paraId="24EE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4959DF7D">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w:t>
            </w:r>
            <w:r>
              <w:rPr>
                <w:rFonts w:hint="eastAsia" w:asciiTheme="majorEastAsia" w:hAnsiTheme="majorEastAsia" w:eastAsiaTheme="majorEastAsia"/>
                <w:szCs w:val="21"/>
              </w:rPr>
              <w:t>0000～</w:t>
            </w:r>
            <w:r>
              <w:rPr>
                <w:rFonts w:asciiTheme="majorEastAsia" w:hAnsiTheme="majorEastAsia" w:eastAsiaTheme="majorEastAsia"/>
                <w:szCs w:val="21"/>
              </w:rPr>
              <w:t>10</w:t>
            </w:r>
            <w:r>
              <w:rPr>
                <w:rFonts w:hint="eastAsia" w:asciiTheme="majorEastAsia" w:hAnsiTheme="majorEastAsia" w:eastAsiaTheme="majorEastAsia"/>
                <w:szCs w:val="21"/>
              </w:rPr>
              <w:t>0000</w:t>
            </w:r>
          </w:p>
        </w:tc>
        <w:tc>
          <w:tcPr>
            <w:tcW w:w="2027" w:type="dxa"/>
            <w:vAlign w:val="center"/>
          </w:tcPr>
          <w:p w14:paraId="65F021D1">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397C7B5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0.035%</w:t>
            </w:r>
          </w:p>
        </w:tc>
        <w:tc>
          <w:tcPr>
            <w:tcW w:w="2158" w:type="dxa"/>
            <w:vAlign w:val="center"/>
          </w:tcPr>
          <w:p w14:paraId="5BCBC7AF">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0.035%</w:t>
            </w:r>
          </w:p>
        </w:tc>
      </w:tr>
      <w:tr w14:paraId="3FC4D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145DB014">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w:t>
            </w:r>
            <w:r>
              <w:rPr>
                <w:rFonts w:hint="eastAsia" w:asciiTheme="majorEastAsia" w:hAnsiTheme="majorEastAsia" w:eastAsiaTheme="majorEastAsia"/>
                <w:szCs w:val="21"/>
              </w:rPr>
              <w:t>0000～</w:t>
            </w:r>
            <w:r>
              <w:rPr>
                <w:rFonts w:asciiTheme="majorEastAsia" w:hAnsiTheme="majorEastAsia" w:eastAsiaTheme="majorEastAsia"/>
                <w:szCs w:val="21"/>
              </w:rPr>
              <w:t>50</w:t>
            </w:r>
            <w:r>
              <w:rPr>
                <w:rFonts w:hint="eastAsia" w:asciiTheme="majorEastAsia" w:hAnsiTheme="majorEastAsia" w:eastAsiaTheme="majorEastAsia"/>
                <w:szCs w:val="21"/>
              </w:rPr>
              <w:t>0000</w:t>
            </w:r>
          </w:p>
        </w:tc>
        <w:tc>
          <w:tcPr>
            <w:tcW w:w="2027" w:type="dxa"/>
            <w:vAlign w:val="center"/>
          </w:tcPr>
          <w:p w14:paraId="247AC8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78774BF5">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0.008%</w:t>
            </w:r>
          </w:p>
        </w:tc>
        <w:tc>
          <w:tcPr>
            <w:tcW w:w="2158" w:type="dxa"/>
            <w:vAlign w:val="center"/>
          </w:tcPr>
          <w:p w14:paraId="1C411D0D">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0.008%</w:t>
            </w:r>
          </w:p>
        </w:tc>
      </w:tr>
      <w:tr w14:paraId="2C120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02" w:type="dxa"/>
            <w:vAlign w:val="center"/>
          </w:tcPr>
          <w:p w14:paraId="5710D9E7">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50</w:t>
            </w:r>
            <w:r>
              <w:rPr>
                <w:rFonts w:hint="eastAsia" w:asciiTheme="majorEastAsia" w:hAnsiTheme="majorEastAsia" w:eastAsiaTheme="majorEastAsia"/>
                <w:szCs w:val="21"/>
              </w:rPr>
              <w:t>0000～</w:t>
            </w:r>
            <w:r>
              <w:rPr>
                <w:rFonts w:asciiTheme="majorEastAsia" w:hAnsiTheme="majorEastAsia" w:eastAsiaTheme="majorEastAsia"/>
                <w:szCs w:val="21"/>
              </w:rPr>
              <w:t>100</w:t>
            </w:r>
            <w:r>
              <w:rPr>
                <w:rFonts w:hint="eastAsia" w:asciiTheme="majorEastAsia" w:hAnsiTheme="majorEastAsia" w:eastAsiaTheme="majorEastAsia"/>
                <w:szCs w:val="21"/>
              </w:rPr>
              <w:t>0000</w:t>
            </w:r>
          </w:p>
        </w:tc>
        <w:tc>
          <w:tcPr>
            <w:tcW w:w="2027" w:type="dxa"/>
            <w:vAlign w:val="center"/>
          </w:tcPr>
          <w:p w14:paraId="778D081A">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25234B1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0.006%</w:t>
            </w:r>
          </w:p>
        </w:tc>
        <w:tc>
          <w:tcPr>
            <w:tcW w:w="2158" w:type="dxa"/>
            <w:vAlign w:val="center"/>
          </w:tcPr>
          <w:p w14:paraId="04D3D749">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0.006%</w:t>
            </w:r>
          </w:p>
        </w:tc>
      </w:tr>
      <w:tr w14:paraId="5525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802" w:type="dxa"/>
            <w:vAlign w:val="center"/>
          </w:tcPr>
          <w:p w14:paraId="2C21AE6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100</w:t>
            </w:r>
            <w:r>
              <w:rPr>
                <w:rFonts w:hint="eastAsia" w:asciiTheme="majorEastAsia" w:hAnsiTheme="majorEastAsia" w:eastAsiaTheme="majorEastAsia"/>
                <w:szCs w:val="21"/>
              </w:rPr>
              <w:t>0000以上</w:t>
            </w:r>
          </w:p>
        </w:tc>
        <w:tc>
          <w:tcPr>
            <w:tcW w:w="2027" w:type="dxa"/>
            <w:vAlign w:val="center"/>
          </w:tcPr>
          <w:p w14:paraId="6A8E694F">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7D99CD4B">
            <w:pPr>
              <w:spacing w:line="360" w:lineRule="auto"/>
              <w:jc w:val="center"/>
              <w:rPr>
                <w:rFonts w:asciiTheme="majorEastAsia" w:hAnsiTheme="majorEastAsia" w:eastAsiaTheme="majorEastAsia"/>
                <w:szCs w:val="21"/>
              </w:rPr>
            </w:pPr>
            <w:r>
              <w:rPr>
                <w:rFonts w:asciiTheme="majorEastAsia" w:hAnsiTheme="majorEastAsia" w:eastAsiaTheme="majorEastAsia"/>
                <w:szCs w:val="21"/>
              </w:rPr>
              <w:t>0.004%</w:t>
            </w:r>
          </w:p>
        </w:tc>
        <w:tc>
          <w:tcPr>
            <w:tcW w:w="2158" w:type="dxa"/>
            <w:vAlign w:val="center"/>
          </w:tcPr>
          <w:p w14:paraId="1D0E3284">
            <w:pPr>
              <w:snapToGrid w:val="0"/>
              <w:spacing w:line="360" w:lineRule="auto"/>
              <w:jc w:val="center"/>
              <w:rPr>
                <w:rFonts w:asciiTheme="majorEastAsia" w:hAnsiTheme="majorEastAsia" w:eastAsiaTheme="majorEastAsia"/>
                <w:bCs/>
                <w:szCs w:val="21"/>
              </w:rPr>
            </w:pPr>
            <w:r>
              <w:rPr>
                <w:rFonts w:hint="eastAsia" w:asciiTheme="majorEastAsia" w:hAnsiTheme="majorEastAsia" w:eastAsiaTheme="majorEastAsia"/>
                <w:bCs/>
                <w:szCs w:val="21"/>
              </w:rPr>
              <w:t>0.004%</w:t>
            </w:r>
          </w:p>
        </w:tc>
      </w:tr>
    </w:tbl>
    <w:p w14:paraId="5D4DD295">
      <w:pPr>
        <w:spacing w:line="360" w:lineRule="auto"/>
        <w:ind w:firstLine="411" w:firstLineChars="196"/>
        <w:rPr>
          <w:rFonts w:asciiTheme="majorEastAsia" w:hAnsiTheme="majorEastAsia" w:eastAsiaTheme="majorEastAsia"/>
          <w:szCs w:val="21"/>
        </w:rPr>
      </w:pPr>
    </w:p>
    <w:bookmarkEnd w:id="56"/>
    <w:p w14:paraId="3561AD6B">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公开招标失败的后续处理</w:t>
      </w:r>
    </w:p>
    <w:p w14:paraId="0968AF9C">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42．公开招标失败的处理</w:t>
      </w:r>
    </w:p>
    <w:p w14:paraId="4BC185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42.1本项目公开招标过程中若由于投标截止后实际递交</w:t>
      </w:r>
      <w:r>
        <w:rPr>
          <w:rFonts w:asciiTheme="majorEastAsia" w:hAnsiTheme="majorEastAsia" w:eastAsiaTheme="majorEastAsia"/>
          <w:szCs w:val="21"/>
        </w:rPr>
        <w:t>投标</w:t>
      </w:r>
      <w:r>
        <w:rPr>
          <w:rFonts w:hint="eastAsia" w:asciiTheme="majorEastAsia" w:hAnsiTheme="majorEastAsia" w:eastAsiaTheme="majorEastAsia"/>
          <w:szCs w:val="21"/>
        </w:rPr>
        <w:t>文件的供应商数量不足、经评审委员会评审对招标文件作实质响应的供应商不足等原因造成公开招标失败，可由</w:t>
      </w:r>
      <w:r>
        <w:rPr>
          <w:rFonts w:hint="eastAsia" w:cs="宋体" w:asciiTheme="majorEastAsia" w:hAnsiTheme="majorEastAsia" w:eastAsiaTheme="majorEastAsia"/>
          <w:szCs w:val="21"/>
        </w:rPr>
        <w:t>采购代理机构</w:t>
      </w:r>
      <w:r>
        <w:rPr>
          <w:rFonts w:hint="eastAsia" w:asciiTheme="majorEastAsia" w:hAnsiTheme="majorEastAsia" w:eastAsiaTheme="majorEastAsia"/>
          <w:szCs w:val="21"/>
        </w:rPr>
        <w:t>重新组织采购。</w:t>
      </w:r>
    </w:p>
    <w:p w14:paraId="433C664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42.2对公开招标失败的项目，评审委员会在出具该项目招标失败结论的同时，可以提出重新采购组织形式的建议，以及进一步完善招标文件的资格、技术、商务要求的修改建议。</w:t>
      </w:r>
    </w:p>
    <w:p w14:paraId="13F9C12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42.3重新组织采购有以下两种组织形式：</w:t>
      </w:r>
    </w:p>
    <w:p w14:paraId="2CAF271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（1）由采购代理机构重新组织公开招标；</w:t>
      </w:r>
    </w:p>
    <w:p w14:paraId="026A8529">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（2）根据实际情况需要向同级财政部门提出非公开招标方式申请的，经同级财政部门批准，公开招标失败采购项目可转为竞争性谈判或单一来源谈判方式采购。</w:t>
      </w:r>
    </w:p>
    <w:p w14:paraId="0483912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42.4公开招标失败的采购项目重新组织公开招标，由采购代理机构重新按公开招标流程组织采购活动。</w:t>
      </w:r>
    </w:p>
    <w:p w14:paraId="7FB0AC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42.5公开招标失败的采购项目经同级财政部门批准转为竞争性谈判或单一来源谈判方式采购的，按规定要求组织政府采购工作。</w:t>
      </w:r>
    </w:p>
    <w:p w14:paraId="0CB78C21">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bookmarkStart w:id="57" w:name="_Hlk72439043"/>
      <w:r>
        <w:rPr>
          <w:rFonts w:hint="eastAsia" w:asciiTheme="majorEastAsia" w:hAnsiTheme="majorEastAsia" w:eastAsiaTheme="majorEastAsia"/>
          <w:b/>
          <w:bCs/>
          <w:kern w:val="0"/>
          <w:sz w:val="28"/>
          <w:szCs w:val="28"/>
        </w:rPr>
        <w:t>合同的授予与备案</w:t>
      </w:r>
      <w:bookmarkEnd w:id="57"/>
    </w:p>
    <w:p w14:paraId="154D94C9">
      <w:pPr>
        <w:spacing w:line="360" w:lineRule="auto"/>
        <w:rPr>
          <w:rFonts w:asciiTheme="majorEastAsia" w:hAnsiTheme="majorEastAsia" w:eastAsiaTheme="majorEastAsia"/>
          <w:b/>
          <w:bCs/>
          <w:szCs w:val="21"/>
        </w:rPr>
      </w:pPr>
      <w:bookmarkStart w:id="58" w:name="_Toc73521674"/>
      <w:bookmarkStart w:id="59" w:name="_Toc100052408"/>
      <w:bookmarkStart w:id="60" w:name="_Toc73521586"/>
      <w:bookmarkStart w:id="61" w:name="_Toc73518157"/>
      <w:bookmarkStart w:id="62" w:name="_Toc73517679"/>
      <w:bookmarkStart w:id="63" w:name="_Hlk72439088"/>
      <w:r>
        <w:rPr>
          <w:rFonts w:hint="eastAsia" w:asciiTheme="majorEastAsia" w:hAnsiTheme="majorEastAsia" w:eastAsiaTheme="majorEastAsia"/>
          <w:b/>
          <w:bCs/>
          <w:szCs w:val="21"/>
        </w:rPr>
        <w:t>43．合同授予标准</w:t>
      </w:r>
      <w:bookmarkEnd w:id="58"/>
      <w:bookmarkEnd w:id="59"/>
      <w:bookmarkEnd w:id="60"/>
      <w:bookmarkEnd w:id="61"/>
      <w:bookmarkEnd w:id="62"/>
    </w:p>
    <w:p w14:paraId="6F5893F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本项目的合同将授予经本招标文件规定评审确定的中标供应商。</w:t>
      </w:r>
    </w:p>
    <w:p w14:paraId="195BD9AC">
      <w:pPr>
        <w:spacing w:line="360" w:lineRule="auto"/>
        <w:rPr>
          <w:rFonts w:asciiTheme="majorEastAsia" w:hAnsiTheme="majorEastAsia" w:eastAsiaTheme="majorEastAsia"/>
          <w:b/>
          <w:bCs/>
          <w:szCs w:val="21"/>
        </w:rPr>
      </w:pPr>
      <w:bookmarkStart w:id="64" w:name="_Toc73518158"/>
      <w:bookmarkStart w:id="65" w:name="_Toc73517680"/>
      <w:bookmarkStart w:id="66" w:name="_Toc73521587"/>
      <w:bookmarkStart w:id="67" w:name="_Toc73521675"/>
      <w:bookmarkStart w:id="68" w:name="_Toc100052409"/>
      <w:r>
        <w:rPr>
          <w:rFonts w:hint="eastAsia" w:asciiTheme="majorEastAsia" w:hAnsiTheme="majorEastAsia" w:eastAsiaTheme="majorEastAsia"/>
          <w:b/>
          <w:bCs/>
          <w:szCs w:val="21"/>
        </w:rPr>
        <w:t>44．</w:t>
      </w:r>
      <w:bookmarkEnd w:id="64"/>
      <w:bookmarkEnd w:id="65"/>
      <w:bookmarkEnd w:id="66"/>
      <w:bookmarkEnd w:id="67"/>
      <w:bookmarkEnd w:id="68"/>
      <w:r>
        <w:rPr>
          <w:rFonts w:hint="eastAsia" w:asciiTheme="majorEastAsia" w:hAnsiTheme="majorEastAsia" w:eastAsiaTheme="majorEastAsia"/>
          <w:b/>
          <w:bCs/>
          <w:szCs w:val="21"/>
        </w:rPr>
        <w:t>接受和拒绝任何或所有投标的权力</w:t>
      </w:r>
    </w:p>
    <w:p w14:paraId="3093427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73536E03">
      <w:pPr>
        <w:spacing w:line="360" w:lineRule="auto"/>
        <w:rPr>
          <w:rFonts w:asciiTheme="majorEastAsia" w:hAnsiTheme="majorEastAsia" w:eastAsiaTheme="majorEastAsia"/>
          <w:b/>
          <w:bCs/>
          <w:szCs w:val="21"/>
        </w:rPr>
      </w:pPr>
      <w:bookmarkStart w:id="69" w:name="_Toc100052410"/>
      <w:bookmarkStart w:id="70" w:name="_Toc73521677"/>
      <w:bookmarkStart w:id="71" w:name="_Toc73517682"/>
      <w:bookmarkStart w:id="72" w:name="_Toc73518160"/>
      <w:bookmarkStart w:id="73" w:name="_Toc73521589"/>
      <w:r>
        <w:rPr>
          <w:rFonts w:hint="eastAsia" w:asciiTheme="majorEastAsia" w:hAnsiTheme="majorEastAsia" w:eastAsiaTheme="majorEastAsia"/>
          <w:b/>
          <w:bCs/>
          <w:szCs w:val="21"/>
        </w:rPr>
        <w:t>45．合同的签订</w:t>
      </w:r>
      <w:bookmarkEnd w:id="69"/>
      <w:bookmarkEnd w:id="70"/>
      <w:bookmarkEnd w:id="71"/>
      <w:bookmarkEnd w:id="72"/>
      <w:bookmarkEnd w:id="73"/>
    </w:p>
    <w:p w14:paraId="5772B92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45.1中标人将于中标通知书发出之日起十个工作日内，按照采购文件（招标文件和投标文件等）内容与采购人签订政府采购合同；合同的实质性内容应当符合招标文件的规定；</w:t>
      </w:r>
    </w:p>
    <w:p w14:paraId="45122A8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45.2中标人如不按本通用条款第45</w:t>
      </w:r>
      <w:r>
        <w:rPr>
          <w:rFonts w:asciiTheme="majorEastAsia" w:hAnsiTheme="majorEastAsia" w:eastAsiaTheme="majorEastAsia"/>
          <w:szCs w:val="21"/>
        </w:rPr>
        <w:t>.1</w:t>
      </w:r>
      <w:r>
        <w:rPr>
          <w:rFonts w:hint="eastAsia" w:asciiTheme="majorEastAsia" w:hAnsiTheme="majorEastAsia" w:eastAsiaTheme="majorEastAsia"/>
          <w:szCs w:val="21"/>
        </w:rPr>
        <w:t>款的规定与采购人签订合同，</w:t>
      </w:r>
      <w:r>
        <w:rPr>
          <w:rFonts w:cs="宋体" w:asciiTheme="majorEastAsia" w:hAnsiTheme="majorEastAsia" w:eastAsiaTheme="majorEastAsia"/>
          <w:szCs w:val="21"/>
        </w:rPr>
        <w:t>情节严重的，由</w:t>
      </w:r>
      <w:r>
        <w:rPr>
          <w:rFonts w:hint="eastAsia" w:cs="宋体" w:asciiTheme="majorEastAsia" w:hAnsiTheme="majorEastAsia" w:eastAsiaTheme="majorEastAsia"/>
          <w:szCs w:val="21"/>
        </w:rPr>
        <w:t>同级财政</w:t>
      </w:r>
      <w:r>
        <w:rPr>
          <w:rFonts w:cs="宋体" w:asciiTheme="majorEastAsia" w:hAnsiTheme="majorEastAsia" w:eastAsiaTheme="majorEastAsia"/>
          <w:szCs w:val="21"/>
        </w:rPr>
        <w:t>部门记入供应商诚信档案，予以通报</w:t>
      </w:r>
      <w:r>
        <w:rPr>
          <w:rFonts w:hint="eastAsia" w:asciiTheme="majorEastAsia" w:hAnsiTheme="majorEastAsia" w:eastAsiaTheme="majorEastAsia"/>
          <w:szCs w:val="21"/>
        </w:rPr>
        <w:t>；</w:t>
      </w:r>
    </w:p>
    <w:p w14:paraId="7FAB160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45.3中标人应当按照合同约定履行义务，完成中标项目，不得将中标项目转让（转包）给他人。</w:t>
      </w:r>
    </w:p>
    <w:p w14:paraId="447E5DC8">
      <w:pPr>
        <w:spacing w:line="360" w:lineRule="auto"/>
        <w:rPr>
          <w:rFonts w:asciiTheme="majorEastAsia" w:hAnsiTheme="majorEastAsia" w:eastAsiaTheme="majorEastAsia"/>
          <w:b/>
          <w:bCs/>
          <w:szCs w:val="21"/>
        </w:rPr>
      </w:pPr>
      <w:bookmarkStart w:id="74" w:name="_Toc73518161"/>
      <w:bookmarkStart w:id="75" w:name="_Toc73517683"/>
      <w:bookmarkStart w:id="76" w:name="_Toc73521590"/>
      <w:bookmarkStart w:id="77" w:name="_Toc100052411"/>
      <w:bookmarkStart w:id="78" w:name="_Toc73521678"/>
      <w:r>
        <w:rPr>
          <w:rFonts w:hint="eastAsia" w:asciiTheme="majorEastAsia" w:hAnsiTheme="majorEastAsia" w:eastAsiaTheme="majorEastAsia"/>
          <w:b/>
          <w:bCs/>
          <w:szCs w:val="21"/>
        </w:rPr>
        <w:t>46．履约担保</w:t>
      </w:r>
      <w:bookmarkEnd w:id="74"/>
      <w:bookmarkEnd w:id="75"/>
      <w:bookmarkEnd w:id="76"/>
      <w:bookmarkEnd w:id="77"/>
      <w:bookmarkEnd w:id="78"/>
    </w:p>
    <w:p w14:paraId="6FFA052D">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46.1在签订项目合同的同时，中标人应按“对通用条款的补充内容”中规定的金额向采购人提交履约担保；</w:t>
      </w:r>
    </w:p>
    <w:p w14:paraId="0868091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46.2，允许供应商自主选择以支票、汇票、本票、保函等非现金方式提交履约担保；</w:t>
      </w:r>
      <w:r>
        <w:rPr>
          <w:rFonts w:asciiTheme="majorEastAsia" w:hAnsiTheme="majorEastAsia" w:eastAsiaTheme="majorEastAsia"/>
          <w:szCs w:val="21"/>
        </w:rPr>
        <w:t>中标</w:t>
      </w:r>
      <w:r>
        <w:rPr>
          <w:rFonts w:hint="eastAsia" w:asciiTheme="majorEastAsia" w:hAnsiTheme="majorEastAsia" w:eastAsiaTheme="majorEastAsia"/>
          <w:szCs w:val="21"/>
        </w:rPr>
        <w:t>人</w:t>
      </w:r>
      <w:r>
        <w:rPr>
          <w:rFonts w:asciiTheme="majorEastAsia" w:hAnsiTheme="majorEastAsia" w:eastAsiaTheme="majorEastAsia"/>
          <w:szCs w:val="21"/>
        </w:rPr>
        <w:t>提交履约</w:t>
      </w:r>
      <w:r>
        <w:rPr>
          <w:rFonts w:hint="eastAsia" w:asciiTheme="majorEastAsia" w:hAnsiTheme="majorEastAsia" w:eastAsiaTheme="majorEastAsia"/>
          <w:szCs w:val="21"/>
        </w:rPr>
        <w:t>担保不是</w:t>
      </w:r>
      <w:r>
        <w:rPr>
          <w:rFonts w:asciiTheme="majorEastAsia" w:hAnsiTheme="majorEastAsia" w:eastAsiaTheme="majorEastAsia"/>
          <w:szCs w:val="21"/>
        </w:rPr>
        <w:t>合同签订的</w:t>
      </w:r>
      <w:r>
        <w:rPr>
          <w:rFonts w:hint="eastAsia" w:asciiTheme="majorEastAsia" w:hAnsiTheme="majorEastAsia" w:eastAsiaTheme="majorEastAsia"/>
          <w:szCs w:val="21"/>
        </w:rPr>
        <w:t>前提</w:t>
      </w:r>
      <w:r>
        <w:rPr>
          <w:rFonts w:asciiTheme="majorEastAsia" w:hAnsiTheme="majorEastAsia" w:eastAsiaTheme="majorEastAsia"/>
          <w:szCs w:val="21"/>
        </w:rPr>
        <w:t>条件，不要求中标</w:t>
      </w:r>
      <w:r>
        <w:rPr>
          <w:rFonts w:hint="eastAsia" w:asciiTheme="majorEastAsia" w:hAnsiTheme="majorEastAsia" w:eastAsiaTheme="majorEastAsia"/>
          <w:szCs w:val="21"/>
        </w:rPr>
        <w:t>人</w:t>
      </w:r>
      <w:r>
        <w:rPr>
          <w:rFonts w:asciiTheme="majorEastAsia" w:hAnsiTheme="majorEastAsia" w:eastAsiaTheme="majorEastAsia"/>
          <w:szCs w:val="21"/>
        </w:rPr>
        <w:t>提供除法律、法规明确规定外的其他担保</w:t>
      </w:r>
      <w:r>
        <w:rPr>
          <w:rFonts w:hint="eastAsia" w:asciiTheme="majorEastAsia" w:hAnsiTheme="majorEastAsia" w:eastAsiaTheme="majorEastAsia"/>
          <w:szCs w:val="21"/>
        </w:rPr>
        <w:t>。</w:t>
      </w:r>
    </w:p>
    <w:p w14:paraId="78E87E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47. 合同备案</w:t>
      </w:r>
    </w:p>
    <w:p w14:paraId="6718E4C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采购人与中标人应于合同签订之日起十日内，由采购人或委托中标人将采购合同副本抄送合同备案工作实施机构备案。</w:t>
      </w:r>
    </w:p>
    <w:p w14:paraId="7C4F0717">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48. 合同变更</w:t>
      </w:r>
    </w:p>
    <w:p w14:paraId="2F51F3D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合同变更事宜按《深圳市财政局 深圳市政府采购中心关于进一步加强市本级政府采购合同备案管理工作的通知》（深财购〔2019〕43号）相关规定执行。</w:t>
      </w:r>
    </w:p>
    <w:p w14:paraId="7F7A1DD0">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49. 项目验收</w:t>
      </w:r>
    </w:p>
    <w:p w14:paraId="74A8280F">
      <w:pPr>
        <w:spacing w:line="360" w:lineRule="auto"/>
        <w:ind w:right="176" w:firstLine="420"/>
        <w:rPr>
          <w:rFonts w:asciiTheme="majorEastAsia" w:hAnsiTheme="majorEastAsia" w:eastAsiaTheme="majorEastAsia"/>
          <w:szCs w:val="21"/>
        </w:rPr>
      </w:pPr>
      <w:r>
        <w:rPr>
          <w:rFonts w:hint="eastAsia" w:asciiTheme="majorEastAsia" w:hAnsiTheme="majorEastAsia" w:eastAsiaTheme="majorEastAsia"/>
          <w:szCs w:val="21"/>
        </w:rPr>
        <w:t>49.1采购人应当按照招标文件和合同规定的标准和方法，及时组织验收。</w:t>
      </w:r>
    </w:p>
    <w:p w14:paraId="5C38CCD5">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50. 宣传</w:t>
      </w:r>
    </w:p>
    <w:p w14:paraId="03A0E4D2">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凡与政府采购活动有关的宣传或广告，若当中提及政府采购，</w:t>
      </w:r>
      <w:r>
        <w:rPr>
          <w:rFonts w:asciiTheme="majorEastAsia" w:hAnsiTheme="majorEastAsia" w:eastAsiaTheme="majorEastAsia"/>
          <w:szCs w:val="21"/>
        </w:rPr>
        <w:t>必须事先将具体对外宣传方案报</w:t>
      </w:r>
      <w:r>
        <w:rPr>
          <w:rFonts w:hint="eastAsia" w:asciiTheme="majorEastAsia" w:hAnsiTheme="majorEastAsia" w:eastAsiaTheme="majorEastAsia"/>
          <w:szCs w:val="21"/>
        </w:rPr>
        <w:t>同级财政部门</w:t>
      </w:r>
      <w:r>
        <w:rPr>
          <w:rFonts w:asciiTheme="majorEastAsia" w:hAnsiTheme="majorEastAsia" w:eastAsiaTheme="majorEastAsia"/>
          <w:szCs w:val="21"/>
        </w:rPr>
        <w:t>和</w:t>
      </w:r>
      <w:r>
        <w:rPr>
          <w:rFonts w:hint="eastAsia" w:asciiTheme="majorEastAsia" w:hAnsiTheme="majorEastAsia" w:eastAsiaTheme="majorEastAsia"/>
          <w:szCs w:val="21"/>
        </w:rPr>
        <w:t>采购代理机构</w:t>
      </w:r>
      <w:r>
        <w:rPr>
          <w:rFonts w:asciiTheme="majorEastAsia" w:hAnsiTheme="majorEastAsia" w:eastAsiaTheme="majorEastAsia"/>
          <w:szCs w:val="21"/>
        </w:rPr>
        <w:t>，并征得其同意。对外市场宣传包括但不限于以下形式：</w:t>
      </w:r>
    </w:p>
    <w:p w14:paraId="0898222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a.名片、宣传册、广告标语等；</w:t>
      </w:r>
    </w:p>
    <w:p w14:paraId="59435A14">
      <w:pPr>
        <w:spacing w:line="360" w:lineRule="auto"/>
        <w:ind w:left="210" w:leftChars="100" w:firstLine="411" w:firstLineChars="196"/>
        <w:rPr>
          <w:rFonts w:asciiTheme="majorEastAsia" w:hAnsiTheme="majorEastAsia" w:eastAsiaTheme="majorEastAsia"/>
          <w:szCs w:val="21"/>
        </w:rPr>
      </w:pPr>
      <w:r>
        <w:rPr>
          <w:rFonts w:asciiTheme="majorEastAsia" w:hAnsiTheme="majorEastAsia" w:eastAsiaTheme="majorEastAsia"/>
          <w:szCs w:val="21"/>
        </w:rPr>
        <w:t>b.案例介绍、推广等；</w:t>
      </w:r>
    </w:p>
    <w:p w14:paraId="1B752F1A">
      <w:pPr>
        <w:spacing w:line="360" w:lineRule="auto"/>
        <w:ind w:left="210" w:leftChars="100" w:firstLine="411" w:firstLineChars="196"/>
        <w:rPr>
          <w:rFonts w:asciiTheme="majorEastAsia" w:hAnsiTheme="majorEastAsia" w:eastAsiaTheme="majorEastAsia"/>
          <w:szCs w:val="21"/>
        </w:rPr>
      </w:pPr>
      <w:r>
        <w:rPr>
          <w:rFonts w:hint="eastAsia" w:asciiTheme="majorEastAsia" w:hAnsiTheme="majorEastAsia" w:eastAsiaTheme="majorEastAsia"/>
          <w:szCs w:val="21"/>
        </w:rPr>
        <w:t>c.工作</w:t>
      </w:r>
      <w:r>
        <w:rPr>
          <w:rFonts w:asciiTheme="majorEastAsia" w:hAnsiTheme="majorEastAsia" w:eastAsiaTheme="majorEastAsia"/>
          <w:szCs w:val="21"/>
        </w:rPr>
        <w:t>人员向其他消费群体宣传。</w:t>
      </w:r>
    </w:p>
    <w:p w14:paraId="5EF367D1">
      <w:pPr>
        <w:spacing w:line="360" w:lineRule="auto"/>
        <w:rPr>
          <w:rFonts w:asciiTheme="majorEastAsia" w:hAnsiTheme="majorEastAsia" w:eastAsiaTheme="majorEastAsia"/>
          <w:b/>
          <w:bCs/>
          <w:szCs w:val="21"/>
        </w:rPr>
      </w:pPr>
      <w:r>
        <w:rPr>
          <w:rFonts w:hint="eastAsia" w:asciiTheme="majorEastAsia" w:hAnsiTheme="majorEastAsia" w:eastAsiaTheme="majorEastAsia"/>
          <w:b/>
          <w:bCs/>
          <w:szCs w:val="21"/>
        </w:rPr>
        <w:t>51. 供应商违法责任</w:t>
      </w:r>
    </w:p>
    <w:p w14:paraId="2A6C0FE0">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1.1</w:t>
      </w:r>
      <w:r>
        <w:rPr>
          <w:rFonts w:hint="eastAsia" w:asciiTheme="majorEastAsia" w:hAnsiTheme="majorEastAsia" w:eastAsiaTheme="major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3EA168E">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（1）在采购活动中应当回避而未回避的；</w:t>
      </w:r>
    </w:p>
    <w:p w14:paraId="09D3013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（2）未按本条例规定签订、履行采购合同，造成严重后果的；</w:t>
      </w:r>
    </w:p>
    <w:p w14:paraId="331E406F">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（3）隐瞒真实情况，提供虚假资料的；</w:t>
      </w:r>
    </w:p>
    <w:p w14:paraId="1BC62103">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（4）以非法手段排斥其他供应商参与竞争的；</w:t>
      </w:r>
    </w:p>
    <w:p w14:paraId="07CBBD45">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（5）与其他采购参加人串通投标的；</w:t>
      </w:r>
    </w:p>
    <w:p w14:paraId="4910C6C1">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（6）恶意投诉的；</w:t>
      </w:r>
    </w:p>
    <w:p w14:paraId="5C61E7A4">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（7）向采购项目相关人行贿或者提供其他不当利益的；</w:t>
      </w:r>
    </w:p>
    <w:p w14:paraId="18F13BC8">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（8）阻碍、抗拒主管部门监督检查的；</w:t>
      </w:r>
    </w:p>
    <w:p w14:paraId="20F19E1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（9）其他违反本条例规定的行为。</w:t>
      </w:r>
    </w:p>
    <w:p w14:paraId="702C80F6">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 xml:space="preserve">1.2 </w:t>
      </w:r>
      <w:r>
        <w:rPr>
          <w:rFonts w:hint="eastAsia" w:asciiTheme="majorEastAsia" w:hAnsiTheme="majorEastAsia" w:eastAsiaTheme="majorEastAsia"/>
          <w:szCs w:val="21"/>
        </w:rPr>
        <w:t>根据《深圳市财政局关于明确政府采购保证金管理工作的通知》（深财购[2019]42号）的要求，供应商在政府采购活动中出现《深圳经济特区政府采购条例实施细则》第八十四条所列情形的，</w:t>
      </w:r>
      <w:bookmarkStart w:id="79" w:name="_Hlk72440769"/>
      <w:r>
        <w:rPr>
          <w:rFonts w:hint="eastAsia" w:asciiTheme="majorEastAsia" w:hAnsiTheme="majorEastAsia" w:eastAsiaTheme="majorEastAsia"/>
          <w:szCs w:val="21"/>
        </w:rPr>
        <w:t>采购人或采购代理机构</w:t>
      </w:r>
      <w:bookmarkEnd w:id="79"/>
      <w:r>
        <w:rPr>
          <w:rFonts w:hint="eastAsia" w:asciiTheme="majorEastAsia" w:hAnsiTheme="majorEastAsia" w:eastAsiaTheme="majorEastAsia"/>
          <w:szCs w:val="21"/>
        </w:rPr>
        <w:t>可将有关情况报同级财政部门，由财政部门根据实际情况记入供应商诚信档案，予以通报：</w:t>
      </w:r>
    </w:p>
    <w:p w14:paraId="738308D2">
      <w:pPr>
        <w:spacing w:line="360" w:lineRule="auto"/>
        <w:ind w:firstLine="411" w:firstLineChars="196"/>
        <w:rPr>
          <w:rFonts w:asciiTheme="majorEastAsia" w:hAnsiTheme="majorEastAsia" w:eastAsiaTheme="majorEastAsia"/>
          <w:szCs w:val="21"/>
        </w:rPr>
      </w:pPr>
      <w:r>
        <w:rPr>
          <w:rFonts w:hint="eastAsia" w:asciiTheme="majorEastAsia" w:hAnsiTheme="majorEastAsia" w:eastAsiaTheme="majorEastAsia"/>
          <w:szCs w:val="21"/>
        </w:rPr>
        <w:t>（1</w:t>
      </w:r>
      <w:r>
        <w:rPr>
          <w:rFonts w:asciiTheme="majorEastAsia" w:hAnsiTheme="majorEastAsia" w:eastAsiaTheme="majorEastAsia"/>
          <w:szCs w:val="21"/>
        </w:rPr>
        <w:t>）投标截止后，撤销投标的；</w:t>
      </w:r>
    </w:p>
    <w:p w14:paraId="67057DE4">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2</w:t>
      </w:r>
      <w:r>
        <w:rPr>
          <w:rFonts w:asciiTheme="majorEastAsia" w:hAnsiTheme="majorEastAsia" w:eastAsiaTheme="majorEastAsia"/>
          <w:szCs w:val="21"/>
        </w:rPr>
        <w:t>）中标后无正当理由未在规定期限内签订合同的；</w:t>
      </w:r>
    </w:p>
    <w:p w14:paraId="33AD450E">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3</w:t>
      </w:r>
      <w:r>
        <w:rPr>
          <w:rFonts w:asciiTheme="majorEastAsia" w:hAnsiTheme="majorEastAsia" w:eastAsiaTheme="majorEastAsia"/>
          <w:szCs w:val="21"/>
        </w:rPr>
        <w:t>）将中标项目转让给他人、或者在投标文件中未说明且未经采购人、采购招标机构同意，将中标项目分包给他人的；</w:t>
      </w:r>
    </w:p>
    <w:p w14:paraId="5A27B2CF">
      <w:pPr>
        <w:spacing w:line="360" w:lineRule="auto"/>
        <w:ind w:firstLine="411" w:firstLineChars="196"/>
        <w:rPr>
          <w:rFonts w:asciiTheme="majorEastAsia" w:hAnsiTheme="majorEastAsia" w:eastAsiaTheme="majorEastAsia"/>
          <w:szCs w:val="21"/>
        </w:rPr>
      </w:pPr>
      <w:r>
        <w:rPr>
          <w:rFonts w:asciiTheme="majorEastAsia" w:hAnsiTheme="majorEastAsia" w:eastAsiaTheme="majorEastAsia"/>
          <w:szCs w:val="21"/>
        </w:rPr>
        <w:t>（</w:t>
      </w:r>
      <w:r>
        <w:rPr>
          <w:rFonts w:hint="eastAsia" w:asciiTheme="majorEastAsia" w:hAnsiTheme="majorEastAsia" w:eastAsiaTheme="majorEastAsia"/>
          <w:szCs w:val="21"/>
        </w:rPr>
        <w:t>4</w:t>
      </w:r>
      <w:r>
        <w:rPr>
          <w:rFonts w:asciiTheme="majorEastAsia" w:hAnsiTheme="majorEastAsia" w:eastAsiaTheme="majorEastAsia"/>
          <w:szCs w:val="21"/>
        </w:rPr>
        <w:t>）拒绝履行合同义务的</w:t>
      </w:r>
      <w:r>
        <w:rPr>
          <w:rFonts w:hint="eastAsia" w:asciiTheme="majorEastAsia" w:hAnsiTheme="majorEastAsia" w:eastAsiaTheme="majorEastAsia"/>
          <w:szCs w:val="21"/>
        </w:rPr>
        <w:t>。</w:t>
      </w:r>
    </w:p>
    <w:bookmarkEnd w:id="63"/>
    <w:p w14:paraId="6C2818F2">
      <w:pPr>
        <w:keepNext/>
        <w:keepLines/>
        <w:widowControl/>
        <w:numPr>
          <w:ilvl w:val="0"/>
          <w:numId w:val="2"/>
        </w:numPr>
        <w:adjustRightInd w:val="0"/>
        <w:spacing w:beforeLines="50" w:afterLines="50" w:line="360" w:lineRule="auto"/>
        <w:ind w:left="562" w:hanging="562"/>
        <w:jc w:val="center"/>
        <w:textAlignment w:val="baseline"/>
        <w:outlineLvl w:val="1"/>
        <w:rPr>
          <w:rFonts w:asciiTheme="majorEastAsia" w:hAnsiTheme="majorEastAsia" w:eastAsiaTheme="majorEastAsia"/>
          <w:b/>
          <w:bCs/>
          <w:kern w:val="0"/>
          <w:sz w:val="28"/>
          <w:szCs w:val="28"/>
        </w:rPr>
      </w:pPr>
      <w:r>
        <w:rPr>
          <w:rFonts w:hint="eastAsia" w:asciiTheme="majorEastAsia" w:hAnsiTheme="majorEastAsia" w:eastAsiaTheme="majorEastAsia"/>
          <w:b/>
          <w:bCs/>
          <w:kern w:val="0"/>
          <w:sz w:val="28"/>
          <w:szCs w:val="28"/>
        </w:rPr>
        <w:t>质疑处理</w:t>
      </w:r>
    </w:p>
    <w:p w14:paraId="6ED6547F">
      <w:pPr>
        <w:spacing w:line="360" w:lineRule="auto"/>
        <w:rPr>
          <w:rFonts w:asciiTheme="majorEastAsia" w:hAnsiTheme="majorEastAsia" w:eastAsiaTheme="majorEastAsia"/>
          <w:b/>
          <w:bCs/>
          <w:szCs w:val="21"/>
        </w:rPr>
      </w:pPr>
      <w:bookmarkStart w:id="80" w:name="_Hlk72439706"/>
      <w:r>
        <w:rPr>
          <w:rFonts w:hint="eastAsia" w:asciiTheme="majorEastAsia" w:hAnsiTheme="majorEastAsia" w:eastAsiaTheme="majorEastAsia"/>
          <w:b/>
          <w:bCs/>
          <w:szCs w:val="21"/>
        </w:rPr>
        <w:t>52.质疑提出与答复</w:t>
      </w:r>
    </w:p>
    <w:p w14:paraId="23EDB0A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52.1提出质疑</w:t>
      </w:r>
    </w:p>
    <w:p w14:paraId="5EA7F734">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73252663">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52.2</w:t>
      </w:r>
      <w:r>
        <w:rPr>
          <w:rFonts w:asciiTheme="majorEastAsia" w:hAnsiTheme="majorEastAsia" w:eastAsiaTheme="majorEastAsia"/>
          <w:szCs w:val="21"/>
        </w:rPr>
        <w:t>法律依据</w:t>
      </w:r>
    </w:p>
    <w:p w14:paraId="6975576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6F96A0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52.3质疑条件</w:t>
      </w:r>
    </w:p>
    <w:p w14:paraId="13567D1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52.3.1提出质疑的供应商应当是参与所质疑项目采购活动的供应商；</w:t>
      </w:r>
      <w:bookmarkStart w:id="81" w:name="_Hlk75374941"/>
      <w:r>
        <w:rPr>
          <w:rFonts w:hint="eastAsia" w:asciiTheme="majorEastAsia" w:hAnsiTheme="majorEastAsia" w:eastAsiaTheme="majorEastAsia"/>
          <w:szCs w:val="21"/>
        </w:rPr>
        <w:t>以联合体形式参与的，质疑应当由组成联合体的所有成员共同提出</w:t>
      </w:r>
      <w:bookmarkEnd w:id="81"/>
      <w:r>
        <w:rPr>
          <w:rFonts w:hint="eastAsia" w:asciiTheme="majorEastAsia" w:hAnsiTheme="majorEastAsia" w:eastAsiaTheme="majorEastAsia"/>
          <w:szCs w:val="21"/>
        </w:rPr>
        <w:t>；</w:t>
      </w:r>
    </w:p>
    <w:p w14:paraId="247EF8E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C013D59">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52.3.3应提交书面质疑函，质疑函应当包括以下内容：</w:t>
      </w:r>
    </w:p>
    <w:p w14:paraId="73EEC25B">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（1）供应商的名称（或者姓名）、地址、邮编、邮箱、联系人及联系电话；</w:t>
      </w:r>
    </w:p>
    <w:p w14:paraId="7EA9C98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96E8E1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64ACF2E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6C8BB53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5A95592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3EF6537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4EA6D1A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0FBA7B4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52.4提交</w:t>
      </w:r>
      <w:r>
        <w:rPr>
          <w:rFonts w:asciiTheme="majorEastAsia" w:hAnsiTheme="majorEastAsia" w:eastAsiaTheme="majorEastAsia"/>
          <w:szCs w:val="21"/>
        </w:rPr>
        <w:t>材料</w:t>
      </w:r>
    </w:p>
    <w:p w14:paraId="7C3AB03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21283F79">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B6386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52.5提交方式</w:t>
      </w:r>
    </w:p>
    <w:p w14:paraId="5B562D15">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5</w:t>
      </w:r>
      <w:r>
        <w:rPr>
          <w:rFonts w:asciiTheme="majorEastAsia" w:hAnsiTheme="majorEastAsia" w:eastAsiaTheme="majorEastAsia"/>
          <w:szCs w:val="21"/>
        </w:rPr>
        <w:t>2.5.1</w:t>
      </w:r>
      <w:r>
        <w:rPr>
          <w:rFonts w:hint="eastAsia" w:asciiTheme="majorEastAsia" w:hAnsiTheme="majorEastAsia" w:eastAsiaTheme="majorEastAsia"/>
          <w:szCs w:val="21"/>
        </w:rPr>
        <w:t>供应商登录“深圳政府采购智慧平台用户网上办事子系统（http://zfcg.szggzy.com/TPBidder/memberLogin）”，在“【我的项目】→【项目流程】→【质疑】”中提出质疑。</w:t>
      </w:r>
    </w:p>
    <w:p w14:paraId="72574F5B">
      <w:pPr>
        <w:spacing w:line="360" w:lineRule="auto"/>
        <w:ind w:firstLine="420" w:firstLineChars="200"/>
        <w:rPr>
          <w:rFonts w:asciiTheme="majorEastAsia" w:hAnsiTheme="majorEastAsia" w:eastAsiaTheme="majorEastAsia"/>
          <w:b/>
          <w:bCs/>
          <w:szCs w:val="21"/>
        </w:rPr>
      </w:pPr>
      <w:r>
        <w:rPr>
          <w:rFonts w:hint="eastAsia" w:asciiTheme="majorEastAsia" w:hAnsiTheme="majorEastAsia" w:eastAsiaTheme="majorEastAsia"/>
          <w:szCs w:val="21"/>
        </w:rPr>
        <w:t>5</w:t>
      </w:r>
      <w:r>
        <w:rPr>
          <w:rFonts w:asciiTheme="majorEastAsia" w:hAnsiTheme="majorEastAsia" w:eastAsiaTheme="majorEastAsia"/>
          <w:szCs w:val="21"/>
        </w:rPr>
        <w:t>2.5.2</w:t>
      </w:r>
      <w:r>
        <w:rPr>
          <w:rFonts w:hint="eastAsia" w:asciiTheme="majorEastAsia" w:hAnsiTheme="majorEastAsia" w:eastAsiaTheme="majorEastAsia"/>
          <w:szCs w:val="21"/>
        </w:rPr>
        <w:t>同时，请质疑供应商根据深圳政府采购智慧平台（http://zfcg.szggzy.com/）所发布的质疑指引、质疑函模板填写质疑函并提交质疑材料。</w:t>
      </w:r>
      <w:r>
        <w:rPr>
          <w:rFonts w:hint="eastAsia" w:asciiTheme="majorEastAsia" w:hAnsiTheme="majorEastAsia" w:eastAsiaTheme="majorEastAsia"/>
          <w:bCs/>
          <w:szCs w:val="21"/>
        </w:rPr>
        <w:t>地址：深圳市中正招标有限公司（深圳市福田区民田路171号新华保险大厦903），质疑咨询电话：0755-83026699。</w:t>
      </w:r>
    </w:p>
    <w:p w14:paraId="7682383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52.6收文办理</w:t>
      </w:r>
      <w:r>
        <w:rPr>
          <w:rFonts w:asciiTheme="majorEastAsia" w:hAnsiTheme="majorEastAsia" w:eastAsiaTheme="majorEastAsia"/>
          <w:szCs w:val="21"/>
        </w:rPr>
        <w:t>程序</w:t>
      </w:r>
    </w:p>
    <w:p w14:paraId="48A81AF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0FD677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52.6.2供应商提交的质疑材料不符合质疑条件的，视情况处理：</w:t>
      </w:r>
    </w:p>
    <w:p w14:paraId="346AEF4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1D2D2AD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742946B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6FBD7E8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5BECD44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390721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3B14097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78948373">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3D597A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52.7质疑答复时限</w:t>
      </w:r>
    </w:p>
    <w:p w14:paraId="695EF90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02AC351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52.8投诉</w:t>
      </w:r>
    </w:p>
    <w:p w14:paraId="2D21F9BA">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80"/>
    </w:p>
    <w:p w14:paraId="04100A33">
      <w:pPr>
        <w:widowControl/>
        <w:jc w:val="left"/>
        <w:rPr>
          <w:rFonts w:ascii="宋体" w:hAnsi="宋体"/>
          <w:b/>
          <w:bCs/>
          <w:kern w:val="0"/>
          <w:sz w:val="24"/>
          <w:szCs w:val="20"/>
        </w:rPr>
      </w:pPr>
    </w:p>
    <w:sectPr>
      <w:pgSz w:w="11906" w:h="16838"/>
      <w:pgMar w:top="1440" w:right="1417" w:bottom="1440" w:left="141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ˎ̥">
    <w:altName w:val="微软雅黑"/>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Arial (W1)">
    <w:altName w:val="Arial"/>
    <w:panose1 w:val="00000000000000000000"/>
    <w:charset w:val="00"/>
    <w:family w:val="swiss"/>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文鼎粗黑">
    <w:altName w:val="黑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汉仪细等线简">
    <w:altName w:val="宋体"/>
    <w:panose1 w:val="00020600040101010101"/>
    <w:charset w:val="86"/>
    <w:family w:val="modern"/>
    <w:pitch w:val="default"/>
    <w:sig w:usb0="00000000" w:usb1="00000000" w:usb2="00000012" w:usb3="00000000" w:csb0="0004009F" w:csb1="DFD7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38497"/>
    </w:sdtPr>
    <w:sdtContent>
      <w:p w14:paraId="744C42B3">
        <w:pPr>
          <w:pStyle w:val="27"/>
          <w:jc w:val="center"/>
        </w:pPr>
        <w:r>
          <w:fldChar w:fldCharType="begin"/>
        </w:r>
        <w:r>
          <w:instrText xml:space="preserve"> PAGE   \* MERGEFORMAT </w:instrText>
        </w:r>
        <w:r>
          <w:fldChar w:fldCharType="separate"/>
        </w:r>
        <w:r>
          <w:rPr>
            <w:lang w:val="zh-CN"/>
          </w:rPr>
          <w:t>32</w:t>
        </w:r>
        <w:r>
          <w:rPr>
            <w:lang w:val="zh-CN"/>
          </w:rPr>
          <w:fldChar w:fldCharType="end"/>
        </w:r>
      </w:p>
    </w:sdtContent>
  </w:sdt>
  <w:p w14:paraId="4AADD906">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japaneseCounting"/>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6F6730E"/>
    <w:multiLevelType w:val="multilevel"/>
    <w:tmpl w:val="26F6730E"/>
    <w:lvl w:ilvl="0" w:tentative="0">
      <w:start w:val="1"/>
      <w:numFmt w:val="japaneseCounting"/>
      <w:lvlText w:val="第%1条"/>
      <w:lvlJc w:val="left"/>
      <w:pPr>
        <w:tabs>
          <w:tab w:val="left" w:pos="0"/>
        </w:tabs>
        <w:ind w:left="885" w:hanging="885"/>
      </w:pPr>
      <w:rPr>
        <w:rFonts w:hint="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s>
  <w:rsids>
    <w:rsidRoot w:val="00103A86"/>
    <w:rsid w:val="00000F5F"/>
    <w:rsid w:val="00001526"/>
    <w:rsid w:val="00002B3E"/>
    <w:rsid w:val="000051FB"/>
    <w:rsid w:val="00010CD3"/>
    <w:rsid w:val="00010EAF"/>
    <w:rsid w:val="00013C6F"/>
    <w:rsid w:val="00013F11"/>
    <w:rsid w:val="00017B27"/>
    <w:rsid w:val="00017EF4"/>
    <w:rsid w:val="00020580"/>
    <w:rsid w:val="000210AC"/>
    <w:rsid w:val="000212B9"/>
    <w:rsid w:val="00026D62"/>
    <w:rsid w:val="0002760A"/>
    <w:rsid w:val="00031553"/>
    <w:rsid w:val="00033434"/>
    <w:rsid w:val="00035488"/>
    <w:rsid w:val="00041BD3"/>
    <w:rsid w:val="00043C69"/>
    <w:rsid w:val="00045D06"/>
    <w:rsid w:val="00047456"/>
    <w:rsid w:val="0005288D"/>
    <w:rsid w:val="00052AA5"/>
    <w:rsid w:val="00053282"/>
    <w:rsid w:val="00053E42"/>
    <w:rsid w:val="00054E39"/>
    <w:rsid w:val="00055F35"/>
    <w:rsid w:val="00056152"/>
    <w:rsid w:val="00057148"/>
    <w:rsid w:val="00072314"/>
    <w:rsid w:val="00072877"/>
    <w:rsid w:val="00076F21"/>
    <w:rsid w:val="00081E93"/>
    <w:rsid w:val="00084FFC"/>
    <w:rsid w:val="000878B9"/>
    <w:rsid w:val="00091185"/>
    <w:rsid w:val="00093911"/>
    <w:rsid w:val="00094626"/>
    <w:rsid w:val="0009519F"/>
    <w:rsid w:val="00097123"/>
    <w:rsid w:val="000A0AE2"/>
    <w:rsid w:val="000A1CCC"/>
    <w:rsid w:val="000A2349"/>
    <w:rsid w:val="000A2EEF"/>
    <w:rsid w:val="000B1F98"/>
    <w:rsid w:val="000B3600"/>
    <w:rsid w:val="000B4026"/>
    <w:rsid w:val="000B4402"/>
    <w:rsid w:val="000B4536"/>
    <w:rsid w:val="000B5D6F"/>
    <w:rsid w:val="000B7AEC"/>
    <w:rsid w:val="000B7D39"/>
    <w:rsid w:val="000C1237"/>
    <w:rsid w:val="000C2DF7"/>
    <w:rsid w:val="000C3C3C"/>
    <w:rsid w:val="000C6F22"/>
    <w:rsid w:val="000D1E66"/>
    <w:rsid w:val="000D2659"/>
    <w:rsid w:val="000D2792"/>
    <w:rsid w:val="000D3A8C"/>
    <w:rsid w:val="000D63EA"/>
    <w:rsid w:val="000D7062"/>
    <w:rsid w:val="000D7BB3"/>
    <w:rsid w:val="000E0B80"/>
    <w:rsid w:val="000E0FC1"/>
    <w:rsid w:val="000E1A4A"/>
    <w:rsid w:val="000F345B"/>
    <w:rsid w:val="000F37FF"/>
    <w:rsid w:val="000F3E6E"/>
    <w:rsid w:val="000F4129"/>
    <w:rsid w:val="000F5B06"/>
    <w:rsid w:val="000F5ECB"/>
    <w:rsid w:val="000F6BC0"/>
    <w:rsid w:val="000F74E0"/>
    <w:rsid w:val="000F7A75"/>
    <w:rsid w:val="000F7F8C"/>
    <w:rsid w:val="00100E4E"/>
    <w:rsid w:val="00101F69"/>
    <w:rsid w:val="00101F8B"/>
    <w:rsid w:val="00103A86"/>
    <w:rsid w:val="00105734"/>
    <w:rsid w:val="001069FB"/>
    <w:rsid w:val="00112114"/>
    <w:rsid w:val="001207E9"/>
    <w:rsid w:val="00123879"/>
    <w:rsid w:val="00123D47"/>
    <w:rsid w:val="00124153"/>
    <w:rsid w:val="00127F85"/>
    <w:rsid w:val="00132093"/>
    <w:rsid w:val="00135F8D"/>
    <w:rsid w:val="00136086"/>
    <w:rsid w:val="0013643E"/>
    <w:rsid w:val="00136A99"/>
    <w:rsid w:val="0013763C"/>
    <w:rsid w:val="0014134B"/>
    <w:rsid w:val="001429E4"/>
    <w:rsid w:val="001434C4"/>
    <w:rsid w:val="00144AF1"/>
    <w:rsid w:val="00144C0F"/>
    <w:rsid w:val="00146B6B"/>
    <w:rsid w:val="00154E01"/>
    <w:rsid w:val="0016001B"/>
    <w:rsid w:val="00161B46"/>
    <w:rsid w:val="00162A02"/>
    <w:rsid w:val="0016401E"/>
    <w:rsid w:val="00164645"/>
    <w:rsid w:val="00165097"/>
    <w:rsid w:val="001663AA"/>
    <w:rsid w:val="00166DC3"/>
    <w:rsid w:val="00172186"/>
    <w:rsid w:val="00173FA7"/>
    <w:rsid w:val="00176757"/>
    <w:rsid w:val="001774EA"/>
    <w:rsid w:val="001779CB"/>
    <w:rsid w:val="00177D78"/>
    <w:rsid w:val="001829DD"/>
    <w:rsid w:val="00182C14"/>
    <w:rsid w:val="00182F93"/>
    <w:rsid w:val="00183E48"/>
    <w:rsid w:val="0018445D"/>
    <w:rsid w:val="00186C13"/>
    <w:rsid w:val="0019098F"/>
    <w:rsid w:val="00190E39"/>
    <w:rsid w:val="00192FA2"/>
    <w:rsid w:val="00195091"/>
    <w:rsid w:val="001A4688"/>
    <w:rsid w:val="001A6235"/>
    <w:rsid w:val="001A7B97"/>
    <w:rsid w:val="001A7E9F"/>
    <w:rsid w:val="001B0736"/>
    <w:rsid w:val="001B182A"/>
    <w:rsid w:val="001B23DF"/>
    <w:rsid w:val="001B3E1A"/>
    <w:rsid w:val="001B78B8"/>
    <w:rsid w:val="001B792B"/>
    <w:rsid w:val="001C2A95"/>
    <w:rsid w:val="001C3BC1"/>
    <w:rsid w:val="001D297A"/>
    <w:rsid w:val="001D532C"/>
    <w:rsid w:val="001E021F"/>
    <w:rsid w:val="001E5166"/>
    <w:rsid w:val="001E63A6"/>
    <w:rsid w:val="001E670C"/>
    <w:rsid w:val="001E7EC4"/>
    <w:rsid w:val="001F2756"/>
    <w:rsid w:val="001F5DBD"/>
    <w:rsid w:val="001F646F"/>
    <w:rsid w:val="001F7F91"/>
    <w:rsid w:val="00200342"/>
    <w:rsid w:val="00201237"/>
    <w:rsid w:val="00202335"/>
    <w:rsid w:val="00202D92"/>
    <w:rsid w:val="002034C2"/>
    <w:rsid w:val="00203AC5"/>
    <w:rsid w:val="00206F1A"/>
    <w:rsid w:val="002074CD"/>
    <w:rsid w:val="002108E8"/>
    <w:rsid w:val="002135F8"/>
    <w:rsid w:val="00217A36"/>
    <w:rsid w:val="00217B3F"/>
    <w:rsid w:val="00220C5E"/>
    <w:rsid w:val="00222612"/>
    <w:rsid w:val="002300CF"/>
    <w:rsid w:val="00231DCF"/>
    <w:rsid w:val="00231E94"/>
    <w:rsid w:val="00231FB6"/>
    <w:rsid w:val="00234A66"/>
    <w:rsid w:val="002354A2"/>
    <w:rsid w:val="002418AD"/>
    <w:rsid w:val="00241C2F"/>
    <w:rsid w:val="00243E8A"/>
    <w:rsid w:val="0024433A"/>
    <w:rsid w:val="002446DC"/>
    <w:rsid w:val="002452F6"/>
    <w:rsid w:val="002477F6"/>
    <w:rsid w:val="00247934"/>
    <w:rsid w:val="00252837"/>
    <w:rsid w:val="002531A5"/>
    <w:rsid w:val="00254756"/>
    <w:rsid w:val="002606E7"/>
    <w:rsid w:val="00260C60"/>
    <w:rsid w:val="002629C0"/>
    <w:rsid w:val="002652B4"/>
    <w:rsid w:val="00265F79"/>
    <w:rsid w:val="00267FC8"/>
    <w:rsid w:val="00270871"/>
    <w:rsid w:val="0027121B"/>
    <w:rsid w:val="0027312A"/>
    <w:rsid w:val="00273D6B"/>
    <w:rsid w:val="002753A8"/>
    <w:rsid w:val="0028241E"/>
    <w:rsid w:val="002867E0"/>
    <w:rsid w:val="00287E9E"/>
    <w:rsid w:val="00287F91"/>
    <w:rsid w:val="0029138D"/>
    <w:rsid w:val="00291B1B"/>
    <w:rsid w:val="00291D1C"/>
    <w:rsid w:val="00292956"/>
    <w:rsid w:val="002934B9"/>
    <w:rsid w:val="00293AB2"/>
    <w:rsid w:val="00294F5F"/>
    <w:rsid w:val="002952BC"/>
    <w:rsid w:val="0029679A"/>
    <w:rsid w:val="002968EA"/>
    <w:rsid w:val="002A19D6"/>
    <w:rsid w:val="002A1C9A"/>
    <w:rsid w:val="002A6A8D"/>
    <w:rsid w:val="002A73B4"/>
    <w:rsid w:val="002A7F40"/>
    <w:rsid w:val="002B1E2D"/>
    <w:rsid w:val="002B4848"/>
    <w:rsid w:val="002B73FC"/>
    <w:rsid w:val="002B763E"/>
    <w:rsid w:val="002C2B90"/>
    <w:rsid w:val="002C317D"/>
    <w:rsid w:val="002C3CEF"/>
    <w:rsid w:val="002C4614"/>
    <w:rsid w:val="002C76FC"/>
    <w:rsid w:val="002D0555"/>
    <w:rsid w:val="002D175A"/>
    <w:rsid w:val="002D34A5"/>
    <w:rsid w:val="002D35C6"/>
    <w:rsid w:val="002D3FE3"/>
    <w:rsid w:val="002D5B4D"/>
    <w:rsid w:val="002D5F35"/>
    <w:rsid w:val="002E0E9F"/>
    <w:rsid w:val="002E2CA0"/>
    <w:rsid w:val="002E2D89"/>
    <w:rsid w:val="002E3119"/>
    <w:rsid w:val="002E424C"/>
    <w:rsid w:val="002E665D"/>
    <w:rsid w:val="002E6858"/>
    <w:rsid w:val="002E6BA0"/>
    <w:rsid w:val="002E737B"/>
    <w:rsid w:val="002F01F4"/>
    <w:rsid w:val="002F4F2E"/>
    <w:rsid w:val="002F6879"/>
    <w:rsid w:val="002F7C97"/>
    <w:rsid w:val="003006BF"/>
    <w:rsid w:val="003008B6"/>
    <w:rsid w:val="00300B8A"/>
    <w:rsid w:val="0030199B"/>
    <w:rsid w:val="00304669"/>
    <w:rsid w:val="003134D0"/>
    <w:rsid w:val="0031455C"/>
    <w:rsid w:val="00315CA6"/>
    <w:rsid w:val="0031688D"/>
    <w:rsid w:val="0032060F"/>
    <w:rsid w:val="0032136F"/>
    <w:rsid w:val="0032158E"/>
    <w:rsid w:val="00321C26"/>
    <w:rsid w:val="00321D49"/>
    <w:rsid w:val="00323BF8"/>
    <w:rsid w:val="003274C9"/>
    <w:rsid w:val="00334DFC"/>
    <w:rsid w:val="00335B69"/>
    <w:rsid w:val="00335E1F"/>
    <w:rsid w:val="00340269"/>
    <w:rsid w:val="00341462"/>
    <w:rsid w:val="00343947"/>
    <w:rsid w:val="00343D25"/>
    <w:rsid w:val="0034602D"/>
    <w:rsid w:val="0034731C"/>
    <w:rsid w:val="00350D9C"/>
    <w:rsid w:val="00352073"/>
    <w:rsid w:val="003520D2"/>
    <w:rsid w:val="00353324"/>
    <w:rsid w:val="0035334F"/>
    <w:rsid w:val="00353C2B"/>
    <w:rsid w:val="003541EA"/>
    <w:rsid w:val="00355255"/>
    <w:rsid w:val="0035786E"/>
    <w:rsid w:val="003604E6"/>
    <w:rsid w:val="00362824"/>
    <w:rsid w:val="00364E19"/>
    <w:rsid w:val="0036526C"/>
    <w:rsid w:val="00366D19"/>
    <w:rsid w:val="00366E70"/>
    <w:rsid w:val="00381E45"/>
    <w:rsid w:val="00383F0B"/>
    <w:rsid w:val="00385398"/>
    <w:rsid w:val="003861CD"/>
    <w:rsid w:val="00386BE2"/>
    <w:rsid w:val="003909B8"/>
    <w:rsid w:val="00391C88"/>
    <w:rsid w:val="00395A00"/>
    <w:rsid w:val="0039674E"/>
    <w:rsid w:val="003A2F53"/>
    <w:rsid w:val="003A61C9"/>
    <w:rsid w:val="003A7BDB"/>
    <w:rsid w:val="003B1518"/>
    <w:rsid w:val="003B477B"/>
    <w:rsid w:val="003B5360"/>
    <w:rsid w:val="003C1A26"/>
    <w:rsid w:val="003C2295"/>
    <w:rsid w:val="003C3E40"/>
    <w:rsid w:val="003C5B3E"/>
    <w:rsid w:val="003D1B12"/>
    <w:rsid w:val="003D2340"/>
    <w:rsid w:val="003D23B8"/>
    <w:rsid w:val="003D2828"/>
    <w:rsid w:val="003D2EFA"/>
    <w:rsid w:val="003D3346"/>
    <w:rsid w:val="003D408D"/>
    <w:rsid w:val="003D6CD3"/>
    <w:rsid w:val="003E3B27"/>
    <w:rsid w:val="003E51D5"/>
    <w:rsid w:val="003E77F1"/>
    <w:rsid w:val="003E7AB6"/>
    <w:rsid w:val="003F1407"/>
    <w:rsid w:val="003F41FE"/>
    <w:rsid w:val="003F5834"/>
    <w:rsid w:val="003F5E4A"/>
    <w:rsid w:val="003F7201"/>
    <w:rsid w:val="003F7FB5"/>
    <w:rsid w:val="00401E20"/>
    <w:rsid w:val="0040345C"/>
    <w:rsid w:val="00406FB6"/>
    <w:rsid w:val="0041065D"/>
    <w:rsid w:val="004107D9"/>
    <w:rsid w:val="00411AFE"/>
    <w:rsid w:val="00412446"/>
    <w:rsid w:val="00415BBF"/>
    <w:rsid w:val="00415C66"/>
    <w:rsid w:val="00415D20"/>
    <w:rsid w:val="00416664"/>
    <w:rsid w:val="00422275"/>
    <w:rsid w:val="004235A4"/>
    <w:rsid w:val="004268C7"/>
    <w:rsid w:val="00436747"/>
    <w:rsid w:val="00436823"/>
    <w:rsid w:val="00436D0E"/>
    <w:rsid w:val="0043714D"/>
    <w:rsid w:val="0044288C"/>
    <w:rsid w:val="0044387F"/>
    <w:rsid w:val="00444F45"/>
    <w:rsid w:val="00452496"/>
    <w:rsid w:val="00457241"/>
    <w:rsid w:val="00457969"/>
    <w:rsid w:val="00470214"/>
    <w:rsid w:val="004702A4"/>
    <w:rsid w:val="00470AC3"/>
    <w:rsid w:val="00470DDE"/>
    <w:rsid w:val="00473BFB"/>
    <w:rsid w:val="00476ABF"/>
    <w:rsid w:val="00481615"/>
    <w:rsid w:val="0048258B"/>
    <w:rsid w:val="004836AC"/>
    <w:rsid w:val="00484215"/>
    <w:rsid w:val="00484D26"/>
    <w:rsid w:val="00484DBE"/>
    <w:rsid w:val="004858C0"/>
    <w:rsid w:val="004861CC"/>
    <w:rsid w:val="004867C3"/>
    <w:rsid w:val="00490CC8"/>
    <w:rsid w:val="0049604C"/>
    <w:rsid w:val="00496A0A"/>
    <w:rsid w:val="004972E7"/>
    <w:rsid w:val="004A2765"/>
    <w:rsid w:val="004A4F5D"/>
    <w:rsid w:val="004A5C8C"/>
    <w:rsid w:val="004A60AC"/>
    <w:rsid w:val="004A667C"/>
    <w:rsid w:val="004A6E9C"/>
    <w:rsid w:val="004B3843"/>
    <w:rsid w:val="004B3A3A"/>
    <w:rsid w:val="004B60AE"/>
    <w:rsid w:val="004B6178"/>
    <w:rsid w:val="004B757E"/>
    <w:rsid w:val="004B7C51"/>
    <w:rsid w:val="004C1ACC"/>
    <w:rsid w:val="004C31CC"/>
    <w:rsid w:val="004C40D7"/>
    <w:rsid w:val="004C5625"/>
    <w:rsid w:val="004C5ED6"/>
    <w:rsid w:val="004D02D0"/>
    <w:rsid w:val="004D04CE"/>
    <w:rsid w:val="004D08F6"/>
    <w:rsid w:val="004D536D"/>
    <w:rsid w:val="004D5953"/>
    <w:rsid w:val="004E0C6E"/>
    <w:rsid w:val="004E3678"/>
    <w:rsid w:val="004E39F1"/>
    <w:rsid w:val="004E48A7"/>
    <w:rsid w:val="004F18FA"/>
    <w:rsid w:val="004F3B85"/>
    <w:rsid w:val="004F5425"/>
    <w:rsid w:val="004F5B29"/>
    <w:rsid w:val="004F7FD4"/>
    <w:rsid w:val="00502B0E"/>
    <w:rsid w:val="00502F84"/>
    <w:rsid w:val="00505EE2"/>
    <w:rsid w:val="00507DFF"/>
    <w:rsid w:val="0051248B"/>
    <w:rsid w:val="005168DE"/>
    <w:rsid w:val="00521293"/>
    <w:rsid w:val="00523ABC"/>
    <w:rsid w:val="00523BC1"/>
    <w:rsid w:val="005244EE"/>
    <w:rsid w:val="00524C0B"/>
    <w:rsid w:val="005275BC"/>
    <w:rsid w:val="005276AA"/>
    <w:rsid w:val="00530F6C"/>
    <w:rsid w:val="00531FE5"/>
    <w:rsid w:val="00532F7C"/>
    <w:rsid w:val="00535553"/>
    <w:rsid w:val="0053625D"/>
    <w:rsid w:val="0053628E"/>
    <w:rsid w:val="00536989"/>
    <w:rsid w:val="00537D2D"/>
    <w:rsid w:val="00540E25"/>
    <w:rsid w:val="00541552"/>
    <w:rsid w:val="00545707"/>
    <w:rsid w:val="005473DF"/>
    <w:rsid w:val="00547E43"/>
    <w:rsid w:val="0055051A"/>
    <w:rsid w:val="00550D1C"/>
    <w:rsid w:val="005567C6"/>
    <w:rsid w:val="00556EB7"/>
    <w:rsid w:val="0055768A"/>
    <w:rsid w:val="00560F57"/>
    <w:rsid w:val="005620A7"/>
    <w:rsid w:val="005625D5"/>
    <w:rsid w:val="0056570D"/>
    <w:rsid w:val="00565ED8"/>
    <w:rsid w:val="00566BD4"/>
    <w:rsid w:val="00570797"/>
    <w:rsid w:val="00572443"/>
    <w:rsid w:val="0057724E"/>
    <w:rsid w:val="0058063A"/>
    <w:rsid w:val="005808E0"/>
    <w:rsid w:val="0058149B"/>
    <w:rsid w:val="0058192B"/>
    <w:rsid w:val="00581E11"/>
    <w:rsid w:val="00582367"/>
    <w:rsid w:val="00584A24"/>
    <w:rsid w:val="00585EC1"/>
    <w:rsid w:val="00586704"/>
    <w:rsid w:val="0059128B"/>
    <w:rsid w:val="005946C7"/>
    <w:rsid w:val="00595CFA"/>
    <w:rsid w:val="005A46D8"/>
    <w:rsid w:val="005A51D2"/>
    <w:rsid w:val="005A7BB6"/>
    <w:rsid w:val="005B62D6"/>
    <w:rsid w:val="005D3725"/>
    <w:rsid w:val="005D4FDB"/>
    <w:rsid w:val="005D6295"/>
    <w:rsid w:val="005D6659"/>
    <w:rsid w:val="005D7AF6"/>
    <w:rsid w:val="005E2FAA"/>
    <w:rsid w:val="005E3D64"/>
    <w:rsid w:val="005E45FD"/>
    <w:rsid w:val="005E5D0E"/>
    <w:rsid w:val="005E6167"/>
    <w:rsid w:val="005F1472"/>
    <w:rsid w:val="005F1B11"/>
    <w:rsid w:val="005F22E2"/>
    <w:rsid w:val="005F2EDA"/>
    <w:rsid w:val="005F318E"/>
    <w:rsid w:val="005F6695"/>
    <w:rsid w:val="006049A0"/>
    <w:rsid w:val="00606E3B"/>
    <w:rsid w:val="00607E8A"/>
    <w:rsid w:val="0061141D"/>
    <w:rsid w:val="006137C4"/>
    <w:rsid w:val="00615160"/>
    <w:rsid w:val="006154A6"/>
    <w:rsid w:val="00615993"/>
    <w:rsid w:val="00615BEC"/>
    <w:rsid w:val="00616062"/>
    <w:rsid w:val="00620A11"/>
    <w:rsid w:val="00624B9B"/>
    <w:rsid w:val="0062508B"/>
    <w:rsid w:val="00625CB7"/>
    <w:rsid w:val="00630B07"/>
    <w:rsid w:val="0063464A"/>
    <w:rsid w:val="00636B52"/>
    <w:rsid w:val="00641F0A"/>
    <w:rsid w:val="006421A8"/>
    <w:rsid w:val="00642BA7"/>
    <w:rsid w:val="00643C1D"/>
    <w:rsid w:val="00643E89"/>
    <w:rsid w:val="00645D4B"/>
    <w:rsid w:val="00646407"/>
    <w:rsid w:val="00651051"/>
    <w:rsid w:val="0065448C"/>
    <w:rsid w:val="0066244E"/>
    <w:rsid w:val="00665DD7"/>
    <w:rsid w:val="006662BB"/>
    <w:rsid w:val="00667476"/>
    <w:rsid w:val="00670CB9"/>
    <w:rsid w:val="006737C8"/>
    <w:rsid w:val="00675289"/>
    <w:rsid w:val="00675810"/>
    <w:rsid w:val="00677A79"/>
    <w:rsid w:val="00681216"/>
    <w:rsid w:val="006835C3"/>
    <w:rsid w:val="00685854"/>
    <w:rsid w:val="00685E9E"/>
    <w:rsid w:val="00686EE7"/>
    <w:rsid w:val="00687212"/>
    <w:rsid w:val="00690397"/>
    <w:rsid w:val="00692281"/>
    <w:rsid w:val="00693711"/>
    <w:rsid w:val="00694D5D"/>
    <w:rsid w:val="006951CF"/>
    <w:rsid w:val="006958C0"/>
    <w:rsid w:val="00696A4E"/>
    <w:rsid w:val="006971BC"/>
    <w:rsid w:val="006A0193"/>
    <w:rsid w:val="006A13AC"/>
    <w:rsid w:val="006A5182"/>
    <w:rsid w:val="006A5DC8"/>
    <w:rsid w:val="006A65A7"/>
    <w:rsid w:val="006A664E"/>
    <w:rsid w:val="006B098C"/>
    <w:rsid w:val="006B2978"/>
    <w:rsid w:val="006B311A"/>
    <w:rsid w:val="006B315C"/>
    <w:rsid w:val="006B3FF4"/>
    <w:rsid w:val="006C1B57"/>
    <w:rsid w:val="006C1F3B"/>
    <w:rsid w:val="006C2072"/>
    <w:rsid w:val="006C23B9"/>
    <w:rsid w:val="006C3731"/>
    <w:rsid w:val="006D0CCD"/>
    <w:rsid w:val="006D1972"/>
    <w:rsid w:val="006D1F18"/>
    <w:rsid w:val="006D25B3"/>
    <w:rsid w:val="006D4071"/>
    <w:rsid w:val="006D6578"/>
    <w:rsid w:val="006E168A"/>
    <w:rsid w:val="006E38C9"/>
    <w:rsid w:val="006E459D"/>
    <w:rsid w:val="006E5EAA"/>
    <w:rsid w:val="006E699A"/>
    <w:rsid w:val="006E74F5"/>
    <w:rsid w:val="006E78BD"/>
    <w:rsid w:val="006E791B"/>
    <w:rsid w:val="006F03E1"/>
    <w:rsid w:val="006F1766"/>
    <w:rsid w:val="006F6C4C"/>
    <w:rsid w:val="0070084E"/>
    <w:rsid w:val="0070351A"/>
    <w:rsid w:val="007103FD"/>
    <w:rsid w:val="00710F8C"/>
    <w:rsid w:val="00711729"/>
    <w:rsid w:val="00712A61"/>
    <w:rsid w:val="0071385C"/>
    <w:rsid w:val="007204DB"/>
    <w:rsid w:val="007207C9"/>
    <w:rsid w:val="0072168E"/>
    <w:rsid w:val="00722FBA"/>
    <w:rsid w:val="007241B3"/>
    <w:rsid w:val="007248F4"/>
    <w:rsid w:val="00724CB4"/>
    <w:rsid w:val="007263ED"/>
    <w:rsid w:val="00726A25"/>
    <w:rsid w:val="00727DFE"/>
    <w:rsid w:val="0073340D"/>
    <w:rsid w:val="007338AF"/>
    <w:rsid w:val="00737FB5"/>
    <w:rsid w:val="007403FC"/>
    <w:rsid w:val="00742F00"/>
    <w:rsid w:val="00750911"/>
    <w:rsid w:val="00751F91"/>
    <w:rsid w:val="00757318"/>
    <w:rsid w:val="00760BD7"/>
    <w:rsid w:val="007613A2"/>
    <w:rsid w:val="00761C29"/>
    <w:rsid w:val="00763C5A"/>
    <w:rsid w:val="0076737B"/>
    <w:rsid w:val="00767F62"/>
    <w:rsid w:val="007722E5"/>
    <w:rsid w:val="00772474"/>
    <w:rsid w:val="0077351D"/>
    <w:rsid w:val="007746D6"/>
    <w:rsid w:val="00774778"/>
    <w:rsid w:val="0077772B"/>
    <w:rsid w:val="00777A80"/>
    <w:rsid w:val="00781154"/>
    <w:rsid w:val="00784499"/>
    <w:rsid w:val="00785645"/>
    <w:rsid w:val="0078577D"/>
    <w:rsid w:val="0078579D"/>
    <w:rsid w:val="007868DA"/>
    <w:rsid w:val="00787860"/>
    <w:rsid w:val="00792740"/>
    <w:rsid w:val="007957D3"/>
    <w:rsid w:val="00795CB4"/>
    <w:rsid w:val="007A2C8D"/>
    <w:rsid w:val="007A3488"/>
    <w:rsid w:val="007A46F2"/>
    <w:rsid w:val="007A511E"/>
    <w:rsid w:val="007A6441"/>
    <w:rsid w:val="007B0C04"/>
    <w:rsid w:val="007B16E8"/>
    <w:rsid w:val="007B1B17"/>
    <w:rsid w:val="007B2FB1"/>
    <w:rsid w:val="007B536E"/>
    <w:rsid w:val="007B57D9"/>
    <w:rsid w:val="007B6E38"/>
    <w:rsid w:val="007B7801"/>
    <w:rsid w:val="007C0B15"/>
    <w:rsid w:val="007C0FCA"/>
    <w:rsid w:val="007C2928"/>
    <w:rsid w:val="007C2C9B"/>
    <w:rsid w:val="007C4BFF"/>
    <w:rsid w:val="007C65F9"/>
    <w:rsid w:val="007C6CEB"/>
    <w:rsid w:val="007D1AB6"/>
    <w:rsid w:val="007D3423"/>
    <w:rsid w:val="007D35D5"/>
    <w:rsid w:val="007D5EFB"/>
    <w:rsid w:val="007E0D64"/>
    <w:rsid w:val="007E1313"/>
    <w:rsid w:val="007E3305"/>
    <w:rsid w:val="007E360C"/>
    <w:rsid w:val="007E41F2"/>
    <w:rsid w:val="007E45EA"/>
    <w:rsid w:val="007E4FA0"/>
    <w:rsid w:val="007E4FC3"/>
    <w:rsid w:val="007E6F50"/>
    <w:rsid w:val="007E79DF"/>
    <w:rsid w:val="007F3D14"/>
    <w:rsid w:val="007F46C5"/>
    <w:rsid w:val="007F6FC7"/>
    <w:rsid w:val="008031DA"/>
    <w:rsid w:val="00803DCC"/>
    <w:rsid w:val="00805099"/>
    <w:rsid w:val="00805780"/>
    <w:rsid w:val="00810F1A"/>
    <w:rsid w:val="00813E8D"/>
    <w:rsid w:val="00815984"/>
    <w:rsid w:val="00816D32"/>
    <w:rsid w:val="00817229"/>
    <w:rsid w:val="008201D8"/>
    <w:rsid w:val="00823940"/>
    <w:rsid w:val="00824CF8"/>
    <w:rsid w:val="00825A27"/>
    <w:rsid w:val="00826371"/>
    <w:rsid w:val="0083068F"/>
    <w:rsid w:val="00830D96"/>
    <w:rsid w:val="00835502"/>
    <w:rsid w:val="008401C6"/>
    <w:rsid w:val="00842565"/>
    <w:rsid w:val="00844024"/>
    <w:rsid w:val="0084498D"/>
    <w:rsid w:val="00850637"/>
    <w:rsid w:val="00852FDF"/>
    <w:rsid w:val="00853528"/>
    <w:rsid w:val="008554F3"/>
    <w:rsid w:val="0086173E"/>
    <w:rsid w:val="00861A6D"/>
    <w:rsid w:val="00864900"/>
    <w:rsid w:val="008650CC"/>
    <w:rsid w:val="00871284"/>
    <w:rsid w:val="00871A7E"/>
    <w:rsid w:val="00874608"/>
    <w:rsid w:val="008757E7"/>
    <w:rsid w:val="008758EA"/>
    <w:rsid w:val="0087603B"/>
    <w:rsid w:val="0087661F"/>
    <w:rsid w:val="00876C1D"/>
    <w:rsid w:val="008806FF"/>
    <w:rsid w:val="00880868"/>
    <w:rsid w:val="008852FB"/>
    <w:rsid w:val="00885781"/>
    <w:rsid w:val="008905B7"/>
    <w:rsid w:val="00894190"/>
    <w:rsid w:val="008952AD"/>
    <w:rsid w:val="008968CE"/>
    <w:rsid w:val="00896E4B"/>
    <w:rsid w:val="00897C06"/>
    <w:rsid w:val="008A18E2"/>
    <w:rsid w:val="008A245F"/>
    <w:rsid w:val="008A4CD7"/>
    <w:rsid w:val="008A6376"/>
    <w:rsid w:val="008A6815"/>
    <w:rsid w:val="008A6A96"/>
    <w:rsid w:val="008B0FE3"/>
    <w:rsid w:val="008B2A24"/>
    <w:rsid w:val="008B313A"/>
    <w:rsid w:val="008B412C"/>
    <w:rsid w:val="008B4C51"/>
    <w:rsid w:val="008B702D"/>
    <w:rsid w:val="008B7AC3"/>
    <w:rsid w:val="008C23F3"/>
    <w:rsid w:val="008C34E9"/>
    <w:rsid w:val="008C463B"/>
    <w:rsid w:val="008C6DFC"/>
    <w:rsid w:val="008C70E8"/>
    <w:rsid w:val="008C795C"/>
    <w:rsid w:val="008D03C4"/>
    <w:rsid w:val="008D2228"/>
    <w:rsid w:val="008D33E3"/>
    <w:rsid w:val="008D3709"/>
    <w:rsid w:val="008D59DB"/>
    <w:rsid w:val="008D5E13"/>
    <w:rsid w:val="008E461E"/>
    <w:rsid w:val="008E514D"/>
    <w:rsid w:val="008E5A20"/>
    <w:rsid w:val="008E5ABA"/>
    <w:rsid w:val="008E6C98"/>
    <w:rsid w:val="008E784D"/>
    <w:rsid w:val="008E7A67"/>
    <w:rsid w:val="008E7C1B"/>
    <w:rsid w:val="008F0E38"/>
    <w:rsid w:val="008F1CB5"/>
    <w:rsid w:val="008F26F6"/>
    <w:rsid w:val="008F4025"/>
    <w:rsid w:val="008F48EA"/>
    <w:rsid w:val="008F6908"/>
    <w:rsid w:val="00911492"/>
    <w:rsid w:val="00911682"/>
    <w:rsid w:val="00911DA3"/>
    <w:rsid w:val="009148F9"/>
    <w:rsid w:val="009154BF"/>
    <w:rsid w:val="009164A3"/>
    <w:rsid w:val="009164D4"/>
    <w:rsid w:val="00921D32"/>
    <w:rsid w:val="00924D9E"/>
    <w:rsid w:val="00927D9D"/>
    <w:rsid w:val="0093398E"/>
    <w:rsid w:val="0093468D"/>
    <w:rsid w:val="0093724D"/>
    <w:rsid w:val="00942B7F"/>
    <w:rsid w:val="00942D0C"/>
    <w:rsid w:val="00945B5C"/>
    <w:rsid w:val="00946FC2"/>
    <w:rsid w:val="00951232"/>
    <w:rsid w:val="00951278"/>
    <w:rsid w:val="0095651E"/>
    <w:rsid w:val="00956A14"/>
    <w:rsid w:val="00961CE9"/>
    <w:rsid w:val="0096217D"/>
    <w:rsid w:val="009625A5"/>
    <w:rsid w:val="0096260A"/>
    <w:rsid w:val="00962B14"/>
    <w:rsid w:val="00962E16"/>
    <w:rsid w:val="009645EB"/>
    <w:rsid w:val="009646FC"/>
    <w:rsid w:val="00964F3E"/>
    <w:rsid w:val="00965D54"/>
    <w:rsid w:val="00970451"/>
    <w:rsid w:val="00971A14"/>
    <w:rsid w:val="00971B37"/>
    <w:rsid w:val="00974DB1"/>
    <w:rsid w:val="00975251"/>
    <w:rsid w:val="00975F55"/>
    <w:rsid w:val="0097677D"/>
    <w:rsid w:val="009767FD"/>
    <w:rsid w:val="00976FD1"/>
    <w:rsid w:val="009823CC"/>
    <w:rsid w:val="009824C2"/>
    <w:rsid w:val="009829EA"/>
    <w:rsid w:val="00984F4C"/>
    <w:rsid w:val="0098594E"/>
    <w:rsid w:val="009862D5"/>
    <w:rsid w:val="00987F57"/>
    <w:rsid w:val="00991492"/>
    <w:rsid w:val="00993BA7"/>
    <w:rsid w:val="00993F6B"/>
    <w:rsid w:val="00994092"/>
    <w:rsid w:val="009945C9"/>
    <w:rsid w:val="009A1A18"/>
    <w:rsid w:val="009A2405"/>
    <w:rsid w:val="009A4A1B"/>
    <w:rsid w:val="009A5506"/>
    <w:rsid w:val="009A575C"/>
    <w:rsid w:val="009A5C84"/>
    <w:rsid w:val="009A5DBB"/>
    <w:rsid w:val="009A7347"/>
    <w:rsid w:val="009B20DA"/>
    <w:rsid w:val="009B2C44"/>
    <w:rsid w:val="009B2E95"/>
    <w:rsid w:val="009B31DF"/>
    <w:rsid w:val="009B3BCB"/>
    <w:rsid w:val="009B3F58"/>
    <w:rsid w:val="009B44D9"/>
    <w:rsid w:val="009B6C5A"/>
    <w:rsid w:val="009B75D4"/>
    <w:rsid w:val="009B796A"/>
    <w:rsid w:val="009C47A8"/>
    <w:rsid w:val="009C5A01"/>
    <w:rsid w:val="009C6BEE"/>
    <w:rsid w:val="009D008F"/>
    <w:rsid w:val="009E1E90"/>
    <w:rsid w:val="009E4659"/>
    <w:rsid w:val="009E524D"/>
    <w:rsid w:val="009E5E7B"/>
    <w:rsid w:val="009F50AA"/>
    <w:rsid w:val="009F6192"/>
    <w:rsid w:val="009F61F2"/>
    <w:rsid w:val="00A046B8"/>
    <w:rsid w:val="00A06315"/>
    <w:rsid w:val="00A135C4"/>
    <w:rsid w:val="00A15F48"/>
    <w:rsid w:val="00A165CA"/>
    <w:rsid w:val="00A16CD2"/>
    <w:rsid w:val="00A179C9"/>
    <w:rsid w:val="00A2298A"/>
    <w:rsid w:val="00A23112"/>
    <w:rsid w:val="00A24E5D"/>
    <w:rsid w:val="00A30926"/>
    <w:rsid w:val="00A31C76"/>
    <w:rsid w:val="00A3623B"/>
    <w:rsid w:val="00A363A7"/>
    <w:rsid w:val="00A36CE5"/>
    <w:rsid w:val="00A40E23"/>
    <w:rsid w:val="00A414F5"/>
    <w:rsid w:val="00A41F98"/>
    <w:rsid w:val="00A466B9"/>
    <w:rsid w:val="00A46E0F"/>
    <w:rsid w:val="00A47E53"/>
    <w:rsid w:val="00A5057C"/>
    <w:rsid w:val="00A51A77"/>
    <w:rsid w:val="00A55AA5"/>
    <w:rsid w:val="00A613D3"/>
    <w:rsid w:val="00A61FD0"/>
    <w:rsid w:val="00A62D92"/>
    <w:rsid w:val="00A650F4"/>
    <w:rsid w:val="00A71542"/>
    <w:rsid w:val="00A715B4"/>
    <w:rsid w:val="00A71CF1"/>
    <w:rsid w:val="00A72B3B"/>
    <w:rsid w:val="00A72C03"/>
    <w:rsid w:val="00A737AF"/>
    <w:rsid w:val="00A76EDB"/>
    <w:rsid w:val="00A77F8F"/>
    <w:rsid w:val="00A80814"/>
    <w:rsid w:val="00A820E0"/>
    <w:rsid w:val="00A828E5"/>
    <w:rsid w:val="00A83E8C"/>
    <w:rsid w:val="00A845EF"/>
    <w:rsid w:val="00A84D4E"/>
    <w:rsid w:val="00A86931"/>
    <w:rsid w:val="00A90FA1"/>
    <w:rsid w:val="00A9242B"/>
    <w:rsid w:val="00A930DF"/>
    <w:rsid w:val="00A9362A"/>
    <w:rsid w:val="00A93712"/>
    <w:rsid w:val="00A96317"/>
    <w:rsid w:val="00AA05B1"/>
    <w:rsid w:val="00AA20B5"/>
    <w:rsid w:val="00AA2512"/>
    <w:rsid w:val="00AA4713"/>
    <w:rsid w:val="00AA71F7"/>
    <w:rsid w:val="00AA7419"/>
    <w:rsid w:val="00AB07B7"/>
    <w:rsid w:val="00AB0A6B"/>
    <w:rsid w:val="00AB0BB7"/>
    <w:rsid w:val="00AB1E4D"/>
    <w:rsid w:val="00AB3121"/>
    <w:rsid w:val="00AB3792"/>
    <w:rsid w:val="00AB5B89"/>
    <w:rsid w:val="00AB797B"/>
    <w:rsid w:val="00AC1E2C"/>
    <w:rsid w:val="00AC52C7"/>
    <w:rsid w:val="00AC570F"/>
    <w:rsid w:val="00AC77B1"/>
    <w:rsid w:val="00AD3124"/>
    <w:rsid w:val="00AD3630"/>
    <w:rsid w:val="00AD3A5A"/>
    <w:rsid w:val="00AD3C25"/>
    <w:rsid w:val="00AD6E58"/>
    <w:rsid w:val="00AE0A28"/>
    <w:rsid w:val="00AE49D4"/>
    <w:rsid w:val="00AE540F"/>
    <w:rsid w:val="00AE6484"/>
    <w:rsid w:val="00AE6968"/>
    <w:rsid w:val="00AF022E"/>
    <w:rsid w:val="00AF09B0"/>
    <w:rsid w:val="00AF43BC"/>
    <w:rsid w:val="00AF53A7"/>
    <w:rsid w:val="00AF54ED"/>
    <w:rsid w:val="00AF55B9"/>
    <w:rsid w:val="00AF5C48"/>
    <w:rsid w:val="00AF65F4"/>
    <w:rsid w:val="00B00A16"/>
    <w:rsid w:val="00B03275"/>
    <w:rsid w:val="00B03545"/>
    <w:rsid w:val="00B04A54"/>
    <w:rsid w:val="00B04CBE"/>
    <w:rsid w:val="00B07B88"/>
    <w:rsid w:val="00B12748"/>
    <w:rsid w:val="00B14CC3"/>
    <w:rsid w:val="00B16A32"/>
    <w:rsid w:val="00B16C43"/>
    <w:rsid w:val="00B2009D"/>
    <w:rsid w:val="00B214B6"/>
    <w:rsid w:val="00B2209E"/>
    <w:rsid w:val="00B229DE"/>
    <w:rsid w:val="00B22D54"/>
    <w:rsid w:val="00B23BB3"/>
    <w:rsid w:val="00B23EF9"/>
    <w:rsid w:val="00B25288"/>
    <w:rsid w:val="00B25D8A"/>
    <w:rsid w:val="00B25E6A"/>
    <w:rsid w:val="00B322B8"/>
    <w:rsid w:val="00B33FAA"/>
    <w:rsid w:val="00B35561"/>
    <w:rsid w:val="00B3679B"/>
    <w:rsid w:val="00B37C6A"/>
    <w:rsid w:val="00B412C9"/>
    <w:rsid w:val="00B452AF"/>
    <w:rsid w:val="00B4786E"/>
    <w:rsid w:val="00B5054B"/>
    <w:rsid w:val="00B51BEA"/>
    <w:rsid w:val="00B5286A"/>
    <w:rsid w:val="00B541FC"/>
    <w:rsid w:val="00B54B06"/>
    <w:rsid w:val="00B55F22"/>
    <w:rsid w:val="00B604E9"/>
    <w:rsid w:val="00B62507"/>
    <w:rsid w:val="00B62607"/>
    <w:rsid w:val="00B6481E"/>
    <w:rsid w:val="00B665C6"/>
    <w:rsid w:val="00B73168"/>
    <w:rsid w:val="00B76200"/>
    <w:rsid w:val="00B766AC"/>
    <w:rsid w:val="00B82DDF"/>
    <w:rsid w:val="00B85675"/>
    <w:rsid w:val="00B8687B"/>
    <w:rsid w:val="00B86EC6"/>
    <w:rsid w:val="00B90675"/>
    <w:rsid w:val="00B95C50"/>
    <w:rsid w:val="00B97F02"/>
    <w:rsid w:val="00BA0296"/>
    <w:rsid w:val="00BA1D47"/>
    <w:rsid w:val="00BA2D8B"/>
    <w:rsid w:val="00BA4FAC"/>
    <w:rsid w:val="00BA5078"/>
    <w:rsid w:val="00BA5264"/>
    <w:rsid w:val="00BA583B"/>
    <w:rsid w:val="00BA6294"/>
    <w:rsid w:val="00BA67B9"/>
    <w:rsid w:val="00BA6C73"/>
    <w:rsid w:val="00BB081F"/>
    <w:rsid w:val="00BB3E50"/>
    <w:rsid w:val="00BB6660"/>
    <w:rsid w:val="00BB7087"/>
    <w:rsid w:val="00BC094F"/>
    <w:rsid w:val="00BC0D39"/>
    <w:rsid w:val="00BC460E"/>
    <w:rsid w:val="00BC4F92"/>
    <w:rsid w:val="00BC5F98"/>
    <w:rsid w:val="00BC5FB4"/>
    <w:rsid w:val="00BC63F6"/>
    <w:rsid w:val="00BC708E"/>
    <w:rsid w:val="00BC79E7"/>
    <w:rsid w:val="00BD1E2D"/>
    <w:rsid w:val="00BD3721"/>
    <w:rsid w:val="00BE0AE2"/>
    <w:rsid w:val="00BE1825"/>
    <w:rsid w:val="00BE32D8"/>
    <w:rsid w:val="00BE49A5"/>
    <w:rsid w:val="00BE642B"/>
    <w:rsid w:val="00BE6BB9"/>
    <w:rsid w:val="00BE7EEF"/>
    <w:rsid w:val="00BF2899"/>
    <w:rsid w:val="00BF4933"/>
    <w:rsid w:val="00BF4D62"/>
    <w:rsid w:val="00BF5375"/>
    <w:rsid w:val="00BF650E"/>
    <w:rsid w:val="00BF6E15"/>
    <w:rsid w:val="00BF6F52"/>
    <w:rsid w:val="00BF76E3"/>
    <w:rsid w:val="00BF786F"/>
    <w:rsid w:val="00BF7D83"/>
    <w:rsid w:val="00C0099B"/>
    <w:rsid w:val="00C02D8B"/>
    <w:rsid w:val="00C04BCD"/>
    <w:rsid w:val="00C04E54"/>
    <w:rsid w:val="00C06291"/>
    <w:rsid w:val="00C07DF5"/>
    <w:rsid w:val="00C1004A"/>
    <w:rsid w:val="00C1178D"/>
    <w:rsid w:val="00C11CE1"/>
    <w:rsid w:val="00C12E40"/>
    <w:rsid w:val="00C15783"/>
    <w:rsid w:val="00C15C78"/>
    <w:rsid w:val="00C2349D"/>
    <w:rsid w:val="00C26ABB"/>
    <w:rsid w:val="00C36BBA"/>
    <w:rsid w:val="00C3761C"/>
    <w:rsid w:val="00C418E7"/>
    <w:rsid w:val="00C44968"/>
    <w:rsid w:val="00C46497"/>
    <w:rsid w:val="00C500EF"/>
    <w:rsid w:val="00C50373"/>
    <w:rsid w:val="00C5069F"/>
    <w:rsid w:val="00C50FC5"/>
    <w:rsid w:val="00C539DA"/>
    <w:rsid w:val="00C541A0"/>
    <w:rsid w:val="00C55CAC"/>
    <w:rsid w:val="00C56A8D"/>
    <w:rsid w:val="00C62E9D"/>
    <w:rsid w:val="00C6461C"/>
    <w:rsid w:val="00C655B8"/>
    <w:rsid w:val="00C669A6"/>
    <w:rsid w:val="00C70540"/>
    <w:rsid w:val="00C749E4"/>
    <w:rsid w:val="00C7552E"/>
    <w:rsid w:val="00C77E2F"/>
    <w:rsid w:val="00C87988"/>
    <w:rsid w:val="00C911D8"/>
    <w:rsid w:val="00C91DAE"/>
    <w:rsid w:val="00C92A58"/>
    <w:rsid w:val="00C93549"/>
    <w:rsid w:val="00C938C2"/>
    <w:rsid w:val="00C93A1E"/>
    <w:rsid w:val="00C93CEA"/>
    <w:rsid w:val="00C9482E"/>
    <w:rsid w:val="00C95C20"/>
    <w:rsid w:val="00C96FDD"/>
    <w:rsid w:val="00CA0F0E"/>
    <w:rsid w:val="00CA23FA"/>
    <w:rsid w:val="00CA3125"/>
    <w:rsid w:val="00CA3A3D"/>
    <w:rsid w:val="00CA59D5"/>
    <w:rsid w:val="00CA663E"/>
    <w:rsid w:val="00CA7130"/>
    <w:rsid w:val="00CB2144"/>
    <w:rsid w:val="00CB3613"/>
    <w:rsid w:val="00CB728F"/>
    <w:rsid w:val="00CC1984"/>
    <w:rsid w:val="00CC1BBB"/>
    <w:rsid w:val="00CC4F91"/>
    <w:rsid w:val="00CC5BD3"/>
    <w:rsid w:val="00CC627C"/>
    <w:rsid w:val="00CD0241"/>
    <w:rsid w:val="00CD0600"/>
    <w:rsid w:val="00CD51D1"/>
    <w:rsid w:val="00CD5452"/>
    <w:rsid w:val="00CE01CD"/>
    <w:rsid w:val="00CE36C6"/>
    <w:rsid w:val="00CE42E0"/>
    <w:rsid w:val="00CE6446"/>
    <w:rsid w:val="00CF07DB"/>
    <w:rsid w:val="00CF2164"/>
    <w:rsid w:val="00CF2BE5"/>
    <w:rsid w:val="00CF4887"/>
    <w:rsid w:val="00CF4979"/>
    <w:rsid w:val="00CF6D33"/>
    <w:rsid w:val="00CF7C49"/>
    <w:rsid w:val="00D02196"/>
    <w:rsid w:val="00D0333C"/>
    <w:rsid w:val="00D1055E"/>
    <w:rsid w:val="00D11A79"/>
    <w:rsid w:val="00D11AA0"/>
    <w:rsid w:val="00D20419"/>
    <w:rsid w:val="00D2066F"/>
    <w:rsid w:val="00D23845"/>
    <w:rsid w:val="00D24994"/>
    <w:rsid w:val="00D24ECB"/>
    <w:rsid w:val="00D275E9"/>
    <w:rsid w:val="00D3000A"/>
    <w:rsid w:val="00D30AF4"/>
    <w:rsid w:val="00D30B0B"/>
    <w:rsid w:val="00D30BCE"/>
    <w:rsid w:val="00D34028"/>
    <w:rsid w:val="00D34E6F"/>
    <w:rsid w:val="00D36869"/>
    <w:rsid w:val="00D4033E"/>
    <w:rsid w:val="00D411C3"/>
    <w:rsid w:val="00D45BDF"/>
    <w:rsid w:val="00D5043B"/>
    <w:rsid w:val="00D52A10"/>
    <w:rsid w:val="00D535BD"/>
    <w:rsid w:val="00D578D1"/>
    <w:rsid w:val="00D602E0"/>
    <w:rsid w:val="00D633C4"/>
    <w:rsid w:val="00D63404"/>
    <w:rsid w:val="00D660FF"/>
    <w:rsid w:val="00D67DCB"/>
    <w:rsid w:val="00D72BD9"/>
    <w:rsid w:val="00D77779"/>
    <w:rsid w:val="00D779AB"/>
    <w:rsid w:val="00D81481"/>
    <w:rsid w:val="00D81C45"/>
    <w:rsid w:val="00D83917"/>
    <w:rsid w:val="00D87C98"/>
    <w:rsid w:val="00D91551"/>
    <w:rsid w:val="00D91F2F"/>
    <w:rsid w:val="00D92A71"/>
    <w:rsid w:val="00D92E31"/>
    <w:rsid w:val="00D95C5E"/>
    <w:rsid w:val="00D974DF"/>
    <w:rsid w:val="00D977F5"/>
    <w:rsid w:val="00D97A4B"/>
    <w:rsid w:val="00DA1602"/>
    <w:rsid w:val="00DA244B"/>
    <w:rsid w:val="00DA339C"/>
    <w:rsid w:val="00DA573F"/>
    <w:rsid w:val="00DA6C95"/>
    <w:rsid w:val="00DB07EB"/>
    <w:rsid w:val="00DB090B"/>
    <w:rsid w:val="00DB393F"/>
    <w:rsid w:val="00DB4041"/>
    <w:rsid w:val="00DC2E80"/>
    <w:rsid w:val="00DC48F5"/>
    <w:rsid w:val="00DC5C73"/>
    <w:rsid w:val="00DC76A1"/>
    <w:rsid w:val="00DD5437"/>
    <w:rsid w:val="00DD7C3A"/>
    <w:rsid w:val="00DE0A5D"/>
    <w:rsid w:val="00DE2C87"/>
    <w:rsid w:val="00DE31EA"/>
    <w:rsid w:val="00DF061E"/>
    <w:rsid w:val="00DF0D87"/>
    <w:rsid w:val="00DF16DA"/>
    <w:rsid w:val="00DF43A3"/>
    <w:rsid w:val="00DF4A16"/>
    <w:rsid w:val="00DF53EF"/>
    <w:rsid w:val="00DF5A89"/>
    <w:rsid w:val="00DF685B"/>
    <w:rsid w:val="00E011DA"/>
    <w:rsid w:val="00E03289"/>
    <w:rsid w:val="00E03798"/>
    <w:rsid w:val="00E038AB"/>
    <w:rsid w:val="00E05710"/>
    <w:rsid w:val="00E114C9"/>
    <w:rsid w:val="00E12647"/>
    <w:rsid w:val="00E1274C"/>
    <w:rsid w:val="00E12A76"/>
    <w:rsid w:val="00E12C38"/>
    <w:rsid w:val="00E140A3"/>
    <w:rsid w:val="00E206F6"/>
    <w:rsid w:val="00E210AF"/>
    <w:rsid w:val="00E26064"/>
    <w:rsid w:val="00E266E8"/>
    <w:rsid w:val="00E27106"/>
    <w:rsid w:val="00E30699"/>
    <w:rsid w:val="00E32CEA"/>
    <w:rsid w:val="00E33A27"/>
    <w:rsid w:val="00E35582"/>
    <w:rsid w:val="00E36633"/>
    <w:rsid w:val="00E373D4"/>
    <w:rsid w:val="00E41540"/>
    <w:rsid w:val="00E50FC5"/>
    <w:rsid w:val="00E52BB8"/>
    <w:rsid w:val="00E52EE3"/>
    <w:rsid w:val="00E54BF8"/>
    <w:rsid w:val="00E55878"/>
    <w:rsid w:val="00E55B0E"/>
    <w:rsid w:val="00E55F63"/>
    <w:rsid w:val="00E56403"/>
    <w:rsid w:val="00E62DBC"/>
    <w:rsid w:val="00E630D2"/>
    <w:rsid w:val="00E65C58"/>
    <w:rsid w:val="00E6661B"/>
    <w:rsid w:val="00E667B9"/>
    <w:rsid w:val="00E67D62"/>
    <w:rsid w:val="00E67EC6"/>
    <w:rsid w:val="00E67ECD"/>
    <w:rsid w:val="00E729DB"/>
    <w:rsid w:val="00E73248"/>
    <w:rsid w:val="00E73610"/>
    <w:rsid w:val="00E777B3"/>
    <w:rsid w:val="00E77D81"/>
    <w:rsid w:val="00E81033"/>
    <w:rsid w:val="00E810C3"/>
    <w:rsid w:val="00E848E7"/>
    <w:rsid w:val="00E84EC5"/>
    <w:rsid w:val="00E859C4"/>
    <w:rsid w:val="00E93577"/>
    <w:rsid w:val="00E94837"/>
    <w:rsid w:val="00E95C79"/>
    <w:rsid w:val="00E9650A"/>
    <w:rsid w:val="00E965BF"/>
    <w:rsid w:val="00E97B57"/>
    <w:rsid w:val="00EA1E6F"/>
    <w:rsid w:val="00EA3258"/>
    <w:rsid w:val="00EA444E"/>
    <w:rsid w:val="00EA490A"/>
    <w:rsid w:val="00EA6107"/>
    <w:rsid w:val="00EB1011"/>
    <w:rsid w:val="00EB1AF5"/>
    <w:rsid w:val="00EB2D35"/>
    <w:rsid w:val="00EB4CB2"/>
    <w:rsid w:val="00EB5E48"/>
    <w:rsid w:val="00EC1475"/>
    <w:rsid w:val="00ED1F14"/>
    <w:rsid w:val="00ED52C1"/>
    <w:rsid w:val="00EE05A2"/>
    <w:rsid w:val="00EE102F"/>
    <w:rsid w:val="00EE2F37"/>
    <w:rsid w:val="00EE3297"/>
    <w:rsid w:val="00EE35D5"/>
    <w:rsid w:val="00EE4FEC"/>
    <w:rsid w:val="00EE57BE"/>
    <w:rsid w:val="00EE6875"/>
    <w:rsid w:val="00EF0218"/>
    <w:rsid w:val="00EF06AA"/>
    <w:rsid w:val="00EF0D9C"/>
    <w:rsid w:val="00EF19A3"/>
    <w:rsid w:val="00EF1FC5"/>
    <w:rsid w:val="00EF22CD"/>
    <w:rsid w:val="00EF2D43"/>
    <w:rsid w:val="00EF4691"/>
    <w:rsid w:val="00EF676C"/>
    <w:rsid w:val="00EF6CF5"/>
    <w:rsid w:val="00F00C53"/>
    <w:rsid w:val="00F07CA5"/>
    <w:rsid w:val="00F14FCA"/>
    <w:rsid w:val="00F16538"/>
    <w:rsid w:val="00F1653A"/>
    <w:rsid w:val="00F168A7"/>
    <w:rsid w:val="00F16DE1"/>
    <w:rsid w:val="00F170F2"/>
    <w:rsid w:val="00F20CB6"/>
    <w:rsid w:val="00F2155C"/>
    <w:rsid w:val="00F220BE"/>
    <w:rsid w:val="00F232DC"/>
    <w:rsid w:val="00F23802"/>
    <w:rsid w:val="00F307C5"/>
    <w:rsid w:val="00F31D56"/>
    <w:rsid w:val="00F352CC"/>
    <w:rsid w:val="00F36B62"/>
    <w:rsid w:val="00F4009A"/>
    <w:rsid w:val="00F406DC"/>
    <w:rsid w:val="00F40A44"/>
    <w:rsid w:val="00F435F7"/>
    <w:rsid w:val="00F44025"/>
    <w:rsid w:val="00F460DA"/>
    <w:rsid w:val="00F46629"/>
    <w:rsid w:val="00F5091F"/>
    <w:rsid w:val="00F5403D"/>
    <w:rsid w:val="00F54041"/>
    <w:rsid w:val="00F57424"/>
    <w:rsid w:val="00F57718"/>
    <w:rsid w:val="00F57C81"/>
    <w:rsid w:val="00F609C5"/>
    <w:rsid w:val="00F6269E"/>
    <w:rsid w:val="00F6379D"/>
    <w:rsid w:val="00F65248"/>
    <w:rsid w:val="00F710DD"/>
    <w:rsid w:val="00F73136"/>
    <w:rsid w:val="00F7354A"/>
    <w:rsid w:val="00F756B5"/>
    <w:rsid w:val="00F75DA8"/>
    <w:rsid w:val="00F75F6B"/>
    <w:rsid w:val="00F76760"/>
    <w:rsid w:val="00F76E63"/>
    <w:rsid w:val="00F80340"/>
    <w:rsid w:val="00F80564"/>
    <w:rsid w:val="00F80FD5"/>
    <w:rsid w:val="00F81E38"/>
    <w:rsid w:val="00F81FFA"/>
    <w:rsid w:val="00F86A3D"/>
    <w:rsid w:val="00F86B0D"/>
    <w:rsid w:val="00F86C46"/>
    <w:rsid w:val="00F917C0"/>
    <w:rsid w:val="00F95BC8"/>
    <w:rsid w:val="00F963FF"/>
    <w:rsid w:val="00F9763B"/>
    <w:rsid w:val="00FA5C09"/>
    <w:rsid w:val="00FB4952"/>
    <w:rsid w:val="00FB57CC"/>
    <w:rsid w:val="00FB599C"/>
    <w:rsid w:val="00FB7C69"/>
    <w:rsid w:val="00FC12CC"/>
    <w:rsid w:val="00FC1C17"/>
    <w:rsid w:val="00FC37AC"/>
    <w:rsid w:val="00FC40F2"/>
    <w:rsid w:val="00FC423F"/>
    <w:rsid w:val="00FC5FAA"/>
    <w:rsid w:val="00FC6AD5"/>
    <w:rsid w:val="00FD187E"/>
    <w:rsid w:val="00FD18FB"/>
    <w:rsid w:val="00FD192E"/>
    <w:rsid w:val="00FD2708"/>
    <w:rsid w:val="00FD4B1D"/>
    <w:rsid w:val="00FD7CD0"/>
    <w:rsid w:val="00FE1A3A"/>
    <w:rsid w:val="00FE2706"/>
    <w:rsid w:val="00FE39F6"/>
    <w:rsid w:val="00FE7934"/>
    <w:rsid w:val="00FE7FE7"/>
    <w:rsid w:val="00FF2EA8"/>
    <w:rsid w:val="00FF37F6"/>
    <w:rsid w:val="00FF3CDB"/>
    <w:rsid w:val="00FF4ADD"/>
    <w:rsid w:val="010C243E"/>
    <w:rsid w:val="0177451A"/>
    <w:rsid w:val="01D8237F"/>
    <w:rsid w:val="029429C0"/>
    <w:rsid w:val="02B9088F"/>
    <w:rsid w:val="03983C97"/>
    <w:rsid w:val="03BE44B1"/>
    <w:rsid w:val="03D114A6"/>
    <w:rsid w:val="04764D45"/>
    <w:rsid w:val="04DB41CE"/>
    <w:rsid w:val="053A4512"/>
    <w:rsid w:val="056472A7"/>
    <w:rsid w:val="0594536B"/>
    <w:rsid w:val="05D30962"/>
    <w:rsid w:val="060F23F6"/>
    <w:rsid w:val="062E5C80"/>
    <w:rsid w:val="064E2EED"/>
    <w:rsid w:val="06D05598"/>
    <w:rsid w:val="073A5A0B"/>
    <w:rsid w:val="08293F3F"/>
    <w:rsid w:val="08A8171F"/>
    <w:rsid w:val="0A146488"/>
    <w:rsid w:val="0C0C7F03"/>
    <w:rsid w:val="0C810017"/>
    <w:rsid w:val="0D0227A0"/>
    <w:rsid w:val="0D7A2203"/>
    <w:rsid w:val="0DB22432"/>
    <w:rsid w:val="0E100F06"/>
    <w:rsid w:val="0ED1796A"/>
    <w:rsid w:val="0F7B27FD"/>
    <w:rsid w:val="0FCE162A"/>
    <w:rsid w:val="0FEA7549"/>
    <w:rsid w:val="100D3381"/>
    <w:rsid w:val="10394D25"/>
    <w:rsid w:val="10CD0C76"/>
    <w:rsid w:val="10D26947"/>
    <w:rsid w:val="113E337C"/>
    <w:rsid w:val="125D09C4"/>
    <w:rsid w:val="13ED39A0"/>
    <w:rsid w:val="143A62A9"/>
    <w:rsid w:val="152B7D25"/>
    <w:rsid w:val="15893913"/>
    <w:rsid w:val="15D419A2"/>
    <w:rsid w:val="166811B8"/>
    <w:rsid w:val="17FC3582"/>
    <w:rsid w:val="18452C77"/>
    <w:rsid w:val="18631508"/>
    <w:rsid w:val="18D37C2C"/>
    <w:rsid w:val="190F22AF"/>
    <w:rsid w:val="19B95E2B"/>
    <w:rsid w:val="19EC1A5A"/>
    <w:rsid w:val="1AA61AEA"/>
    <w:rsid w:val="1AC20DB1"/>
    <w:rsid w:val="1BDD2C67"/>
    <w:rsid w:val="1C145B71"/>
    <w:rsid w:val="1C650765"/>
    <w:rsid w:val="1CC51319"/>
    <w:rsid w:val="1CF8608C"/>
    <w:rsid w:val="1D7D6133"/>
    <w:rsid w:val="1D970DA9"/>
    <w:rsid w:val="1DEA793A"/>
    <w:rsid w:val="1E457626"/>
    <w:rsid w:val="1E851D92"/>
    <w:rsid w:val="1EDF470C"/>
    <w:rsid w:val="1EFD6E6C"/>
    <w:rsid w:val="1F3A5DE3"/>
    <w:rsid w:val="1F3E3506"/>
    <w:rsid w:val="1F3E7B44"/>
    <w:rsid w:val="21554126"/>
    <w:rsid w:val="221262E7"/>
    <w:rsid w:val="224E4BB7"/>
    <w:rsid w:val="22794E74"/>
    <w:rsid w:val="22C43E51"/>
    <w:rsid w:val="231F3C6E"/>
    <w:rsid w:val="23553B73"/>
    <w:rsid w:val="24FE227B"/>
    <w:rsid w:val="259B2C26"/>
    <w:rsid w:val="259C54CD"/>
    <w:rsid w:val="25E04236"/>
    <w:rsid w:val="25E06F6D"/>
    <w:rsid w:val="270677F6"/>
    <w:rsid w:val="28611E55"/>
    <w:rsid w:val="28640D08"/>
    <w:rsid w:val="2867552D"/>
    <w:rsid w:val="296C7298"/>
    <w:rsid w:val="2A1533F1"/>
    <w:rsid w:val="2AF9163E"/>
    <w:rsid w:val="2B1D0C75"/>
    <w:rsid w:val="2B603563"/>
    <w:rsid w:val="2C1A1476"/>
    <w:rsid w:val="2CAC016D"/>
    <w:rsid w:val="2E540FF5"/>
    <w:rsid w:val="2E900E60"/>
    <w:rsid w:val="2F303A50"/>
    <w:rsid w:val="2FE500E7"/>
    <w:rsid w:val="2FF26266"/>
    <w:rsid w:val="2FF4615F"/>
    <w:rsid w:val="30017D16"/>
    <w:rsid w:val="309071F4"/>
    <w:rsid w:val="31375031"/>
    <w:rsid w:val="313E6B35"/>
    <w:rsid w:val="31406246"/>
    <w:rsid w:val="31D75713"/>
    <w:rsid w:val="32145BFC"/>
    <w:rsid w:val="32ED37E3"/>
    <w:rsid w:val="33307726"/>
    <w:rsid w:val="33B259C6"/>
    <w:rsid w:val="34012DD3"/>
    <w:rsid w:val="3421711A"/>
    <w:rsid w:val="344C5DDD"/>
    <w:rsid w:val="34F53693"/>
    <w:rsid w:val="34FF7FF6"/>
    <w:rsid w:val="35183D0B"/>
    <w:rsid w:val="35D17A24"/>
    <w:rsid w:val="36544C6E"/>
    <w:rsid w:val="365C25BF"/>
    <w:rsid w:val="36716344"/>
    <w:rsid w:val="375570E7"/>
    <w:rsid w:val="3763257B"/>
    <w:rsid w:val="37B242A6"/>
    <w:rsid w:val="38534909"/>
    <w:rsid w:val="39327D9D"/>
    <w:rsid w:val="39F3094C"/>
    <w:rsid w:val="3AF90018"/>
    <w:rsid w:val="3CA232BF"/>
    <w:rsid w:val="3CF116DA"/>
    <w:rsid w:val="3DA617F4"/>
    <w:rsid w:val="3EB9732A"/>
    <w:rsid w:val="3EF458F2"/>
    <w:rsid w:val="3F1475D7"/>
    <w:rsid w:val="3FEC39BC"/>
    <w:rsid w:val="4079274E"/>
    <w:rsid w:val="41AB33CD"/>
    <w:rsid w:val="41BB6572"/>
    <w:rsid w:val="41F67E38"/>
    <w:rsid w:val="42875322"/>
    <w:rsid w:val="42995385"/>
    <w:rsid w:val="42A46A55"/>
    <w:rsid w:val="42EB676C"/>
    <w:rsid w:val="430A40F5"/>
    <w:rsid w:val="434A3F97"/>
    <w:rsid w:val="43E60433"/>
    <w:rsid w:val="442806E9"/>
    <w:rsid w:val="445A4E7E"/>
    <w:rsid w:val="456F4189"/>
    <w:rsid w:val="458510FA"/>
    <w:rsid w:val="475F73CA"/>
    <w:rsid w:val="47D76015"/>
    <w:rsid w:val="482C2C53"/>
    <w:rsid w:val="48AA5067"/>
    <w:rsid w:val="48C71777"/>
    <w:rsid w:val="48CE6029"/>
    <w:rsid w:val="493A31F1"/>
    <w:rsid w:val="4A633E34"/>
    <w:rsid w:val="4A7C7E25"/>
    <w:rsid w:val="4AAE5753"/>
    <w:rsid w:val="4B645E12"/>
    <w:rsid w:val="4B86701D"/>
    <w:rsid w:val="4B9F2122"/>
    <w:rsid w:val="4BE20DB5"/>
    <w:rsid w:val="4C3812BE"/>
    <w:rsid w:val="4C437568"/>
    <w:rsid w:val="4CB71AC3"/>
    <w:rsid w:val="4D362CF9"/>
    <w:rsid w:val="4D407FCA"/>
    <w:rsid w:val="4D917D90"/>
    <w:rsid w:val="4D965452"/>
    <w:rsid w:val="4DE42A76"/>
    <w:rsid w:val="4E414071"/>
    <w:rsid w:val="4ED232B7"/>
    <w:rsid w:val="4F654D29"/>
    <w:rsid w:val="4F935FCE"/>
    <w:rsid w:val="4F9D5515"/>
    <w:rsid w:val="4FBC6ABC"/>
    <w:rsid w:val="4FD75249"/>
    <w:rsid w:val="50152DF9"/>
    <w:rsid w:val="502538CC"/>
    <w:rsid w:val="50265D8C"/>
    <w:rsid w:val="506B4AF8"/>
    <w:rsid w:val="50AD2765"/>
    <w:rsid w:val="50EB2332"/>
    <w:rsid w:val="512B337B"/>
    <w:rsid w:val="51A90A23"/>
    <w:rsid w:val="51D02D3D"/>
    <w:rsid w:val="53136342"/>
    <w:rsid w:val="543010E1"/>
    <w:rsid w:val="545728A2"/>
    <w:rsid w:val="54CD6E6D"/>
    <w:rsid w:val="54E7352F"/>
    <w:rsid w:val="551E1174"/>
    <w:rsid w:val="552D350C"/>
    <w:rsid w:val="5550144A"/>
    <w:rsid w:val="563923A0"/>
    <w:rsid w:val="56D039D4"/>
    <w:rsid w:val="570F4F7D"/>
    <w:rsid w:val="5879093B"/>
    <w:rsid w:val="59456006"/>
    <w:rsid w:val="59526FF3"/>
    <w:rsid w:val="598A50F9"/>
    <w:rsid w:val="59954C07"/>
    <w:rsid w:val="5AAA305F"/>
    <w:rsid w:val="5AAB1367"/>
    <w:rsid w:val="5B51560B"/>
    <w:rsid w:val="5C414D69"/>
    <w:rsid w:val="5C5E284E"/>
    <w:rsid w:val="5C8F26A2"/>
    <w:rsid w:val="5CD31049"/>
    <w:rsid w:val="5D173F2E"/>
    <w:rsid w:val="5DC310BE"/>
    <w:rsid w:val="5DC91399"/>
    <w:rsid w:val="5EB43C37"/>
    <w:rsid w:val="5EF673A8"/>
    <w:rsid w:val="5F042B44"/>
    <w:rsid w:val="5F223242"/>
    <w:rsid w:val="5F8A7A45"/>
    <w:rsid w:val="5FD77BF8"/>
    <w:rsid w:val="5FE07D05"/>
    <w:rsid w:val="60FE2C3A"/>
    <w:rsid w:val="611F03B9"/>
    <w:rsid w:val="61501F46"/>
    <w:rsid w:val="619D5782"/>
    <w:rsid w:val="62AF0875"/>
    <w:rsid w:val="62D86491"/>
    <w:rsid w:val="62E3329E"/>
    <w:rsid w:val="631452EA"/>
    <w:rsid w:val="635E3973"/>
    <w:rsid w:val="63F7561D"/>
    <w:rsid w:val="64152AEC"/>
    <w:rsid w:val="647C424F"/>
    <w:rsid w:val="647E7AED"/>
    <w:rsid w:val="656D3B1C"/>
    <w:rsid w:val="65C1309B"/>
    <w:rsid w:val="66255F81"/>
    <w:rsid w:val="664C049A"/>
    <w:rsid w:val="66BF635B"/>
    <w:rsid w:val="675F6813"/>
    <w:rsid w:val="678003FE"/>
    <w:rsid w:val="678251B1"/>
    <w:rsid w:val="678D59CD"/>
    <w:rsid w:val="67920941"/>
    <w:rsid w:val="68464DC5"/>
    <w:rsid w:val="687A5294"/>
    <w:rsid w:val="68BC0FB3"/>
    <w:rsid w:val="68C862B7"/>
    <w:rsid w:val="69E91A52"/>
    <w:rsid w:val="6A3363C3"/>
    <w:rsid w:val="6B362ECF"/>
    <w:rsid w:val="6BBB1626"/>
    <w:rsid w:val="6C613771"/>
    <w:rsid w:val="6E155029"/>
    <w:rsid w:val="6F5114F1"/>
    <w:rsid w:val="70651EF6"/>
    <w:rsid w:val="70691444"/>
    <w:rsid w:val="70CD3B09"/>
    <w:rsid w:val="71BB1EC8"/>
    <w:rsid w:val="71C34CA5"/>
    <w:rsid w:val="71CB65BC"/>
    <w:rsid w:val="721B79E1"/>
    <w:rsid w:val="725536BF"/>
    <w:rsid w:val="72AC107D"/>
    <w:rsid w:val="72B268A1"/>
    <w:rsid w:val="72BA477B"/>
    <w:rsid w:val="73FB1084"/>
    <w:rsid w:val="74951C65"/>
    <w:rsid w:val="74DF3FD1"/>
    <w:rsid w:val="7631344D"/>
    <w:rsid w:val="77031C9E"/>
    <w:rsid w:val="773B2661"/>
    <w:rsid w:val="77AF220D"/>
    <w:rsid w:val="78941D08"/>
    <w:rsid w:val="78A711B8"/>
    <w:rsid w:val="7A5B43C0"/>
    <w:rsid w:val="7A7F4508"/>
    <w:rsid w:val="7A8C53DE"/>
    <w:rsid w:val="7A8F3141"/>
    <w:rsid w:val="7AC24A5E"/>
    <w:rsid w:val="7AEB6992"/>
    <w:rsid w:val="7B044DCC"/>
    <w:rsid w:val="7B22521E"/>
    <w:rsid w:val="7B3E32A1"/>
    <w:rsid w:val="7C7A248E"/>
    <w:rsid w:val="7D086252"/>
    <w:rsid w:val="7DF95408"/>
    <w:rsid w:val="7FBF56D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54"/>
    <w:qFormat/>
    <w:uiPriority w:val="9"/>
    <w:pPr>
      <w:spacing w:before="340" w:after="330" w:line="360" w:lineRule="auto"/>
      <w:jc w:val="center"/>
      <w:outlineLvl w:val="0"/>
    </w:pPr>
    <w:rPr>
      <w:rFonts w:eastAsia="黑体"/>
      <w:kern w:val="44"/>
      <w:szCs w:val="44"/>
    </w:rPr>
  </w:style>
  <w:style w:type="paragraph" w:styleId="5">
    <w:name w:val="heading 2"/>
    <w:basedOn w:val="1"/>
    <w:next w:val="1"/>
    <w:link w:val="55"/>
    <w:qFormat/>
    <w:uiPriority w:val="0"/>
    <w:pPr>
      <w:adjustRightInd w:val="0"/>
      <w:jc w:val="center"/>
      <w:textAlignment w:val="baseline"/>
      <w:outlineLvl w:val="1"/>
    </w:pPr>
    <w:rPr>
      <w:sz w:val="24"/>
      <w:szCs w:val="20"/>
    </w:rPr>
  </w:style>
  <w:style w:type="paragraph" w:styleId="3">
    <w:name w:val="heading 3"/>
    <w:basedOn w:val="4"/>
    <w:next w:val="1"/>
    <w:link w:val="63"/>
    <w:qFormat/>
    <w:uiPriority w:val="9"/>
    <w:pPr>
      <w:spacing w:before="260" w:after="260" w:line="240" w:lineRule="auto"/>
      <w:outlineLvl w:val="2"/>
    </w:pPr>
    <w:rPr>
      <w:rFonts w:ascii="宋体" w:hAnsi="宋体" w:eastAsia="宋体"/>
      <w:szCs w:val="32"/>
    </w:rPr>
  </w:style>
  <w:style w:type="paragraph" w:styleId="4">
    <w:name w:val="heading 4"/>
    <w:basedOn w:val="1"/>
    <w:next w:val="1"/>
    <w:link w:val="57"/>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7"/>
    <w:link w:val="58"/>
    <w:qFormat/>
    <w:uiPriority w:val="0"/>
    <w:pPr>
      <w:keepNext/>
      <w:keepLines/>
      <w:spacing w:before="280" w:after="290" w:line="376" w:lineRule="auto"/>
      <w:outlineLvl w:val="4"/>
    </w:pPr>
    <w:rPr>
      <w:rFonts w:ascii="Times New Roman" w:hAnsi="Times New Roman"/>
      <w:b/>
      <w:kern w:val="0"/>
      <w:sz w:val="28"/>
      <w:szCs w:val="20"/>
    </w:rPr>
  </w:style>
  <w:style w:type="paragraph" w:styleId="8">
    <w:name w:val="heading 6"/>
    <w:basedOn w:val="1"/>
    <w:next w:val="7"/>
    <w:link w:val="59"/>
    <w:qFormat/>
    <w:uiPriority w:val="0"/>
    <w:pPr>
      <w:keepNext/>
      <w:keepLines/>
      <w:spacing w:before="240" w:after="64" w:line="320" w:lineRule="auto"/>
      <w:outlineLvl w:val="5"/>
    </w:pPr>
    <w:rPr>
      <w:rFonts w:ascii="Arial" w:hAnsi="Arial" w:eastAsia="黑体"/>
      <w:b/>
      <w:kern w:val="0"/>
      <w:sz w:val="24"/>
      <w:szCs w:val="20"/>
    </w:rPr>
  </w:style>
  <w:style w:type="paragraph" w:styleId="9">
    <w:name w:val="heading 7"/>
    <w:basedOn w:val="1"/>
    <w:next w:val="7"/>
    <w:link w:val="60"/>
    <w:qFormat/>
    <w:uiPriority w:val="0"/>
    <w:pPr>
      <w:keepNext/>
      <w:keepLines/>
      <w:spacing w:before="240" w:after="64" w:line="320" w:lineRule="auto"/>
      <w:outlineLvl w:val="6"/>
    </w:pPr>
    <w:rPr>
      <w:rFonts w:ascii="Times New Roman" w:hAnsi="Times New Roman"/>
      <w:b/>
      <w:kern w:val="0"/>
      <w:sz w:val="24"/>
      <w:szCs w:val="20"/>
    </w:rPr>
  </w:style>
  <w:style w:type="paragraph" w:styleId="10">
    <w:name w:val="heading 8"/>
    <w:basedOn w:val="1"/>
    <w:next w:val="7"/>
    <w:link w:val="61"/>
    <w:qFormat/>
    <w:uiPriority w:val="0"/>
    <w:pPr>
      <w:keepNext/>
      <w:keepLines/>
      <w:spacing w:before="240" w:after="64" w:line="320" w:lineRule="auto"/>
      <w:outlineLvl w:val="7"/>
    </w:pPr>
    <w:rPr>
      <w:rFonts w:ascii="Arial" w:hAnsi="Arial" w:eastAsia="黑体"/>
      <w:kern w:val="0"/>
      <w:sz w:val="24"/>
      <w:szCs w:val="20"/>
    </w:rPr>
  </w:style>
  <w:style w:type="paragraph" w:styleId="11">
    <w:name w:val="heading 9"/>
    <w:basedOn w:val="1"/>
    <w:next w:val="7"/>
    <w:link w:val="62"/>
    <w:qFormat/>
    <w:uiPriority w:val="0"/>
    <w:pPr>
      <w:keepNext/>
      <w:keepLines/>
      <w:spacing w:before="240" w:after="64" w:line="320" w:lineRule="auto"/>
      <w:outlineLvl w:val="8"/>
    </w:pPr>
    <w:rPr>
      <w:rFonts w:ascii="Arial" w:hAnsi="Arial" w:eastAsia="黑体"/>
      <w:kern w:val="0"/>
      <w:sz w:val="20"/>
      <w:szCs w:val="20"/>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75"/>
    <w:qFormat/>
    <w:uiPriority w:val="0"/>
    <w:pPr>
      <w:ind w:firstLine="420"/>
    </w:pPr>
    <w:rPr>
      <w:rFonts w:ascii="Times New Roman" w:hAnsi="Times New Roman"/>
      <w:kern w:val="0"/>
      <w:sz w:val="20"/>
      <w:szCs w:val="20"/>
    </w:rPr>
  </w:style>
  <w:style w:type="paragraph" w:styleId="12">
    <w:name w:val="toc 7"/>
    <w:basedOn w:val="1"/>
    <w:next w:val="1"/>
    <w:semiHidden/>
    <w:qFormat/>
    <w:uiPriority w:val="0"/>
    <w:pPr>
      <w:ind w:left="1260"/>
      <w:jc w:val="left"/>
    </w:pPr>
    <w:rPr>
      <w:rFonts w:ascii="Times New Roman" w:hAnsi="Times New Roman"/>
      <w:szCs w:val="21"/>
    </w:rPr>
  </w:style>
  <w:style w:type="paragraph" w:styleId="13">
    <w:name w:val="caption"/>
    <w:basedOn w:val="1"/>
    <w:next w:val="1"/>
    <w:qFormat/>
    <w:uiPriority w:val="0"/>
    <w:pPr>
      <w:widowControl/>
      <w:spacing w:line="360" w:lineRule="auto"/>
      <w:ind w:firstLine="1940" w:firstLineChars="920"/>
      <w:jc w:val="left"/>
    </w:pPr>
    <w:rPr>
      <w:rFonts w:ascii="宋体" w:hAnsi="宋体"/>
      <w:b/>
      <w:bCs/>
      <w:kern w:val="0"/>
      <w:sz w:val="20"/>
      <w:szCs w:val="20"/>
    </w:rPr>
  </w:style>
  <w:style w:type="paragraph" w:styleId="14">
    <w:name w:val="List Bullet"/>
    <w:basedOn w:val="1"/>
    <w:qFormat/>
    <w:uiPriority w:val="0"/>
    <w:pPr>
      <w:tabs>
        <w:tab w:val="left" w:pos="360"/>
      </w:tabs>
      <w:ind w:left="360" w:hanging="360"/>
    </w:pPr>
    <w:rPr>
      <w:rFonts w:ascii="Times New Roman" w:hAnsi="Times New Roman"/>
      <w:szCs w:val="20"/>
    </w:rPr>
  </w:style>
  <w:style w:type="paragraph" w:styleId="15">
    <w:name w:val="Document Map"/>
    <w:basedOn w:val="1"/>
    <w:link w:val="115"/>
    <w:semiHidden/>
    <w:qFormat/>
    <w:uiPriority w:val="0"/>
    <w:pPr>
      <w:shd w:val="clear" w:color="auto" w:fill="000080"/>
    </w:pPr>
    <w:rPr>
      <w:rFonts w:ascii="Times New Roman" w:hAnsi="Times New Roman"/>
      <w:kern w:val="0"/>
      <w:sz w:val="20"/>
      <w:szCs w:val="24"/>
    </w:rPr>
  </w:style>
  <w:style w:type="paragraph" w:styleId="16">
    <w:name w:val="annotation text"/>
    <w:basedOn w:val="1"/>
    <w:link w:val="119"/>
    <w:qFormat/>
    <w:uiPriority w:val="0"/>
    <w:pPr>
      <w:autoSpaceDE w:val="0"/>
      <w:autoSpaceDN w:val="0"/>
      <w:adjustRightInd w:val="0"/>
      <w:jc w:val="left"/>
      <w:textAlignment w:val="baseline"/>
    </w:pPr>
    <w:rPr>
      <w:rFonts w:ascii="宋体" w:hAnsi="Times New Roman"/>
      <w:kern w:val="0"/>
      <w:sz w:val="34"/>
      <w:szCs w:val="20"/>
    </w:rPr>
  </w:style>
  <w:style w:type="paragraph" w:styleId="17">
    <w:name w:val="Body Text 3"/>
    <w:basedOn w:val="1"/>
    <w:link w:val="113"/>
    <w:qFormat/>
    <w:uiPriority w:val="0"/>
    <w:pPr>
      <w:spacing w:after="120"/>
    </w:pPr>
    <w:rPr>
      <w:rFonts w:ascii="Times New Roman" w:hAnsi="Times New Roman"/>
      <w:kern w:val="0"/>
      <w:sz w:val="16"/>
      <w:szCs w:val="16"/>
    </w:rPr>
  </w:style>
  <w:style w:type="paragraph" w:styleId="18">
    <w:name w:val="Body Text"/>
    <w:basedOn w:val="1"/>
    <w:link w:val="117"/>
    <w:qFormat/>
    <w:uiPriority w:val="0"/>
    <w:pPr>
      <w:spacing w:line="360" w:lineRule="auto"/>
    </w:pPr>
    <w:rPr>
      <w:rFonts w:ascii="Times New Roman" w:hAnsi="Times New Roman"/>
      <w:b/>
      <w:bCs/>
      <w:kern w:val="0"/>
      <w:sz w:val="24"/>
      <w:szCs w:val="24"/>
    </w:rPr>
  </w:style>
  <w:style w:type="paragraph" w:styleId="19">
    <w:name w:val="Body Text Indent"/>
    <w:basedOn w:val="1"/>
    <w:link w:val="118"/>
    <w:qFormat/>
    <w:uiPriority w:val="0"/>
    <w:pPr>
      <w:spacing w:line="360" w:lineRule="auto"/>
      <w:ind w:firstLine="420" w:firstLineChars="200"/>
    </w:pPr>
    <w:rPr>
      <w:rFonts w:ascii="Times New Roman" w:hAnsi="Times New Roman"/>
      <w:kern w:val="0"/>
      <w:sz w:val="20"/>
      <w:szCs w:val="24"/>
    </w:rPr>
  </w:style>
  <w:style w:type="paragraph" w:styleId="20">
    <w:name w:val="toc 5"/>
    <w:basedOn w:val="1"/>
    <w:next w:val="1"/>
    <w:semiHidden/>
    <w:qFormat/>
    <w:uiPriority w:val="0"/>
    <w:pPr>
      <w:ind w:left="840"/>
      <w:jc w:val="left"/>
    </w:pPr>
    <w:rPr>
      <w:rFonts w:ascii="Times New Roman" w:hAnsi="Times New Roman"/>
      <w:szCs w:val="21"/>
    </w:rPr>
  </w:style>
  <w:style w:type="paragraph" w:styleId="21">
    <w:name w:val="toc 3"/>
    <w:basedOn w:val="1"/>
    <w:next w:val="1"/>
    <w:semiHidden/>
    <w:qFormat/>
    <w:uiPriority w:val="0"/>
    <w:pPr>
      <w:ind w:left="420"/>
      <w:jc w:val="left"/>
    </w:pPr>
    <w:rPr>
      <w:rFonts w:ascii="Times New Roman" w:hAnsi="Times New Roman"/>
      <w:i/>
      <w:iCs/>
      <w:szCs w:val="24"/>
    </w:rPr>
  </w:style>
  <w:style w:type="paragraph" w:styleId="22">
    <w:name w:val="Plain Text"/>
    <w:basedOn w:val="1"/>
    <w:link w:val="114"/>
    <w:qFormat/>
    <w:uiPriority w:val="0"/>
    <w:rPr>
      <w:rFonts w:ascii="宋体" w:hAnsi="Courier New"/>
      <w:kern w:val="0"/>
      <w:sz w:val="20"/>
      <w:szCs w:val="20"/>
    </w:rPr>
  </w:style>
  <w:style w:type="paragraph" w:styleId="23">
    <w:name w:val="toc 8"/>
    <w:basedOn w:val="1"/>
    <w:next w:val="1"/>
    <w:semiHidden/>
    <w:qFormat/>
    <w:uiPriority w:val="0"/>
    <w:pPr>
      <w:ind w:left="1470"/>
      <w:jc w:val="left"/>
    </w:pPr>
    <w:rPr>
      <w:rFonts w:ascii="Times New Roman" w:hAnsi="Times New Roman"/>
      <w:szCs w:val="21"/>
    </w:rPr>
  </w:style>
  <w:style w:type="paragraph" w:styleId="24">
    <w:name w:val="Date"/>
    <w:basedOn w:val="1"/>
    <w:next w:val="1"/>
    <w:link w:val="116"/>
    <w:qFormat/>
    <w:uiPriority w:val="0"/>
    <w:rPr>
      <w:rFonts w:ascii="宋体" w:hAnsi="Courier New"/>
      <w:kern w:val="0"/>
      <w:sz w:val="32"/>
      <w:szCs w:val="20"/>
    </w:rPr>
  </w:style>
  <w:style w:type="paragraph" w:styleId="25">
    <w:name w:val="Body Text Indent 2"/>
    <w:basedOn w:val="1"/>
    <w:link w:val="121"/>
    <w:qFormat/>
    <w:uiPriority w:val="0"/>
    <w:pPr>
      <w:spacing w:beforeLines="50" w:afterLines="50" w:line="120" w:lineRule="auto"/>
      <w:ind w:firstLine="840" w:firstLineChars="400"/>
      <w:jc w:val="left"/>
    </w:pPr>
    <w:rPr>
      <w:rFonts w:ascii="宋体" w:hAnsi="宋体"/>
      <w:kern w:val="0"/>
      <w:sz w:val="20"/>
      <w:szCs w:val="24"/>
    </w:rPr>
  </w:style>
  <w:style w:type="paragraph" w:styleId="26">
    <w:name w:val="Balloon Text"/>
    <w:basedOn w:val="1"/>
    <w:link w:val="123"/>
    <w:qFormat/>
    <w:uiPriority w:val="99"/>
    <w:rPr>
      <w:rFonts w:ascii="Times New Roman" w:hAnsi="Times New Roman"/>
      <w:kern w:val="0"/>
      <w:sz w:val="18"/>
      <w:szCs w:val="18"/>
    </w:rPr>
  </w:style>
  <w:style w:type="paragraph" w:styleId="27">
    <w:name w:val="footer"/>
    <w:basedOn w:val="1"/>
    <w:link w:val="53"/>
    <w:unhideWhenUsed/>
    <w:qFormat/>
    <w:uiPriority w:val="99"/>
    <w:pPr>
      <w:tabs>
        <w:tab w:val="center" w:pos="4153"/>
        <w:tab w:val="right" w:pos="8306"/>
      </w:tabs>
      <w:snapToGrid w:val="0"/>
      <w:jc w:val="left"/>
    </w:pPr>
    <w:rPr>
      <w:sz w:val="18"/>
      <w:szCs w:val="18"/>
    </w:rPr>
  </w:style>
  <w:style w:type="paragraph" w:styleId="2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spacing w:before="120" w:after="120"/>
      <w:jc w:val="left"/>
    </w:pPr>
    <w:rPr>
      <w:rFonts w:ascii="Times New Roman" w:hAnsi="Times New Roman"/>
      <w:b/>
      <w:bCs/>
      <w:caps/>
      <w:szCs w:val="24"/>
    </w:rPr>
  </w:style>
  <w:style w:type="paragraph" w:styleId="30">
    <w:name w:val="toc 4"/>
    <w:basedOn w:val="1"/>
    <w:next w:val="1"/>
    <w:semiHidden/>
    <w:qFormat/>
    <w:uiPriority w:val="0"/>
    <w:pPr>
      <w:ind w:left="630"/>
      <w:jc w:val="left"/>
    </w:pPr>
    <w:rPr>
      <w:rFonts w:ascii="Times New Roman" w:hAnsi="Times New Roman"/>
      <w:szCs w:val="21"/>
    </w:rPr>
  </w:style>
  <w:style w:type="paragraph" w:styleId="31">
    <w:name w:val="toc 6"/>
    <w:basedOn w:val="1"/>
    <w:next w:val="1"/>
    <w:semiHidden/>
    <w:qFormat/>
    <w:uiPriority w:val="0"/>
    <w:pPr>
      <w:ind w:left="1050"/>
      <w:jc w:val="left"/>
    </w:pPr>
    <w:rPr>
      <w:rFonts w:ascii="Times New Roman" w:hAnsi="Times New Roman"/>
      <w:szCs w:val="21"/>
    </w:rPr>
  </w:style>
  <w:style w:type="paragraph" w:styleId="32">
    <w:name w:val="Body Text Indent 3"/>
    <w:basedOn w:val="1"/>
    <w:link w:val="124"/>
    <w:qFormat/>
    <w:uiPriority w:val="0"/>
    <w:pPr>
      <w:spacing w:line="360" w:lineRule="auto"/>
      <w:ind w:firstLine="482" w:firstLineChars="200"/>
    </w:pPr>
    <w:rPr>
      <w:rFonts w:ascii="宋体" w:hAnsi="Times New Roman"/>
      <w:b/>
      <w:bCs/>
      <w:kern w:val="0"/>
      <w:sz w:val="24"/>
      <w:szCs w:val="24"/>
    </w:rPr>
  </w:style>
  <w:style w:type="paragraph" w:styleId="33">
    <w:name w:val="toc 2"/>
    <w:basedOn w:val="1"/>
    <w:next w:val="1"/>
    <w:qFormat/>
    <w:uiPriority w:val="0"/>
    <w:pPr>
      <w:tabs>
        <w:tab w:val="right" w:leader="dot" w:pos="8296"/>
      </w:tabs>
      <w:ind w:left="210"/>
      <w:jc w:val="left"/>
    </w:pPr>
    <w:rPr>
      <w:rFonts w:ascii="Times New Roman" w:hAnsi="Times New Roman"/>
      <w:smallCaps/>
      <w:szCs w:val="24"/>
    </w:rPr>
  </w:style>
  <w:style w:type="paragraph" w:styleId="34">
    <w:name w:val="toc 9"/>
    <w:basedOn w:val="1"/>
    <w:next w:val="1"/>
    <w:semiHidden/>
    <w:qFormat/>
    <w:uiPriority w:val="0"/>
    <w:pPr>
      <w:ind w:left="1680"/>
      <w:jc w:val="left"/>
    </w:pPr>
    <w:rPr>
      <w:rFonts w:ascii="Times New Roman" w:hAnsi="Times New Roman"/>
      <w:szCs w:val="21"/>
    </w:rPr>
  </w:style>
  <w:style w:type="paragraph" w:styleId="35">
    <w:name w:val="Body Text 2"/>
    <w:basedOn w:val="1"/>
    <w:link w:val="122"/>
    <w:qFormat/>
    <w:uiPriority w:val="0"/>
    <w:pPr>
      <w:spacing w:line="360" w:lineRule="auto"/>
    </w:pPr>
    <w:rPr>
      <w:rFonts w:ascii="Times New Roman" w:hAnsi="Times New Roman"/>
      <w:kern w:val="0"/>
      <w:sz w:val="24"/>
      <w:szCs w:val="24"/>
    </w:rPr>
  </w:style>
  <w:style w:type="paragraph" w:styleId="36">
    <w:name w:val="HTML Preformatted"/>
    <w:basedOn w:val="1"/>
    <w:link w:val="12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38">
    <w:name w:val="index 1"/>
    <w:basedOn w:val="1"/>
    <w:next w:val="1"/>
    <w:semiHidden/>
    <w:qFormat/>
    <w:uiPriority w:val="0"/>
    <w:pPr>
      <w:tabs>
        <w:tab w:val="left" w:pos="3360"/>
      </w:tabs>
      <w:spacing w:line="520" w:lineRule="exact"/>
      <w:ind w:left="419" w:leftChars="50" w:hanging="314" w:hangingChars="131"/>
      <w:jc w:val="center"/>
      <w:outlineLvl w:val="3"/>
    </w:pPr>
    <w:rPr>
      <w:rFonts w:ascii="宋体" w:hAnsi="宋体"/>
      <w:sz w:val="24"/>
      <w:szCs w:val="24"/>
    </w:rPr>
  </w:style>
  <w:style w:type="paragraph" w:styleId="39">
    <w:name w:val="Title"/>
    <w:basedOn w:val="1"/>
    <w:link w:val="125"/>
    <w:qFormat/>
    <w:uiPriority w:val="0"/>
    <w:pPr>
      <w:spacing w:before="240" w:after="60"/>
      <w:jc w:val="center"/>
      <w:outlineLvl w:val="0"/>
    </w:pPr>
    <w:rPr>
      <w:rFonts w:ascii="Arial" w:hAnsi="Arial" w:eastAsia="隶书"/>
      <w:b/>
      <w:bCs/>
      <w:kern w:val="0"/>
      <w:sz w:val="32"/>
      <w:szCs w:val="32"/>
    </w:rPr>
  </w:style>
  <w:style w:type="paragraph" w:styleId="40">
    <w:name w:val="annotation subject"/>
    <w:basedOn w:val="16"/>
    <w:next w:val="16"/>
    <w:link w:val="126"/>
    <w:qFormat/>
    <w:uiPriority w:val="99"/>
    <w:pPr>
      <w:autoSpaceDE/>
      <w:autoSpaceDN/>
      <w:adjustRightInd/>
      <w:textAlignment w:val="auto"/>
    </w:pPr>
    <w:rPr>
      <w:rFonts w:ascii="Times New Roman"/>
      <w:b/>
      <w:bCs/>
      <w:szCs w:val="24"/>
    </w:rPr>
  </w:style>
  <w:style w:type="paragraph" w:styleId="41">
    <w:name w:val="Body Text First Indent"/>
    <w:basedOn w:val="18"/>
    <w:link w:val="127"/>
    <w:qFormat/>
    <w:uiPriority w:val="0"/>
    <w:pPr>
      <w:spacing w:after="120" w:line="240" w:lineRule="auto"/>
      <w:ind w:firstLine="420" w:firstLineChars="100"/>
    </w:pPr>
    <w:rPr>
      <w:sz w:val="20"/>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basedOn w:val="44"/>
    <w:qFormat/>
    <w:uiPriority w:val="22"/>
    <w:rPr>
      <w:b/>
      <w:bCs/>
    </w:rPr>
  </w:style>
  <w:style w:type="character" w:styleId="46">
    <w:name w:val="page number"/>
    <w:basedOn w:val="44"/>
    <w:qFormat/>
    <w:uiPriority w:val="0"/>
  </w:style>
  <w:style w:type="character" w:styleId="47">
    <w:name w:val="FollowedHyperlink"/>
    <w:basedOn w:val="44"/>
    <w:unhideWhenUsed/>
    <w:qFormat/>
    <w:uiPriority w:val="99"/>
    <w:rPr>
      <w:color w:val="800080"/>
      <w:u w:val="single"/>
    </w:rPr>
  </w:style>
  <w:style w:type="character" w:styleId="48">
    <w:name w:val="Emphasis"/>
    <w:basedOn w:val="44"/>
    <w:qFormat/>
    <w:uiPriority w:val="0"/>
    <w:rPr>
      <w:i/>
    </w:rPr>
  </w:style>
  <w:style w:type="character" w:styleId="49">
    <w:name w:val="Hyperlink"/>
    <w:basedOn w:val="44"/>
    <w:qFormat/>
    <w:uiPriority w:val="0"/>
    <w:rPr>
      <w:color w:val="0000FF"/>
      <w:u w:val="single"/>
    </w:rPr>
  </w:style>
  <w:style w:type="character" w:styleId="50">
    <w:name w:val="annotation reference"/>
    <w:qFormat/>
    <w:uiPriority w:val="0"/>
    <w:rPr>
      <w:sz w:val="21"/>
      <w:szCs w:val="21"/>
    </w:rPr>
  </w:style>
  <w:style w:type="paragraph" w:styleId="51">
    <w:name w:val="No Spacing"/>
    <w:qFormat/>
    <w:uiPriority w:val="1"/>
    <w:pPr>
      <w:widowControl w:val="0"/>
      <w:jc w:val="both"/>
    </w:pPr>
    <w:rPr>
      <w:rFonts w:ascii="Calibri" w:hAnsi="Calibri" w:eastAsia="宋体" w:cs="Times New Roman"/>
      <w:kern w:val="2"/>
      <w:sz w:val="21"/>
      <w:szCs w:val="22"/>
      <w:lang w:val="en-US" w:eastAsia="zh-CN" w:bidi="ar-SA"/>
    </w:rPr>
  </w:style>
  <w:style w:type="character" w:customStyle="1" w:styleId="52">
    <w:name w:val="页眉 Char"/>
    <w:basedOn w:val="44"/>
    <w:link w:val="28"/>
    <w:qFormat/>
    <w:uiPriority w:val="99"/>
    <w:rPr>
      <w:sz w:val="18"/>
      <w:szCs w:val="18"/>
    </w:rPr>
  </w:style>
  <w:style w:type="character" w:customStyle="1" w:styleId="53">
    <w:name w:val="页脚 Char"/>
    <w:basedOn w:val="44"/>
    <w:link w:val="27"/>
    <w:qFormat/>
    <w:uiPriority w:val="99"/>
    <w:rPr>
      <w:sz w:val="18"/>
      <w:szCs w:val="18"/>
    </w:rPr>
  </w:style>
  <w:style w:type="character" w:customStyle="1" w:styleId="54">
    <w:name w:val="标题 1 Char"/>
    <w:basedOn w:val="44"/>
    <w:link w:val="2"/>
    <w:qFormat/>
    <w:uiPriority w:val="9"/>
    <w:rPr>
      <w:rFonts w:ascii="宋体" w:hAnsi="宋体" w:eastAsia="黑体" w:cs="Times New Roman"/>
      <w:b/>
      <w:bCs/>
      <w:kern w:val="44"/>
      <w:sz w:val="28"/>
      <w:szCs w:val="44"/>
    </w:rPr>
  </w:style>
  <w:style w:type="character" w:customStyle="1" w:styleId="55">
    <w:name w:val="标题 2 Char"/>
    <w:basedOn w:val="44"/>
    <w:link w:val="5"/>
    <w:qFormat/>
    <w:uiPriority w:val="0"/>
    <w:rPr>
      <w:rFonts w:ascii="宋体" w:hAnsi="宋体" w:eastAsia="宋体" w:cs="Times New Roman"/>
      <w:b/>
      <w:bCs/>
      <w:kern w:val="0"/>
      <w:sz w:val="24"/>
      <w:szCs w:val="20"/>
    </w:rPr>
  </w:style>
  <w:style w:type="character" w:customStyle="1" w:styleId="56">
    <w:name w:val="标题 3 Char"/>
    <w:basedOn w:val="44"/>
    <w:link w:val="3"/>
    <w:qFormat/>
    <w:uiPriority w:val="9"/>
    <w:rPr>
      <w:rFonts w:ascii="Calibri" w:hAnsi="Calibri" w:eastAsia="宋体" w:cs="Times New Roman"/>
      <w:b/>
      <w:bCs/>
      <w:sz w:val="32"/>
      <w:szCs w:val="32"/>
    </w:rPr>
  </w:style>
  <w:style w:type="character" w:customStyle="1" w:styleId="57">
    <w:name w:val="标题 4 Char"/>
    <w:basedOn w:val="44"/>
    <w:link w:val="4"/>
    <w:qFormat/>
    <w:uiPriority w:val="0"/>
    <w:rPr>
      <w:rFonts w:ascii="Arial" w:hAnsi="Arial" w:eastAsia="黑体" w:cs="Times New Roman"/>
      <w:b/>
      <w:bCs/>
      <w:kern w:val="0"/>
      <w:sz w:val="28"/>
      <w:szCs w:val="28"/>
    </w:rPr>
  </w:style>
  <w:style w:type="character" w:customStyle="1" w:styleId="58">
    <w:name w:val="标题 5 Char"/>
    <w:basedOn w:val="44"/>
    <w:link w:val="6"/>
    <w:qFormat/>
    <w:uiPriority w:val="0"/>
    <w:rPr>
      <w:rFonts w:ascii="Times New Roman" w:hAnsi="Times New Roman" w:eastAsia="宋体" w:cs="Times New Roman"/>
      <w:b/>
      <w:kern w:val="0"/>
      <w:sz w:val="28"/>
      <w:szCs w:val="20"/>
    </w:rPr>
  </w:style>
  <w:style w:type="character" w:customStyle="1" w:styleId="59">
    <w:name w:val="标题 6 Char"/>
    <w:basedOn w:val="44"/>
    <w:link w:val="8"/>
    <w:qFormat/>
    <w:uiPriority w:val="0"/>
    <w:rPr>
      <w:rFonts w:ascii="Arial" w:hAnsi="Arial" w:eastAsia="黑体" w:cs="Times New Roman"/>
      <w:b/>
      <w:kern w:val="0"/>
      <w:sz w:val="24"/>
      <w:szCs w:val="20"/>
    </w:rPr>
  </w:style>
  <w:style w:type="character" w:customStyle="1" w:styleId="60">
    <w:name w:val="标题 7 Char"/>
    <w:basedOn w:val="44"/>
    <w:link w:val="9"/>
    <w:qFormat/>
    <w:uiPriority w:val="0"/>
    <w:rPr>
      <w:rFonts w:ascii="Times New Roman" w:hAnsi="Times New Roman" w:eastAsia="宋体" w:cs="Times New Roman"/>
      <w:b/>
      <w:kern w:val="0"/>
      <w:sz w:val="24"/>
      <w:szCs w:val="20"/>
    </w:rPr>
  </w:style>
  <w:style w:type="character" w:customStyle="1" w:styleId="61">
    <w:name w:val="标题 8 Char"/>
    <w:basedOn w:val="44"/>
    <w:link w:val="10"/>
    <w:qFormat/>
    <w:uiPriority w:val="0"/>
    <w:rPr>
      <w:rFonts w:ascii="Arial" w:hAnsi="Arial" w:eastAsia="黑体" w:cs="Times New Roman"/>
      <w:kern w:val="0"/>
      <w:sz w:val="24"/>
      <w:szCs w:val="20"/>
    </w:rPr>
  </w:style>
  <w:style w:type="character" w:customStyle="1" w:styleId="62">
    <w:name w:val="标题 9 Char"/>
    <w:basedOn w:val="44"/>
    <w:link w:val="11"/>
    <w:qFormat/>
    <w:uiPriority w:val="0"/>
    <w:rPr>
      <w:rFonts w:ascii="Arial" w:hAnsi="Arial" w:eastAsia="黑体" w:cs="Times New Roman"/>
      <w:kern w:val="0"/>
      <w:sz w:val="20"/>
      <w:szCs w:val="20"/>
    </w:rPr>
  </w:style>
  <w:style w:type="character" w:customStyle="1" w:styleId="63">
    <w:name w:val="标题 3 Char1"/>
    <w:link w:val="3"/>
    <w:qFormat/>
    <w:uiPriority w:val="0"/>
    <w:rPr>
      <w:rFonts w:ascii="宋体" w:hAnsi="宋体" w:eastAsia="宋体" w:cs="Times New Roman"/>
      <w:b/>
      <w:bCs/>
      <w:kern w:val="0"/>
      <w:sz w:val="28"/>
      <w:szCs w:val="32"/>
    </w:rPr>
  </w:style>
  <w:style w:type="character" w:customStyle="1" w:styleId="64">
    <w:name w:val="--规划正文 Char Char"/>
    <w:qFormat/>
    <w:uiPriority w:val="0"/>
    <w:rPr>
      <w:rFonts w:eastAsia="宋体"/>
      <w:kern w:val="2"/>
      <w:sz w:val="24"/>
      <w:szCs w:val="24"/>
      <w:lang w:val="en-US" w:eastAsia="zh-CN" w:bidi="ar-SA"/>
    </w:rPr>
  </w:style>
  <w:style w:type="character" w:customStyle="1" w:styleId="65">
    <w:name w:val="grame"/>
    <w:basedOn w:val="44"/>
    <w:qFormat/>
    <w:uiPriority w:val="0"/>
  </w:style>
  <w:style w:type="character" w:customStyle="1" w:styleId="66">
    <w:name w:val="font"/>
    <w:basedOn w:val="44"/>
    <w:qFormat/>
    <w:uiPriority w:val="0"/>
  </w:style>
  <w:style w:type="character" w:customStyle="1" w:styleId="67">
    <w:name w:val="font2"/>
    <w:basedOn w:val="44"/>
    <w:qFormat/>
    <w:uiPriority w:val="0"/>
  </w:style>
  <w:style w:type="character" w:customStyle="1" w:styleId="68">
    <w:name w:val="unnamed4"/>
    <w:basedOn w:val="44"/>
    <w:qFormat/>
    <w:uiPriority w:val="0"/>
  </w:style>
  <w:style w:type="character" w:customStyle="1" w:styleId="69">
    <w:name w:val="样式 小三 加粗"/>
    <w:qFormat/>
    <w:uiPriority w:val="0"/>
    <w:rPr>
      <w:rFonts w:eastAsia="宋体"/>
      <w:b/>
      <w:bCs/>
      <w:sz w:val="32"/>
    </w:rPr>
  </w:style>
  <w:style w:type="character" w:customStyle="1" w:styleId="70">
    <w:name w:val="z-窗体顶端 Char"/>
    <w:basedOn w:val="44"/>
    <w:qFormat/>
    <w:uiPriority w:val="0"/>
    <w:rPr>
      <w:rFonts w:ascii="Arial" w:hAnsi="Arial" w:eastAsia="宋体" w:cs="Times New Roman"/>
      <w:vanish/>
      <w:kern w:val="0"/>
      <w:sz w:val="16"/>
      <w:szCs w:val="16"/>
      <w:lang w:val="en-US" w:eastAsia="zh-CN"/>
    </w:rPr>
  </w:style>
  <w:style w:type="paragraph" w:customStyle="1" w:styleId="71">
    <w:name w:val="z-窗体顶端1"/>
    <w:basedOn w:val="1"/>
    <w:next w:val="1"/>
    <w:link w:val="181"/>
    <w:qFormat/>
    <w:uiPriority w:val="0"/>
    <w:pPr>
      <w:widowControl/>
      <w:pBdr>
        <w:bottom w:val="single" w:color="auto" w:sz="6" w:space="1"/>
      </w:pBdr>
      <w:jc w:val="center"/>
    </w:pPr>
    <w:rPr>
      <w:rFonts w:ascii="Arial" w:hAnsi="Arial"/>
      <w:vanish/>
      <w:kern w:val="0"/>
      <w:sz w:val="16"/>
      <w:szCs w:val="16"/>
    </w:rPr>
  </w:style>
  <w:style w:type="character" w:customStyle="1" w:styleId="72">
    <w:name w:val="批注文字 Char"/>
    <w:basedOn w:val="44"/>
    <w:link w:val="16"/>
    <w:qFormat/>
    <w:uiPriority w:val="0"/>
    <w:rPr>
      <w:rFonts w:ascii="宋体" w:hAnsi="Times New Roman" w:eastAsia="宋体" w:cs="Times New Roman"/>
      <w:kern w:val="0"/>
      <w:sz w:val="34"/>
      <w:szCs w:val="20"/>
    </w:rPr>
  </w:style>
  <w:style w:type="character" w:customStyle="1" w:styleId="73">
    <w:name w:val="标题 Char"/>
    <w:basedOn w:val="44"/>
    <w:link w:val="39"/>
    <w:qFormat/>
    <w:uiPriority w:val="0"/>
    <w:rPr>
      <w:rFonts w:ascii="Arial" w:hAnsi="Arial" w:eastAsia="隶书" w:cs="Times New Roman"/>
      <w:b/>
      <w:bCs/>
      <w:kern w:val="0"/>
      <w:sz w:val="32"/>
      <w:szCs w:val="32"/>
    </w:rPr>
  </w:style>
  <w:style w:type="character" w:customStyle="1" w:styleId="74">
    <w:name w:val="正文文本 Char"/>
    <w:basedOn w:val="44"/>
    <w:semiHidden/>
    <w:qFormat/>
    <w:uiPriority w:val="99"/>
    <w:rPr>
      <w:rFonts w:ascii="Calibri" w:hAnsi="Calibri" w:eastAsia="宋体" w:cs="Times New Roman"/>
    </w:rPr>
  </w:style>
  <w:style w:type="character" w:customStyle="1" w:styleId="75">
    <w:name w:val="正文缩进 Char"/>
    <w:link w:val="7"/>
    <w:qFormat/>
    <w:uiPriority w:val="0"/>
    <w:rPr>
      <w:rFonts w:ascii="Times New Roman" w:hAnsi="Times New Roman" w:eastAsia="宋体" w:cs="Times New Roman"/>
      <w:kern w:val="0"/>
      <w:sz w:val="20"/>
      <w:szCs w:val="20"/>
    </w:rPr>
  </w:style>
  <w:style w:type="character" w:customStyle="1" w:styleId="76">
    <w:name w:val="日期 Char"/>
    <w:basedOn w:val="44"/>
    <w:link w:val="24"/>
    <w:qFormat/>
    <w:uiPriority w:val="0"/>
    <w:rPr>
      <w:rFonts w:ascii="宋体" w:hAnsi="Courier New" w:eastAsia="宋体" w:cs="Times New Roman"/>
      <w:kern w:val="0"/>
      <w:sz w:val="32"/>
      <w:szCs w:val="20"/>
    </w:rPr>
  </w:style>
  <w:style w:type="character" w:customStyle="1" w:styleId="77">
    <w:name w:val="正文文字首行缩进 Char"/>
    <w:qFormat/>
    <w:uiPriority w:val="0"/>
    <w:rPr>
      <w:kern w:val="2"/>
      <w:sz w:val="21"/>
      <w:szCs w:val="24"/>
    </w:rPr>
  </w:style>
  <w:style w:type="character" w:customStyle="1" w:styleId="78">
    <w:name w:val="unnamed3"/>
    <w:basedOn w:val="44"/>
    <w:qFormat/>
    <w:uiPriority w:val="0"/>
  </w:style>
  <w:style w:type="character" w:customStyle="1" w:styleId="79">
    <w:name w:val="批注主题 Char"/>
    <w:basedOn w:val="72"/>
    <w:link w:val="40"/>
    <w:qFormat/>
    <w:uiPriority w:val="99"/>
    <w:rPr>
      <w:rFonts w:ascii="Times New Roman"/>
      <w:b/>
      <w:bCs/>
      <w:szCs w:val="24"/>
    </w:rPr>
  </w:style>
  <w:style w:type="character" w:customStyle="1" w:styleId="80">
    <w:name w:val="gray6"/>
    <w:basedOn w:val="44"/>
    <w:qFormat/>
    <w:uiPriority w:val="0"/>
  </w:style>
  <w:style w:type="character" w:customStyle="1" w:styleId="81">
    <w:name w:val="纯文本 Char"/>
    <w:basedOn w:val="44"/>
    <w:link w:val="22"/>
    <w:qFormat/>
    <w:uiPriority w:val="0"/>
    <w:rPr>
      <w:rFonts w:ascii="宋体" w:hAnsi="Courier New" w:eastAsia="宋体" w:cs="Times New Roman"/>
      <w:kern w:val="0"/>
      <w:sz w:val="20"/>
      <w:szCs w:val="20"/>
    </w:rPr>
  </w:style>
  <w:style w:type="character" w:customStyle="1" w:styleId="82">
    <w:name w:val="正文文本缩进 Char"/>
    <w:basedOn w:val="44"/>
    <w:link w:val="19"/>
    <w:qFormat/>
    <w:uiPriority w:val="0"/>
    <w:rPr>
      <w:rFonts w:ascii="Times New Roman" w:hAnsi="Times New Roman" w:eastAsia="宋体" w:cs="Times New Roman"/>
      <w:kern w:val="0"/>
      <w:sz w:val="20"/>
      <w:szCs w:val="24"/>
    </w:rPr>
  </w:style>
  <w:style w:type="character" w:customStyle="1" w:styleId="83">
    <w:name w:val="正文文本 2 Char"/>
    <w:basedOn w:val="44"/>
    <w:link w:val="35"/>
    <w:qFormat/>
    <w:uiPriority w:val="0"/>
    <w:rPr>
      <w:rFonts w:ascii="Times New Roman" w:hAnsi="Times New Roman" w:eastAsia="宋体" w:cs="Times New Roman"/>
      <w:kern w:val="0"/>
      <w:sz w:val="24"/>
      <w:szCs w:val="24"/>
    </w:rPr>
  </w:style>
  <w:style w:type="character" w:customStyle="1" w:styleId="84">
    <w:name w:val="标题 3 Char Char"/>
    <w:qFormat/>
    <w:uiPriority w:val="0"/>
    <w:rPr>
      <w:rFonts w:eastAsia="宋体"/>
      <w:b/>
      <w:bCs/>
      <w:kern w:val="2"/>
      <w:sz w:val="32"/>
      <w:szCs w:val="32"/>
      <w:lang w:val="en-US" w:eastAsia="zh-CN" w:bidi="ar-SA"/>
    </w:rPr>
  </w:style>
  <w:style w:type="character" w:customStyle="1" w:styleId="85">
    <w:name w:val="--规划正文 Char1"/>
    <w:qFormat/>
    <w:uiPriority w:val="0"/>
    <w:rPr>
      <w:rFonts w:eastAsia="宋体"/>
      <w:kern w:val="2"/>
      <w:sz w:val="21"/>
      <w:lang w:val="en-US" w:eastAsia="zh-CN" w:bidi="ar-SA"/>
    </w:rPr>
  </w:style>
  <w:style w:type="character" w:customStyle="1" w:styleId="86">
    <w:name w:val="正文首行缩进 Char"/>
    <w:basedOn w:val="74"/>
    <w:link w:val="41"/>
    <w:qFormat/>
    <w:uiPriority w:val="0"/>
    <w:rPr>
      <w:rFonts w:ascii="Times New Roman" w:hAnsi="Times New Roman"/>
      <w:b/>
      <w:bCs/>
      <w:kern w:val="0"/>
      <w:sz w:val="20"/>
      <w:szCs w:val="24"/>
      <w:lang w:val="en-US" w:eastAsia="zh-CN"/>
    </w:rPr>
  </w:style>
  <w:style w:type="character" w:customStyle="1" w:styleId="87">
    <w:name w:val="z-窗体底端 Char"/>
    <w:basedOn w:val="44"/>
    <w:qFormat/>
    <w:uiPriority w:val="0"/>
    <w:rPr>
      <w:rFonts w:ascii="Arial" w:hAnsi="Arial" w:eastAsia="宋体" w:cs="Times New Roman"/>
      <w:vanish/>
      <w:kern w:val="0"/>
      <w:sz w:val="16"/>
      <w:szCs w:val="16"/>
      <w:lang w:val="en-US" w:eastAsia="zh-CN"/>
    </w:rPr>
  </w:style>
  <w:style w:type="paragraph" w:customStyle="1" w:styleId="88">
    <w:name w:val="z-窗体底端1"/>
    <w:basedOn w:val="1"/>
    <w:next w:val="1"/>
    <w:link w:val="201"/>
    <w:qFormat/>
    <w:uiPriority w:val="0"/>
    <w:pPr>
      <w:widowControl/>
      <w:pBdr>
        <w:top w:val="single" w:color="auto" w:sz="6" w:space="1"/>
      </w:pBdr>
      <w:jc w:val="center"/>
    </w:pPr>
    <w:rPr>
      <w:rFonts w:ascii="Arial" w:hAnsi="Arial"/>
      <w:vanish/>
      <w:kern w:val="0"/>
      <w:sz w:val="16"/>
      <w:szCs w:val="16"/>
    </w:rPr>
  </w:style>
  <w:style w:type="character" w:customStyle="1" w:styleId="89">
    <w:name w:val="HTML 预设格式 Char"/>
    <w:basedOn w:val="44"/>
    <w:link w:val="36"/>
    <w:qFormat/>
    <w:uiPriority w:val="0"/>
    <w:rPr>
      <w:rFonts w:ascii="Arial Unicode MS" w:hAnsi="Arial Unicode MS" w:eastAsia="Arial Unicode MS" w:cs="Times New Roman"/>
      <w:color w:val="000000"/>
      <w:kern w:val="0"/>
      <w:sz w:val="20"/>
      <w:szCs w:val="20"/>
    </w:rPr>
  </w:style>
  <w:style w:type="character" w:customStyle="1" w:styleId="90">
    <w:name w:val="H4 Char2"/>
    <w:qFormat/>
    <w:uiPriority w:val="0"/>
    <w:rPr>
      <w:rFonts w:ascii="Arial" w:hAnsi="Arial" w:eastAsia="黑体"/>
      <w:b/>
      <w:bCs/>
      <w:kern w:val="2"/>
      <w:sz w:val="28"/>
      <w:szCs w:val="28"/>
      <w:lang w:val="en-US" w:eastAsia="zh-CN" w:bidi="ar-SA"/>
    </w:rPr>
  </w:style>
  <w:style w:type="character" w:customStyle="1" w:styleId="91">
    <w:name w:val="正文文本 Char1"/>
    <w:link w:val="18"/>
    <w:qFormat/>
    <w:uiPriority w:val="0"/>
    <w:rPr>
      <w:rFonts w:ascii="Times New Roman" w:hAnsi="Times New Roman" w:eastAsia="宋体" w:cs="Times New Roman"/>
      <w:b/>
      <w:bCs/>
      <w:kern w:val="0"/>
      <w:sz w:val="24"/>
      <w:szCs w:val="24"/>
    </w:rPr>
  </w:style>
  <w:style w:type="character" w:customStyle="1" w:styleId="92">
    <w:name w:val="body text Char1"/>
    <w:qFormat/>
    <w:uiPriority w:val="0"/>
    <w:rPr>
      <w:rFonts w:eastAsia="宋体"/>
      <w:kern w:val="2"/>
      <w:sz w:val="21"/>
      <w:lang w:val="en-US" w:eastAsia="zh-CN" w:bidi="ar-SA"/>
    </w:rPr>
  </w:style>
  <w:style w:type="character" w:customStyle="1" w:styleId="93">
    <w:name w:val="文档结构图 Char"/>
    <w:basedOn w:val="44"/>
    <w:link w:val="15"/>
    <w:semiHidden/>
    <w:qFormat/>
    <w:uiPriority w:val="0"/>
    <w:rPr>
      <w:rFonts w:ascii="Times New Roman" w:hAnsi="Times New Roman" w:eastAsia="宋体" w:cs="Times New Roman"/>
      <w:kern w:val="0"/>
      <w:sz w:val="20"/>
      <w:szCs w:val="24"/>
      <w:shd w:val="clear" w:color="auto" w:fill="000080"/>
    </w:rPr>
  </w:style>
  <w:style w:type="character" w:customStyle="1" w:styleId="94">
    <w:name w:val="正文文本 3 Char"/>
    <w:basedOn w:val="44"/>
    <w:link w:val="17"/>
    <w:qFormat/>
    <w:uiPriority w:val="0"/>
    <w:rPr>
      <w:rFonts w:ascii="Times New Roman" w:hAnsi="Times New Roman" w:eastAsia="宋体" w:cs="Times New Roman"/>
      <w:kern w:val="0"/>
      <w:sz w:val="16"/>
      <w:szCs w:val="16"/>
    </w:rPr>
  </w:style>
  <w:style w:type="character" w:customStyle="1" w:styleId="95">
    <w:name w:val="blue"/>
    <w:basedOn w:val="44"/>
    <w:qFormat/>
    <w:uiPriority w:val="0"/>
  </w:style>
  <w:style w:type="character" w:customStyle="1" w:styleId="96">
    <w:name w:val="proddescription"/>
    <w:basedOn w:val="44"/>
    <w:qFormat/>
    <w:uiPriority w:val="0"/>
  </w:style>
  <w:style w:type="character" w:customStyle="1" w:styleId="97">
    <w:name w:val="缩进正文 Char"/>
    <w:link w:val="98"/>
    <w:qFormat/>
    <w:uiPriority w:val="0"/>
    <w:rPr>
      <w:rFonts w:ascii="Times New Roman" w:hAnsi="Times New Roman" w:eastAsia="仿宋_GB2312" w:cs="Times New Roman"/>
      <w:kern w:val="0"/>
      <w:sz w:val="28"/>
      <w:szCs w:val="20"/>
    </w:rPr>
  </w:style>
  <w:style w:type="paragraph" w:customStyle="1" w:styleId="98">
    <w:name w:val="缩进正文"/>
    <w:basedOn w:val="1"/>
    <w:link w:val="97"/>
    <w:qFormat/>
    <w:uiPriority w:val="0"/>
    <w:pPr>
      <w:ind w:firstLine="560" w:firstLineChars="200"/>
    </w:pPr>
    <w:rPr>
      <w:rFonts w:ascii="Times New Roman" w:hAnsi="Times New Roman" w:eastAsia="仿宋_GB2312"/>
      <w:kern w:val="0"/>
      <w:sz w:val="28"/>
      <w:szCs w:val="20"/>
    </w:rPr>
  </w:style>
  <w:style w:type="character" w:customStyle="1" w:styleId="99">
    <w:name w:val="style9"/>
    <w:basedOn w:val="44"/>
    <w:qFormat/>
    <w:uiPriority w:val="0"/>
  </w:style>
  <w:style w:type="character" w:customStyle="1" w:styleId="100">
    <w:name w:val="prodheadlines"/>
    <w:basedOn w:val="44"/>
    <w:qFormat/>
    <w:uiPriority w:val="0"/>
  </w:style>
  <w:style w:type="character" w:customStyle="1" w:styleId="101">
    <w:name w:val="content1"/>
    <w:qFormat/>
    <w:uiPriority w:val="0"/>
    <w:rPr>
      <w:rFonts w:hint="default" w:ascii="??" w:hAnsi="??"/>
      <w:sz w:val="16"/>
      <w:szCs w:val="16"/>
      <w:u w:val="none"/>
    </w:rPr>
  </w:style>
  <w:style w:type="character" w:customStyle="1" w:styleId="102">
    <w:name w:val="正文文本缩进 3 Char"/>
    <w:basedOn w:val="44"/>
    <w:link w:val="32"/>
    <w:qFormat/>
    <w:uiPriority w:val="0"/>
    <w:rPr>
      <w:rFonts w:ascii="宋体" w:hAnsi="Times New Roman" w:eastAsia="宋体" w:cs="Times New Roman"/>
      <w:b/>
      <w:bCs/>
      <w:kern w:val="0"/>
      <w:sz w:val="24"/>
      <w:szCs w:val="24"/>
    </w:rPr>
  </w:style>
  <w:style w:type="character" w:customStyle="1" w:styleId="103">
    <w:name w:val="章标题1 Char"/>
    <w:qFormat/>
    <w:uiPriority w:val="0"/>
    <w:rPr>
      <w:rFonts w:eastAsia="宋体"/>
      <w:b/>
      <w:bCs/>
      <w:kern w:val="2"/>
      <w:sz w:val="32"/>
      <w:szCs w:val="32"/>
      <w:lang w:val="en-US" w:eastAsia="zh-CN" w:bidi="ar-SA"/>
    </w:rPr>
  </w:style>
  <w:style w:type="character" w:customStyle="1" w:styleId="104">
    <w:name w:val="font41"/>
    <w:qFormat/>
    <w:uiPriority w:val="0"/>
    <w:rPr>
      <w:color w:val="000000"/>
      <w:spacing w:val="260"/>
      <w:sz w:val="18"/>
      <w:szCs w:val="18"/>
      <w:u w:val="none"/>
    </w:rPr>
  </w:style>
  <w:style w:type="character" w:customStyle="1" w:styleId="105">
    <w:name w:val="alt-edited1"/>
    <w:qFormat/>
    <w:uiPriority w:val="0"/>
    <w:rPr>
      <w:color w:val="4D90F0"/>
    </w:rPr>
  </w:style>
  <w:style w:type="character" w:customStyle="1" w:styleId="106">
    <w:name w:val="info4"/>
    <w:basedOn w:val="44"/>
    <w:qFormat/>
    <w:uiPriority w:val="0"/>
  </w:style>
  <w:style w:type="character" w:customStyle="1" w:styleId="107">
    <w:name w:val="第*章 Char"/>
    <w:qFormat/>
    <w:uiPriority w:val="0"/>
    <w:rPr>
      <w:rFonts w:ascii="Arial" w:hAnsi="Arial" w:eastAsia="黑体"/>
      <w:b/>
      <w:bCs/>
      <w:kern w:val="2"/>
      <w:sz w:val="32"/>
      <w:szCs w:val="32"/>
    </w:rPr>
  </w:style>
  <w:style w:type="character" w:customStyle="1" w:styleId="108">
    <w:name w:val="text"/>
    <w:basedOn w:val="44"/>
    <w:qFormat/>
    <w:uiPriority w:val="0"/>
  </w:style>
  <w:style w:type="character" w:customStyle="1" w:styleId="109">
    <w:name w:val="正文文本缩进 2 Char"/>
    <w:basedOn w:val="44"/>
    <w:link w:val="25"/>
    <w:qFormat/>
    <w:uiPriority w:val="0"/>
    <w:rPr>
      <w:rFonts w:ascii="宋体" w:hAnsi="宋体" w:eastAsia="宋体" w:cs="Times New Roman"/>
      <w:kern w:val="0"/>
      <w:sz w:val="20"/>
      <w:szCs w:val="24"/>
    </w:rPr>
  </w:style>
  <w:style w:type="character" w:customStyle="1" w:styleId="110">
    <w:name w:val="font11"/>
    <w:qFormat/>
    <w:uiPriority w:val="0"/>
    <w:rPr>
      <w:rFonts w:hint="default" w:ascii="ˎ̥" w:hAnsi="ˎ̥"/>
    </w:rPr>
  </w:style>
  <w:style w:type="character" w:customStyle="1" w:styleId="111">
    <w:name w:val="批注框文本 Char"/>
    <w:basedOn w:val="44"/>
    <w:link w:val="26"/>
    <w:qFormat/>
    <w:uiPriority w:val="99"/>
    <w:rPr>
      <w:rFonts w:ascii="Times New Roman" w:hAnsi="Times New Roman" w:eastAsia="宋体" w:cs="Times New Roman"/>
      <w:kern w:val="0"/>
      <w:sz w:val="18"/>
      <w:szCs w:val="18"/>
    </w:rPr>
  </w:style>
  <w:style w:type="character" w:customStyle="1" w:styleId="112">
    <w:name w:val="mode"/>
    <w:basedOn w:val="44"/>
    <w:qFormat/>
    <w:uiPriority w:val="0"/>
  </w:style>
  <w:style w:type="character" w:customStyle="1" w:styleId="113">
    <w:name w:val="正文文本 3 Char1"/>
    <w:basedOn w:val="44"/>
    <w:link w:val="17"/>
    <w:semiHidden/>
    <w:qFormat/>
    <w:uiPriority w:val="99"/>
    <w:rPr>
      <w:rFonts w:ascii="Calibri" w:hAnsi="Calibri" w:eastAsia="宋体" w:cs="Times New Roman"/>
      <w:sz w:val="16"/>
      <w:szCs w:val="16"/>
    </w:rPr>
  </w:style>
  <w:style w:type="character" w:customStyle="1" w:styleId="114">
    <w:name w:val="纯文本 Char1"/>
    <w:basedOn w:val="44"/>
    <w:link w:val="22"/>
    <w:semiHidden/>
    <w:qFormat/>
    <w:uiPriority w:val="99"/>
    <w:rPr>
      <w:rFonts w:ascii="宋体" w:hAnsi="Courier New" w:eastAsia="宋体" w:cs="Courier New"/>
      <w:szCs w:val="21"/>
    </w:rPr>
  </w:style>
  <w:style w:type="character" w:customStyle="1" w:styleId="115">
    <w:name w:val="文档结构图 Char1"/>
    <w:basedOn w:val="44"/>
    <w:link w:val="15"/>
    <w:semiHidden/>
    <w:qFormat/>
    <w:uiPriority w:val="99"/>
    <w:rPr>
      <w:rFonts w:ascii="宋体" w:hAnsi="Calibri" w:eastAsia="宋体" w:cs="Times New Roman"/>
      <w:sz w:val="18"/>
      <w:szCs w:val="18"/>
    </w:rPr>
  </w:style>
  <w:style w:type="character" w:customStyle="1" w:styleId="116">
    <w:name w:val="日期 Char1"/>
    <w:basedOn w:val="44"/>
    <w:link w:val="24"/>
    <w:semiHidden/>
    <w:qFormat/>
    <w:uiPriority w:val="99"/>
    <w:rPr>
      <w:rFonts w:ascii="Calibri" w:hAnsi="Calibri" w:eastAsia="宋体" w:cs="Times New Roman"/>
    </w:rPr>
  </w:style>
  <w:style w:type="character" w:customStyle="1" w:styleId="117">
    <w:name w:val="正文文本 Char2"/>
    <w:basedOn w:val="44"/>
    <w:link w:val="18"/>
    <w:semiHidden/>
    <w:qFormat/>
    <w:uiPriority w:val="99"/>
    <w:rPr>
      <w:rFonts w:ascii="Calibri" w:hAnsi="Calibri" w:eastAsia="宋体" w:cs="Times New Roman"/>
    </w:rPr>
  </w:style>
  <w:style w:type="character" w:customStyle="1" w:styleId="118">
    <w:name w:val="正文文本缩进 Char1"/>
    <w:basedOn w:val="44"/>
    <w:link w:val="19"/>
    <w:semiHidden/>
    <w:qFormat/>
    <w:uiPriority w:val="99"/>
    <w:rPr>
      <w:rFonts w:ascii="Calibri" w:hAnsi="Calibri" w:eastAsia="宋体" w:cs="Times New Roman"/>
    </w:rPr>
  </w:style>
  <w:style w:type="character" w:customStyle="1" w:styleId="119">
    <w:name w:val="批注文字 Char1"/>
    <w:basedOn w:val="44"/>
    <w:link w:val="16"/>
    <w:semiHidden/>
    <w:qFormat/>
    <w:uiPriority w:val="99"/>
    <w:rPr>
      <w:rFonts w:ascii="Calibri" w:hAnsi="Calibri" w:eastAsia="宋体" w:cs="Times New Roman"/>
    </w:rPr>
  </w:style>
  <w:style w:type="character" w:customStyle="1" w:styleId="120">
    <w:name w:val="HTML 预设格式 Char1"/>
    <w:basedOn w:val="44"/>
    <w:link w:val="36"/>
    <w:semiHidden/>
    <w:qFormat/>
    <w:uiPriority w:val="99"/>
    <w:rPr>
      <w:rFonts w:ascii="Courier New" w:hAnsi="Courier New" w:eastAsia="宋体" w:cs="Courier New"/>
      <w:sz w:val="20"/>
      <w:szCs w:val="20"/>
    </w:rPr>
  </w:style>
  <w:style w:type="character" w:customStyle="1" w:styleId="121">
    <w:name w:val="正文文本缩进 2 Char1"/>
    <w:basedOn w:val="44"/>
    <w:link w:val="25"/>
    <w:semiHidden/>
    <w:qFormat/>
    <w:uiPriority w:val="99"/>
    <w:rPr>
      <w:rFonts w:ascii="Calibri" w:hAnsi="Calibri" w:eastAsia="宋体" w:cs="Times New Roman"/>
    </w:rPr>
  </w:style>
  <w:style w:type="character" w:customStyle="1" w:styleId="122">
    <w:name w:val="正文文本 2 Char1"/>
    <w:basedOn w:val="44"/>
    <w:link w:val="35"/>
    <w:semiHidden/>
    <w:qFormat/>
    <w:uiPriority w:val="99"/>
    <w:rPr>
      <w:rFonts w:ascii="Calibri" w:hAnsi="Calibri" w:eastAsia="宋体" w:cs="Times New Roman"/>
    </w:rPr>
  </w:style>
  <w:style w:type="character" w:customStyle="1" w:styleId="123">
    <w:name w:val="批注框文本 Char1"/>
    <w:basedOn w:val="44"/>
    <w:link w:val="26"/>
    <w:semiHidden/>
    <w:qFormat/>
    <w:uiPriority w:val="99"/>
    <w:rPr>
      <w:rFonts w:ascii="Calibri" w:hAnsi="Calibri" w:eastAsia="宋体" w:cs="Times New Roman"/>
      <w:sz w:val="18"/>
      <w:szCs w:val="18"/>
    </w:rPr>
  </w:style>
  <w:style w:type="character" w:customStyle="1" w:styleId="124">
    <w:name w:val="正文文本缩进 3 Char1"/>
    <w:basedOn w:val="44"/>
    <w:link w:val="32"/>
    <w:semiHidden/>
    <w:qFormat/>
    <w:uiPriority w:val="99"/>
    <w:rPr>
      <w:rFonts w:ascii="Calibri" w:hAnsi="Calibri" w:eastAsia="宋体" w:cs="Times New Roman"/>
      <w:sz w:val="16"/>
      <w:szCs w:val="16"/>
    </w:rPr>
  </w:style>
  <w:style w:type="character" w:customStyle="1" w:styleId="125">
    <w:name w:val="标题 Char1"/>
    <w:basedOn w:val="44"/>
    <w:link w:val="39"/>
    <w:qFormat/>
    <w:uiPriority w:val="10"/>
    <w:rPr>
      <w:rFonts w:eastAsia="宋体" w:asciiTheme="majorHAnsi" w:hAnsiTheme="majorHAnsi" w:cstheme="majorBidi"/>
      <w:b/>
      <w:bCs/>
      <w:sz w:val="32"/>
      <w:szCs w:val="32"/>
    </w:rPr>
  </w:style>
  <w:style w:type="character" w:customStyle="1" w:styleId="126">
    <w:name w:val="批注主题 Char1"/>
    <w:basedOn w:val="119"/>
    <w:link w:val="40"/>
    <w:semiHidden/>
    <w:qFormat/>
    <w:uiPriority w:val="99"/>
    <w:rPr>
      <w:b/>
      <w:bCs/>
    </w:rPr>
  </w:style>
  <w:style w:type="character" w:customStyle="1" w:styleId="127">
    <w:name w:val="正文首行缩进 Char1"/>
    <w:basedOn w:val="117"/>
    <w:link w:val="41"/>
    <w:semiHidden/>
    <w:qFormat/>
    <w:uiPriority w:val="99"/>
  </w:style>
  <w:style w:type="paragraph" w:customStyle="1" w:styleId="128">
    <w:name w:val="xl34"/>
    <w:basedOn w:val="1"/>
    <w:qFormat/>
    <w:uiPriority w:val="0"/>
    <w:pPr>
      <w:widowControl/>
      <w:pBdr>
        <w:left w:val="single" w:color="auto" w:sz="4" w:space="0"/>
      </w:pBdr>
      <w:spacing w:before="100" w:beforeAutospacing="1" w:after="100" w:afterAutospacing="1"/>
      <w:jc w:val="center"/>
      <w:textAlignment w:val="center"/>
    </w:pPr>
    <w:rPr>
      <w:rFonts w:ascii="宋体" w:hAnsi="宋体"/>
      <w:kern w:val="0"/>
      <w:sz w:val="24"/>
      <w:szCs w:val="24"/>
    </w:rPr>
  </w:style>
  <w:style w:type="paragraph" w:customStyle="1" w:styleId="129">
    <w:name w:val="编号1"/>
    <w:basedOn w:val="1"/>
    <w:qFormat/>
    <w:uiPriority w:val="0"/>
    <w:pPr>
      <w:tabs>
        <w:tab w:val="left" w:pos="360"/>
      </w:tabs>
      <w:adjustRightInd w:val="0"/>
      <w:spacing w:line="300" w:lineRule="auto"/>
      <w:ind w:left="360" w:right="210" w:hanging="360"/>
      <w:textAlignment w:val="center"/>
    </w:pPr>
    <w:rPr>
      <w:rFonts w:ascii="宋体" w:hAnsi="宋体"/>
      <w:snapToGrid w:val="0"/>
      <w:spacing w:val="10"/>
      <w:kern w:val="24"/>
      <w:szCs w:val="24"/>
    </w:rPr>
  </w:style>
  <w:style w:type="paragraph" w:customStyle="1" w:styleId="130">
    <w:name w:val="--规划正文"/>
    <w:basedOn w:val="1"/>
    <w:qFormat/>
    <w:uiPriority w:val="0"/>
    <w:pPr>
      <w:spacing w:line="360" w:lineRule="auto"/>
      <w:ind w:firstLine="200" w:firstLineChars="200"/>
    </w:pPr>
    <w:rPr>
      <w:rFonts w:ascii="Times New Roman" w:hAnsi="Times New Roman"/>
      <w:szCs w:val="20"/>
    </w:rPr>
  </w:style>
  <w:style w:type="paragraph" w:customStyle="1" w:styleId="131">
    <w:name w:val="产品描述"/>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132">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3">
    <w:name w:val="Char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34">
    <w:name w:val="9"/>
    <w:basedOn w:val="1"/>
    <w:next w:val="7"/>
    <w:qFormat/>
    <w:uiPriority w:val="0"/>
    <w:pPr>
      <w:autoSpaceDE w:val="0"/>
      <w:autoSpaceDN w:val="0"/>
      <w:adjustRightInd w:val="0"/>
      <w:ind w:firstLine="420"/>
      <w:jc w:val="left"/>
      <w:textAlignment w:val="baseline"/>
    </w:pPr>
    <w:rPr>
      <w:rFonts w:ascii="宋体" w:hAnsi="Times New Roman"/>
      <w:kern w:val="0"/>
      <w:sz w:val="34"/>
      <w:szCs w:val="20"/>
    </w:rPr>
  </w:style>
  <w:style w:type="paragraph" w:customStyle="1" w:styleId="135">
    <w:name w:val="00"/>
    <w:basedOn w:val="1"/>
    <w:qFormat/>
    <w:uiPriority w:val="0"/>
    <w:pPr>
      <w:autoSpaceDE w:val="0"/>
      <w:autoSpaceDN w:val="0"/>
      <w:adjustRightInd w:val="0"/>
      <w:jc w:val="left"/>
    </w:pPr>
    <w:rPr>
      <w:rFonts w:ascii="黑体" w:hAnsi="Times New Roman" w:eastAsia="黑体"/>
      <w:b/>
      <w:bCs/>
      <w:kern w:val="0"/>
      <w:sz w:val="20"/>
      <w:szCs w:val="20"/>
    </w:rPr>
  </w:style>
  <w:style w:type="paragraph" w:customStyle="1" w:styleId="136">
    <w:name w:val="cont"/>
    <w:basedOn w:val="1"/>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137">
    <w:name w:val="blue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8">
    <w:name w:val="word"/>
    <w:basedOn w:val="1"/>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139">
    <w:name w:val="样式 标题 2 + 段前: 13 磅 段后: 13 磅 行距: 单倍行距"/>
    <w:basedOn w:val="5"/>
    <w:qFormat/>
    <w:uiPriority w:val="0"/>
    <w:pPr>
      <w:adjustRightInd/>
      <w:spacing w:before="0" w:after="0"/>
      <w:jc w:val="both"/>
      <w:textAlignment w:val="auto"/>
    </w:pPr>
    <w:rPr>
      <w:rFonts w:ascii="Cambria" w:hAnsi="Cambria" w:cs="宋体"/>
      <w:kern w:val="2"/>
      <w:sz w:val="32"/>
    </w:rPr>
  </w:style>
  <w:style w:type="paragraph" w:customStyle="1" w:styleId="140">
    <w:name w:val="RFI text from 3rd Level"/>
    <w:basedOn w:val="1"/>
    <w:qFormat/>
    <w:uiPriority w:val="0"/>
    <w:pPr>
      <w:widowControl/>
      <w:tabs>
        <w:tab w:val="left" w:pos="1080"/>
      </w:tabs>
      <w:spacing w:beforeLines="50" w:line="360" w:lineRule="auto"/>
    </w:pPr>
    <w:rPr>
      <w:rFonts w:ascii="Arial (W1)" w:hAnsi="Arial (W1)"/>
      <w:bCs/>
      <w:kern w:val="0"/>
      <w:sz w:val="24"/>
      <w:szCs w:val="24"/>
      <w:lang w:val="en-GB"/>
    </w:rPr>
  </w:style>
  <w:style w:type="paragraph" w:customStyle="1" w:styleId="141">
    <w:name w:val="列出段落1"/>
    <w:basedOn w:val="1"/>
    <w:link w:val="214"/>
    <w:qFormat/>
    <w:uiPriority w:val="0"/>
    <w:pPr>
      <w:ind w:firstLine="420" w:firstLineChars="200"/>
    </w:pPr>
    <w:rPr>
      <w:rFonts w:cs="Calibri"/>
      <w:szCs w:val="21"/>
    </w:rPr>
  </w:style>
  <w:style w:type="paragraph" w:customStyle="1" w:styleId="142">
    <w:name w:val="5"/>
    <w:basedOn w:val="1"/>
    <w:qFormat/>
    <w:uiPriority w:val="0"/>
    <w:pPr>
      <w:autoSpaceDE w:val="0"/>
      <w:autoSpaceDN w:val="0"/>
      <w:adjustRightInd w:val="0"/>
      <w:jc w:val="left"/>
    </w:pPr>
    <w:rPr>
      <w:rFonts w:ascii="宋体" w:hAnsi="Times New Roman"/>
      <w:b/>
      <w:bCs/>
      <w:kern w:val="0"/>
      <w:sz w:val="18"/>
      <w:szCs w:val="18"/>
    </w:rPr>
  </w:style>
  <w:style w:type="paragraph" w:customStyle="1" w:styleId="143">
    <w:name w:val="_Style 28"/>
    <w:next w:val="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设计依据"/>
    <w:basedOn w:val="18"/>
    <w:qFormat/>
    <w:uiPriority w:val="0"/>
    <w:pPr>
      <w:tabs>
        <w:tab w:val="left" w:pos="1440"/>
      </w:tabs>
      <w:adjustRightInd w:val="0"/>
      <w:ind w:left="1440" w:hanging="420"/>
      <w:textAlignment w:val="baseline"/>
    </w:pPr>
    <w:rPr>
      <w:rFonts w:ascii="宋体" w:hAnsi="宋体"/>
      <w:b w:val="0"/>
      <w:sz w:val="28"/>
      <w:szCs w:val="18"/>
    </w:rPr>
  </w:style>
  <w:style w:type="paragraph" w:styleId="145">
    <w:name w:val="List Paragraph"/>
    <w:basedOn w:val="1"/>
    <w:qFormat/>
    <w:uiPriority w:val="34"/>
    <w:pPr>
      <w:ind w:firstLine="420" w:firstLineChars="200"/>
    </w:pPr>
  </w:style>
  <w:style w:type="paragraph" w:customStyle="1" w:styleId="146">
    <w:name w:val="style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7">
    <w:name w:val="--规划-小标题"/>
    <w:basedOn w:val="1"/>
    <w:next w:val="130"/>
    <w:qFormat/>
    <w:uiPriority w:val="0"/>
    <w:pPr>
      <w:keepNext/>
      <w:keepLines/>
      <w:spacing w:line="360" w:lineRule="auto"/>
      <w:outlineLvl w:val="4"/>
    </w:pPr>
    <w:rPr>
      <w:rFonts w:ascii="Times New Roman" w:hAnsi="Times New Roman" w:eastAsia="黑体"/>
      <w:szCs w:val="24"/>
    </w:rPr>
  </w:style>
  <w:style w:type="paragraph" w:customStyle="1" w:styleId="148">
    <w:name w:val="自定义正文"/>
    <w:basedOn w:val="1"/>
    <w:qFormat/>
    <w:uiPriority w:val="0"/>
    <w:pPr>
      <w:spacing w:afterLines="50"/>
      <w:ind w:left="600" w:leftChars="600"/>
    </w:pPr>
    <w:rPr>
      <w:rFonts w:ascii="Times New Roman" w:hAnsi="Times New Roman"/>
      <w:szCs w:val="24"/>
    </w:rPr>
  </w:style>
  <w:style w:type="paragraph" w:customStyle="1" w:styleId="149">
    <w:name w:val="段落正文"/>
    <w:basedOn w:val="22"/>
    <w:qFormat/>
    <w:uiPriority w:val="0"/>
    <w:pPr>
      <w:ind w:firstLine="560" w:firstLineChars="200"/>
    </w:pPr>
    <w:rPr>
      <w:sz w:val="28"/>
    </w:rPr>
  </w:style>
  <w:style w:type="paragraph" w:customStyle="1" w:styleId="150">
    <w:name w:val="封面文档标题"/>
    <w:basedOn w:val="1"/>
    <w:qFormat/>
    <w:uiPriority w:val="0"/>
    <w:pPr>
      <w:autoSpaceDE w:val="0"/>
      <w:autoSpaceDN w:val="0"/>
      <w:adjustRightInd w:val="0"/>
      <w:spacing w:line="360" w:lineRule="auto"/>
      <w:jc w:val="center"/>
    </w:pPr>
    <w:rPr>
      <w:rFonts w:ascii="Arial" w:hAnsi="Arial"/>
      <w:b/>
      <w:kern w:val="0"/>
      <w:sz w:val="56"/>
      <w:szCs w:val="24"/>
    </w:rPr>
  </w:style>
  <w:style w:type="paragraph" w:customStyle="1" w:styleId="151">
    <w:name w:val="--规划-表格-居中"/>
    <w:basedOn w:val="130"/>
    <w:qFormat/>
    <w:uiPriority w:val="0"/>
    <w:pPr>
      <w:spacing w:line="240" w:lineRule="auto"/>
      <w:ind w:firstLine="0" w:firstLineChars="0"/>
      <w:jc w:val="center"/>
    </w:pPr>
    <w:rPr>
      <w:sz w:val="20"/>
    </w:rPr>
  </w:style>
  <w:style w:type="paragraph" w:customStyle="1" w:styleId="15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53">
    <w:name w:val="Normal Paragraph"/>
    <w:basedOn w:val="1"/>
    <w:qFormat/>
    <w:uiPriority w:val="0"/>
    <w:pPr>
      <w:widowControl/>
      <w:spacing w:before="120" w:line="360" w:lineRule="auto"/>
      <w:ind w:firstLine="425"/>
    </w:pPr>
    <w:rPr>
      <w:rFonts w:ascii="Times New Roman" w:hAnsi="Times New Roman"/>
      <w:kern w:val="0"/>
      <w:sz w:val="24"/>
      <w:szCs w:val="24"/>
    </w:rPr>
  </w:style>
  <w:style w:type="paragraph" w:customStyle="1" w:styleId="154">
    <w:name w:val="正文文字缩进项目"/>
    <w:basedOn w:val="19"/>
    <w:qFormat/>
    <w:uiPriority w:val="0"/>
    <w:pPr>
      <w:tabs>
        <w:tab w:val="left" w:pos="840"/>
      </w:tabs>
      <w:spacing w:after="120" w:line="240" w:lineRule="auto"/>
      <w:ind w:left="840" w:firstLine="0" w:firstLineChars="0"/>
    </w:pPr>
    <w:rPr>
      <w:rFonts w:ascii="Tahoma" w:hAnsi="Tahoma"/>
      <w:sz w:val="22"/>
      <w:szCs w:val="20"/>
    </w:rPr>
  </w:style>
  <w:style w:type="paragraph" w:customStyle="1" w:styleId="155">
    <w:name w:val="小标题 1"/>
    <w:basedOn w:val="1"/>
    <w:qFormat/>
    <w:uiPriority w:val="0"/>
    <w:pPr>
      <w:autoSpaceDE w:val="0"/>
      <w:autoSpaceDN w:val="0"/>
      <w:adjustRightInd w:val="0"/>
      <w:spacing w:line="360" w:lineRule="atLeast"/>
    </w:pPr>
    <w:rPr>
      <w:rFonts w:ascii="文鼎粗黑" w:hAnsi="Times New Roman" w:eastAsia="文鼎粗黑"/>
      <w:kern w:val="0"/>
      <w:sz w:val="22"/>
      <w:szCs w:val="20"/>
    </w:rPr>
  </w:style>
  <w:style w:type="paragraph" w:customStyle="1" w:styleId="156">
    <w:name w:val="样式2"/>
    <w:basedOn w:val="39"/>
    <w:next w:val="157"/>
    <w:qFormat/>
    <w:uiPriority w:val="0"/>
    <w:pPr>
      <w:spacing w:before="120" w:after="120"/>
    </w:pPr>
    <w:rPr>
      <w:rFonts w:eastAsia="黑体"/>
      <w:b w:val="0"/>
      <w:sz w:val="30"/>
      <w:szCs w:val="30"/>
    </w:rPr>
  </w:style>
  <w:style w:type="paragraph" w:customStyle="1" w:styleId="157">
    <w:name w:val="样式1"/>
    <w:basedOn w:val="39"/>
    <w:qFormat/>
    <w:uiPriority w:val="0"/>
    <w:pPr>
      <w:spacing w:before="120" w:after="120"/>
    </w:pPr>
    <w:rPr>
      <w:rFonts w:eastAsia="黑体"/>
      <w:b w:val="0"/>
      <w:sz w:val="30"/>
      <w:szCs w:val="21"/>
    </w:rPr>
  </w:style>
  <w:style w:type="paragraph" w:customStyle="1" w:styleId="158">
    <w:name w:val="样式41"/>
    <w:basedOn w:val="1"/>
    <w:qFormat/>
    <w:uiPriority w:val="0"/>
    <w:pPr>
      <w:tabs>
        <w:tab w:val="left" w:pos="945"/>
        <w:tab w:val="left" w:pos="2040"/>
      </w:tabs>
      <w:spacing w:line="360" w:lineRule="auto"/>
      <w:ind w:left="2040" w:hanging="360"/>
    </w:pPr>
    <w:rPr>
      <w:rFonts w:ascii="Times New Roman" w:hAnsi="Times New Roman"/>
      <w:b/>
      <w:color w:val="000000"/>
      <w:sz w:val="24"/>
      <w:szCs w:val="20"/>
    </w:rPr>
  </w:style>
  <w:style w:type="paragraph" w:customStyle="1" w:styleId="159">
    <w:name w:val="Char Char"/>
    <w:basedOn w:val="1"/>
    <w:qFormat/>
    <w:uiPriority w:val="0"/>
    <w:rPr>
      <w:rFonts w:ascii="Tahoma" w:hAnsi="Tahoma"/>
      <w:sz w:val="24"/>
      <w:szCs w:val="20"/>
    </w:rPr>
  </w:style>
  <w:style w:type="paragraph" w:customStyle="1" w:styleId="16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161">
    <w:name w:val="Char Char Char"/>
    <w:basedOn w:val="1"/>
    <w:qFormat/>
    <w:uiPriority w:val="0"/>
    <w:rPr>
      <w:rFonts w:ascii="Tahoma" w:hAnsi="Tahoma"/>
      <w:sz w:val="24"/>
      <w:szCs w:val="20"/>
    </w:rPr>
  </w:style>
  <w:style w:type="paragraph" w:customStyle="1" w:styleId="162">
    <w:name w:val="Char Char Char Char Char"/>
    <w:basedOn w:val="1"/>
    <w:qFormat/>
    <w:uiPriority w:val="0"/>
    <w:rPr>
      <w:rFonts w:ascii="Tahoma" w:hAnsi="Tahoma"/>
      <w:sz w:val="24"/>
      <w:szCs w:val="20"/>
    </w:rPr>
  </w:style>
  <w:style w:type="paragraph" w:customStyle="1" w:styleId="163">
    <w:name w:val="文档正文"/>
    <w:basedOn w:val="1"/>
    <w:qFormat/>
    <w:uiPriority w:val="0"/>
    <w:pPr>
      <w:adjustRightInd w:val="0"/>
      <w:spacing w:line="480" w:lineRule="atLeast"/>
      <w:ind w:firstLine="567" w:firstLineChars="200"/>
      <w:textAlignment w:val="baseline"/>
    </w:pPr>
    <w:rPr>
      <w:rFonts w:ascii="长城仿宋" w:hAnsi="Times New Roman"/>
      <w:kern w:val="0"/>
      <w:szCs w:val="20"/>
    </w:rPr>
  </w:style>
  <w:style w:type="paragraph" w:customStyle="1" w:styleId="164">
    <w:name w:val="USE 1"/>
    <w:basedOn w:val="1"/>
    <w:qFormat/>
    <w:uiPriority w:val="0"/>
    <w:pPr>
      <w:spacing w:line="200" w:lineRule="atLeast"/>
      <w:jc w:val="left"/>
    </w:pPr>
    <w:rPr>
      <w:rFonts w:ascii="宋体" w:hAnsi="宋体"/>
      <w:b/>
      <w:sz w:val="24"/>
      <w:szCs w:val="28"/>
    </w:rPr>
  </w:style>
  <w:style w:type="paragraph" w:customStyle="1" w:styleId="165">
    <w:name w:val="--编号内缩进"/>
    <w:basedOn w:val="1"/>
    <w:qFormat/>
    <w:uiPriority w:val="0"/>
    <w:pPr>
      <w:spacing w:line="360" w:lineRule="auto"/>
      <w:ind w:left="420" w:firstLine="200" w:firstLineChars="200"/>
    </w:pPr>
    <w:rPr>
      <w:rFonts w:ascii="Times New Roman" w:hAnsi="Times New Roman"/>
      <w:szCs w:val="21"/>
    </w:rPr>
  </w:style>
  <w:style w:type="paragraph" w:customStyle="1" w:styleId="166">
    <w:name w:val="图"/>
    <w:basedOn w:val="1"/>
    <w:qFormat/>
    <w:uiPriority w:val="99"/>
    <w:pPr>
      <w:keepNext/>
      <w:adjustRightInd w:val="0"/>
      <w:snapToGrid w:val="0"/>
      <w:spacing w:before="60" w:after="60" w:line="300" w:lineRule="auto"/>
      <w:jc w:val="center"/>
    </w:pPr>
    <w:rPr>
      <w:rFonts w:ascii="Times New Roman" w:hAnsi="Times New Roman"/>
      <w:spacing w:val="20"/>
      <w:kern w:val="0"/>
      <w:sz w:val="24"/>
      <w:szCs w:val="20"/>
    </w:rPr>
  </w:style>
  <w:style w:type="paragraph" w:customStyle="1" w:styleId="167">
    <w:name w:val="È±Ê¡ÎÄ±¾"/>
    <w:basedOn w:val="1"/>
    <w:qFormat/>
    <w:uiPriority w:val="0"/>
    <w:pPr>
      <w:widowControl/>
      <w:overflowPunct w:val="0"/>
      <w:autoSpaceDE w:val="0"/>
      <w:autoSpaceDN w:val="0"/>
      <w:adjustRightInd w:val="0"/>
      <w:jc w:val="left"/>
      <w:textAlignment w:val="baseline"/>
    </w:pPr>
    <w:rPr>
      <w:rFonts w:ascii="Times New Roman" w:hAnsi="Times New Roman"/>
      <w:kern w:val="0"/>
      <w:sz w:val="24"/>
      <w:szCs w:val="20"/>
    </w:rPr>
  </w:style>
  <w:style w:type="paragraph" w:customStyle="1" w:styleId="168">
    <w:name w:val="6"/>
    <w:basedOn w:val="142"/>
    <w:qFormat/>
    <w:uiPriority w:val="0"/>
    <w:pPr>
      <w:spacing w:line="270" w:lineRule="atLeast"/>
      <w:jc w:val="both"/>
    </w:pPr>
    <w:rPr>
      <w:b w:val="0"/>
      <w:bCs w:val="0"/>
    </w:rPr>
  </w:style>
  <w:style w:type="paragraph" w:customStyle="1" w:styleId="169">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170">
    <w:name w:val="2册标题4"/>
    <w:basedOn w:val="1"/>
    <w:next w:val="1"/>
    <w:qFormat/>
    <w:uiPriority w:val="0"/>
    <w:pPr>
      <w:spacing w:beforeLines="50" w:afterLines="50" w:line="300" w:lineRule="auto"/>
      <w:ind w:left="420" w:leftChars="200"/>
      <w:outlineLvl w:val="3"/>
    </w:pPr>
    <w:rPr>
      <w:rFonts w:ascii="Arial" w:hAnsi="Arial" w:eastAsia="幼圆" w:cs="Arial"/>
      <w:b/>
      <w:sz w:val="24"/>
      <w:szCs w:val="24"/>
    </w:rPr>
  </w:style>
  <w:style w:type="paragraph" w:customStyle="1" w:styleId="171">
    <w:name w:val="--规划-表格-居左"/>
    <w:basedOn w:val="130"/>
    <w:qFormat/>
    <w:uiPriority w:val="0"/>
    <w:pPr>
      <w:spacing w:line="240" w:lineRule="auto"/>
      <w:ind w:firstLine="0" w:firstLineChars="0"/>
    </w:pPr>
    <w:rPr>
      <w:sz w:val="20"/>
    </w:rPr>
  </w:style>
  <w:style w:type="paragraph" w:customStyle="1" w:styleId="172">
    <w:name w:val="Char Char Char Char Char Char Char Char Char Char Char Char Char Char Char Char Char Char Char Char Char Char"/>
    <w:basedOn w:val="1"/>
    <w:qFormat/>
    <w:uiPriority w:val="0"/>
    <w:pPr>
      <w:widowControl/>
      <w:spacing w:line="400" w:lineRule="exact"/>
      <w:jc w:val="center"/>
    </w:pPr>
    <w:rPr>
      <w:rFonts w:ascii="Verdana" w:hAnsi="Verdana"/>
      <w:kern w:val="0"/>
      <w:szCs w:val="20"/>
      <w:lang w:eastAsia="en-US"/>
    </w:rPr>
  </w:style>
  <w:style w:type="paragraph" w:customStyle="1" w:styleId="173">
    <w:name w:val="方案要点"/>
    <w:basedOn w:val="1"/>
    <w:qFormat/>
    <w:uiPriority w:val="0"/>
    <w:pPr>
      <w:tabs>
        <w:tab w:val="left" w:pos="420"/>
      </w:tabs>
      <w:spacing w:line="360" w:lineRule="auto"/>
      <w:ind w:left="420" w:hanging="420"/>
    </w:pPr>
    <w:rPr>
      <w:rFonts w:ascii="仿宋_GB2312" w:hAnsi="宋体" w:eastAsia="仿宋_GB2312"/>
      <w:color w:val="000000"/>
      <w:sz w:val="28"/>
      <w:szCs w:val="28"/>
    </w:rPr>
  </w:style>
  <w:style w:type="paragraph" w:customStyle="1" w:styleId="174">
    <w:name w:val="--规划-图和表"/>
    <w:next w:val="130"/>
    <w:qFormat/>
    <w:uiPriority w:val="0"/>
    <w:pPr>
      <w:jc w:val="center"/>
    </w:pPr>
    <w:rPr>
      <w:rFonts w:ascii="Times New Roman" w:hAnsi="Times New Roman" w:eastAsia="宋体" w:cs="Times New Roman"/>
      <w:kern w:val="2"/>
      <w:sz w:val="21"/>
      <w:lang w:val="en-US" w:eastAsia="zh-CN" w:bidi="ar-SA"/>
    </w:rPr>
  </w:style>
  <w:style w:type="paragraph" w:customStyle="1" w:styleId="175">
    <w:name w:val="Char1"/>
    <w:basedOn w:val="1"/>
    <w:qFormat/>
    <w:uiPriority w:val="0"/>
    <w:pPr>
      <w:jc w:val="left"/>
    </w:pPr>
    <w:rPr>
      <w:rFonts w:ascii="Tahoma" w:hAnsi="Tahoma"/>
      <w:sz w:val="24"/>
      <w:szCs w:val="20"/>
    </w:rPr>
  </w:style>
  <w:style w:type="paragraph" w:customStyle="1" w:styleId="176">
    <w:name w:val="正文(首行缩进)"/>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177">
    <w:name w:val="汉仪细等线简9BOLD"/>
    <w:basedOn w:val="1"/>
    <w:qFormat/>
    <w:uiPriority w:val="0"/>
    <w:pPr>
      <w:autoSpaceDE w:val="0"/>
      <w:autoSpaceDN w:val="0"/>
      <w:adjustRightInd w:val="0"/>
      <w:spacing w:line="240" w:lineRule="atLeast"/>
    </w:pPr>
    <w:rPr>
      <w:rFonts w:ascii="汉仪细等线简" w:hAnsi="Times New Roman" w:eastAsia="汉仪细等线简"/>
      <w:b/>
      <w:bCs/>
      <w:kern w:val="0"/>
      <w:sz w:val="18"/>
      <w:szCs w:val="18"/>
    </w:rPr>
  </w:style>
  <w:style w:type="paragraph" w:customStyle="1" w:styleId="178">
    <w:name w:val="列表项目"/>
    <w:basedOn w:val="1"/>
    <w:qFormat/>
    <w:uiPriority w:val="0"/>
    <w:pPr>
      <w:tabs>
        <w:tab w:val="left" w:pos="420"/>
        <w:tab w:val="left" w:pos="1080"/>
      </w:tabs>
      <w:spacing w:line="288" w:lineRule="auto"/>
      <w:ind w:left="1080" w:hanging="360"/>
    </w:pPr>
    <w:rPr>
      <w:rFonts w:ascii="Times New Roman" w:hAnsi="Times New Roman"/>
      <w:sz w:val="24"/>
      <w:szCs w:val="20"/>
    </w:rPr>
  </w:style>
  <w:style w:type="paragraph" w:customStyle="1" w:styleId="179">
    <w:name w:val="text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80">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character" w:customStyle="1" w:styleId="181">
    <w:name w:val="z-窗体顶端 Char1"/>
    <w:basedOn w:val="44"/>
    <w:link w:val="71"/>
    <w:semiHidden/>
    <w:qFormat/>
    <w:uiPriority w:val="99"/>
    <w:rPr>
      <w:rFonts w:ascii="Arial" w:hAnsi="Arial" w:eastAsia="宋体" w:cs="Arial"/>
      <w:vanish/>
      <w:sz w:val="16"/>
      <w:szCs w:val="16"/>
    </w:rPr>
  </w:style>
  <w:style w:type="paragraph" w:customStyle="1" w:styleId="182">
    <w:name w:val="font0"/>
    <w:basedOn w:val="1"/>
    <w:qFormat/>
    <w:uiPriority w:val="0"/>
    <w:pPr>
      <w:widowControl/>
      <w:spacing w:before="100" w:beforeAutospacing="1" w:after="100" w:afterAutospacing="1"/>
      <w:jc w:val="left"/>
    </w:pPr>
    <w:rPr>
      <w:rFonts w:hint="eastAsia" w:ascii="宋体" w:hAnsi="宋体"/>
      <w:kern w:val="0"/>
      <w:sz w:val="24"/>
      <w:szCs w:val="24"/>
    </w:rPr>
  </w:style>
  <w:style w:type="paragraph" w:customStyle="1" w:styleId="183">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184">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5">
    <w:name w:val="样式4"/>
    <w:basedOn w:val="1"/>
    <w:qFormat/>
    <w:uiPriority w:val="0"/>
    <w:pPr>
      <w:tabs>
        <w:tab w:val="left" w:pos="842"/>
      </w:tabs>
      <w:spacing w:line="360" w:lineRule="auto"/>
      <w:ind w:left="842" w:hanging="420"/>
    </w:pPr>
    <w:rPr>
      <w:rFonts w:ascii="Times New Roman" w:hAnsi="Times New Roman"/>
      <w:sz w:val="24"/>
      <w:szCs w:val="24"/>
    </w:rPr>
  </w:style>
  <w:style w:type="paragraph" w:customStyle="1" w:styleId="186">
    <w:name w:val="文字"/>
    <w:basedOn w:val="1"/>
    <w:qFormat/>
    <w:uiPriority w:val="0"/>
    <w:pPr>
      <w:tabs>
        <w:tab w:val="left" w:pos="8520"/>
      </w:tabs>
      <w:spacing w:line="312" w:lineRule="auto"/>
      <w:ind w:right="-210" w:firstLine="556"/>
    </w:pPr>
    <w:rPr>
      <w:rFonts w:ascii="宋体" w:hAnsi="Times New Roman"/>
      <w:sz w:val="28"/>
      <w:szCs w:val="20"/>
    </w:rPr>
  </w:style>
  <w:style w:type="paragraph" w:customStyle="1" w:styleId="187">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88">
    <w:name w:val="--规划-题注"/>
    <w:basedOn w:val="1"/>
    <w:next w:val="130"/>
    <w:qFormat/>
    <w:uiPriority w:val="0"/>
    <w:pPr>
      <w:spacing w:line="360" w:lineRule="auto"/>
      <w:jc w:val="center"/>
    </w:pPr>
    <w:rPr>
      <w:rFonts w:ascii="Times New Roman" w:hAnsi="Times New Roman" w:eastAsia="黑体"/>
      <w:szCs w:val="24"/>
    </w:rPr>
  </w:style>
  <w:style w:type="paragraph" w:customStyle="1" w:styleId="189">
    <w:name w:val="font6"/>
    <w:basedOn w:val="1"/>
    <w:qFormat/>
    <w:uiPriority w:val="0"/>
    <w:pPr>
      <w:widowControl/>
      <w:spacing w:before="100" w:beforeAutospacing="1" w:after="100" w:afterAutospacing="1"/>
      <w:jc w:val="left"/>
    </w:pPr>
    <w:rPr>
      <w:rFonts w:ascii="Times New Roman" w:hAnsi="Times New Roman"/>
      <w:kern w:val="0"/>
      <w:sz w:val="24"/>
      <w:szCs w:val="24"/>
    </w:rPr>
  </w:style>
  <w:style w:type="paragraph" w:customStyle="1" w:styleId="190">
    <w:name w:val="--规划正文 Char"/>
    <w:basedOn w:val="1"/>
    <w:qFormat/>
    <w:uiPriority w:val="0"/>
    <w:pPr>
      <w:spacing w:line="360" w:lineRule="auto"/>
      <w:ind w:firstLine="200" w:firstLineChars="200"/>
    </w:pPr>
    <w:rPr>
      <w:rFonts w:ascii="Times New Roman" w:hAnsi="Times New Roman"/>
      <w:sz w:val="24"/>
      <w:szCs w:val="24"/>
    </w:rPr>
  </w:style>
  <w:style w:type="paragraph" w:customStyle="1" w:styleId="191">
    <w:name w:val="缺省文本"/>
    <w:basedOn w:val="1"/>
    <w:qFormat/>
    <w:uiPriority w:val="0"/>
    <w:pPr>
      <w:autoSpaceDE w:val="0"/>
      <w:autoSpaceDN w:val="0"/>
      <w:adjustRightInd w:val="0"/>
      <w:jc w:val="left"/>
    </w:pPr>
    <w:rPr>
      <w:rFonts w:ascii="Times New Roman" w:hAnsi="Times New Roman"/>
      <w:kern w:val="0"/>
      <w:szCs w:val="24"/>
    </w:rPr>
  </w:style>
  <w:style w:type="paragraph" w:customStyle="1" w:styleId="192">
    <w:name w:val="样式3"/>
    <w:basedOn w:val="2"/>
    <w:qFormat/>
    <w:uiPriority w:val="0"/>
    <w:pPr>
      <w:tabs>
        <w:tab w:val="left" w:pos="420"/>
      </w:tabs>
      <w:spacing w:before="240" w:after="240" w:line="480" w:lineRule="auto"/>
      <w:ind w:left="420" w:right="210" w:rightChars="100" w:hanging="420"/>
      <w:jc w:val="left"/>
    </w:pPr>
    <w:rPr>
      <w:rFonts w:ascii="Times New Roman" w:hAnsi="Times New Roman"/>
      <w:sz w:val="32"/>
    </w:rPr>
  </w:style>
  <w:style w:type="paragraph" w:customStyle="1" w:styleId="193">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szCs w:val="24"/>
    </w:rPr>
  </w:style>
  <w:style w:type="paragraph" w:customStyle="1" w:styleId="194">
    <w:name w:val="xl72"/>
    <w:basedOn w:val="1"/>
    <w:qFormat/>
    <w:uiPriority w:val="0"/>
    <w:pPr>
      <w:widowControl/>
      <w:spacing w:before="100" w:beforeAutospacing="1" w:after="100" w:afterAutospacing="1"/>
      <w:jc w:val="left"/>
    </w:pPr>
    <w:rPr>
      <w:rFonts w:ascii="宋体" w:hAnsi="宋体"/>
      <w:b/>
      <w:bCs/>
      <w:kern w:val="0"/>
      <w:sz w:val="28"/>
      <w:szCs w:val="28"/>
    </w:rPr>
  </w:style>
  <w:style w:type="paragraph" w:customStyle="1" w:styleId="195">
    <w:name w:val="7"/>
    <w:basedOn w:val="1"/>
    <w:qFormat/>
    <w:uiPriority w:val="0"/>
    <w:pPr>
      <w:autoSpaceDE w:val="0"/>
      <w:autoSpaceDN w:val="0"/>
      <w:adjustRightInd w:val="0"/>
      <w:spacing w:line="270" w:lineRule="atLeast"/>
      <w:jc w:val="left"/>
    </w:pPr>
    <w:rPr>
      <w:rFonts w:ascii="宋体" w:hAnsi="Times New Roman"/>
      <w:kern w:val="0"/>
      <w:sz w:val="18"/>
      <w:szCs w:val="18"/>
    </w:rPr>
  </w:style>
  <w:style w:type="paragraph" w:customStyle="1" w:styleId="196">
    <w:name w:val="正文(首行缩进) Char"/>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197">
    <w:name w:val="汉议细等线简8"/>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198">
    <w:name w:val="8"/>
    <w:basedOn w:val="1"/>
    <w:next w:val="19"/>
    <w:qFormat/>
    <w:uiPriority w:val="0"/>
    <w:pPr>
      <w:spacing w:after="120"/>
      <w:ind w:left="420" w:leftChars="200"/>
    </w:pPr>
    <w:rPr>
      <w:rFonts w:ascii="Times New Roman" w:hAnsi="Times New Roman"/>
      <w:szCs w:val="24"/>
    </w:rPr>
  </w:style>
  <w:style w:type="paragraph" w:customStyle="1" w:styleId="199">
    <w:name w:val="姜文清定义的正文"/>
    <w:basedOn w:val="1"/>
    <w:qFormat/>
    <w:uiPriority w:val="0"/>
    <w:pPr>
      <w:spacing w:line="240" w:lineRule="atLeast"/>
      <w:ind w:firstLine="567"/>
    </w:pPr>
    <w:rPr>
      <w:rFonts w:ascii="Times New Roman" w:hAnsi="Times New Roman"/>
      <w:szCs w:val="20"/>
    </w:rPr>
  </w:style>
  <w:style w:type="paragraph" w:customStyle="1" w:styleId="200">
    <w:name w:val="CM2"/>
    <w:basedOn w:val="180"/>
    <w:next w:val="180"/>
    <w:qFormat/>
    <w:uiPriority w:val="0"/>
    <w:pPr>
      <w:spacing w:line="200" w:lineRule="atLeast"/>
    </w:pPr>
    <w:rPr>
      <w:rFonts w:ascii="Arial" w:hAnsi="Arial" w:eastAsia="宋体" w:cs="Times New Roman"/>
      <w:color w:val="auto"/>
    </w:rPr>
  </w:style>
  <w:style w:type="character" w:customStyle="1" w:styleId="201">
    <w:name w:val="z-窗体底端 Char1"/>
    <w:basedOn w:val="44"/>
    <w:link w:val="88"/>
    <w:semiHidden/>
    <w:qFormat/>
    <w:uiPriority w:val="99"/>
    <w:rPr>
      <w:rFonts w:ascii="Arial" w:hAnsi="Arial" w:eastAsia="宋体" w:cs="Arial"/>
      <w:vanish/>
      <w:sz w:val="16"/>
      <w:szCs w:val="16"/>
    </w:rPr>
  </w:style>
  <w:style w:type="paragraph" w:customStyle="1" w:styleId="202">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203">
    <w:name w:val="正文样式"/>
    <w:basedOn w:val="1"/>
    <w:qFormat/>
    <w:uiPriority w:val="0"/>
    <w:pPr>
      <w:adjustRightInd w:val="0"/>
      <w:spacing w:line="400" w:lineRule="atLeast"/>
      <w:ind w:firstLine="570" w:firstLineChars="203"/>
      <w:textAlignment w:val="baseline"/>
    </w:pPr>
    <w:rPr>
      <w:rFonts w:ascii="Times New Roman" w:hAnsi="Times New Roman" w:eastAsia="仿宋_GB2312"/>
      <w:kern w:val="0"/>
      <w:sz w:val="28"/>
      <w:szCs w:val="20"/>
    </w:rPr>
  </w:style>
  <w:style w:type="paragraph" w:customStyle="1" w:styleId="20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szCs w:val="24"/>
    </w:rPr>
  </w:style>
  <w:style w:type="paragraph" w:customStyle="1" w:styleId="205">
    <w:name w:val="表格字"/>
    <w:basedOn w:val="1"/>
    <w:qFormat/>
    <w:uiPriority w:val="0"/>
    <w:pPr>
      <w:adjustRightInd w:val="0"/>
      <w:jc w:val="center"/>
    </w:pPr>
    <w:rPr>
      <w:rFonts w:ascii="宋体" w:hAnsi="Times New Roman"/>
      <w:sz w:val="24"/>
      <w:szCs w:val="20"/>
    </w:rPr>
  </w:style>
  <w:style w:type="paragraph" w:customStyle="1" w:styleId="206">
    <w:name w:val="qw"/>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07">
    <w:name w:val="评价"/>
    <w:basedOn w:val="1"/>
    <w:qFormat/>
    <w:uiPriority w:val="0"/>
    <w:pPr>
      <w:spacing w:afterLines="20"/>
      <w:ind w:firstLine="1446" w:firstLineChars="200"/>
    </w:pPr>
    <w:rPr>
      <w:sz w:val="24"/>
      <w:szCs w:val="24"/>
    </w:rPr>
  </w:style>
  <w:style w:type="paragraph" w:customStyle="1" w:styleId="208">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209">
    <w:name w:val="正文(缩进) 五号"/>
    <w:basedOn w:val="1"/>
    <w:qFormat/>
    <w:uiPriority w:val="0"/>
    <w:pPr>
      <w:widowControl/>
      <w:spacing w:after="120" w:line="360" w:lineRule="auto"/>
      <w:ind w:firstLine="420" w:firstLineChars="200"/>
      <w:jc w:val="left"/>
    </w:pPr>
    <w:rPr>
      <w:rFonts w:ascii="Arial" w:hAnsi="Arial" w:cs="宋体"/>
      <w:kern w:val="0"/>
      <w:szCs w:val="20"/>
    </w:rPr>
  </w:style>
  <w:style w:type="paragraph" w:customStyle="1" w:styleId="210">
    <w:name w:val="封面标题"/>
    <w:basedOn w:val="1"/>
    <w:qFormat/>
    <w:uiPriority w:val="0"/>
    <w:pPr>
      <w:spacing w:line="360" w:lineRule="auto"/>
      <w:jc w:val="center"/>
    </w:pPr>
    <w:rPr>
      <w:rFonts w:ascii="Times New Roman" w:hAnsi="Times New Roman" w:eastAsia="黑体"/>
      <w:sz w:val="48"/>
      <w:szCs w:val="20"/>
    </w:rPr>
  </w:style>
  <w:style w:type="paragraph" w:customStyle="1" w:styleId="211">
    <w:name w:val="列出段落2"/>
    <w:basedOn w:val="1"/>
    <w:qFormat/>
    <w:uiPriority w:val="0"/>
    <w:pPr>
      <w:ind w:firstLine="420" w:firstLineChars="200"/>
    </w:pPr>
    <w:rPr>
      <w:szCs w:val="20"/>
    </w:rPr>
  </w:style>
  <w:style w:type="character" w:customStyle="1" w:styleId="212">
    <w:name w:val="font31"/>
    <w:basedOn w:val="44"/>
    <w:qFormat/>
    <w:uiPriority w:val="0"/>
    <w:rPr>
      <w:rFonts w:hint="default" w:ascii="Times New Roman" w:hAnsi="Times New Roman" w:cs="Times New Roman"/>
      <w:color w:val="000000"/>
      <w:sz w:val="21"/>
      <w:szCs w:val="21"/>
      <w:u w:val="none"/>
    </w:rPr>
  </w:style>
  <w:style w:type="character" w:customStyle="1" w:styleId="213">
    <w:name w:val="正文缩进 Char1"/>
    <w:qFormat/>
    <w:uiPriority w:val="0"/>
    <w:rPr>
      <w:rFonts w:eastAsia="宋体"/>
      <w:kern w:val="2"/>
      <w:sz w:val="21"/>
      <w:lang w:val="en-US" w:eastAsia="zh-CN" w:bidi="ar-SA"/>
    </w:rPr>
  </w:style>
  <w:style w:type="character" w:customStyle="1" w:styleId="214">
    <w:name w:val="列表段落 字符"/>
    <w:link w:val="141"/>
    <w:qFormat/>
    <w:uiPriority w:val="0"/>
    <w:rPr>
      <w:rFonts w:ascii="Calibri" w:hAnsi="Calibri" w:eastAsia="宋体" w:cs="Calibri"/>
      <w:szCs w:val="21"/>
    </w:rPr>
  </w:style>
  <w:style w:type="paragraph" w:customStyle="1" w:styleId="215">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szCs w:val="24"/>
    </w:rPr>
  </w:style>
  <w:style w:type="paragraph" w:customStyle="1" w:styleId="216">
    <w:name w:val=".正文"/>
    <w:basedOn w:val="1"/>
    <w:qFormat/>
    <w:uiPriority w:val="0"/>
    <w:pPr>
      <w:spacing w:beforeLines="50"/>
      <w:ind w:firstLine="200" w:firstLineChars="200"/>
    </w:pPr>
    <w:rPr>
      <w:rFonts w:eastAsia="华文仿宋"/>
    </w:rPr>
  </w:style>
  <w:style w:type="paragraph" w:customStyle="1" w:styleId="217">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paragraph" w:customStyle="1" w:styleId="218">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219">
    <w:name w:val="Table Normal"/>
    <w:semiHidden/>
    <w:unhideWhenUsed/>
    <w:qFormat/>
    <w:uiPriority w:val="0"/>
    <w:tblPr>
      <w:tblCellMar>
        <w:top w:w="0" w:type="dxa"/>
        <w:left w:w="0" w:type="dxa"/>
        <w:bottom w:w="0" w:type="dxa"/>
        <w:right w:w="0" w:type="dxa"/>
      </w:tblCellMar>
    </w:tblPr>
  </w:style>
  <w:style w:type="table" w:customStyle="1" w:styleId="220">
    <w:name w:val="网格型1"/>
    <w:basedOn w:val="42"/>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1">
    <w:name w:val="No Spacing1"/>
    <w:basedOn w:val="1"/>
    <w:qFormat/>
    <w:uiPriority w:val="0"/>
    <w:rPr>
      <w:rFonts w:ascii="Calibri" w:hAnsi="Calibri"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mycomputer</Company>
  <Pages>103</Pages>
  <Words>3521</Words>
  <Characters>3589</Characters>
  <Lines>448</Lines>
  <Paragraphs>126</Paragraphs>
  <TotalTime>0</TotalTime>
  <ScaleCrop>false</ScaleCrop>
  <LinksUpToDate>false</LinksUpToDate>
  <CharactersWithSpaces>3616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2020-09-24T06:11:00Z</dcterms:created>
  <dc:creator>Administrator</dc:creator>
  <cp:lastModifiedBy>中正--穗绮</cp:lastModifiedBy>
  <cp:lastPrinted>2019-10-21T08:50:00Z</cp:lastPrinted>
  <dcterms:modified xsi:type="dcterms:W3CDTF">2026-05-15T12:58:29Z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9BF0787322D74AA6B720B0E510CF0198</vt:lpwstr>
  </property>
  <property fmtid="{D5CDD505-2E9C-101B-9397-08002B2CF9AE}" pid="4" name="KSOTemplateDocerSaveRecord">
    <vt:lpwstr>eyJoZGlkIjoiY2Y5OTA2MGI3MGFmOGU0NTE2YWU2ZGI5ZDJmMmNkMGUiLCJ1c2VySWQiOiI3MDgxMTIyMzEifQ==</vt:lpwstr>
  </property>
</Properties>
</file>