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A605F">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1026" o:spt="202" type="#_x0000_t202" style="position:absolute;left:0pt;margin-left:45.7pt;margin-top:-3.3pt;height:46.8pt;width:294.8pt;z-index:251659264;mso-width-relative:margin;mso-height-relative:margin;"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path/>
            <v:fill focussize="0,0"/>
            <v:stroke color="#FFFFFF" joinstyle="miter"/>
            <v:imagedata o:title=""/>
            <o:lock v:ext="edit"/>
            <v:textbox>
              <w:txbxContent>
                <w:p w14:paraId="6BBC7B2D">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05D45D6A">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b/>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58B100BD">
      <w:pPr>
        <w:adjustRightInd w:val="0"/>
        <w:snapToGrid w:val="0"/>
        <w:spacing w:line="300" w:lineRule="auto"/>
        <w:jc w:val="left"/>
        <w:rPr>
          <w:b/>
          <w:bCs/>
          <w:snapToGrid w:val="0"/>
          <w:kern w:val="0"/>
          <w:sz w:val="28"/>
          <w:szCs w:val="28"/>
        </w:rPr>
      </w:pPr>
    </w:p>
    <w:p w14:paraId="158AAC9C">
      <w:pPr>
        <w:adjustRightInd w:val="0"/>
        <w:snapToGrid w:val="0"/>
        <w:spacing w:line="300" w:lineRule="auto"/>
        <w:jc w:val="left"/>
        <w:rPr>
          <w:b/>
          <w:bCs/>
          <w:snapToGrid w:val="0"/>
          <w:kern w:val="0"/>
          <w:sz w:val="28"/>
          <w:szCs w:val="28"/>
        </w:rPr>
      </w:pPr>
    </w:p>
    <w:p w14:paraId="13439BC7">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圳品工程--“圳品”标准体系建设和评价监督推广项目（</w:t>
      </w:r>
      <w:r>
        <w:rPr>
          <w:rFonts w:hint="eastAsia" w:asciiTheme="minorEastAsia" w:hAnsiTheme="minorEastAsia" w:eastAsiaTheme="minorEastAsia"/>
          <w:b/>
          <w:bCs/>
          <w:snapToGrid w:val="0"/>
          <w:kern w:val="0"/>
          <w:sz w:val="72"/>
          <w:szCs w:val="72"/>
          <w:lang w:val="en-US" w:eastAsia="zh-CN"/>
        </w:rPr>
        <w:t>E包</w:t>
      </w:r>
      <w:r>
        <w:rPr>
          <w:rFonts w:hint="eastAsia" w:asciiTheme="minorEastAsia" w:hAnsiTheme="minorEastAsia" w:eastAsiaTheme="minorEastAsia"/>
          <w:b/>
          <w:bCs/>
          <w:snapToGrid w:val="0"/>
          <w:kern w:val="0"/>
          <w:sz w:val="72"/>
          <w:szCs w:val="72"/>
          <w:lang w:eastAsia="zh-CN"/>
        </w:rPr>
        <w:t>）</w:t>
      </w:r>
    </w:p>
    <w:p w14:paraId="7F9EF994">
      <w:pPr>
        <w:adjustRightInd w:val="0"/>
        <w:snapToGrid w:val="0"/>
        <w:spacing w:line="300" w:lineRule="auto"/>
        <w:jc w:val="center"/>
        <w:rPr>
          <w:rFonts w:asciiTheme="minorEastAsia" w:hAnsiTheme="minorEastAsia" w:eastAsiaTheme="minorEastAsia"/>
          <w:b/>
          <w:snapToGrid w:val="0"/>
          <w:kern w:val="0"/>
          <w:sz w:val="44"/>
          <w:szCs w:val="44"/>
        </w:rPr>
      </w:pPr>
    </w:p>
    <w:p w14:paraId="1DE5DEBA">
      <w:pPr>
        <w:adjustRightInd w:val="0"/>
        <w:snapToGrid w:val="0"/>
        <w:spacing w:line="300" w:lineRule="auto"/>
        <w:jc w:val="center"/>
        <w:rPr>
          <w:rFonts w:asciiTheme="minorEastAsia" w:hAnsiTheme="minorEastAsia" w:eastAsiaTheme="minorEastAsia"/>
          <w:b/>
          <w:snapToGrid w:val="0"/>
          <w:kern w:val="0"/>
          <w:sz w:val="44"/>
          <w:szCs w:val="44"/>
        </w:rPr>
      </w:pPr>
    </w:p>
    <w:p w14:paraId="1E9989D0">
      <w:pPr>
        <w:adjustRightInd w:val="0"/>
        <w:snapToGrid w:val="0"/>
        <w:spacing w:line="300" w:lineRule="auto"/>
        <w:jc w:val="center"/>
        <w:rPr>
          <w:rFonts w:asciiTheme="minorEastAsia" w:hAnsiTheme="minorEastAsia" w:eastAsiaTheme="minorEastAsia"/>
          <w:b/>
          <w:snapToGrid w:val="0"/>
          <w:kern w:val="0"/>
          <w:sz w:val="44"/>
          <w:szCs w:val="44"/>
        </w:rPr>
      </w:pPr>
    </w:p>
    <w:p w14:paraId="39E12D2F">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90"/>
        </w:rPr>
        <w:t>服务类招标文件</w:t>
      </w:r>
    </w:p>
    <w:p w14:paraId="47ED21A3">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SZDL2026000760</w:t>
      </w:r>
    </w:p>
    <w:p w14:paraId="77DF31E0">
      <w:pPr>
        <w:adjustRightInd w:val="0"/>
        <w:snapToGrid w:val="0"/>
        <w:spacing w:line="300" w:lineRule="auto"/>
        <w:jc w:val="center"/>
        <w:rPr>
          <w:rFonts w:asciiTheme="minorEastAsia" w:hAnsiTheme="minorEastAsia" w:eastAsiaTheme="minorEastAsia"/>
          <w:b/>
          <w:snapToGrid w:val="0"/>
          <w:kern w:val="0"/>
          <w:sz w:val="18"/>
          <w:szCs w:val="18"/>
        </w:rPr>
      </w:pPr>
    </w:p>
    <w:p w14:paraId="65809DE7">
      <w:pPr>
        <w:adjustRightInd w:val="0"/>
        <w:snapToGrid w:val="0"/>
        <w:spacing w:line="300" w:lineRule="auto"/>
        <w:jc w:val="center"/>
        <w:rPr>
          <w:rFonts w:asciiTheme="minorEastAsia" w:hAnsiTheme="minorEastAsia" w:eastAsiaTheme="minorEastAsia"/>
          <w:b/>
          <w:snapToGrid w:val="0"/>
          <w:kern w:val="0"/>
          <w:sz w:val="44"/>
        </w:rPr>
      </w:pPr>
    </w:p>
    <w:p w14:paraId="76DF2933">
      <w:pPr>
        <w:adjustRightInd w:val="0"/>
        <w:snapToGrid w:val="0"/>
        <w:spacing w:line="300" w:lineRule="auto"/>
        <w:jc w:val="center"/>
        <w:rPr>
          <w:rFonts w:asciiTheme="minorEastAsia" w:hAnsiTheme="minorEastAsia" w:eastAsiaTheme="minorEastAsia"/>
          <w:b/>
          <w:snapToGrid w:val="0"/>
          <w:kern w:val="0"/>
          <w:sz w:val="44"/>
        </w:rPr>
      </w:pPr>
      <w:r>
        <w:rPr>
          <w:rFonts w:asciiTheme="minorEastAsia" w:hAnsiTheme="minorEastAsia" w:eastAsiaTheme="minorEastAsia"/>
          <w:b/>
          <w:snapToGrid w:val="0"/>
          <w:kern w:val="0"/>
          <w:sz w:val="44"/>
        </w:rPr>
        <w:t xml:space="preserve"> </w:t>
      </w:r>
    </w:p>
    <w:p w14:paraId="1F0F0607">
      <w:pPr>
        <w:pStyle w:val="24"/>
        <w:adjustRightInd w:val="0"/>
        <w:snapToGrid w:val="0"/>
        <w:spacing w:line="300" w:lineRule="auto"/>
        <w:jc w:val="center"/>
        <w:rPr>
          <w:rFonts w:asciiTheme="minorEastAsia" w:hAnsiTheme="minorEastAsia" w:eastAsiaTheme="minorEastAsia"/>
          <w:b/>
          <w:snapToGrid w:val="0"/>
          <w:sz w:val="30"/>
        </w:rPr>
      </w:pPr>
    </w:p>
    <w:p w14:paraId="1D9C4EDA">
      <w:pPr>
        <w:rPr>
          <w:rFonts w:asciiTheme="minorEastAsia" w:hAnsiTheme="minorEastAsia" w:eastAsiaTheme="minorEastAsia"/>
        </w:rPr>
      </w:pPr>
    </w:p>
    <w:p w14:paraId="1F9D48D5">
      <w:pPr>
        <w:rPr>
          <w:rFonts w:asciiTheme="minorEastAsia" w:hAnsiTheme="minorEastAsia" w:eastAsiaTheme="minorEastAsia"/>
        </w:rPr>
      </w:pPr>
    </w:p>
    <w:p w14:paraId="3FD9DC91">
      <w:pPr>
        <w:rPr>
          <w:rFonts w:asciiTheme="minorEastAsia" w:hAnsiTheme="minorEastAsia" w:eastAsiaTheme="minorEastAsia"/>
        </w:rPr>
      </w:pPr>
    </w:p>
    <w:p w14:paraId="09857ACA">
      <w:pPr>
        <w:rPr>
          <w:rFonts w:asciiTheme="minorEastAsia" w:hAnsiTheme="minorEastAsia" w:eastAsiaTheme="minorEastAsia"/>
        </w:rPr>
      </w:pPr>
    </w:p>
    <w:p w14:paraId="56BC3683">
      <w:pPr>
        <w:pStyle w:val="24"/>
        <w:adjustRightInd w:val="0"/>
        <w:snapToGrid w:val="0"/>
        <w:spacing w:line="300" w:lineRule="auto"/>
        <w:jc w:val="center"/>
        <w:rPr>
          <w:sz w:val="40"/>
          <w:szCs w:val="40"/>
        </w:rPr>
      </w:pPr>
      <w:r>
        <w:rPr>
          <w:rFonts w:hint="eastAsia" w:asciiTheme="minorEastAsia" w:hAnsiTheme="minorEastAsia" w:eastAsiaTheme="minorEastAsia"/>
          <w:b/>
          <w:snapToGrid w:val="0"/>
          <w:sz w:val="30"/>
        </w:rPr>
        <w:t>二〇二</w:t>
      </w:r>
      <w:r>
        <w:rPr>
          <w:rFonts w:hint="eastAsia" w:asciiTheme="minorEastAsia" w:hAnsiTheme="minorEastAsia" w:eastAsiaTheme="minorEastAsia"/>
          <w:b/>
          <w:snapToGrid w:val="0"/>
          <w:sz w:val="30"/>
          <w:lang w:eastAsia="zh-CN"/>
        </w:rPr>
        <w:t>六</w:t>
      </w:r>
      <w:r>
        <w:rPr>
          <w:rFonts w:hint="eastAsia" w:asciiTheme="minorEastAsia" w:hAnsiTheme="minorEastAsia" w:eastAsiaTheme="minorEastAsia"/>
          <w:b/>
          <w:snapToGrid w:val="0"/>
          <w:sz w:val="30"/>
        </w:rPr>
        <w:t>年</w:t>
      </w:r>
      <w:r>
        <w:rPr>
          <w:rFonts w:hint="eastAsia" w:asciiTheme="minorEastAsia" w:hAnsiTheme="minorEastAsia" w:eastAsiaTheme="minorEastAsia"/>
          <w:b/>
          <w:snapToGrid w:val="0"/>
          <w:sz w:val="30"/>
          <w:lang w:val="en-US" w:eastAsia="zh-CN"/>
        </w:rPr>
        <w:t>五</w:t>
      </w:r>
      <w:r>
        <w:rPr>
          <w:rFonts w:hint="eastAsia" w:asciiTheme="minorEastAsia" w:hAnsiTheme="minorEastAsia" w:eastAsiaTheme="minorEastAsia"/>
          <w:b/>
          <w:snapToGrid w:val="0"/>
          <w:sz w:val="30"/>
        </w:rPr>
        <w:t>月</w:t>
      </w:r>
    </w:p>
    <w:p w14:paraId="03CB1C01">
      <w:pPr>
        <w:jc w:val="center"/>
        <w:rPr>
          <w:rFonts w:ascii="仿宋" w:hAnsi="仿宋" w:eastAsia="仿宋"/>
          <w:sz w:val="24"/>
        </w:rPr>
      </w:pPr>
      <w:r>
        <w:rPr>
          <w:rFonts w:hint="eastAsia" w:asciiTheme="minorEastAsia" w:hAnsiTheme="minorEastAsia" w:eastAsiaTheme="minorEastAsia"/>
          <w:b/>
          <w:bCs/>
          <w:sz w:val="44"/>
          <w:szCs w:val="44"/>
        </w:rPr>
        <w:t>特别警示条款</w:t>
      </w:r>
    </w:p>
    <w:p w14:paraId="5E15A38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一、《深圳经济特区政府采购条例》</w:t>
      </w:r>
    </w:p>
    <w:p w14:paraId="6A51DF24">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第五十七条</w:t>
      </w:r>
      <w:r>
        <w:rPr>
          <w:rFonts w:asciiTheme="minorEastAsia" w:hAnsiTheme="minorEastAsia" w:eastAsiaTheme="minorEastAsia"/>
          <w:szCs w:val="21"/>
        </w:rPr>
        <w:t xml:space="preserve"> </w:t>
      </w:r>
      <w:r>
        <w:rPr>
          <w:rFonts w:hint="eastAsia" w:asciiTheme="minorEastAsia" w:hAnsiTheme="minorEastAsia" w:eastAsiaTheme="minor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50BAF0F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（一）在采购活动中应当回避而未回避的；</w:t>
      </w:r>
    </w:p>
    <w:p w14:paraId="294A216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（二）未按本条例规定签订、履行采购合同，造成严重后果的；</w:t>
      </w:r>
    </w:p>
    <w:p w14:paraId="64D788C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（三）隐瞒真实情况，提供虚假资料的；</w:t>
      </w:r>
    </w:p>
    <w:p w14:paraId="694610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（四）以非法手段排斥其他供应商参与竞争的；</w:t>
      </w:r>
    </w:p>
    <w:p w14:paraId="2118D25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（五）与其他采购参加人串通投标的；</w:t>
      </w:r>
    </w:p>
    <w:p w14:paraId="5556CD5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（六）恶意投诉的；</w:t>
      </w:r>
    </w:p>
    <w:p w14:paraId="35EA48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（七）向采购项目相关人行贿或者提供其他不当利益的；</w:t>
      </w:r>
    </w:p>
    <w:p w14:paraId="5189471D">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（八）阻碍、抗拒主管部门监督检查的；</w:t>
      </w:r>
    </w:p>
    <w:p w14:paraId="3BBABD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（九）其他违反本条例规定的行为。</w:t>
      </w:r>
    </w:p>
    <w:p w14:paraId="351E4A27">
      <w:pPr>
        <w:widowControl/>
        <w:spacing w:after="120"/>
        <w:jc w:val="left"/>
        <w:rPr>
          <w:rFonts w:ascii="Times New Roman" w:hAnsi="Times New Roman" w:eastAsiaTheme="minorEastAsia"/>
          <w:kern w:val="0"/>
          <w:sz w:val="24"/>
          <w:szCs w:val="24"/>
        </w:rPr>
      </w:pPr>
    </w:p>
    <w:p w14:paraId="5A7696B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二、《深圳经济特区政府采购条例实施细则》</w:t>
      </w:r>
    </w:p>
    <w:p w14:paraId="66B7BB05">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第七十五条 供应商有下列情形的，属于采购条例所称的串通投标行为，按照采购条例第五十七条有关规定处理：</w:t>
      </w:r>
    </w:p>
    <w:p w14:paraId="2A365839">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（一）投标供应商之间相互约定给予未中标的供应商利益补偿；</w:t>
      </w:r>
    </w:p>
    <w:p w14:paraId="738E96C6">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 xml:space="preserve">（二）不同投标供应商的法定代表人、主要经营负责人、项目投标授权代表人、项目负责人、主要技术人员为同一人、属同一单位或者在同一单位缴纳社会保险；          </w:t>
      </w:r>
    </w:p>
    <w:p w14:paraId="014A5286">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（三）不同投标供应商的投标文件由同一单位或者同一人编制，或者由同一人分阶段参与编制的；</w:t>
      </w:r>
    </w:p>
    <w:p w14:paraId="418205C5">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（四）不同投标供应商的投标文件或部分投标文件相互混装；</w:t>
      </w:r>
    </w:p>
    <w:p w14:paraId="72349AE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（五）不同投标供应商的投标文件内容存在非正常一致；</w:t>
      </w:r>
    </w:p>
    <w:p w14:paraId="56AFE70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（六）由同一单位工作人员为两家以上（含两家）供应商进行同一项投标活动的；</w:t>
      </w:r>
    </w:p>
    <w:p w14:paraId="124A17EA">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（七）主管部门依照法律、法规认定的其他情形。</w:t>
      </w:r>
    </w:p>
    <w:p w14:paraId="2C3604F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第七十七条 供应商有下列情形之一的，属于隐瞒真实情况，提供虚假资料，按照采购条例第五十七的有关规定处理：</w:t>
      </w:r>
    </w:p>
    <w:p w14:paraId="20CBF51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14:paraId="7E01E1D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14:paraId="44C057C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14:paraId="0939EB5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14:paraId="2E16A37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14:paraId="4170EBA2">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投标供应商不能提供项目负责人或者主要技术人员的劳动合同、社会保险等劳动关系证明材料的，视为存在前款第（三）项规定的情形。</w:t>
      </w:r>
    </w:p>
    <w:p w14:paraId="624CB054">
      <w:pPr>
        <w:widowControl/>
        <w:spacing w:after="120"/>
        <w:jc w:val="left"/>
        <w:rPr>
          <w:rFonts w:ascii="Times New Roman" w:hAnsi="Times New Roman" w:eastAsiaTheme="minorEastAsia"/>
          <w:kern w:val="0"/>
          <w:sz w:val="24"/>
          <w:szCs w:val="24"/>
        </w:rPr>
      </w:pPr>
    </w:p>
    <w:p w14:paraId="68AACED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三、《中华人民共和国政府采购法实施条例》</w:t>
      </w:r>
    </w:p>
    <w:p w14:paraId="34CAF885">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第十八条 单位负责人为同一人或者存在直接控股、管理关系的不同供应商，不得参加同一合同项下的政府采购活动。</w:t>
      </w:r>
    </w:p>
    <w:p w14:paraId="3465E2DA">
      <w:pPr>
        <w:spacing w:line="440" w:lineRule="exact"/>
        <w:ind w:firstLine="371" w:firstLineChars="177"/>
        <w:rPr>
          <w:rFonts w:hint="eastAsia" w:asciiTheme="minorEastAsia" w:hAnsiTheme="minorEastAsia" w:eastAsiaTheme="minorEastAsia"/>
          <w:szCs w:val="21"/>
        </w:rPr>
      </w:pPr>
      <w:r>
        <w:rPr>
          <w:rFonts w:hint="eastAsia" w:asciiTheme="minorEastAsia" w:hAnsiTheme="minorEastAsia" w:eastAsiaTheme="minorEastAsia"/>
          <w:szCs w:val="21"/>
        </w:rPr>
        <w:t>除单一来源采购项目外，为采购项目提供整体设计、规范编制或者项目管理、监理、检测等服务的供应商，不得再参加该采购项目的其他采购活动。</w:t>
      </w:r>
    </w:p>
    <w:p w14:paraId="46C6857F">
      <w:pPr>
        <w:spacing w:line="440" w:lineRule="exact"/>
        <w:ind w:left="0" w:leftChars="0"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1B1B4111">
      <w:pPr>
        <w:widowControl/>
        <w:jc w:val="left"/>
        <w:rPr>
          <w:rFonts w:ascii="宋体" w:hAnsi="宋体" w:cs="宋体"/>
          <w:kern w:val="0"/>
          <w:sz w:val="40"/>
          <w:szCs w:val="40"/>
        </w:rPr>
      </w:pPr>
      <w:r>
        <w:rPr>
          <w:sz w:val="40"/>
          <w:szCs w:val="40"/>
        </w:rPr>
        <w:br w:type="page"/>
      </w:r>
    </w:p>
    <w:p w14:paraId="2D4D52EF">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圳品工程--“圳品”标准体系建设和评价监督推广项目</w:t>
      </w:r>
    </w:p>
    <w:p w14:paraId="58833B09">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autofit"/>
        <w:tblCellMar>
          <w:top w:w="45" w:type="dxa"/>
          <w:left w:w="45" w:type="dxa"/>
          <w:bottom w:w="45" w:type="dxa"/>
          <w:right w:w="45" w:type="dxa"/>
        </w:tblCellMar>
      </w:tblPr>
      <w:tblGrid>
        <w:gridCol w:w="2722"/>
        <w:gridCol w:w="5216"/>
      </w:tblGrid>
      <w:tr w14:paraId="29634068">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05983414">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项目编号：</w:t>
            </w:r>
          </w:p>
        </w:tc>
        <w:tc>
          <w:tcPr>
            <w:tcW w:w="0" w:type="auto"/>
            <w:vAlign w:val="center"/>
          </w:tcPr>
          <w:p w14:paraId="0C92543A">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SZDL2026000760</w:t>
            </w:r>
          </w:p>
        </w:tc>
      </w:tr>
      <w:tr w14:paraId="6830196E">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C9DE1D1">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项目名称：</w:t>
            </w:r>
          </w:p>
        </w:tc>
        <w:tc>
          <w:tcPr>
            <w:tcW w:w="0" w:type="auto"/>
            <w:vAlign w:val="center"/>
          </w:tcPr>
          <w:p w14:paraId="631F910E">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圳品工程--“圳品”标准体系建设和评价监督推广项目</w:t>
            </w:r>
          </w:p>
        </w:tc>
      </w:tr>
      <w:tr w14:paraId="079321F1">
        <w:tblPrEx>
          <w:tblCellMar>
            <w:top w:w="45" w:type="dxa"/>
            <w:left w:w="45" w:type="dxa"/>
            <w:bottom w:w="45" w:type="dxa"/>
            <w:right w:w="45" w:type="dxa"/>
          </w:tblCellMar>
        </w:tblPrEx>
        <w:trPr>
          <w:trHeight w:val="737" w:hRule="atLeast"/>
          <w:tblCellSpacing w:w="0" w:type="dxa"/>
          <w:jc w:val="center"/>
        </w:trPr>
        <w:tc>
          <w:tcPr>
            <w:tcW w:w="0" w:type="auto"/>
            <w:vAlign w:val="center"/>
          </w:tcPr>
          <w:p w14:paraId="66E0F421">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包 号：</w:t>
            </w:r>
          </w:p>
        </w:tc>
        <w:tc>
          <w:tcPr>
            <w:tcW w:w="0" w:type="auto"/>
            <w:vAlign w:val="center"/>
          </w:tcPr>
          <w:p w14:paraId="17D205EF">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val="en-US" w:eastAsia="zh-CN"/>
              </w:rPr>
              <w:t>E</w:t>
            </w:r>
          </w:p>
        </w:tc>
      </w:tr>
      <w:tr w14:paraId="52F0B10F">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FA078EE">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项目类型：</w:t>
            </w:r>
          </w:p>
        </w:tc>
        <w:tc>
          <w:tcPr>
            <w:tcW w:w="0" w:type="auto"/>
            <w:vAlign w:val="center"/>
          </w:tcPr>
          <w:p w14:paraId="0DE22449">
            <w:pPr>
              <w:rPr>
                <w:rFonts w:cs="宋体" w:asciiTheme="minorEastAsia" w:hAnsiTheme="minorEastAsia" w:eastAsiaTheme="minorEastAsia"/>
                <w:sz w:val="30"/>
                <w:szCs w:val="30"/>
              </w:rPr>
            </w:pPr>
            <w:r>
              <w:rPr>
                <w:rFonts w:asciiTheme="minorEastAsia" w:hAnsiTheme="minorEastAsia" w:eastAsiaTheme="minorEastAsia"/>
                <w:sz w:val="30"/>
                <w:szCs w:val="30"/>
              </w:rPr>
              <w:t>服务类</w:t>
            </w:r>
          </w:p>
        </w:tc>
      </w:tr>
      <w:tr w14:paraId="6938D41F">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FDA4DE6">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采购方式：</w:t>
            </w:r>
          </w:p>
        </w:tc>
        <w:tc>
          <w:tcPr>
            <w:tcW w:w="0" w:type="auto"/>
            <w:vAlign w:val="center"/>
          </w:tcPr>
          <w:p w14:paraId="207E6E45">
            <w:pPr>
              <w:rPr>
                <w:rFonts w:cs="宋体" w:asciiTheme="minorEastAsia" w:hAnsiTheme="minorEastAsia" w:eastAsiaTheme="minorEastAsia"/>
                <w:sz w:val="30"/>
                <w:szCs w:val="30"/>
              </w:rPr>
            </w:pPr>
            <w:r>
              <w:rPr>
                <w:rFonts w:asciiTheme="minorEastAsia" w:hAnsiTheme="minorEastAsia" w:eastAsiaTheme="minorEastAsia"/>
                <w:sz w:val="30"/>
                <w:szCs w:val="30"/>
              </w:rPr>
              <w:t>公开招标</w:t>
            </w:r>
          </w:p>
        </w:tc>
      </w:tr>
      <w:tr w14:paraId="117EEEFD">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F1B22BC">
            <w:pPr>
              <w:jc w:val="right"/>
              <w:rPr>
                <w:rFonts w:ascii="宋体" w:hAnsi="宋体" w:cs="宋体"/>
                <w:sz w:val="30"/>
                <w:szCs w:val="30"/>
              </w:rPr>
            </w:pPr>
            <w:r>
              <w:rPr>
                <w:sz w:val="30"/>
                <w:szCs w:val="30"/>
              </w:rPr>
              <w:t>货币类型：</w:t>
            </w:r>
          </w:p>
        </w:tc>
        <w:tc>
          <w:tcPr>
            <w:tcW w:w="0" w:type="auto"/>
            <w:vAlign w:val="center"/>
          </w:tcPr>
          <w:p w14:paraId="3227442A">
            <w:pPr>
              <w:rPr>
                <w:rFonts w:ascii="宋体" w:hAnsi="宋体" w:cs="宋体"/>
                <w:sz w:val="30"/>
                <w:szCs w:val="30"/>
              </w:rPr>
            </w:pPr>
            <w:r>
              <w:rPr>
                <w:sz w:val="30"/>
                <w:szCs w:val="30"/>
              </w:rPr>
              <w:t>人民币</w:t>
            </w:r>
          </w:p>
        </w:tc>
      </w:tr>
      <w:tr w14:paraId="30E1B99E">
        <w:tblPrEx>
          <w:tblCellMar>
            <w:top w:w="45" w:type="dxa"/>
            <w:left w:w="45" w:type="dxa"/>
            <w:bottom w:w="45" w:type="dxa"/>
            <w:right w:w="45" w:type="dxa"/>
          </w:tblCellMar>
        </w:tblPrEx>
        <w:trPr>
          <w:trHeight w:val="737" w:hRule="atLeast"/>
          <w:tblCellSpacing w:w="0" w:type="dxa"/>
          <w:jc w:val="center"/>
        </w:trPr>
        <w:tc>
          <w:tcPr>
            <w:tcW w:w="0" w:type="auto"/>
            <w:vAlign w:val="center"/>
          </w:tcPr>
          <w:p w14:paraId="3D612645">
            <w:pPr>
              <w:jc w:val="right"/>
              <w:rPr>
                <w:rFonts w:ascii="宋体" w:hAnsi="宋体" w:cs="宋体"/>
                <w:sz w:val="30"/>
                <w:szCs w:val="30"/>
              </w:rPr>
            </w:pPr>
            <w:r>
              <w:rPr>
                <w:sz w:val="30"/>
                <w:szCs w:val="30"/>
              </w:rPr>
              <w:t>评标方法：</w:t>
            </w:r>
          </w:p>
        </w:tc>
        <w:tc>
          <w:tcPr>
            <w:tcW w:w="0" w:type="auto"/>
            <w:vAlign w:val="center"/>
          </w:tcPr>
          <w:p w14:paraId="61392236">
            <w:pPr>
              <w:rPr>
                <w:rFonts w:ascii="宋体" w:hAnsi="宋体" w:cs="宋体"/>
                <w:sz w:val="30"/>
                <w:szCs w:val="30"/>
              </w:rPr>
            </w:pPr>
            <w:r>
              <w:rPr>
                <w:sz w:val="30"/>
                <w:szCs w:val="30"/>
              </w:rPr>
              <w:t>综合评分法（新价格分算法）</w:t>
            </w:r>
          </w:p>
        </w:tc>
      </w:tr>
    </w:tbl>
    <w:p w14:paraId="537582D5">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5CD42C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45776932">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6389880B">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1DEF0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C49B5EE">
            <w:pPr>
              <w:jc w:val="center"/>
              <w:rPr>
                <w:rFonts w:hint="eastAsia" w:ascii="宋体" w:hAnsi="宋体" w:eastAsia="宋体" w:cs="宋体"/>
                <w:szCs w:val="21"/>
              </w:rPr>
            </w:pPr>
            <w:r>
              <w:rPr>
                <w:rFonts w:hint="eastAsia" w:ascii="宋体" w:hAnsi="宋体" w:eastAsia="宋体" w:cs="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71617355">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3F18401D">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4B6768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EE1B101">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60F4F1C">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4F06F3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7C265A0">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732AEF73">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52A372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D7B4EB8">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7937D497">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5B28FD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0F0E7BB">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1D857C02">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3E335B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2DA6E6F">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4B284412">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6B2FEC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57197A8">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4047ECC7">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03035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727E4F0">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2370F657">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179EA4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ED04F8F">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714B5C52">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0576D5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CD1022A">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5B7F22B0">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419BB0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583ABA5">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35A89CAE">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1EA788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68CA2A1">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45CC97AF">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445F05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A8E1E4D">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63C8D618">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70B87841">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601F6C92">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5CE7913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0A9D87C">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1BBC7BE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179D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72BBEFD9">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D0915C5">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28221E49">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D7BC097">
      <w:pPr>
        <w:spacing w:line="324" w:lineRule="auto"/>
        <w:ind w:firstLine="420"/>
        <w:rPr>
          <w:rFonts w:hint="eastAsia" w:ascii="Times New Roman" w:hAnsi="Times New Roman"/>
          <w:b/>
          <w:color w:val="FF0000"/>
          <w:szCs w:val="21"/>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24EECF7F">
      <w:pPr>
        <w:spacing w:line="324" w:lineRule="auto"/>
        <w:ind w:firstLine="420"/>
        <w:rPr>
          <w:rFonts w:hint="eastAsia" w:ascii="Times New Roman" w:hAnsi="Times New Roman"/>
          <w:b/>
          <w:color w:val="FF0000"/>
          <w:szCs w:val="21"/>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rPr>
        <w:t>不符合《资格性审查表》或《符合性审查表》中任一情形的，</w:t>
      </w:r>
      <w:r>
        <w:rPr>
          <w:rFonts w:hint="eastAsia" w:asciiTheme="minorEastAsia" w:hAnsiTheme="minorEastAsia" w:eastAsiaTheme="minorEastAsia"/>
          <w:b/>
          <w:color w:val="FF0000"/>
          <w:szCs w:val="21"/>
          <w:lang w:val="en-US" w:eastAsia="zh-CN"/>
        </w:rPr>
        <w:t>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p>
    <w:p w14:paraId="369ED182">
      <w:pPr>
        <w:spacing w:line="324" w:lineRule="auto"/>
        <w:ind w:firstLine="420"/>
        <w:rPr>
          <w:rFonts w:asciiTheme="minorEastAsia" w:hAnsiTheme="minorEastAsia" w:eastAsiaTheme="minorEastAsia"/>
          <w:b/>
          <w:color w:val="FF0000"/>
          <w:szCs w:val="21"/>
        </w:rPr>
      </w:pPr>
    </w:p>
    <w:p w14:paraId="0BF6D41C">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autofit"/>
        <w:tblCellMar>
          <w:top w:w="45" w:type="dxa"/>
          <w:left w:w="45" w:type="dxa"/>
          <w:bottom w:w="45" w:type="dxa"/>
          <w:right w:w="45" w:type="dxa"/>
        </w:tblCellMar>
      </w:tblPr>
      <w:tblGrid>
        <w:gridCol w:w="8824"/>
        <w:gridCol w:w="248"/>
      </w:tblGrid>
      <w:tr w14:paraId="61973B73">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7AC905CA">
            <w:pPr>
              <w:rPr>
                <w:rFonts w:ascii="宋体" w:hAnsi="宋体" w:cs="宋体"/>
                <w:b/>
                <w:bCs/>
                <w:sz w:val="24"/>
                <w:szCs w:val="24"/>
              </w:rPr>
            </w:pPr>
            <w:r>
              <w:rPr>
                <w:b/>
                <w:bCs/>
              </w:rPr>
              <w:t>评标方法：综合评分法（新价格分算法）</w:t>
            </w:r>
          </w:p>
        </w:tc>
        <w:tc>
          <w:tcPr>
            <w:tcW w:w="0" w:type="auto"/>
            <w:tcBorders>
              <w:top w:val="nil"/>
              <w:left w:val="nil"/>
              <w:bottom w:val="nil"/>
              <w:right w:val="nil"/>
            </w:tcBorders>
            <w:vAlign w:val="center"/>
          </w:tcPr>
          <w:p w14:paraId="14BDF8C5">
            <w:pPr>
              <w:jc w:val="right"/>
              <w:rPr>
                <w:rFonts w:ascii="宋体" w:hAnsi="宋体" w:cs="宋体"/>
                <w:b/>
                <w:bCs/>
                <w:sz w:val="24"/>
                <w:szCs w:val="24"/>
              </w:rPr>
            </w:pPr>
          </w:p>
        </w:tc>
      </w:tr>
      <w:tr w14:paraId="57668ECB">
        <w:tblPrEx>
          <w:tblCellMar>
            <w:top w:w="45" w:type="dxa"/>
            <w:left w:w="45" w:type="dxa"/>
            <w:bottom w:w="45" w:type="dxa"/>
            <w:right w:w="45" w:type="dxa"/>
          </w:tblCellMar>
        </w:tblPrEx>
        <w:trPr>
          <w:tblCellSpacing w:w="0" w:type="dxa"/>
          <w:jc w:val="center"/>
        </w:trPr>
        <w:tc>
          <w:tcPr>
            <w:tcW w:w="0" w:type="auto"/>
            <w:gridSpan w:val="2"/>
            <w:tcBorders>
              <w:top w:val="nil"/>
              <w:left w:val="nil"/>
              <w:bottom w:val="nil"/>
              <w:right w:val="nil"/>
            </w:tcBorders>
            <w:vAlign w:val="center"/>
          </w:tcPr>
          <w:p w14:paraId="30590C49">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19CF142F">
            <w:pPr>
              <w:pStyle w:val="37"/>
              <w:ind w:firstLine="420"/>
              <w:rPr>
                <w:sz w:val="21"/>
                <w:szCs w:val="21"/>
              </w:rPr>
            </w:pPr>
            <w:r>
              <w:rPr>
                <w:sz w:val="21"/>
                <w:szCs w:val="21"/>
              </w:rPr>
              <w:t>价格分计算方法：</w:t>
            </w:r>
          </w:p>
          <w:p w14:paraId="4E700542">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5654881C">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80"/>
        <w:gridCol w:w="680"/>
        <w:gridCol w:w="1495"/>
        <w:gridCol w:w="820"/>
        <w:gridCol w:w="5964"/>
      </w:tblGrid>
      <w:tr w14:paraId="67E0DC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5C03E3E">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序号</w:t>
            </w:r>
          </w:p>
        </w:tc>
        <w:tc>
          <w:tcPr>
            <w:tcW w:w="2995"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663CCBFE">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评分项</w:t>
            </w:r>
          </w:p>
        </w:tc>
        <w:tc>
          <w:tcPr>
            <w:tcW w:w="596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B655B71">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权重(%)</w:t>
            </w:r>
          </w:p>
        </w:tc>
      </w:tr>
      <w:tr w14:paraId="436C67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2C929EBB">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1</w:t>
            </w:r>
          </w:p>
        </w:tc>
        <w:tc>
          <w:tcPr>
            <w:tcW w:w="2995" w:type="dxa"/>
            <w:gridSpan w:val="3"/>
            <w:tcBorders>
              <w:top w:val="single" w:color="000000" w:sz="8" w:space="0"/>
              <w:left w:val="single" w:color="000000" w:sz="8" w:space="0"/>
              <w:bottom w:val="single" w:color="000000" w:sz="8" w:space="0"/>
              <w:right w:val="single" w:color="000000" w:sz="8" w:space="0"/>
            </w:tcBorders>
          </w:tcPr>
          <w:p w14:paraId="055296A2">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价格</w:t>
            </w:r>
          </w:p>
        </w:tc>
        <w:tc>
          <w:tcPr>
            <w:tcW w:w="5964" w:type="dxa"/>
            <w:tcBorders>
              <w:top w:val="single" w:color="000000" w:sz="8" w:space="0"/>
              <w:left w:val="single" w:color="000000" w:sz="8" w:space="0"/>
              <w:bottom w:val="single" w:color="000000" w:sz="8" w:space="0"/>
              <w:right w:val="single" w:color="000000" w:sz="8" w:space="0"/>
            </w:tcBorders>
          </w:tcPr>
          <w:p w14:paraId="089CA04F">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10</w:t>
            </w:r>
          </w:p>
        </w:tc>
      </w:tr>
      <w:tr w14:paraId="369EBB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396B902D">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2</w:t>
            </w:r>
          </w:p>
        </w:tc>
        <w:tc>
          <w:tcPr>
            <w:tcW w:w="2995" w:type="dxa"/>
            <w:gridSpan w:val="3"/>
            <w:tcBorders>
              <w:top w:val="single" w:color="000000" w:sz="8" w:space="0"/>
              <w:left w:val="single" w:color="000000" w:sz="8" w:space="0"/>
              <w:bottom w:val="single" w:color="000000" w:sz="8" w:space="0"/>
              <w:right w:val="single" w:color="000000" w:sz="8" w:space="0"/>
            </w:tcBorders>
          </w:tcPr>
          <w:p w14:paraId="187E3D5B">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技术</w:t>
            </w:r>
          </w:p>
        </w:tc>
        <w:tc>
          <w:tcPr>
            <w:tcW w:w="5964" w:type="dxa"/>
            <w:tcBorders>
              <w:top w:val="single" w:color="000000" w:sz="8" w:space="0"/>
              <w:left w:val="single" w:color="000000" w:sz="8" w:space="0"/>
              <w:bottom w:val="single" w:color="000000" w:sz="8" w:space="0"/>
              <w:right w:val="single" w:color="000000" w:sz="8" w:space="0"/>
            </w:tcBorders>
          </w:tcPr>
          <w:p w14:paraId="3CE14FEF">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56</w:t>
            </w:r>
          </w:p>
        </w:tc>
      </w:tr>
      <w:tr w14:paraId="3AB8A1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F0024CE">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3DB9AAB">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4A7B45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42C9031">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34830D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10A37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3A63EAA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463A213">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6FC88F77">
            <w:pPr>
              <w:snapToGrid w:val="0"/>
              <w:spacing w:line="360" w:lineRule="exact"/>
              <w:rPr>
                <w:rFonts w:cs="宋体" w:asciiTheme="minorEastAsia" w:hAnsiTheme="minorEastAsia" w:eastAsiaTheme="minorEastAsia"/>
                <w:szCs w:val="21"/>
              </w:rPr>
            </w:pPr>
            <w:r>
              <w:rPr>
                <w:rFonts w:hint="eastAsia" w:ascii="宋体" w:hAnsi="宋体" w:cs="宋体"/>
                <w:bCs/>
                <w:szCs w:val="21"/>
              </w:rPr>
              <w:t>实施方案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07289964">
            <w:pPr>
              <w:snapToGrid w:val="0"/>
              <w:spacing w:line="360" w:lineRule="exact"/>
              <w:rPr>
                <w:rFonts w:cs="宋体" w:asciiTheme="minorEastAsia" w:hAnsiTheme="minorEastAsia" w:eastAsiaTheme="minorEastAsia"/>
                <w:szCs w:val="21"/>
              </w:rPr>
            </w:pPr>
            <w:r>
              <w:rPr>
                <w:rFonts w:hint="eastAsia" w:ascii="宋体" w:hAnsi="宋体" w:cs="宋体"/>
                <w:bCs/>
                <w:szCs w:val="21"/>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7B8DFE9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36DA0AF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投标人应结合其工作经历及项目需求制定实施方案，具体内容包括但不限于：</w:t>
            </w:r>
          </w:p>
          <w:p w14:paraId="499B68A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1.检测工作流程和工作制度；</w:t>
            </w:r>
          </w:p>
          <w:p w14:paraId="4CC702B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2.制定检测计划和风险管控；</w:t>
            </w:r>
          </w:p>
          <w:p w14:paraId="080A55B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3.抽样方案；</w:t>
            </w:r>
          </w:p>
          <w:p w14:paraId="03DFA33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4.检验方案；</w:t>
            </w:r>
          </w:p>
          <w:p w14:paraId="1236DC9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5.报告判定原则；</w:t>
            </w:r>
          </w:p>
          <w:p w14:paraId="7F0DACE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6.结果报送要求；</w:t>
            </w:r>
          </w:p>
          <w:p w14:paraId="7922E3B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7.异议及后处理；</w:t>
            </w:r>
          </w:p>
          <w:p w14:paraId="09B8321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8.检验过程的质量控制体系及方法；</w:t>
            </w:r>
          </w:p>
          <w:p w14:paraId="545ED4D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9.应急预案；</w:t>
            </w:r>
          </w:p>
          <w:p w14:paraId="64E1AB9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10.后续服务（含数据录入、统计分析报告）等相关内容。</w:t>
            </w:r>
          </w:p>
          <w:p w14:paraId="69D76B1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1834A0A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满足以上10项要求得70分，满足以上任意9项要求得65分，满足以上任意8项要求得60分，满足以上任意7项要求得55分，满足以上任意6项要求得50分，满足以上任意5项要求得45分，满足以上任意4项要求得40分，满足以上任意3项要求得35分，满足以上任意2项要求得20分，满足以上任意1项要求得10分，其他情况不得分。</w:t>
            </w:r>
          </w:p>
          <w:p w14:paraId="0EDBF2B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在此基础上，评审委员会根据各投标供应商的具体响应内容进一步评审：</w:t>
            </w:r>
          </w:p>
          <w:p w14:paraId="2DB8CD2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1.评审为优：实施方案内容具体、针对性强、科学合理、可操作性强且提出应急预案不少于4项的，加30分；</w:t>
            </w:r>
          </w:p>
          <w:p w14:paraId="4E24082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2.评审为良：实施方案内容较具体、针对性较强、较科学合理、可操作性较强且提出应急预案不少于3项的，加20分；</w:t>
            </w:r>
          </w:p>
          <w:p w14:paraId="693720B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3.评审为中：实施方案内容具体性一般、针对性一般、科学合理性一般、可操作性一般且提出应急预案不少于2项的，加10分；</w:t>
            </w:r>
          </w:p>
          <w:p w14:paraId="69E54BE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4.评审为差：实施方案思路清晰性差、内容具体性差、科学合理性差、针对性及可操作性差或提出应急预案不少于2项的，不加分。</w:t>
            </w:r>
          </w:p>
          <w:p w14:paraId="38E6CD2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如果评审为差，要求评委书面说明理由，并记录在档。</w:t>
            </w:r>
          </w:p>
          <w:p w14:paraId="160132D9">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本项最高得100分。</w:t>
            </w:r>
          </w:p>
        </w:tc>
      </w:tr>
      <w:tr w14:paraId="14D5CC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CAB386E">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364D07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41A03DA5">
            <w:pPr>
              <w:snapToGrid w:val="0"/>
              <w:spacing w:line="360" w:lineRule="exact"/>
              <w:rPr>
                <w:rFonts w:cs="宋体" w:asciiTheme="minorEastAsia" w:hAnsiTheme="minorEastAsia" w:eastAsiaTheme="minorEastAsia"/>
                <w:szCs w:val="21"/>
              </w:rPr>
            </w:pPr>
            <w:r>
              <w:rPr>
                <w:rFonts w:hint="eastAsia" w:ascii="宋体" w:hAnsi="宋体" w:cs="宋体"/>
                <w:bCs/>
                <w:szCs w:val="21"/>
              </w:rPr>
              <w:t>项目重点难点分析、应对措施及相关的合理化建议</w:t>
            </w:r>
          </w:p>
        </w:tc>
        <w:tc>
          <w:tcPr>
            <w:tcW w:w="820" w:type="dxa"/>
            <w:tcBorders>
              <w:top w:val="single" w:color="000000" w:sz="8" w:space="0"/>
              <w:left w:val="single" w:color="000000" w:sz="8" w:space="0"/>
              <w:bottom w:val="single" w:color="000000" w:sz="8" w:space="0"/>
              <w:right w:val="single" w:color="000000" w:sz="8" w:space="0"/>
            </w:tcBorders>
            <w:vAlign w:val="center"/>
          </w:tcPr>
          <w:p w14:paraId="1873C774">
            <w:pPr>
              <w:snapToGrid w:val="0"/>
              <w:spacing w:line="360" w:lineRule="exact"/>
              <w:rPr>
                <w:rFonts w:cs="宋体" w:asciiTheme="minorEastAsia" w:hAnsiTheme="minorEastAsia" w:eastAsiaTheme="minorEastAsia"/>
                <w:szCs w:val="21"/>
              </w:rPr>
            </w:pPr>
            <w:r>
              <w:rPr>
                <w:rFonts w:hint="eastAsia" w:ascii="宋体" w:hAnsi="宋体" w:cs="宋体"/>
                <w:bCs/>
                <w:szCs w:val="21"/>
              </w:rPr>
              <w:t>12</w:t>
            </w:r>
          </w:p>
        </w:tc>
        <w:tc>
          <w:tcPr>
            <w:tcW w:w="5964" w:type="dxa"/>
            <w:tcBorders>
              <w:top w:val="single" w:color="000000" w:sz="8" w:space="0"/>
              <w:left w:val="single" w:color="000000" w:sz="8" w:space="0"/>
              <w:bottom w:val="single" w:color="000000" w:sz="8" w:space="0"/>
              <w:right w:val="single" w:color="000000" w:sz="8" w:space="0"/>
            </w:tcBorders>
            <w:vAlign w:val="top"/>
          </w:tcPr>
          <w:p w14:paraId="5753881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5207DC5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投标人应结合其工作经历及项目需求进行重点难点分析并提出合理化建议，内容包括但不限于:</w:t>
            </w:r>
          </w:p>
          <w:p w14:paraId="307841B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1.项目重点难点分析（包括但不限于对项目实施相关政策文件的准确性把握、沟通协调、组织活动、数据整理等）；</w:t>
            </w:r>
          </w:p>
          <w:p w14:paraId="34EEAB2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2.项目重点难点应对措施（根据对项目重点难点、 “圳品”工程工作机制、操作流程、潜在风险点的分析结果制定相应的工作规划及应对措施）；</w:t>
            </w:r>
          </w:p>
          <w:p w14:paraId="75E8F1C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3.项目重点难点相关合理化建议（对中标后，开展本项目相关工作的时序安排、风险点控制、制度运行规则以及存在的隐患等后续工作提出建议和应对措施）。</w:t>
            </w:r>
          </w:p>
          <w:p w14:paraId="1B52429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0791203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满足以上三项要求得60分，满足以上任意两项要求得40分，满足以上任意一项要求得20分，其他情况不得分。在此基础上：</w:t>
            </w:r>
          </w:p>
          <w:p w14:paraId="2D3FE7F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评审为优：项目重点难点分析内容全面准确；应对措施及相关的合理化建议针对性强；应对抽检产生的企业异议处理科学合理、响应高效；应对食品安全舆情事件，在抽检工作中的合理化建议措施针对性强；针对项目涉及到的创新举措提出的合理化建议的加40分；</w:t>
            </w:r>
          </w:p>
          <w:p w14:paraId="4E2A605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评审为良：项目重点难点分析内容较全面准确；应对措施及相关的合理化建议针对性较强；应对抽检产生的企业异议处理措施较科学合理；应对食品安全舆情事件，在抽检工作中的合理化建议措施针对性较强；针对项目涉及到的创新举措提出的建议较合理的加20分；</w:t>
            </w:r>
          </w:p>
          <w:p w14:paraId="2F3EFC2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评审为中：项目重点难点分析内容基本全面准确；应对措施及相关的合理化建议针对性一般；应对抽检产生的企业异议处理措施基本科学合理一般；应对食品安全舆情事件，在抽检工作中的合理化建议措施针对性一般；针对项目涉及到的创新举措提出的合理化建议一般的加10分；</w:t>
            </w:r>
          </w:p>
          <w:p w14:paraId="632BB2A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评审为差：项目重点难点分析内容不全面准确；应对措施及相关的合理化建议不具有针对性；应对抽检产生的企业异议处理措施不科学合理；应对食品安全舆情事件，在抽检工作中的合理化建议措施不具有针对性；针对项目涉及到的创新举措提出的合理化建议较差的不加分；</w:t>
            </w:r>
          </w:p>
          <w:p w14:paraId="7C7AC37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评审为差的，专家须书面说明理由，并记录在档。</w:t>
            </w:r>
          </w:p>
          <w:p w14:paraId="430C621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未提供实施方案的不得分。</w:t>
            </w:r>
          </w:p>
        </w:tc>
      </w:tr>
      <w:tr w14:paraId="268343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491CDB9">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970B2D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78226297">
            <w:pPr>
              <w:snapToGrid w:val="0"/>
              <w:spacing w:line="360" w:lineRule="exact"/>
              <w:rPr>
                <w:rFonts w:cs="宋体" w:asciiTheme="minorEastAsia" w:hAnsiTheme="minorEastAsia" w:eastAsiaTheme="minorEastAsia"/>
                <w:szCs w:val="21"/>
              </w:rPr>
            </w:pPr>
            <w:r>
              <w:rPr>
                <w:rFonts w:hint="eastAsia" w:ascii="宋体" w:hAnsi="宋体" w:cs="宋体"/>
                <w:bCs/>
                <w:szCs w:val="21"/>
              </w:rPr>
              <w:t>质量（完成时间、安全、环保）保障措施及方案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5AC86562">
            <w:pPr>
              <w:snapToGrid w:val="0"/>
              <w:spacing w:line="360" w:lineRule="exact"/>
              <w:rPr>
                <w:rFonts w:cs="宋体" w:asciiTheme="minorEastAsia" w:hAnsiTheme="minorEastAsia" w:eastAsiaTheme="minorEastAsia"/>
                <w:szCs w:val="21"/>
              </w:rPr>
            </w:pPr>
            <w:r>
              <w:rPr>
                <w:rFonts w:hint="eastAsia" w:ascii="宋体" w:hAnsi="宋体" w:cs="宋体"/>
                <w:bCs/>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3569306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46AF6AF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投标人应结合其工作经历及项目需求进行质量保障措施及方案，内容包括但不限于：</w:t>
            </w:r>
          </w:p>
          <w:p w14:paraId="196C06F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1.保障项目质量的人力资源方案;</w:t>
            </w:r>
          </w:p>
          <w:p w14:paraId="76E82EA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2.保障项目质量的设备、技术等资源方案；</w:t>
            </w:r>
          </w:p>
          <w:p w14:paraId="6FDAA07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3.保障项目质量的内部监督工作方案；</w:t>
            </w:r>
          </w:p>
          <w:p w14:paraId="2084F09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4.保障项目质量的紧急资源调配以及应急响应工作方案；</w:t>
            </w:r>
          </w:p>
          <w:p w14:paraId="7177E72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5.保障项目质量的安全措施（包括但不限于舆情处置、突发情况处理、数据安全、操作安全等内容）。</w:t>
            </w:r>
          </w:p>
          <w:p w14:paraId="1FD27FC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17C2A4B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满足以上五项要求得70分，满足以上任意四项要求得50分，满足以上任意三项要求得30分，其他情况不得分。</w:t>
            </w:r>
          </w:p>
          <w:p w14:paraId="68B0DA8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在此基础上，根据保障措施及方案实际内容进一步评审：</w:t>
            </w:r>
          </w:p>
          <w:p w14:paraId="0086562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1.评审为优：质量保障措施内容具体、针对性强、科学合理、可操作性强的加30分;</w:t>
            </w:r>
          </w:p>
          <w:p w14:paraId="560B8F3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2.评审为良：质量保障措施内容较具体、针对性较强、较科学合理、可操作性较强加20分;</w:t>
            </w:r>
          </w:p>
          <w:p w14:paraId="4D4E0B3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3.评审为中：质量保障措施内容具体性一般、针对性一般、科学合理性一般、可操作性一般的加10分；</w:t>
            </w:r>
          </w:p>
          <w:p w14:paraId="5F76994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4.评审为差：质量保障措施内容具体性差、针对性差、科学合理性差、可操作性差的，不加分；</w:t>
            </w:r>
          </w:p>
          <w:p w14:paraId="464F572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评审为差的，专家须书面说明理由，并记录在档。</w:t>
            </w:r>
          </w:p>
          <w:p w14:paraId="429BF92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未提供质量保障措施及方案的不得分。</w:t>
            </w:r>
          </w:p>
        </w:tc>
      </w:tr>
      <w:tr w14:paraId="27C9B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BB53AB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0D3D2D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7961511B">
            <w:pPr>
              <w:snapToGrid w:val="0"/>
              <w:spacing w:line="360" w:lineRule="exact"/>
              <w:rPr>
                <w:rFonts w:cs="宋体" w:asciiTheme="minorEastAsia" w:hAnsiTheme="minorEastAsia" w:eastAsiaTheme="minorEastAsia"/>
                <w:szCs w:val="21"/>
              </w:rPr>
            </w:pPr>
            <w:r>
              <w:rPr>
                <w:rFonts w:hint="eastAsia" w:ascii="宋体" w:hAnsi="宋体" w:cs="宋体"/>
                <w:bCs/>
                <w:szCs w:val="21"/>
              </w:rPr>
              <w:t>项目完成（服务期满）后的服务承诺</w:t>
            </w:r>
          </w:p>
        </w:tc>
        <w:tc>
          <w:tcPr>
            <w:tcW w:w="820" w:type="dxa"/>
            <w:tcBorders>
              <w:top w:val="single" w:color="000000" w:sz="8" w:space="0"/>
              <w:left w:val="single" w:color="000000" w:sz="8" w:space="0"/>
              <w:bottom w:val="single" w:color="000000" w:sz="8" w:space="0"/>
              <w:right w:val="single" w:color="000000" w:sz="8" w:space="0"/>
            </w:tcBorders>
            <w:vAlign w:val="center"/>
          </w:tcPr>
          <w:p w14:paraId="08E11E10">
            <w:pPr>
              <w:snapToGrid w:val="0"/>
              <w:spacing w:line="360" w:lineRule="exact"/>
              <w:rPr>
                <w:rFonts w:cs="宋体" w:asciiTheme="minorEastAsia" w:hAnsiTheme="minorEastAsia" w:eastAsiaTheme="minorEastAsia"/>
                <w:szCs w:val="21"/>
              </w:rPr>
            </w:pPr>
            <w:r>
              <w:rPr>
                <w:rFonts w:hint="eastAsia" w:ascii="宋体" w:hAnsi="宋体" w:cs="宋体"/>
                <w:bCs/>
                <w:szCs w:val="21"/>
              </w:rPr>
              <w:t>1</w:t>
            </w:r>
          </w:p>
        </w:tc>
        <w:tc>
          <w:tcPr>
            <w:tcW w:w="5964" w:type="dxa"/>
            <w:tcBorders>
              <w:top w:val="single" w:color="000000" w:sz="8" w:space="0"/>
              <w:left w:val="single" w:color="000000" w:sz="8" w:space="0"/>
              <w:bottom w:val="single" w:color="000000" w:sz="8" w:space="0"/>
              <w:right w:val="single" w:color="000000" w:sz="8" w:space="0"/>
            </w:tcBorders>
            <w:vAlign w:val="top"/>
          </w:tcPr>
          <w:p w14:paraId="4F131B19">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（一）评审内容：</w:t>
            </w:r>
          </w:p>
          <w:p w14:paraId="3D8DD4B4">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投标人承诺以下全部两项的得100分，否则不得分。</w:t>
            </w:r>
          </w:p>
          <w:p w14:paraId="0A25C190">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1.服务期满后主动离岗；</w:t>
            </w:r>
          </w:p>
          <w:p w14:paraId="4ED1869A">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2.与后续服务公司进行交接，未完成交接前提供过渡期保障服务。</w:t>
            </w:r>
          </w:p>
          <w:p w14:paraId="567D0DB0">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（二）评审依据：</w:t>
            </w:r>
          </w:p>
          <w:p w14:paraId="62EDBC96">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lang w:val="en-US" w:eastAsia="zh-CN"/>
              </w:rPr>
              <w:t>要求提供《</w:t>
            </w:r>
            <w:r>
              <w:rPr>
                <w:rFonts w:hint="eastAsia" w:ascii="宋体" w:hAnsi="宋体" w:cs="宋体"/>
                <w:bCs/>
                <w:szCs w:val="21"/>
              </w:rPr>
              <w:t>项目完成（服务期满）后的服务承诺</w:t>
            </w:r>
            <w:r>
              <w:rPr>
                <w:rFonts w:hint="eastAsia" w:asciiTheme="minorEastAsia" w:hAnsiTheme="minorEastAsia" w:eastAsiaTheme="minorEastAsia"/>
                <w:szCs w:val="21"/>
                <w:lang w:val="en-US" w:eastAsia="zh-CN"/>
              </w:rPr>
              <w:t>函》（格式自定）作为得分依据，未提供承诺函或承诺内容不满足要求不得分。</w:t>
            </w:r>
          </w:p>
        </w:tc>
      </w:tr>
      <w:tr w14:paraId="306764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4E3CED3">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245BB79">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0CF80289">
            <w:pPr>
              <w:snapToGrid w:val="0"/>
              <w:spacing w:line="360" w:lineRule="exact"/>
              <w:rPr>
                <w:rFonts w:hint="eastAsia" w:ascii="宋体" w:hAnsi="宋体" w:cs="宋体"/>
                <w:szCs w:val="21"/>
              </w:rPr>
            </w:pPr>
            <w:r>
              <w:rPr>
                <w:rFonts w:hint="eastAsia" w:ascii="宋体" w:hAnsi="宋体" w:cs="宋体"/>
                <w:bCs/>
                <w:szCs w:val="21"/>
              </w:rPr>
              <w:t>违约承诺</w:t>
            </w:r>
          </w:p>
        </w:tc>
        <w:tc>
          <w:tcPr>
            <w:tcW w:w="820" w:type="dxa"/>
            <w:tcBorders>
              <w:top w:val="single" w:color="000000" w:sz="8" w:space="0"/>
              <w:left w:val="single" w:color="000000" w:sz="8" w:space="0"/>
              <w:bottom w:val="single" w:color="000000" w:sz="8" w:space="0"/>
              <w:right w:val="single" w:color="000000" w:sz="8" w:space="0"/>
            </w:tcBorders>
            <w:vAlign w:val="center"/>
          </w:tcPr>
          <w:p w14:paraId="6B4D5697">
            <w:pPr>
              <w:snapToGrid w:val="0"/>
              <w:spacing w:line="360" w:lineRule="exact"/>
              <w:rPr>
                <w:rFonts w:hint="eastAsia" w:ascii="宋体" w:hAnsi="宋体" w:cs="宋体"/>
                <w:szCs w:val="21"/>
              </w:rPr>
            </w:pPr>
            <w:r>
              <w:rPr>
                <w:rFonts w:hint="eastAsia" w:ascii="宋体" w:hAnsi="宋体" w:cs="宋体"/>
                <w:bCs/>
                <w:szCs w:val="21"/>
              </w:rPr>
              <w:t>1</w:t>
            </w:r>
          </w:p>
        </w:tc>
        <w:tc>
          <w:tcPr>
            <w:tcW w:w="5964" w:type="dxa"/>
            <w:tcBorders>
              <w:top w:val="single" w:color="000000" w:sz="8" w:space="0"/>
              <w:left w:val="single" w:color="000000" w:sz="8" w:space="0"/>
              <w:bottom w:val="single" w:color="000000" w:sz="8" w:space="0"/>
              <w:right w:val="single" w:color="000000" w:sz="8" w:space="0"/>
            </w:tcBorders>
            <w:vAlign w:val="top"/>
          </w:tcPr>
          <w:p w14:paraId="658A6FC1">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（一）评审内容：</w:t>
            </w:r>
          </w:p>
          <w:p w14:paraId="1895E28C">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投标人承诺以下全部三项的得100分，否则不得分。</w:t>
            </w:r>
          </w:p>
          <w:p w14:paraId="7D7FA6B7">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1.人员严格按照招标文件及投标承诺配置；</w:t>
            </w:r>
          </w:p>
          <w:p w14:paraId="2E764F71">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2.服务质量达到招标文件要求；</w:t>
            </w:r>
          </w:p>
          <w:p w14:paraId="3C9A017B">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3.对未能达到的管理要求承担管理责任。</w:t>
            </w:r>
          </w:p>
          <w:p w14:paraId="07901AC8">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（二）评审依据：</w:t>
            </w:r>
          </w:p>
          <w:p w14:paraId="4AF2C8F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要求提供《</w:t>
            </w:r>
            <w:r>
              <w:rPr>
                <w:rFonts w:hint="eastAsia" w:ascii="宋体" w:hAnsi="宋体" w:cs="宋体"/>
                <w:bCs/>
                <w:szCs w:val="21"/>
              </w:rPr>
              <w:t>违约承诺</w:t>
            </w:r>
            <w:r>
              <w:rPr>
                <w:rFonts w:hint="eastAsia" w:asciiTheme="minorEastAsia" w:hAnsiTheme="minorEastAsia" w:eastAsiaTheme="minorEastAsia"/>
                <w:szCs w:val="21"/>
                <w:lang w:val="en-US" w:eastAsia="zh-CN"/>
              </w:rPr>
              <w:t>函》（格式自定）作为得分依据，未提供承诺函或承诺内容不满足要求不得分。</w:t>
            </w:r>
          </w:p>
        </w:tc>
      </w:tr>
      <w:tr w14:paraId="7CD8AC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26977E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1167DE7">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6</w:t>
            </w:r>
          </w:p>
        </w:tc>
        <w:tc>
          <w:tcPr>
            <w:tcW w:w="1495" w:type="dxa"/>
            <w:tcBorders>
              <w:top w:val="single" w:color="000000" w:sz="8" w:space="0"/>
              <w:left w:val="single" w:color="000000" w:sz="8" w:space="0"/>
              <w:bottom w:val="single" w:color="000000" w:sz="8" w:space="0"/>
              <w:right w:val="single" w:color="000000" w:sz="8" w:space="0"/>
            </w:tcBorders>
            <w:vAlign w:val="center"/>
          </w:tcPr>
          <w:p w14:paraId="2A625C69">
            <w:pPr>
              <w:snapToGrid w:val="0"/>
              <w:spacing w:line="360" w:lineRule="exact"/>
              <w:rPr>
                <w:rFonts w:hint="eastAsia" w:ascii="宋体" w:hAnsi="宋体" w:cs="宋体"/>
                <w:szCs w:val="21"/>
              </w:rPr>
            </w:pPr>
            <w:r>
              <w:rPr>
                <w:rFonts w:hint="eastAsia" w:ascii="宋体" w:hAnsi="宋体" w:cs="宋体"/>
                <w:bCs/>
                <w:szCs w:val="21"/>
              </w:rPr>
              <w:t>拟安排的项目负责人情况（仅限一人）</w:t>
            </w:r>
          </w:p>
        </w:tc>
        <w:tc>
          <w:tcPr>
            <w:tcW w:w="820" w:type="dxa"/>
            <w:tcBorders>
              <w:top w:val="single" w:color="000000" w:sz="8" w:space="0"/>
              <w:left w:val="single" w:color="000000" w:sz="8" w:space="0"/>
              <w:bottom w:val="single" w:color="000000" w:sz="8" w:space="0"/>
              <w:right w:val="single" w:color="000000" w:sz="8" w:space="0"/>
            </w:tcBorders>
            <w:vAlign w:val="center"/>
          </w:tcPr>
          <w:p w14:paraId="06ECB8F9">
            <w:pPr>
              <w:snapToGrid w:val="0"/>
              <w:spacing w:line="360" w:lineRule="exact"/>
              <w:rPr>
                <w:rFonts w:hint="eastAsia" w:ascii="宋体" w:hAnsi="宋体" w:cs="宋体"/>
                <w:szCs w:val="21"/>
              </w:rPr>
            </w:pPr>
            <w:r>
              <w:rPr>
                <w:rFonts w:hint="eastAsia" w:ascii="宋体" w:hAnsi="宋体" w:cs="宋体"/>
                <w:bCs/>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18EBEA79">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（一）评审内容：</w:t>
            </w:r>
          </w:p>
          <w:p w14:paraId="1007BAD6">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拟安排的项目负责人（仅限1人）需为投标人自有员工，否则本项不得分。在此基础上：</w:t>
            </w:r>
          </w:p>
          <w:p w14:paraId="5B52750F">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1.具有食品或食品检验或质量或质量管理或化学或生物或微生物学或农学或检验检疫相关专业，博士学位的得40分，硕士学位的得20分；本小项最高得40分。</w:t>
            </w:r>
          </w:p>
          <w:p w14:paraId="25D7DA97">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2.具有食品检验或质量或质量管理或化学或生物或微生物学或农学或检验检疫相关专业职称：高级（正高）职称的得40分，高级（副高）职称的得20分；本小项最高得40分。</w:t>
            </w:r>
          </w:p>
          <w:p w14:paraId="775D6976">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3.获得市级或以上政府部门或事业单位食品或食用农产品检验相关荣誉的，得10分；其他不得分。</w:t>
            </w:r>
          </w:p>
          <w:p w14:paraId="3C776D0E">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4.为省级或以上检验检测机构资质认定主任评审员的，得10分；为省级或以上检验检测机构资质认定评审员的，得5分。此小项最高得10分，其他不得分。</w:t>
            </w:r>
          </w:p>
          <w:p w14:paraId="6221C6C3">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以上四项累加计分，最高得100分。</w:t>
            </w:r>
          </w:p>
          <w:p w14:paraId="1005A72A">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（二）评审依据：</w:t>
            </w:r>
          </w:p>
          <w:p w14:paraId="273EBE8E">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 提供项目负责人通过投标单位缴纳的载有社保部门或税务部门公章的近三个月（含投标当月）内任意一个月的个人社保证明；如供应商为新成立单位且成立时间不足一个月或人员入职不足一个月的，可提供加盖公章的情况说明或者证明材料，无需提供相关人员社保亦视为符合；如为退休返聘人员则提供劳动合同或返聘协议，无需提供相关人员社保亦视为符合；</w:t>
            </w:r>
          </w:p>
          <w:p w14:paraId="29E13007">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第1项评分：如涉及考察人员学历或学位及专业，要求提供毕业证书（或学位证书）、学信网查询记录以及教育部发布的《普通高等学校本科专业目录》《研究生教育学科专业目录》中对应专业所在页截图，用以证明其所学专业属于评审内容规定的专业类别，对于学信网无法查询的，还需提供毕业院校或人社部门或教育部门等颁发机构或监管机构出具的证明，海外留学人员学历无法通过学信网站查询的，需提供教育部留学服务中心出具的学历学位认证书及教育部留学服务中心官网查询截图，否则无效。</w:t>
            </w:r>
          </w:p>
          <w:p w14:paraId="00E18B10">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3.第2项评分：要求提供职称证书。</w:t>
            </w:r>
          </w:p>
          <w:p w14:paraId="5FD04EA6">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4.第3项评分：提供项目负责人相关荣誉证书。</w:t>
            </w:r>
          </w:p>
          <w:p w14:paraId="60E16467">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5.第4项评分：提供省级或以上市场监督管理部门颁发的检验检测机构资质认定主任评审员聘书或相关备案或公示文件扫描件，或省级资质认定管理部门官网评审员名单查询截图作为证明材料，否则不得分。</w:t>
            </w:r>
          </w:p>
          <w:p w14:paraId="042B9D9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6.以上资料均要求提供扫描件，如涉及网站截图或照片等证明材料,需提供清晰图片。评分中出现无证明资料或专家无法凭所提供资料判断是否得分的情况，一律作不得分处理。</w:t>
            </w:r>
          </w:p>
        </w:tc>
      </w:tr>
      <w:tr w14:paraId="4B5D91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451E2E0C">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BCF328C">
            <w:pPr>
              <w:spacing w:line="36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7</w:t>
            </w:r>
          </w:p>
        </w:tc>
        <w:tc>
          <w:tcPr>
            <w:tcW w:w="1495" w:type="dxa"/>
            <w:tcBorders>
              <w:top w:val="single" w:color="000000" w:sz="8" w:space="0"/>
              <w:left w:val="single" w:color="000000" w:sz="8" w:space="0"/>
              <w:bottom w:val="single" w:color="000000" w:sz="8" w:space="0"/>
              <w:right w:val="single" w:color="000000" w:sz="8" w:space="0"/>
            </w:tcBorders>
            <w:vAlign w:val="center"/>
          </w:tcPr>
          <w:p w14:paraId="5A8531DC">
            <w:pPr>
              <w:snapToGrid w:val="0"/>
              <w:spacing w:line="360" w:lineRule="exact"/>
              <w:rPr>
                <w:rFonts w:hint="eastAsia" w:ascii="宋体" w:hAnsi="宋体" w:cs="宋体"/>
                <w:bCs/>
                <w:szCs w:val="21"/>
              </w:rPr>
            </w:pPr>
            <w:r>
              <w:rPr>
                <w:rFonts w:hint="eastAsia" w:ascii="宋体" w:hAnsi="宋体" w:cs="宋体"/>
                <w:bCs/>
                <w:szCs w:val="21"/>
              </w:rPr>
              <w:t>拟安排的项目主要团队成员（主要技术人员）情况（项目负责人除外）</w:t>
            </w:r>
          </w:p>
        </w:tc>
        <w:tc>
          <w:tcPr>
            <w:tcW w:w="820" w:type="dxa"/>
            <w:tcBorders>
              <w:top w:val="single" w:color="000000" w:sz="8" w:space="0"/>
              <w:left w:val="single" w:color="000000" w:sz="8" w:space="0"/>
              <w:bottom w:val="single" w:color="000000" w:sz="8" w:space="0"/>
              <w:right w:val="single" w:color="000000" w:sz="8" w:space="0"/>
            </w:tcBorders>
            <w:vAlign w:val="center"/>
          </w:tcPr>
          <w:p w14:paraId="345EC820">
            <w:pPr>
              <w:snapToGrid w:val="0"/>
              <w:spacing w:line="360" w:lineRule="exact"/>
              <w:rPr>
                <w:rFonts w:hint="eastAsia" w:ascii="宋体" w:hAnsi="宋体" w:cs="宋体"/>
                <w:bCs/>
                <w:szCs w:val="21"/>
              </w:rPr>
            </w:pPr>
            <w:r>
              <w:rPr>
                <w:rFonts w:hint="eastAsia" w:ascii="宋体" w:hAnsi="宋体" w:cs="宋体"/>
                <w:bCs/>
                <w:szCs w:val="21"/>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3DE46D8C">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（一）评审内容：安排的项目主要团队成员（主要技术人员）情况（项目负责人除外）需为投标人自有员工，否则本项不得分。在此基础上：</w:t>
            </w:r>
          </w:p>
          <w:p w14:paraId="7C8B8CC4">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1.每有1人具有食品检验或质量或质量管理或化学或生物或微生物学或农学或检验检疫相关专业职称：高级职称的得10分；中级职称得5分，此小项最高得60分。同一人员，按最高级别职称计分。</w:t>
            </w:r>
          </w:p>
          <w:p w14:paraId="70E0C6AA">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2.每有1人具有食品或食品检验或质量或质量管理或化学或生物或微生物学或农学或检验检疫相关专业，本科（含）以上学历或学士（含）以上学位，得5分，此小项最高得分20分。</w:t>
            </w:r>
          </w:p>
          <w:p w14:paraId="620626BE">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主要团队成员获得过政府部门或事业单位组织的食品检测相关奖项的，获得国家级奖项的，每有1人得15分；获得省级（含副省级），每1人得10分；获得市县级的，每1人得5分；最高得20分。（同一人满足多个奖项，可以重复计分）</w:t>
            </w:r>
          </w:p>
          <w:p w14:paraId="54519A55">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如一人同时满足以上要求（职称、学历、奖项）可重复计分，以上三项累计得分，本项最高得100分。</w:t>
            </w:r>
          </w:p>
          <w:p w14:paraId="2B2294E3">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（二）评审依据：</w:t>
            </w:r>
          </w:p>
          <w:p w14:paraId="56D2B371">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要求提供项目项目团队人员通过投标单位缴纳的载有社保部门或税务部门公章的近三个月（含投标当月）内任意一个月的个人社保证明；如供应商为新成立单位且成立时间不足一个月或人员入职不足一个月的，可提供加盖公章的情况说明或者证明材料，无需提供相关人员社保亦视为符合；如为退休返聘人员则提供劳动合同或返聘协议，无需提供相关人员社保亦视为符合</w:t>
            </w:r>
          </w:p>
          <w:p w14:paraId="4376E637">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2.第1项评分：要求提供职称证书。</w:t>
            </w:r>
          </w:p>
          <w:p w14:paraId="221F76FB">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第2项评分：如涉及考察人员学历或学位及专业，要求提供毕业证书（或学位证书）、学信网查询记录以及教育部发布的《普通高等学校本科专业目录》《研究生教育学科专业目录》中对应专业所在页截图，用以证明其所学专业属于评审内容规定的专业类别，对于学信网无法查询的，还需提供毕业院校或人社部门或教育部门等颁发机构或监管机构出具的证明，海外留学人员学历无法通过学信网站查询的，需提供教育部留学服务中心出具的学历学位认证书及教育部留学服务中心官网查询截图，否则无效。</w:t>
            </w:r>
          </w:p>
          <w:p w14:paraId="0C85B4BA">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4.第3项评分：提供人员获奖证明材料。</w:t>
            </w:r>
          </w:p>
          <w:p w14:paraId="00183033">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5.提供以上证明文件扫描件，如涉及网站截图或照片等证明材料,需提供清晰图片。评分中出现无证明资料或专家无法凭所提供资料判断是否得分的情况，一律作不得分处理。</w:t>
            </w:r>
          </w:p>
          <w:p w14:paraId="1E8BBD3E">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奖项颁发单位为协会、学会、网络平台、报刊杂志等单位的不得分。</w:t>
            </w:r>
          </w:p>
        </w:tc>
      </w:tr>
      <w:tr w14:paraId="5A9D32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25B1E90E">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9C72709">
            <w:pPr>
              <w:spacing w:line="36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8</w:t>
            </w:r>
          </w:p>
        </w:tc>
        <w:tc>
          <w:tcPr>
            <w:tcW w:w="1495" w:type="dxa"/>
            <w:tcBorders>
              <w:top w:val="single" w:color="000000" w:sz="8" w:space="0"/>
              <w:left w:val="single" w:color="000000" w:sz="8" w:space="0"/>
              <w:bottom w:val="single" w:color="000000" w:sz="8" w:space="0"/>
              <w:right w:val="single" w:color="000000" w:sz="8" w:space="0"/>
            </w:tcBorders>
            <w:vAlign w:val="center"/>
          </w:tcPr>
          <w:p w14:paraId="74891219">
            <w:pPr>
              <w:snapToGrid w:val="0"/>
              <w:spacing w:line="360" w:lineRule="exact"/>
              <w:rPr>
                <w:rFonts w:hint="eastAsia" w:ascii="宋体" w:hAnsi="宋体" w:cs="宋体"/>
                <w:bCs/>
                <w:szCs w:val="21"/>
              </w:rPr>
            </w:pPr>
            <w:r>
              <w:rPr>
                <w:rFonts w:hint="eastAsia" w:ascii="宋体" w:hAnsi="宋体" w:cs="宋体"/>
                <w:bCs/>
                <w:szCs w:val="21"/>
              </w:rPr>
              <w:t>拟投入的服务资源（工具、机器等）情况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64C95C54">
            <w:pPr>
              <w:snapToGrid w:val="0"/>
              <w:spacing w:line="360" w:lineRule="exact"/>
              <w:rPr>
                <w:rFonts w:hint="eastAsia" w:ascii="宋体" w:hAnsi="宋体" w:cs="宋体"/>
                <w:bCs/>
                <w:szCs w:val="21"/>
              </w:rPr>
            </w:pPr>
            <w:r>
              <w:rPr>
                <w:rFonts w:hint="eastAsia" w:ascii="宋体" w:hAnsi="宋体" w:cs="宋体"/>
                <w:bCs/>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2896AF3F">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（一）评审内容：</w:t>
            </w:r>
          </w:p>
          <w:p w14:paraId="70E4764C">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本项考察内容为本项目投入使用的设备情况：</w:t>
            </w:r>
          </w:p>
          <w:p w14:paraId="7639DAA2">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1.液相色谱质谱联用仪（LC-MS）【含液相色谱串联质谱仪（LC-MS-MS）】3台套；</w:t>
            </w:r>
          </w:p>
          <w:p w14:paraId="1232B4F3">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2.电感耦合等离子体质谱仪（ICP-MS）1台套、高分辨率电感耦合等离子体质谱仪(HR-ICP-MS)1台套；</w:t>
            </w:r>
          </w:p>
          <w:p w14:paraId="7345ECCE">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3.气相色谱质谱联用仪（GC-MS）【含气相色谱串联质谱仪（GC-MS-MS）】3台套；</w:t>
            </w:r>
          </w:p>
          <w:p w14:paraId="0222CE4E">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4.液相色谱仪（LC）2台套；（不与液质联用仪重复计算）</w:t>
            </w:r>
          </w:p>
          <w:p w14:paraId="409D97A1">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5.气相色谱仪（GC）2台套；（不与气质联用仪重复计算）</w:t>
            </w:r>
          </w:p>
          <w:p w14:paraId="7B5CED76">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6.农药残留全自动QuEChERS前处理工作站1台套；</w:t>
            </w:r>
          </w:p>
          <w:p w14:paraId="63B720C6">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7.元素形态分析仪1台套；</w:t>
            </w:r>
          </w:p>
          <w:p w14:paraId="2821B810">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8.全自动高通量SPE2台套。</w:t>
            </w:r>
          </w:p>
          <w:p w14:paraId="207AAA24">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以上八项都满足得100分，满足以上任意七项得90分，满足以上任意六项得80分，满足以上任意五项得70分，满足以上任意四项得60分，满足以上任意三项得50分，满足以上任意两项得30分，满足以上任意一项得10分，其余情况不得分。</w:t>
            </w:r>
          </w:p>
          <w:p w14:paraId="4A0B4D10">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（二）评审依据：</w:t>
            </w:r>
          </w:p>
          <w:p w14:paraId="3DB89694">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要求投标人以上设备如为供应商自有设备，须提供相应仪器设备购置发票及有效的计量检定或校准证书扫描件，以上设备如为租赁的提供设备租赁合同、租赁期内任意一次付款发票及有效计量检定或校准证书扫描件。</w:t>
            </w:r>
          </w:p>
          <w:p w14:paraId="52ABA649">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2.提供以上证明文件扫描件，如涉及网站截图或照片等证明材料,需提供清晰图片。未按要求提供有效证明材料或提供不清晰导致评委无法识别的不计得分。</w:t>
            </w:r>
          </w:p>
        </w:tc>
      </w:tr>
      <w:tr w14:paraId="4EFA10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84B9B80">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06B4DC0">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9</w:t>
            </w:r>
          </w:p>
        </w:tc>
        <w:tc>
          <w:tcPr>
            <w:tcW w:w="1495" w:type="dxa"/>
            <w:tcBorders>
              <w:top w:val="single" w:color="000000" w:sz="8" w:space="0"/>
              <w:left w:val="single" w:color="000000" w:sz="8" w:space="0"/>
              <w:bottom w:val="single" w:color="000000" w:sz="8" w:space="0"/>
              <w:right w:val="single" w:color="000000" w:sz="8" w:space="0"/>
            </w:tcBorders>
            <w:vAlign w:val="center"/>
          </w:tcPr>
          <w:p w14:paraId="5190799C">
            <w:pPr>
              <w:snapToGrid w:val="0"/>
              <w:spacing w:line="360" w:lineRule="exact"/>
              <w:rPr>
                <w:rFonts w:hint="eastAsia" w:ascii="宋体" w:hAnsi="宋体" w:cs="宋体"/>
                <w:szCs w:val="21"/>
              </w:rPr>
            </w:pPr>
            <w:r>
              <w:rPr>
                <w:rFonts w:hint="eastAsia" w:ascii="宋体" w:hAnsi="宋体" w:cs="宋体"/>
                <w:bCs/>
                <w:szCs w:val="21"/>
              </w:rPr>
              <w:t>投标人检验领域情况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081629BD">
            <w:pPr>
              <w:snapToGrid w:val="0"/>
              <w:spacing w:line="360" w:lineRule="exact"/>
              <w:rPr>
                <w:rFonts w:hint="eastAsia" w:ascii="宋体" w:hAnsi="宋体" w:cs="宋体"/>
                <w:szCs w:val="21"/>
              </w:rPr>
            </w:pPr>
            <w:r>
              <w:rPr>
                <w:rFonts w:hint="eastAsia" w:ascii="宋体" w:hAnsi="宋体" w:cs="宋体"/>
                <w:bCs/>
                <w:szCs w:val="21"/>
              </w:rPr>
              <w:t>7</w:t>
            </w:r>
          </w:p>
        </w:tc>
        <w:tc>
          <w:tcPr>
            <w:tcW w:w="5964" w:type="dxa"/>
            <w:tcBorders>
              <w:top w:val="single" w:color="000000" w:sz="8" w:space="0"/>
              <w:left w:val="single" w:color="000000" w:sz="8" w:space="0"/>
              <w:bottom w:val="single" w:color="000000" w:sz="8" w:space="0"/>
              <w:right w:val="single" w:color="000000" w:sz="8" w:space="0"/>
            </w:tcBorders>
            <w:vAlign w:val="top"/>
          </w:tcPr>
          <w:p w14:paraId="2AE7C5ED">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（一）评审内容：</w:t>
            </w:r>
          </w:p>
          <w:p w14:paraId="267E7DAE">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投标人自2024年1月1日至本项目投标截止之日，参加省级及以上市场监督管理部门、农业农村部门等食品或农产品行政主管部门组织的食品或农产品质量安全检测能力验证，考核结果为“合格”“满意”或“A级”（如印证能力验证结果的佐证材料中涉及分类的，以A级为准；不涉及分类的，以合格或满意为准）或其他同等考核结果的：每提供1项不同检测类别的检测能力验证项目（如种植业产品中农药残留、种植业产品中重金属、畜禽产品中药物残留及违禁添加物、水产品中药物残留及违禁添加物、重金属或有机污染物、添加剂、非法添加物、微生物等，以当年度各地开展的能力验证项目为准），得5分；本项最高得40分。同一年度的同一类别项目不重复计分，不同年度的同一类别项目可以重复计分。</w:t>
            </w:r>
          </w:p>
          <w:p w14:paraId="7A52E777">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投标人自2024年1月1日至本项目开标之日，参加国家农业主管部门或其直属部门组织的农产品质量安全检验检测技术社会化能力验证活动，考核结果为“合格”或“满意”的：每提供1项不同检测类别的社会化验证项目（如种植业产品农药残留、畜禽产品兽药残留、水产品药物残留、重金属、营养品质等），得10分；本项累计最高得60分。同一年度的同一类别项目不重复计分，不同年度的同一类别项目可以重复计分。</w:t>
            </w:r>
          </w:p>
          <w:p w14:paraId="5926FFB5">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（二）评审依据：</w:t>
            </w:r>
          </w:p>
          <w:p w14:paraId="38BE6C1F">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1.要求提供省级及以上市场监督管理部门或农业农村部门等食品或农产品行政主管部门或其直属部门出具的食品或农产品质量安全检测技术能力验证结果截图或通知作为得分依据。</w:t>
            </w:r>
          </w:p>
          <w:p w14:paraId="68A0E99F">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2.以上资料均要求提供扫描件（或官方网站截图），如涉及网站截图或照片等证明材料,需提供清晰图片。评分中出现无证明资料或专家无法凭所提供资料判断是否得分的情况，一律作不得分处理。</w:t>
            </w:r>
          </w:p>
          <w:p w14:paraId="078834AC">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3.如投标人为新成立企业且成立时间不足12个月，可提供加盖公章的情况说明或者证明材料亦可视为符合。</w:t>
            </w:r>
          </w:p>
        </w:tc>
      </w:tr>
      <w:tr w14:paraId="14D22E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46A8983E">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3</w:t>
            </w:r>
          </w:p>
        </w:tc>
        <w:tc>
          <w:tcPr>
            <w:tcW w:w="2995" w:type="dxa"/>
            <w:gridSpan w:val="3"/>
            <w:tcBorders>
              <w:top w:val="single" w:color="000000" w:sz="8" w:space="0"/>
              <w:left w:val="single" w:color="000000" w:sz="8" w:space="0"/>
              <w:bottom w:val="single" w:color="000000" w:sz="8" w:space="0"/>
              <w:right w:val="single" w:color="000000" w:sz="8" w:space="0"/>
            </w:tcBorders>
          </w:tcPr>
          <w:p w14:paraId="0E48E696">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商务</w:t>
            </w:r>
          </w:p>
        </w:tc>
        <w:tc>
          <w:tcPr>
            <w:tcW w:w="5964" w:type="dxa"/>
            <w:tcBorders>
              <w:top w:val="single" w:color="000000" w:sz="8" w:space="0"/>
              <w:left w:val="single" w:color="000000" w:sz="8" w:space="0"/>
              <w:bottom w:val="single" w:color="000000" w:sz="8" w:space="0"/>
              <w:right w:val="single" w:color="000000" w:sz="8" w:space="0"/>
            </w:tcBorders>
          </w:tcPr>
          <w:p w14:paraId="346A444D">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31</w:t>
            </w:r>
          </w:p>
        </w:tc>
      </w:tr>
      <w:tr w14:paraId="178E60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E990306">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5A3D09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C31AF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539C24">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69AA324">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378CB7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0795868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D4AC3A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0506C4DD">
            <w:pPr>
              <w:snapToGrid w:val="0"/>
              <w:spacing w:line="360" w:lineRule="exact"/>
              <w:rPr>
                <w:rFonts w:cs="宋体" w:asciiTheme="minorEastAsia" w:hAnsiTheme="minorEastAsia" w:eastAsiaTheme="minorEastAsia"/>
                <w:szCs w:val="21"/>
              </w:rPr>
            </w:pPr>
            <w:r>
              <w:rPr>
                <w:rFonts w:hint="eastAsia" w:ascii="宋体" w:hAnsi="宋体" w:cs="宋体"/>
                <w:bCs/>
                <w:szCs w:val="21"/>
              </w:rPr>
              <w:t>供应商认证情况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444EDC54">
            <w:pPr>
              <w:snapToGrid w:val="0"/>
              <w:spacing w:line="360" w:lineRule="exact"/>
              <w:rPr>
                <w:rFonts w:cs="宋体" w:asciiTheme="minorEastAsia" w:hAnsiTheme="minorEastAsia" w:eastAsiaTheme="minorEastAsia"/>
                <w:szCs w:val="21"/>
              </w:rPr>
            </w:pPr>
            <w:r>
              <w:rPr>
                <w:rFonts w:hint="eastAsia" w:ascii="宋体" w:hAnsi="宋体" w:cs="宋体"/>
                <w:bCs/>
                <w:szCs w:val="21"/>
              </w:rPr>
              <w:t>3</w:t>
            </w:r>
          </w:p>
        </w:tc>
        <w:tc>
          <w:tcPr>
            <w:tcW w:w="5964" w:type="dxa"/>
            <w:tcBorders>
              <w:top w:val="single" w:color="000000" w:sz="8" w:space="0"/>
              <w:left w:val="single" w:color="000000" w:sz="8" w:space="0"/>
              <w:bottom w:val="single" w:color="000000" w:sz="8" w:space="0"/>
              <w:right w:val="single" w:color="000000" w:sz="8" w:space="0"/>
            </w:tcBorders>
            <w:vAlign w:val="top"/>
          </w:tcPr>
          <w:p w14:paraId="74FADD3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145B7B0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具有在有效期内的质量管理体系证书或环境管理体系认证证书或职业安全健康管理体系，取得1项得</w:t>
            </w:r>
            <w:r>
              <w:rPr>
                <w:rFonts w:hint="eastAsia" w:asciiTheme="minorEastAsia" w:hAnsiTheme="minorEastAsia" w:eastAsiaTheme="minorEastAsia"/>
                <w:szCs w:val="21"/>
                <w:lang w:val="en-US" w:eastAsia="zh-CN"/>
              </w:rPr>
              <w:t>33</w:t>
            </w:r>
            <w:r>
              <w:rPr>
                <w:rFonts w:hint="eastAsia" w:asciiTheme="minorEastAsia" w:hAnsiTheme="minorEastAsia" w:eastAsiaTheme="minorEastAsia"/>
                <w:szCs w:val="21"/>
              </w:rPr>
              <w:t>分，取得2项得6</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rPr>
              <w:t>分，取得3项</w:t>
            </w:r>
            <w:r>
              <w:rPr>
                <w:rFonts w:hint="eastAsia" w:asciiTheme="minorEastAsia" w:hAnsiTheme="minorEastAsia" w:eastAsiaTheme="minorEastAsia"/>
                <w:szCs w:val="21"/>
                <w:lang w:val="en-US" w:eastAsia="zh-CN"/>
              </w:rPr>
              <w:t>100</w:t>
            </w:r>
            <w:r>
              <w:rPr>
                <w:rFonts w:hint="eastAsia" w:asciiTheme="minorEastAsia" w:hAnsiTheme="minorEastAsia" w:eastAsiaTheme="minorEastAsia"/>
                <w:szCs w:val="21"/>
              </w:rPr>
              <w:t>分。</w:t>
            </w:r>
          </w:p>
          <w:p w14:paraId="3C202CC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545338D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1.提供有效的认证证书（如认证证书注明年审要求的，必须按规定年审且证书在有效期内的方为有效；如未注明年审要求的，证书必须在有效期内的方为有效）；</w:t>
            </w:r>
          </w:p>
          <w:p w14:paraId="378C10D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2.提供证书官网或权威机构【如：全国认证认可信息公共服务平台（</w:t>
            </w:r>
            <w:r>
              <w:rPr>
                <w:rFonts w:hint="eastAsia" w:asciiTheme="minorEastAsia" w:hAnsiTheme="minorEastAsia" w:eastAsiaTheme="minorEastAsia"/>
                <w:szCs w:val="21"/>
              </w:rPr>
              <w:fldChar w:fldCharType="begin"/>
            </w:r>
            <w:r>
              <w:rPr>
                <w:rFonts w:hint="eastAsia" w:asciiTheme="minorEastAsia" w:hAnsiTheme="minorEastAsia" w:eastAsiaTheme="minorEastAsia"/>
                <w:szCs w:val="21"/>
              </w:rPr>
              <w:instrText xml:space="preserve">HYPERLINK "https://cx.cnca.cn"</w:instrText>
            </w:r>
            <w:r>
              <w:rPr>
                <w:rFonts w:hint="eastAsia" w:asciiTheme="minorEastAsia" w:hAnsiTheme="minorEastAsia" w:eastAsiaTheme="minorEastAsia"/>
                <w:szCs w:val="21"/>
              </w:rPr>
              <w:fldChar w:fldCharType="separate"/>
            </w:r>
            <w:r>
              <w:rPr>
                <w:rFonts w:hint="eastAsia" w:asciiTheme="minorEastAsia" w:hAnsiTheme="minorEastAsia" w:eastAsiaTheme="minorEastAsia"/>
                <w:szCs w:val="21"/>
              </w:rPr>
              <w:t>cx.cnca.cn</w:t>
            </w:r>
            <w:r>
              <w:rPr>
                <w:rFonts w:hint="eastAsia" w:asciiTheme="minorEastAsia" w:hAnsiTheme="minorEastAsia" w:eastAsiaTheme="minorEastAsia"/>
                <w:szCs w:val="21"/>
              </w:rPr>
              <w:fldChar w:fldCharType="end"/>
            </w:r>
            <w:r>
              <w:rPr>
                <w:rFonts w:hint="eastAsia" w:asciiTheme="minorEastAsia" w:hAnsiTheme="minorEastAsia" w:eastAsiaTheme="minorEastAsia"/>
                <w:szCs w:val="21"/>
              </w:rPr>
              <w:t>）】认证信息查询截图（截图需显示证书状态为有效）。相关证书在公开渠道无法查询的，投标人需提供颁发部门或者监管机构的证明材料，证明证书真实有效且为合法机构颁发。</w:t>
            </w:r>
          </w:p>
          <w:p w14:paraId="56A4809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3.证书由行业协会颁发的，需提供该行业协会在“中国社会组织政务服务平台”（网址：</w:t>
            </w:r>
            <w:r>
              <w:rPr>
                <w:rFonts w:hint="eastAsia" w:asciiTheme="minorEastAsia" w:hAnsiTheme="minorEastAsia" w:eastAsiaTheme="minorEastAsia"/>
                <w:szCs w:val="21"/>
              </w:rPr>
              <w:fldChar w:fldCharType="begin"/>
            </w:r>
            <w:r>
              <w:rPr>
                <w:rFonts w:hint="eastAsia" w:asciiTheme="minorEastAsia" w:hAnsiTheme="minorEastAsia" w:eastAsiaTheme="minorEastAsia"/>
                <w:szCs w:val="21"/>
              </w:rPr>
              <w:instrText xml:space="preserve">HYPERLINK "https://chinanpo.mca.gov.cn/"</w:instrText>
            </w:r>
            <w:r>
              <w:rPr>
                <w:rFonts w:hint="eastAsia" w:asciiTheme="minorEastAsia" w:hAnsiTheme="minorEastAsia" w:eastAsiaTheme="minorEastAsia"/>
                <w:szCs w:val="21"/>
              </w:rPr>
              <w:fldChar w:fldCharType="separate"/>
            </w:r>
            <w:r>
              <w:rPr>
                <w:rFonts w:hint="eastAsia" w:asciiTheme="minorEastAsia" w:hAnsiTheme="minorEastAsia" w:eastAsiaTheme="minorEastAsia"/>
                <w:szCs w:val="21"/>
              </w:rPr>
              <w:t>https://chinanpo.mca.gov.cn/</w:t>
            </w:r>
            <w:r>
              <w:rPr>
                <w:rFonts w:hint="eastAsia" w:asciiTheme="minorEastAsia" w:hAnsiTheme="minorEastAsia" w:eastAsiaTheme="minorEastAsia"/>
                <w:szCs w:val="21"/>
              </w:rPr>
              <w:fldChar w:fldCharType="end"/>
            </w:r>
            <w:r>
              <w:rPr>
                <w:rFonts w:hint="eastAsia" w:asciiTheme="minorEastAsia" w:hAnsiTheme="minorEastAsia" w:eastAsiaTheme="minorEastAsia"/>
                <w:szCs w:val="21"/>
              </w:rPr>
              <w:t>）查询的已合法登记且状态正常截图，否则不予认可，视为无效证书。</w:t>
            </w:r>
          </w:p>
          <w:p w14:paraId="3AB6E6A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.如投标人为新成立企业且成立时间不足以申请认证或未达到认证申请试运行期限的，提供情况说明，亦视为满足评分要求。</w:t>
            </w:r>
          </w:p>
          <w:p w14:paraId="2BDA0B1D">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.提供以上证明文件扫描件，如涉及网站截图或照片等证明材料，需提供清晰图片。对于未提供证明文件，未提供查询记录且无其他证明材料的，或者提供不清晰导致评委无法判断的，均作不得分处理。</w:t>
            </w:r>
          </w:p>
        </w:tc>
      </w:tr>
      <w:tr w14:paraId="277016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2C49E3F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2BA8FF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050E37F0">
            <w:pPr>
              <w:snapToGrid w:val="0"/>
              <w:spacing w:line="360" w:lineRule="exact"/>
              <w:rPr>
                <w:rFonts w:cs="宋体" w:asciiTheme="minorEastAsia" w:hAnsiTheme="minorEastAsia" w:eastAsiaTheme="minorEastAsia"/>
                <w:szCs w:val="21"/>
              </w:rPr>
            </w:pPr>
            <w:r>
              <w:rPr>
                <w:rFonts w:hint="eastAsia" w:ascii="宋体" w:hAnsi="宋体" w:cs="宋体"/>
                <w:bCs/>
                <w:szCs w:val="21"/>
              </w:rPr>
              <w:t>供应商同类项目业绩情况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10D8BAC6">
            <w:pPr>
              <w:snapToGrid w:val="0"/>
              <w:spacing w:line="360" w:lineRule="exact"/>
              <w:rPr>
                <w:rFonts w:cs="宋体" w:asciiTheme="minorEastAsia" w:hAnsiTheme="minorEastAsia" w:eastAsiaTheme="minorEastAsia"/>
                <w:szCs w:val="21"/>
              </w:rPr>
            </w:pPr>
            <w:r>
              <w:rPr>
                <w:rFonts w:hint="eastAsia" w:ascii="宋体" w:hAnsi="宋体" w:cs="宋体"/>
                <w:bCs/>
                <w:szCs w:val="21"/>
              </w:rPr>
              <w:t>7</w:t>
            </w:r>
          </w:p>
        </w:tc>
        <w:tc>
          <w:tcPr>
            <w:tcW w:w="5964" w:type="dxa"/>
            <w:tcBorders>
              <w:top w:val="single" w:color="000000" w:sz="8" w:space="0"/>
              <w:left w:val="single" w:color="000000" w:sz="8" w:space="0"/>
              <w:bottom w:val="single" w:color="000000" w:sz="8" w:space="0"/>
              <w:right w:val="single" w:color="000000" w:sz="8" w:space="0"/>
            </w:tcBorders>
            <w:vAlign w:val="top"/>
          </w:tcPr>
          <w:p w14:paraId="500E05A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4EBA750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投标人自2021年1月1日起至本项目投标截止之日（以合同签订时间为准），承担食品（不含食品快检）或食用农产品（不含农产品快检）定量抽检同类业绩情况：</w:t>
            </w:r>
          </w:p>
          <w:p w14:paraId="25B9AB7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1.承担国家级政府部门或事业单位食品或食用农产品安全抽检监测任务，每提供1份合同得40分；</w:t>
            </w:r>
          </w:p>
          <w:p w14:paraId="35D9D65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2.承担省级（含副省级）或以上政府部门或事业单位食品或食用农产品安全抽检监测任务，每提供1份合同得30分；</w:t>
            </w:r>
          </w:p>
          <w:p w14:paraId="0FF5059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3.承担市级政府部门或事业单位食品或食用农产品安全抽检监测任务的，每提供1份合同得20分；</w:t>
            </w:r>
          </w:p>
          <w:p w14:paraId="244FCE8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4.承担区县级政府部门或事业单位食品或食用农产品安全抽检监测任务的，每提供1份合同得10分；</w:t>
            </w:r>
          </w:p>
          <w:p w14:paraId="17F1553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5.以上四项可累加计分，最高得100分。</w:t>
            </w:r>
          </w:p>
          <w:p w14:paraId="3C4BF57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34AD1E5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1.提供合同关键信息（含签订合同双方的单位名称、合同项目名称与含签订合同双方的落款盖章、签订日期的关键页）。</w:t>
            </w:r>
          </w:p>
          <w:p w14:paraId="49D3341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2.通过合同关键信息无法判断是否得分的，还须同时提供能证明得分的其它证明资料，如项目报告或合同甲方出具的证明文件等。</w:t>
            </w:r>
          </w:p>
          <w:p w14:paraId="04AFFA81">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3.以上资料均要求提供扫描件，如涉及网站截图或照片等证明材料,需提供清晰图片。评分中出现无证明资料或专家无法凭所提供资料判断是否得分的情况，一律作不得分处理。</w:t>
            </w:r>
          </w:p>
        </w:tc>
      </w:tr>
      <w:tr w14:paraId="2C750C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157BF81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7583E826">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5EA01264">
            <w:pPr>
              <w:snapToGrid w:val="0"/>
              <w:spacing w:line="360" w:lineRule="exact"/>
              <w:rPr>
                <w:rFonts w:hint="eastAsia" w:ascii="宋体" w:hAnsi="宋体" w:cs="宋体"/>
                <w:szCs w:val="21"/>
              </w:rPr>
            </w:pPr>
            <w:r>
              <w:rPr>
                <w:rFonts w:hint="eastAsia" w:ascii="宋体" w:hAnsi="宋体" w:cs="宋体"/>
                <w:bCs/>
                <w:szCs w:val="21"/>
              </w:rPr>
              <w:t>供应商综合实力情况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57A8993C">
            <w:pPr>
              <w:snapToGrid w:val="0"/>
              <w:spacing w:line="360" w:lineRule="exact"/>
              <w:rPr>
                <w:rFonts w:hint="eastAsia" w:ascii="宋体" w:hAnsi="宋体" w:cs="宋体"/>
                <w:szCs w:val="21"/>
              </w:rPr>
            </w:pPr>
            <w:r>
              <w:rPr>
                <w:rFonts w:hint="eastAsia" w:ascii="宋体" w:hAnsi="宋体" w:cs="宋体"/>
                <w:bCs/>
                <w:szCs w:val="21"/>
              </w:rPr>
              <w:t>8</w:t>
            </w:r>
          </w:p>
        </w:tc>
        <w:tc>
          <w:tcPr>
            <w:tcW w:w="5964" w:type="dxa"/>
            <w:tcBorders>
              <w:top w:val="single" w:color="000000" w:sz="8" w:space="0"/>
              <w:left w:val="single" w:color="000000" w:sz="8" w:space="0"/>
              <w:bottom w:val="single" w:color="000000" w:sz="8" w:space="0"/>
              <w:right w:val="single" w:color="000000" w:sz="8" w:space="0"/>
            </w:tcBorders>
            <w:vAlign w:val="top"/>
          </w:tcPr>
          <w:p w14:paraId="6DBC126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1EAB554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投标人具备有效的食品类国家级质量检验检测中心得100分,省级质量检验检测中心得50分，其他不得分。</w:t>
            </w:r>
          </w:p>
          <w:p w14:paraId="0D15C85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67C922E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1.提供证书文件或网页查询截图等证明文件作为得分依据。</w:t>
            </w:r>
          </w:p>
          <w:p w14:paraId="48C9597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2.以上资料均要求提供扫描件（或官方网站截图）</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如涉及网站截图或照片等证明材料,需提供清晰图片。评分中出现无证明资料或专家无法凭所提供资料判断是否得分的情况，一律作不得分处理。</w:t>
            </w:r>
          </w:p>
        </w:tc>
      </w:tr>
      <w:tr w14:paraId="5F8AFB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599DEE45">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759B2D5">
            <w:pPr>
              <w:spacing w:line="36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200CF935">
            <w:pPr>
              <w:snapToGrid w:val="0"/>
              <w:spacing w:line="360" w:lineRule="exact"/>
              <w:rPr>
                <w:rFonts w:hint="eastAsia" w:ascii="宋体" w:hAnsi="宋体" w:cs="宋体"/>
                <w:szCs w:val="21"/>
              </w:rPr>
            </w:pPr>
            <w:r>
              <w:rPr>
                <w:rFonts w:hint="eastAsia" w:ascii="宋体" w:hAnsi="宋体" w:cs="宋体"/>
                <w:bCs/>
                <w:szCs w:val="21"/>
              </w:rPr>
              <w:t>供应商获奖情况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7BAC2446">
            <w:pPr>
              <w:snapToGrid w:val="0"/>
              <w:spacing w:line="360" w:lineRule="exact"/>
              <w:rPr>
                <w:rFonts w:hint="eastAsia" w:ascii="宋体" w:hAnsi="宋体" w:cs="宋体"/>
                <w:szCs w:val="21"/>
              </w:rPr>
            </w:pPr>
            <w:r>
              <w:rPr>
                <w:rFonts w:hint="eastAsia" w:ascii="宋体" w:hAnsi="宋体" w:cs="宋体"/>
                <w:bCs/>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3C80206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6063195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供应商自2021年1月1日起至本项目投标截止之日（以供应商的证明材料落款时间为准）获得的食品或农产品检测相关的荣誉或获奖情况：</w:t>
            </w:r>
          </w:p>
          <w:p w14:paraId="10F7F1B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每获得1个省级（含副省级）及以上荣誉或奖项的得50分，每获得1个市级荣誉或奖项的得25分，每获得1个区县级荣誉或奖项的得10分，以上累计加分，最高得100分。</w:t>
            </w:r>
          </w:p>
          <w:p w14:paraId="6A2C14F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531648D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1.要求提供奖项照片</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政府官网截图或获奖（荣誉）证书等证明材料作为得分依据。以上资料均要求提供扫描件。</w:t>
            </w:r>
          </w:p>
          <w:p w14:paraId="5E8B9D8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省级（含副省级）及以上荣誉要求颁发单位为国务院（或其直接所属的行政机关）、省（自治区、直辖市）人民政府（或其直接所属的行政机关）；市级荣誉要求颁发单位为市人民政府（或市级行政机关单位）；区（县）级荣誉要求颁发单位为区（县）人民政府（或区（县）行政机关单位）。</w:t>
            </w:r>
          </w:p>
          <w:p w14:paraId="0AD7946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3.奖项颁发单位为协会、学会、网络平台、报刊杂志等单位的不得分。</w:t>
            </w:r>
          </w:p>
          <w:p w14:paraId="0DC671A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个人获奖的提供近三个月中的任意一个月的社保证明（因社保主管部门原因无法取得开标日近一个月社保缴纳证明材料的，可往前顺延一个月），以获奖人员名单累计计分，同一人获得多个奖项的按最高奖项计分，如不能体现的需提供其它证明资料。</w:t>
            </w:r>
          </w:p>
          <w:p w14:paraId="6284B33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5.以上资料均要求提供扫描件</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如涉及网站截图或照片等证明材料,需提供清晰图片。评分中出现无证明资料或专家无法凭所提供资料判断是否得分的情况，一律作不得分处理。</w:t>
            </w:r>
          </w:p>
        </w:tc>
      </w:tr>
      <w:tr w14:paraId="0ABEC7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27E8430D">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8F1AB09">
            <w:pPr>
              <w:spacing w:line="36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1A3F6F21">
            <w:pPr>
              <w:snapToGrid w:val="0"/>
              <w:spacing w:line="360" w:lineRule="exact"/>
              <w:rPr>
                <w:rFonts w:hint="eastAsia" w:ascii="宋体" w:hAnsi="宋体" w:cs="宋体"/>
                <w:bCs/>
                <w:szCs w:val="21"/>
              </w:rPr>
            </w:pPr>
            <w:r>
              <w:rPr>
                <w:rFonts w:hint="eastAsia" w:ascii="宋体" w:hAnsi="宋体" w:cs="宋体"/>
                <w:bCs/>
                <w:szCs w:val="21"/>
              </w:rPr>
              <w:t>技术支撑能力</w:t>
            </w:r>
          </w:p>
        </w:tc>
        <w:tc>
          <w:tcPr>
            <w:tcW w:w="820" w:type="dxa"/>
            <w:tcBorders>
              <w:top w:val="single" w:color="000000" w:sz="8" w:space="0"/>
              <w:left w:val="single" w:color="000000" w:sz="8" w:space="0"/>
              <w:bottom w:val="single" w:color="000000" w:sz="8" w:space="0"/>
              <w:right w:val="single" w:color="000000" w:sz="8" w:space="0"/>
            </w:tcBorders>
            <w:vAlign w:val="center"/>
          </w:tcPr>
          <w:p w14:paraId="464CB365">
            <w:pPr>
              <w:snapToGrid w:val="0"/>
              <w:spacing w:line="360" w:lineRule="exact"/>
              <w:rPr>
                <w:rFonts w:hint="eastAsia" w:ascii="宋体" w:hAnsi="宋体" w:cs="宋体"/>
                <w:bCs/>
                <w:szCs w:val="21"/>
              </w:rPr>
            </w:pPr>
            <w:r>
              <w:rPr>
                <w:rFonts w:hint="eastAsia" w:ascii="宋体" w:hAnsi="宋体" w:cs="宋体"/>
                <w:bCs/>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0193703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1FB61B6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自2020年1月1日起至本项目开标之日（以合同签订日期为准）承担过国家级食品或食用农产品抽检技术支持、监测计划及分析研判工作的，每个得60分；承担过省级食品或食用农产品抽检技术支持、监测计划及分析研判工作的，每个得40分；承担过副省级或市级食品或食用农产品抽检技术支持、监测计划及分析研判工作的，每个得20分。（以上工作累计加分，最高得100分）</w:t>
            </w:r>
          </w:p>
          <w:p w14:paraId="773EE8D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07450F4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1.要求同时提供合同关键信息（包含但不限于合同签订时间、服务时间、服务内容、服务人员信息、双方盖章页等）作为得分依据；</w:t>
            </w:r>
          </w:p>
          <w:p w14:paraId="1590A45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2.通过合同关键信息无法判断是否得分的，还须同时提供能证明得分的其它证明资料，如项目报告或合同甲方出具的证明文件等；</w:t>
            </w:r>
          </w:p>
          <w:p w14:paraId="7437AF0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3.提供以上证明文件扫描件，如涉及网站截图或照片等证明材料,需提供清晰图片。未按要求提供有效证明材料或提供不清晰导致评委无法识别的不计得分。</w:t>
            </w:r>
          </w:p>
        </w:tc>
      </w:tr>
      <w:tr w14:paraId="3FD92B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7863B82">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24AD7F5">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6</w:t>
            </w:r>
          </w:p>
        </w:tc>
        <w:tc>
          <w:tcPr>
            <w:tcW w:w="1495" w:type="dxa"/>
            <w:tcBorders>
              <w:top w:val="single" w:color="000000" w:sz="8" w:space="0"/>
              <w:left w:val="single" w:color="000000" w:sz="8" w:space="0"/>
              <w:bottom w:val="single" w:color="000000" w:sz="8" w:space="0"/>
              <w:right w:val="single" w:color="000000" w:sz="8" w:space="0"/>
            </w:tcBorders>
            <w:vAlign w:val="center"/>
          </w:tcPr>
          <w:p w14:paraId="752EC3F7">
            <w:pPr>
              <w:snapToGrid w:val="0"/>
              <w:spacing w:line="360" w:lineRule="exact"/>
              <w:rPr>
                <w:rFonts w:cs="宋体" w:asciiTheme="minorEastAsia" w:hAnsiTheme="minorEastAsia" w:eastAsiaTheme="minorEastAsia"/>
                <w:szCs w:val="21"/>
              </w:rPr>
            </w:pPr>
            <w:r>
              <w:rPr>
                <w:rFonts w:hint="eastAsia" w:ascii="宋体" w:hAnsi="宋体" w:cs="宋体"/>
                <w:bCs/>
                <w:szCs w:val="21"/>
              </w:rPr>
              <w:t>供应商自主知识产权产品（创新、设计）情况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52B996B4">
            <w:pPr>
              <w:snapToGrid w:val="0"/>
              <w:spacing w:line="360" w:lineRule="exact"/>
              <w:rPr>
                <w:rFonts w:cs="宋体" w:asciiTheme="minorEastAsia" w:hAnsiTheme="minorEastAsia" w:eastAsiaTheme="minorEastAsia"/>
                <w:szCs w:val="21"/>
              </w:rPr>
            </w:pPr>
            <w:r>
              <w:rPr>
                <w:rFonts w:hint="eastAsia" w:ascii="宋体" w:hAnsi="宋体" w:cs="宋体"/>
                <w:bCs/>
                <w:szCs w:val="21"/>
              </w:rPr>
              <w:t>3</w:t>
            </w:r>
          </w:p>
        </w:tc>
        <w:tc>
          <w:tcPr>
            <w:tcW w:w="5964" w:type="dxa"/>
            <w:tcBorders>
              <w:top w:val="single" w:color="000000" w:sz="8" w:space="0"/>
              <w:left w:val="single" w:color="000000" w:sz="8" w:space="0"/>
              <w:bottom w:val="single" w:color="000000" w:sz="8" w:space="0"/>
              <w:right w:val="single" w:color="000000" w:sz="8" w:space="0"/>
            </w:tcBorders>
            <w:vAlign w:val="top"/>
          </w:tcPr>
          <w:p w14:paraId="5EABBFB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6861B1C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1.投标人具有食品或食用农产品或检测技术或装备相关的发明专利或实用新型专利的，每提供1项得8分，本项最高得40分。</w:t>
            </w:r>
          </w:p>
          <w:p w14:paraId="795F394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2.投标人参与制定或修订食品或食用农产品类国家、行业、地方标准，每提供1项得10分，本项最高得20分。</w:t>
            </w:r>
          </w:p>
          <w:p w14:paraId="712D258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3.投标人具有实验室食品检测或食品类管理系统相关软件著作权的，每提供1项得10分，本项最高得40分。</w:t>
            </w:r>
          </w:p>
          <w:p w14:paraId="6E6BE6A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以上三项实行累计加分，本项总分最高得100分。</w:t>
            </w:r>
          </w:p>
          <w:p w14:paraId="1E2A563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16E0721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1.第1项需提供有效的发明专利或实用新型专利证书扫描件；属购买或转让的，还需提供专利权转移备案证明或转让合同关键页。</w:t>
            </w:r>
          </w:p>
          <w:p w14:paraId="276AD88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2.第2项需提供标准文本首页及参编单位页等相关证明材料。</w:t>
            </w:r>
          </w:p>
          <w:p w14:paraId="1BA97B5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3.第3项软件著作权登记证书扫描件（如为投标人自有软件，著作权人需为投标人；如为投标人通过购买或租赁等形式获得软件使用权的，需同时提供著作权人与投标人签订的相关合同或协议或购买发票扫描件）。</w:t>
            </w:r>
          </w:p>
          <w:p w14:paraId="38A6F2A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4.提供以上证明文件扫描件，如涉及网站截图或照片等证明材料,需提供清晰图片。未按要求提供有效证明材料或提供不清晰导致评委无法识别的不计得分。</w:t>
            </w:r>
          </w:p>
        </w:tc>
      </w:tr>
      <w:tr w14:paraId="496BC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4E920BEC">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4</w:t>
            </w:r>
          </w:p>
        </w:tc>
        <w:tc>
          <w:tcPr>
            <w:tcW w:w="2995" w:type="dxa"/>
            <w:gridSpan w:val="3"/>
            <w:tcBorders>
              <w:top w:val="single" w:color="000000" w:sz="8" w:space="0"/>
              <w:left w:val="single" w:color="000000" w:sz="8" w:space="0"/>
              <w:bottom w:val="single" w:color="000000" w:sz="8" w:space="0"/>
              <w:right w:val="single" w:color="000000" w:sz="8" w:space="0"/>
            </w:tcBorders>
          </w:tcPr>
          <w:p w14:paraId="5FFA0BB1">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其他</w:t>
            </w:r>
          </w:p>
        </w:tc>
        <w:tc>
          <w:tcPr>
            <w:tcW w:w="5964" w:type="dxa"/>
            <w:tcBorders>
              <w:top w:val="single" w:color="000000" w:sz="8" w:space="0"/>
              <w:left w:val="single" w:color="000000" w:sz="8" w:space="0"/>
              <w:bottom w:val="single" w:color="000000" w:sz="8" w:space="0"/>
              <w:right w:val="single" w:color="000000" w:sz="8" w:space="0"/>
            </w:tcBorders>
          </w:tcPr>
          <w:p w14:paraId="693F1DEF">
            <w:pPr>
              <w:spacing w:line="360" w:lineRule="exact"/>
              <w:jc w:val="center"/>
              <w:rPr>
                <w:rFonts w:hint="eastAsia" w:cs="宋体" w:asciiTheme="minorEastAsia" w:hAnsiTheme="minorEastAsia" w:eastAsiaTheme="minorEastAsia"/>
                <w:b/>
                <w:bCs/>
                <w:color w:val="0000FF"/>
                <w:sz w:val="24"/>
                <w:szCs w:val="24"/>
                <w:lang w:eastAsia="zh-CN"/>
              </w:rPr>
            </w:pPr>
            <w:r>
              <w:rPr>
                <w:rFonts w:hint="eastAsia" w:asciiTheme="minorEastAsia" w:hAnsiTheme="minorEastAsia" w:eastAsiaTheme="minorEastAsia"/>
                <w:b/>
                <w:bCs/>
                <w:color w:val="0000FF"/>
                <w:lang w:val="en-US" w:eastAsia="zh-CN"/>
              </w:rPr>
              <w:t>3</w:t>
            </w:r>
          </w:p>
        </w:tc>
      </w:tr>
      <w:tr w14:paraId="4092B5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6F553A39">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CC47F8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2B16980">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84D21C1">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E747E1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123D80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40527E8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B629433">
            <w:pPr>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2BCE6C4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诚信</w:t>
            </w:r>
            <w:r>
              <w:rPr>
                <w:rFonts w:hint="eastAsia" w:asciiTheme="minorEastAsia" w:hAnsiTheme="minorEastAsia" w:eastAsiaTheme="minorEastAsia"/>
                <w:szCs w:val="21"/>
              </w:rPr>
              <w:t>评审</w:t>
            </w:r>
          </w:p>
        </w:tc>
        <w:tc>
          <w:tcPr>
            <w:tcW w:w="820" w:type="dxa"/>
            <w:tcBorders>
              <w:top w:val="single" w:color="000000" w:sz="8" w:space="0"/>
              <w:left w:val="single" w:color="000000" w:sz="8" w:space="0"/>
              <w:bottom w:val="single" w:color="000000" w:sz="8" w:space="0"/>
              <w:right w:val="single" w:color="000000" w:sz="8" w:space="0"/>
            </w:tcBorders>
            <w:vAlign w:val="center"/>
          </w:tcPr>
          <w:p w14:paraId="22B7AE62">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3</w:t>
            </w:r>
          </w:p>
        </w:tc>
        <w:tc>
          <w:tcPr>
            <w:tcW w:w="5964" w:type="dxa"/>
            <w:tcBorders>
              <w:top w:val="single" w:color="000000" w:sz="8" w:space="0"/>
              <w:left w:val="single" w:color="000000" w:sz="8" w:space="0"/>
              <w:bottom w:val="single" w:color="000000" w:sz="8" w:space="0"/>
              <w:right w:val="single" w:color="000000" w:sz="8" w:space="0"/>
            </w:tcBorders>
          </w:tcPr>
          <w:p w14:paraId="269F44F4">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77652777">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r>
    </w:tbl>
    <w:p w14:paraId="3A279DA5"/>
    <w:p w14:paraId="10A48FF4"/>
    <w:p w14:paraId="2BD9F4DF">
      <w:pPr>
        <w:widowControl/>
        <w:jc w:val="left"/>
        <w:rPr>
          <w:rFonts w:asciiTheme="minorEastAsia" w:hAnsiTheme="minorEastAsia" w:eastAsiaTheme="minorEastAsia"/>
          <w:b/>
          <w:bCs/>
          <w:kern w:val="44"/>
          <w:sz w:val="28"/>
          <w:szCs w:val="44"/>
        </w:rPr>
      </w:pPr>
      <w:r>
        <w:rPr>
          <w:rFonts w:asciiTheme="minorEastAsia" w:hAnsiTheme="minorEastAsia" w:eastAsiaTheme="minorEastAsia"/>
        </w:rPr>
        <w:br w:type="page"/>
      </w:r>
    </w:p>
    <w:p w14:paraId="124B4B54">
      <w:pPr>
        <w:pStyle w:val="2"/>
        <w:spacing w:before="0" w:after="0"/>
        <w:rPr>
          <w:rFonts w:asciiTheme="minorEastAsia" w:hAnsiTheme="minorEastAsia" w:eastAsiaTheme="minorEastAsia"/>
        </w:rPr>
      </w:pPr>
      <w:r>
        <w:rPr>
          <w:rFonts w:hint="eastAsia" w:asciiTheme="minorEastAsia" w:hAnsiTheme="minorEastAsia" w:eastAsiaTheme="minorEastAsia"/>
        </w:rPr>
        <w:t>其它关键信息</w:t>
      </w:r>
    </w:p>
    <w:p w14:paraId="0BD9FFFB">
      <w:pPr>
        <w:spacing w:line="360" w:lineRule="auto"/>
        <w:ind w:firstLine="413" w:firstLineChars="196"/>
        <w:rPr>
          <w:rFonts w:ascii="宋体" w:hAnsi="宋体"/>
          <w:szCs w:val="21"/>
        </w:rPr>
      </w:pPr>
      <w:r>
        <w:rPr>
          <w:rFonts w:hint="eastAsia" w:ascii="宋体" w:hAnsi="宋体"/>
          <w:b/>
          <w:szCs w:val="21"/>
        </w:rPr>
        <w:t>一</w:t>
      </w:r>
      <w:r>
        <w:rPr>
          <w:rFonts w:hint="eastAsia" w:asciiTheme="minorEastAsia" w:hAnsiTheme="minorEastAsia" w:eastAsiaTheme="minorEastAsia"/>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4261"/>
      </w:tblGrid>
      <w:tr w14:paraId="3ADF9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325D781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是否评标定标分离</w:t>
            </w:r>
          </w:p>
        </w:tc>
        <w:tc>
          <w:tcPr>
            <w:tcW w:w="4265" w:type="dxa"/>
          </w:tcPr>
          <w:p w14:paraId="3DAA2EA6">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非评定分离</w:t>
            </w:r>
          </w:p>
        </w:tc>
      </w:tr>
      <w:tr w14:paraId="1F4CA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2CFA434">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定标方法</w:t>
            </w:r>
          </w:p>
        </w:tc>
        <w:tc>
          <w:tcPr>
            <w:tcW w:w="4265" w:type="dxa"/>
          </w:tcPr>
          <w:p w14:paraId="2638ACD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5436D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4CD614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265" w:type="dxa"/>
          </w:tcPr>
          <w:p w14:paraId="6BE43E3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14:paraId="771DE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451FD8E3">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中标供应商家数</w:t>
            </w:r>
          </w:p>
        </w:tc>
        <w:tc>
          <w:tcPr>
            <w:tcW w:w="4265" w:type="dxa"/>
          </w:tcPr>
          <w:p w14:paraId="0A5F8C0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14:paraId="60BB0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701AE1E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候选中标供应商家数</w:t>
            </w:r>
          </w:p>
        </w:tc>
        <w:tc>
          <w:tcPr>
            <w:tcW w:w="4265" w:type="dxa"/>
          </w:tcPr>
          <w:p w14:paraId="7429EDA2">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3</w:t>
            </w:r>
          </w:p>
        </w:tc>
      </w:tr>
    </w:tbl>
    <w:p w14:paraId="7C1743F2">
      <w:pPr>
        <w:spacing w:line="360" w:lineRule="auto"/>
        <w:ind w:firstLine="411" w:firstLineChars="196"/>
        <w:rPr>
          <w:rFonts w:ascii="宋体" w:hAnsi="宋体"/>
        </w:rPr>
      </w:pPr>
    </w:p>
    <w:p w14:paraId="7CA40743">
      <w:pPr>
        <w:spacing w:line="360" w:lineRule="auto"/>
        <w:ind w:firstLine="413" w:firstLineChars="196"/>
        <w:rPr>
          <w:rFonts w:ascii="宋体" w:hAnsi="宋体"/>
          <w:b/>
          <w:szCs w:val="21"/>
        </w:rPr>
      </w:pPr>
      <w:r>
        <w:rPr>
          <w:rFonts w:hint="eastAsia" w:ascii="宋体" w:hAnsi="宋体"/>
          <w:b/>
          <w:szCs w:val="21"/>
        </w:rPr>
        <w:t>二</w:t>
      </w:r>
      <w:r>
        <w:rPr>
          <w:rFonts w:hint="eastAsia" w:asciiTheme="minorEastAsia" w:hAnsiTheme="minorEastAsia" w:eastAsiaTheme="minorEastAsia"/>
          <w:b/>
          <w:szCs w:val="21"/>
        </w:rPr>
        <w:t>、</w:t>
      </w:r>
      <w:r>
        <w:rPr>
          <w:rFonts w:hint="eastAsia" w:ascii="宋体" w:hAnsi="宋体"/>
          <w:b/>
          <w:szCs w:val="21"/>
        </w:rPr>
        <w:t>报价明显偏低的合理性说明</w:t>
      </w:r>
    </w:p>
    <w:p w14:paraId="1AFEF965">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8372B76">
      <w:pPr>
        <w:spacing w:line="360" w:lineRule="auto"/>
        <w:ind w:firstLine="420" w:firstLineChars="200"/>
        <w:rPr>
          <w:rFonts w:ascii="宋体" w:hAnsi="宋体"/>
          <w:szCs w:val="21"/>
        </w:rPr>
      </w:pPr>
    </w:p>
    <w:p w14:paraId="07125C0A">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szCs w:val="21"/>
        </w:rPr>
        <w:t>三、</w:t>
      </w:r>
      <w:r>
        <w:rPr>
          <w:rFonts w:hint="eastAsia" w:asciiTheme="minorEastAsia" w:hAnsiTheme="minorEastAsia" w:eastAsiaTheme="minorEastAsia"/>
          <w:b/>
          <w:bCs/>
        </w:rPr>
        <w:t>关于享受政府采购扶持政策的主体及价格扣除比例</w:t>
      </w:r>
    </w:p>
    <w:p w14:paraId="5B3CAE75">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321A0CFD">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bCs/>
        </w:rPr>
        <w:t>（二）价格评审优惠</w:t>
      </w:r>
    </w:p>
    <w:p w14:paraId="0F599429">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hAnsi="宋体"/>
          <w:szCs w:val="24"/>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4D749400">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Theme="minorEastAsia" w:hAnsiTheme="minorEastAsia" w:eastAsiaTheme="minorEastAsia"/>
          <w:szCs w:val="21"/>
        </w:rPr>
        <w:t>：</w:t>
      </w:r>
    </w:p>
    <w:p w14:paraId="4F3F8E03">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3FB09241">
      <w:pPr>
        <w:spacing w:after="60" w:line="360" w:lineRule="auto"/>
        <w:ind w:firstLine="424" w:firstLineChars="202"/>
        <w:rPr>
          <w:rFonts w:ascii="宋体" w:hAnsi="宋体"/>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宋体" w:hAnsi="宋体"/>
        </w:rPr>
        <w:t>。</w:t>
      </w:r>
    </w:p>
    <w:p w14:paraId="146D1F1A">
      <w:pPr>
        <w:spacing w:after="60" w:line="360" w:lineRule="auto"/>
        <w:ind w:firstLine="424" w:firstLineChars="202"/>
        <w:rPr>
          <w:rFonts w:ascii="宋体" w:hAnsi="宋体"/>
        </w:rPr>
      </w:pPr>
      <w:r>
        <w:rPr>
          <w:rFonts w:hint="eastAsia" w:ascii="宋体" w:hAnsi="宋体"/>
        </w:rPr>
        <w:t>（4）</w:t>
      </w:r>
      <w:r>
        <w:rPr>
          <w:rFonts w:hint="eastAsia" w:asciiTheme="minorEastAsia" w:hAnsiTheme="minorEastAsia" w:eastAsiaTheme="minorEastAsia"/>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Theme="minorEastAsia" w:hAnsiTheme="minorEastAsia" w:eastAsiaTheme="minorEastAsia"/>
        </w:rPr>
        <w:t>小型、微型企业，</w:t>
      </w:r>
      <w:r>
        <w:rPr>
          <w:rFonts w:hint="eastAsia" w:hAnsi="宋体"/>
        </w:rPr>
        <w:t>享受以上预留份额、评审中价格扣除等政府采购促进中小企业发展的政府采购政策；</w:t>
      </w:r>
      <w:r>
        <w:rPr>
          <w:rFonts w:hint="eastAsia" w:asciiTheme="minorEastAsia" w:hAnsiTheme="minorEastAsia" w:eastAsiaTheme="minorEastAsia"/>
        </w:rPr>
        <w:t>对于同时属于小型、微型企业、监狱企业或残疾人福利性单位的供应商，不重复享受政策。</w:t>
      </w:r>
    </w:p>
    <w:p w14:paraId="6373C3BC">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4BF1531F">
      <w:pPr>
        <w:spacing w:line="360" w:lineRule="auto"/>
        <w:ind w:firstLine="422" w:firstLineChars="200"/>
        <w:rPr>
          <w:rFonts w:asciiTheme="minorEastAsia" w:hAnsiTheme="minorEastAsia" w:eastAsiaTheme="minorEastAsia"/>
          <w:b/>
          <w:szCs w:val="21"/>
        </w:rPr>
      </w:pPr>
    </w:p>
    <w:p w14:paraId="0C84B76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Theme="minorEastAsia" w:hAnsiTheme="minorEastAsia" w:eastAsiaTheme="minorEastAsia"/>
          <w:b/>
          <w:szCs w:val="21"/>
        </w:rPr>
        <w:t>、</w:t>
      </w:r>
      <w:r>
        <w:rPr>
          <w:rFonts w:hint="eastAsia" w:ascii="Times New Roman" w:hAnsi="Times New Roman"/>
          <w:b/>
          <w:szCs w:val="24"/>
        </w:rPr>
        <w:t>绿色采购</w:t>
      </w:r>
    </w:p>
    <w:p w14:paraId="68A24306">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szCs w:val="24"/>
        </w:rPr>
        <w:t>应依据</w:t>
      </w:r>
      <w:r>
        <w:rPr>
          <w:rFonts w:hint="eastAsia" w:asciiTheme="minorEastAsia" w:hAnsiTheme="minorEastAsia" w:eastAsiaTheme="minorEastAsia"/>
          <w:szCs w:val="24"/>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szCs w:val="24"/>
        </w:rPr>
        <w:t>出具的、处于有效期之内的节能产品、环境标志产品认证证书，对获得证书的产品实施政府优先采购或强制采购。</w:t>
      </w:r>
      <w:r>
        <w:rPr>
          <w:rFonts w:hint="eastAsia" w:asciiTheme="minorEastAsia" w:hAnsiTheme="minorEastAsia" w:eastAsiaTheme="minorEastAsia"/>
          <w:b/>
          <w:szCs w:val="24"/>
        </w:rPr>
        <w:t>对</w:t>
      </w:r>
      <w:r>
        <w:rPr>
          <w:rFonts w:hint="eastAsia" w:asciiTheme="minorEastAsia" w:hAnsiTheme="minorEastAsia" w:eastAsiaTheme="minorEastAsia"/>
          <w:b/>
          <w:szCs w:val="24"/>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06BF77A8">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7250D96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fill="FFFFFF"/>
          <w:vertAlign w:val="baseline"/>
          <w:lang w:eastAsia="zh-CN"/>
        </w:rPr>
      </w:pPr>
    </w:p>
    <w:p w14:paraId="4397569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747140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0455042">
      <w:pPr>
        <w:spacing w:line="360" w:lineRule="auto"/>
        <w:ind w:firstLine="487"/>
        <w:rPr>
          <w:rFonts w:ascii="Times New Roman" w:hAnsi="Times New Roman"/>
          <w:b/>
          <w:bCs/>
          <w:sz w:val="24"/>
          <w:szCs w:val="24"/>
        </w:rPr>
      </w:pPr>
    </w:p>
    <w:p w14:paraId="3798E697">
      <w:pPr>
        <w:spacing w:line="360" w:lineRule="auto"/>
        <w:ind w:firstLine="422" w:firstLineChars="200"/>
        <w:rPr>
          <w:rFonts w:ascii="宋体" w:hAnsi="宋体"/>
          <w:b/>
          <w:szCs w:val="21"/>
        </w:rPr>
      </w:pPr>
      <w:r>
        <w:rPr>
          <w:rFonts w:hint="eastAsia" w:asciiTheme="minorEastAsia" w:hAnsiTheme="minorEastAsia" w:eastAsiaTheme="minorEastAsia"/>
          <w:b/>
          <w:szCs w:val="21"/>
          <w:lang w:eastAsia="zh-CN"/>
        </w:rPr>
        <w:t>六</w:t>
      </w:r>
      <w:r>
        <w:rPr>
          <w:rFonts w:hint="eastAsia" w:asciiTheme="minorEastAsia" w:hAnsiTheme="minorEastAsia" w:eastAsiaTheme="minorEastAsia"/>
          <w:b/>
          <w:szCs w:val="21"/>
        </w:rPr>
        <w:t>、</w:t>
      </w:r>
      <w:r>
        <w:rPr>
          <w:rFonts w:hint="eastAsia" w:ascii="Times New Roman" w:hAnsi="Times New Roman"/>
          <w:b/>
          <w:szCs w:val="24"/>
        </w:rPr>
        <w:t>其他说明</w:t>
      </w:r>
    </w:p>
    <w:p w14:paraId="691E08D4">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szCs w:val="24"/>
        </w:rPr>
        <w:t>。</w:t>
      </w:r>
    </w:p>
    <w:p w14:paraId="3B9E8511">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6228357C">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06D51CBD">
      <w:pPr>
        <w:rPr>
          <w:rFonts w:ascii="Times New Roman" w:hAnsi="Times New Roman"/>
          <w:b/>
          <w:sz w:val="24"/>
          <w:szCs w:val="24"/>
        </w:rPr>
      </w:pPr>
      <w:r>
        <w:rPr>
          <w:rFonts w:hint="eastAsia" w:ascii="Times New Roman" w:hAnsi="Times New Roman"/>
          <w:b/>
          <w:sz w:val="24"/>
          <w:szCs w:val="24"/>
        </w:rPr>
        <w:t>第一册  专用条款</w:t>
      </w:r>
    </w:p>
    <w:p w14:paraId="1D73005F">
      <w:pPr>
        <w:ind w:left="630" w:leftChars="300" w:firstLine="411" w:firstLineChars="196"/>
        <w:rPr>
          <w:rFonts w:ascii="宋体" w:hAnsi="宋体"/>
          <w:szCs w:val="21"/>
        </w:rPr>
      </w:pPr>
      <w:r>
        <w:rPr>
          <w:rFonts w:hint="eastAsia" w:ascii="宋体" w:hAnsi="宋体"/>
          <w:szCs w:val="21"/>
        </w:rPr>
        <w:t>关键信息</w:t>
      </w:r>
    </w:p>
    <w:p w14:paraId="22BDD108">
      <w:pPr>
        <w:ind w:left="630" w:leftChars="300" w:firstLine="411" w:firstLineChars="196"/>
        <w:rPr>
          <w:rFonts w:ascii="宋体" w:hAnsi="宋体"/>
          <w:szCs w:val="21"/>
        </w:rPr>
      </w:pPr>
      <w:r>
        <w:rPr>
          <w:rFonts w:hint="eastAsia" w:ascii="宋体" w:hAnsi="宋体"/>
          <w:szCs w:val="21"/>
        </w:rPr>
        <w:t>第一章  招标公告</w:t>
      </w:r>
    </w:p>
    <w:p w14:paraId="13230D43">
      <w:pPr>
        <w:ind w:left="630" w:leftChars="300" w:firstLine="411" w:firstLineChars="196"/>
        <w:rPr>
          <w:rFonts w:ascii="宋体" w:hAnsi="宋体"/>
          <w:szCs w:val="21"/>
        </w:rPr>
      </w:pPr>
      <w:r>
        <w:rPr>
          <w:rFonts w:hint="eastAsia" w:ascii="宋体" w:hAnsi="宋体"/>
          <w:szCs w:val="21"/>
        </w:rPr>
        <w:t>第二章  招标项目需求</w:t>
      </w:r>
    </w:p>
    <w:p w14:paraId="1D677BCE">
      <w:pPr>
        <w:ind w:left="630" w:leftChars="300" w:firstLine="411" w:firstLineChars="196"/>
        <w:rPr>
          <w:rFonts w:ascii="宋体" w:hAnsi="宋体"/>
          <w:szCs w:val="21"/>
        </w:rPr>
      </w:pPr>
      <w:r>
        <w:rPr>
          <w:rFonts w:hint="eastAsia" w:ascii="宋体" w:hAnsi="宋体"/>
          <w:szCs w:val="21"/>
        </w:rPr>
        <w:t>第三章  投标文件格式、附件</w:t>
      </w:r>
    </w:p>
    <w:p w14:paraId="0272EB67">
      <w:pPr>
        <w:ind w:left="630" w:leftChars="300" w:firstLine="411" w:firstLineChars="196"/>
        <w:rPr>
          <w:rFonts w:ascii="宋体" w:hAnsi="宋体"/>
          <w:szCs w:val="21"/>
        </w:rPr>
      </w:pPr>
      <w:r>
        <w:rPr>
          <w:rFonts w:hint="eastAsia" w:ascii="宋体" w:hAnsi="宋体"/>
          <w:szCs w:val="21"/>
        </w:rPr>
        <w:t>第四章  合同及履约情况反馈格式</w:t>
      </w:r>
    </w:p>
    <w:p w14:paraId="726F22F4">
      <w:pPr>
        <w:ind w:left="630" w:leftChars="300" w:firstLine="411" w:firstLineChars="196"/>
        <w:rPr>
          <w:rFonts w:ascii="宋体" w:hAnsi="宋体"/>
          <w:szCs w:val="21"/>
        </w:rPr>
      </w:pPr>
      <w:r>
        <w:rPr>
          <w:rFonts w:hint="eastAsia" w:ascii="宋体" w:hAnsi="宋体"/>
          <w:szCs w:val="21"/>
        </w:rPr>
        <w:t>第五章  附件</w:t>
      </w:r>
    </w:p>
    <w:p w14:paraId="1EA22924">
      <w:pPr>
        <w:ind w:left="630" w:leftChars="300" w:firstLine="411" w:firstLineChars="196"/>
        <w:rPr>
          <w:rFonts w:ascii="宋体" w:hAnsi="宋体"/>
          <w:szCs w:val="21"/>
        </w:rPr>
      </w:pPr>
    </w:p>
    <w:p w14:paraId="7FFB57CE">
      <w:pPr>
        <w:rPr>
          <w:rFonts w:ascii="Times New Roman" w:hAnsi="Times New Roman"/>
          <w:b/>
          <w:sz w:val="24"/>
          <w:szCs w:val="24"/>
        </w:rPr>
      </w:pPr>
    </w:p>
    <w:p w14:paraId="126CCCDD">
      <w:pPr>
        <w:rPr>
          <w:rFonts w:ascii="Times New Roman" w:hAnsi="Times New Roman"/>
          <w:b/>
          <w:sz w:val="24"/>
          <w:szCs w:val="24"/>
        </w:rPr>
      </w:pPr>
      <w:r>
        <w:rPr>
          <w:rFonts w:hint="eastAsia" w:ascii="Times New Roman" w:hAnsi="Times New Roman"/>
          <w:b/>
          <w:sz w:val="24"/>
          <w:szCs w:val="24"/>
        </w:rPr>
        <w:t>第二册  通用条款</w:t>
      </w:r>
    </w:p>
    <w:p w14:paraId="47D9B35C">
      <w:pPr>
        <w:ind w:left="630" w:leftChars="300" w:firstLine="411" w:firstLineChars="196"/>
        <w:rPr>
          <w:rFonts w:ascii="宋体" w:hAnsi="宋体"/>
          <w:szCs w:val="21"/>
        </w:rPr>
      </w:pPr>
      <w:r>
        <w:rPr>
          <w:rFonts w:hint="eastAsia" w:ascii="宋体" w:hAnsi="宋体"/>
          <w:szCs w:val="21"/>
        </w:rPr>
        <w:t>第一章  总则</w:t>
      </w:r>
    </w:p>
    <w:p w14:paraId="2ED2286A">
      <w:pPr>
        <w:ind w:left="630" w:leftChars="300" w:firstLine="411" w:firstLineChars="196"/>
        <w:rPr>
          <w:rFonts w:ascii="宋体" w:hAnsi="宋体"/>
          <w:szCs w:val="21"/>
        </w:rPr>
      </w:pPr>
      <w:r>
        <w:rPr>
          <w:rFonts w:hint="eastAsia" w:ascii="宋体" w:hAnsi="宋体"/>
          <w:szCs w:val="21"/>
        </w:rPr>
        <w:t>第二章  招标文件</w:t>
      </w:r>
    </w:p>
    <w:p w14:paraId="5F60043E">
      <w:pPr>
        <w:ind w:left="630" w:leftChars="300" w:firstLine="411" w:firstLineChars="196"/>
        <w:rPr>
          <w:rFonts w:ascii="宋体" w:hAnsi="宋体"/>
          <w:szCs w:val="21"/>
        </w:rPr>
      </w:pPr>
      <w:r>
        <w:rPr>
          <w:rFonts w:hint="eastAsia" w:ascii="宋体" w:hAnsi="宋体"/>
          <w:szCs w:val="21"/>
        </w:rPr>
        <w:t>第三章  投标文件的编制</w:t>
      </w:r>
    </w:p>
    <w:p w14:paraId="133668E9">
      <w:pPr>
        <w:ind w:left="630" w:leftChars="300" w:firstLine="411" w:firstLineChars="196"/>
        <w:rPr>
          <w:rFonts w:ascii="宋体" w:hAnsi="宋体"/>
          <w:szCs w:val="21"/>
        </w:rPr>
      </w:pPr>
      <w:r>
        <w:rPr>
          <w:rFonts w:hint="eastAsia" w:ascii="宋体" w:hAnsi="宋体"/>
          <w:szCs w:val="21"/>
        </w:rPr>
        <w:t>第四章  投标文件的递交</w:t>
      </w:r>
    </w:p>
    <w:p w14:paraId="6DFA4FED">
      <w:pPr>
        <w:ind w:left="630" w:leftChars="300" w:firstLine="411" w:firstLineChars="196"/>
        <w:rPr>
          <w:rFonts w:ascii="宋体" w:hAnsi="宋体"/>
          <w:szCs w:val="21"/>
        </w:rPr>
      </w:pPr>
      <w:r>
        <w:rPr>
          <w:rFonts w:hint="eastAsia" w:ascii="宋体" w:hAnsi="宋体"/>
          <w:szCs w:val="21"/>
        </w:rPr>
        <w:t>第五章  开标</w:t>
      </w:r>
    </w:p>
    <w:p w14:paraId="5718BDBD">
      <w:pPr>
        <w:ind w:left="630" w:leftChars="300" w:firstLine="411" w:firstLineChars="196"/>
        <w:rPr>
          <w:rFonts w:ascii="宋体" w:hAnsi="宋体"/>
          <w:szCs w:val="21"/>
        </w:rPr>
      </w:pPr>
      <w:r>
        <w:rPr>
          <w:rFonts w:hint="eastAsia" w:ascii="宋体" w:hAnsi="宋体"/>
          <w:szCs w:val="21"/>
        </w:rPr>
        <w:t>第六章  评标要求</w:t>
      </w:r>
    </w:p>
    <w:p w14:paraId="5155502A">
      <w:pPr>
        <w:ind w:left="630" w:leftChars="300" w:firstLine="411" w:firstLineChars="196"/>
        <w:rPr>
          <w:rFonts w:ascii="宋体" w:hAnsi="宋体"/>
          <w:szCs w:val="21"/>
        </w:rPr>
      </w:pPr>
      <w:r>
        <w:rPr>
          <w:rFonts w:hint="eastAsia" w:ascii="宋体" w:hAnsi="宋体"/>
          <w:szCs w:val="21"/>
        </w:rPr>
        <w:t>第七章  评标程序及评标方法</w:t>
      </w:r>
    </w:p>
    <w:p w14:paraId="6749F0EA">
      <w:pPr>
        <w:ind w:left="630" w:leftChars="300" w:firstLine="411" w:firstLineChars="196"/>
        <w:rPr>
          <w:rFonts w:ascii="宋体" w:hAnsi="宋体"/>
          <w:szCs w:val="21"/>
        </w:rPr>
      </w:pPr>
      <w:r>
        <w:rPr>
          <w:rFonts w:hint="eastAsia" w:ascii="宋体" w:hAnsi="宋体"/>
          <w:szCs w:val="21"/>
        </w:rPr>
        <w:t>第八章  定标及公示</w:t>
      </w:r>
    </w:p>
    <w:p w14:paraId="089C7253">
      <w:pPr>
        <w:ind w:left="630" w:leftChars="300" w:firstLine="411" w:firstLineChars="196"/>
        <w:rPr>
          <w:rFonts w:ascii="宋体" w:hAnsi="宋体"/>
          <w:szCs w:val="21"/>
        </w:rPr>
      </w:pPr>
      <w:r>
        <w:rPr>
          <w:rFonts w:hint="eastAsia" w:ascii="宋体" w:hAnsi="宋体"/>
          <w:szCs w:val="21"/>
        </w:rPr>
        <w:t>第九章  公开招标失败的后续处理</w:t>
      </w:r>
    </w:p>
    <w:p w14:paraId="39F2FC8A">
      <w:pPr>
        <w:ind w:left="630" w:leftChars="300" w:firstLine="411" w:firstLineChars="196"/>
        <w:rPr>
          <w:rFonts w:ascii="宋体" w:hAnsi="宋体"/>
          <w:szCs w:val="21"/>
        </w:rPr>
      </w:pPr>
      <w:r>
        <w:rPr>
          <w:rFonts w:hint="eastAsia" w:ascii="宋体" w:hAnsi="宋体"/>
          <w:szCs w:val="21"/>
        </w:rPr>
        <w:t>第十章  合同的授予与备案</w:t>
      </w:r>
    </w:p>
    <w:p w14:paraId="1D6F1A26">
      <w:pPr>
        <w:ind w:left="630" w:leftChars="300" w:firstLine="411" w:firstLineChars="196"/>
        <w:rPr>
          <w:rFonts w:ascii="宋体" w:hAnsi="宋体"/>
          <w:szCs w:val="21"/>
        </w:rPr>
      </w:pPr>
      <w:r>
        <w:rPr>
          <w:rFonts w:hint="eastAsia" w:ascii="宋体" w:hAnsi="宋体"/>
          <w:szCs w:val="21"/>
        </w:rPr>
        <w:t>第十一章  质疑处理</w:t>
      </w:r>
    </w:p>
    <w:p w14:paraId="250B4742">
      <w:pPr>
        <w:rPr>
          <w:rFonts w:ascii="Times New Roman" w:hAnsi="Times New Roman"/>
          <w:sz w:val="24"/>
          <w:szCs w:val="24"/>
        </w:rPr>
      </w:pPr>
    </w:p>
    <w:p w14:paraId="4F0D64DF">
      <w:pPr>
        <w:rPr>
          <w:rFonts w:ascii="Times New Roman" w:hAnsi="Times New Roman"/>
          <w:b/>
          <w:szCs w:val="24"/>
        </w:rPr>
      </w:pPr>
      <w:r>
        <w:rPr>
          <w:rFonts w:hint="eastAsia" w:ascii="Times New Roman" w:hAnsi="Times New Roman"/>
          <w:b/>
          <w:szCs w:val="24"/>
        </w:rPr>
        <w:t>备注：</w:t>
      </w:r>
    </w:p>
    <w:p w14:paraId="4DC08AA8">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278EE8EA">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60E261C5">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7BE843AA">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2A5B7EFC">
      <w:pPr>
        <w:rPr>
          <w:rFonts w:ascii="宋体" w:hAnsi="宋体"/>
          <w:szCs w:val="21"/>
        </w:rPr>
      </w:pPr>
    </w:p>
    <w:p w14:paraId="4D50EC61">
      <w:pPr>
        <w:widowControl/>
        <w:jc w:val="left"/>
        <w:rPr>
          <w:rFonts w:ascii="宋体" w:hAnsi="宋体" w:eastAsia="黑体"/>
          <w:b/>
          <w:bCs/>
          <w:kern w:val="44"/>
          <w:sz w:val="28"/>
          <w:szCs w:val="44"/>
        </w:rPr>
      </w:pPr>
      <w:r>
        <w:rPr>
          <w:rFonts w:ascii="Times New Roman" w:hAnsi="Times New Roman"/>
          <w:szCs w:val="24"/>
        </w:rPr>
        <w:br w:type="page"/>
      </w:r>
    </w:p>
    <w:p w14:paraId="7E9A7410">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4BAA5C42">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50069A6A">
      <w:pPr>
        <w:spacing w:line="360" w:lineRule="exact"/>
        <w:rPr>
          <w:rFonts w:ascii="宋体" w:hAnsi="宋体"/>
          <w:vanish/>
          <w:szCs w:val="21"/>
        </w:rPr>
      </w:pPr>
    </w:p>
    <w:p w14:paraId="13764FA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1C0F949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圳品工程--“圳品”标准体系建设和评价监督推广项目</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1963F95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352AB9C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2C9403A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w:t>
      </w:r>
      <w:r>
        <w:rPr>
          <w:rFonts w:hint="eastAsia" w:cs="宋体"/>
          <w:sz w:val="21"/>
          <w:szCs w:val="21"/>
          <w:lang w:eastAsia="zh-CN"/>
        </w:rPr>
        <w:t>SZDL2026000760</w:t>
      </w:r>
    </w:p>
    <w:p w14:paraId="4B84924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圳品工程--“圳品”标准体系建设和评价监督推广项目</w:t>
      </w:r>
    </w:p>
    <w:p w14:paraId="3CE3C48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w:t>
      </w:r>
      <w:r>
        <w:rPr>
          <w:rFonts w:hint="eastAsia" w:cs="宋体"/>
          <w:sz w:val="21"/>
          <w:szCs w:val="21"/>
          <w:lang w:eastAsia="zh-CN"/>
        </w:rPr>
        <w:t>1,200,000.00元</w:t>
      </w:r>
    </w:p>
    <w:p w14:paraId="7F1C399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w:t>
      </w:r>
      <w:r>
        <w:rPr>
          <w:rFonts w:hint="eastAsia" w:cs="宋体"/>
          <w:sz w:val="21"/>
          <w:szCs w:val="21"/>
          <w:lang w:eastAsia="zh-CN"/>
        </w:rPr>
        <w:t>1,200,000.00元</w:t>
      </w:r>
    </w:p>
    <w:p w14:paraId="482174B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2261"/>
        <w:gridCol w:w="680"/>
        <w:gridCol w:w="720"/>
        <w:gridCol w:w="3994"/>
        <w:gridCol w:w="850"/>
      </w:tblGrid>
      <w:tr w14:paraId="1C9F5038">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7D308B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6FE7FC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72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8C0CB35">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994"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48EF500">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0DA4FE9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5DE4AC04">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948F4AB">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“圳品”申报抽样检测技术服务项目</w:t>
            </w:r>
          </w:p>
        </w:tc>
        <w:tc>
          <w:tcPr>
            <w:tcW w:w="68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A5CB1A0">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2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150A6B3">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994" w:type="dxa"/>
            <w:tcBorders>
              <w:top w:val="outset" w:color="AAAAAA" w:sz="6" w:space="0"/>
              <w:left w:val="outset" w:color="AAAAAA" w:sz="6" w:space="0"/>
              <w:bottom w:val="outset" w:color="AAAAAA" w:sz="6" w:space="0"/>
              <w:right w:val="outset" w:color="AAAAAA" w:sz="6" w:space="0"/>
            </w:tcBorders>
            <w:shd w:val="clear" w:color="auto" w:fill="auto"/>
            <w:vAlign w:val="center"/>
          </w:tcPr>
          <w:p w14:paraId="03FD4F58">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服务主要内容为在检测资质范围内对申报产品进行抽样、检测工作，组织实施不少于300个申报产品的抽样检测技术服务。</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6F49FE07">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49FB0E7A">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3A440663">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1D6F6BA4">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3BD9D0EF">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落实政府采购政策需满足的资格要求：无。 </w:t>
      </w:r>
    </w:p>
    <w:p w14:paraId="783E4239">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783E8EA8">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18D4BA8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7619A3B3">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07E55A97">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2410A02A">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1786286B">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645B75A5">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p>
    <w:p w14:paraId="74B1C594">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FF0000"/>
          <w:sz w:val="21"/>
          <w:szCs w:val="21"/>
          <w:lang w:val="en-US" w:eastAsia="zh-CN"/>
        </w:rPr>
      </w:pPr>
      <w:r>
        <w:rPr>
          <w:rFonts w:hint="eastAsia" w:ascii="宋体" w:hAnsi="宋体" w:eastAsia="宋体" w:cs="宋体"/>
          <w:snapToGrid w:val="0"/>
          <w:color w:val="FF0000"/>
          <w:sz w:val="21"/>
          <w:szCs w:val="21"/>
          <w:lang w:eastAsia="zh-CN"/>
        </w:rPr>
        <w:t>（</w:t>
      </w:r>
      <w:r>
        <w:rPr>
          <w:rFonts w:hint="eastAsia" w:ascii="宋体" w:hAnsi="宋体" w:eastAsia="宋体" w:cs="宋体"/>
          <w:snapToGrid w:val="0"/>
          <w:color w:val="FF0000"/>
          <w:sz w:val="21"/>
          <w:szCs w:val="21"/>
          <w:lang w:val="en-US" w:eastAsia="zh-CN"/>
        </w:rPr>
        <w:t>8</w:t>
      </w:r>
      <w:r>
        <w:rPr>
          <w:rFonts w:hint="eastAsia" w:ascii="宋体" w:hAnsi="宋体" w:eastAsia="宋体" w:cs="宋体"/>
          <w:snapToGrid w:val="0"/>
          <w:color w:val="FF0000"/>
          <w:sz w:val="21"/>
          <w:szCs w:val="21"/>
          <w:lang w:eastAsia="zh-CN"/>
        </w:rPr>
        <w:t>）投标人须同时具备农产品质量安全检测机构考核合格证书（CATL）和检验检测机构资质认定证书(CMA)。（①提供在有效期内的证书扫描件，如证书上未体现年检记录或有效期的，需同时提供发证机构官方网站显示的年检或有效期的截图作为证明材料；②如国家另有规定，则适用其规定，投标人提供相关证明材料，如有效的资质证书及相关政府部门的规定）</w:t>
      </w:r>
      <w:r>
        <w:rPr>
          <w:rFonts w:hint="eastAsia" w:ascii="宋体" w:hAnsi="宋体" w:eastAsia="宋体" w:cs="宋体"/>
          <w:snapToGrid w:val="0"/>
          <w:color w:val="FF0000"/>
          <w:sz w:val="21"/>
          <w:szCs w:val="21"/>
          <w:lang w:val="en-US" w:eastAsia="zh-CN"/>
        </w:rPr>
        <w:t>；</w:t>
      </w:r>
    </w:p>
    <w:p w14:paraId="6E18B932">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default" w:ascii="宋体" w:hAnsi="宋体" w:eastAsia="宋体" w:cs="宋体"/>
          <w:snapToGrid w:val="0"/>
          <w:color w:val="FF0000"/>
          <w:sz w:val="21"/>
          <w:szCs w:val="21"/>
          <w:lang w:val="en-US" w:eastAsia="zh-CN"/>
        </w:rPr>
      </w:pPr>
      <w:bookmarkStart w:id="83" w:name="_GoBack"/>
      <w:r>
        <w:rPr>
          <w:rFonts w:hint="eastAsia" w:ascii="宋体" w:hAnsi="宋体" w:eastAsia="宋体" w:cs="宋体"/>
          <w:snapToGrid w:val="0"/>
          <w:color w:val="auto"/>
          <w:sz w:val="21"/>
          <w:szCs w:val="21"/>
          <w:lang w:val="en-US" w:eastAsia="zh-CN"/>
        </w:rPr>
        <w:t>（9）</w:t>
      </w:r>
      <w:bookmarkEnd w:id="83"/>
      <w:r>
        <w:rPr>
          <w:rFonts w:hint="eastAsia" w:ascii="宋体" w:hAnsi="宋体" w:eastAsia="宋体" w:cs="宋体"/>
          <w:snapToGrid w:val="0"/>
          <w:color w:val="auto"/>
          <w:sz w:val="21"/>
          <w:szCs w:val="21"/>
          <w:lang w:eastAsia="zh-CN"/>
        </w:rPr>
        <w:t>本项目分为A、B、C、D、E、F、G、H八个包，投标人可参与任意一个包或多个包投标，但只能成为其中一个包的中标人，即可兼投但不可兼中。评标时按A-B-C-D-E-F-G-H包的顺序评审，如投标人已被推荐为某包组第一候选中标供应商，则不得再参与其他包组评审。如某包组因供应商质疑等原因导致中标结果变更的，其他包组的中标结果不因此而受影响。</w:t>
      </w:r>
    </w:p>
    <w:p w14:paraId="00D4E525">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5315CB7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三、获取招标文件</w:t>
      </w:r>
    </w:p>
    <w:p w14:paraId="5607007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41952018">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055A5D6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633FB91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13D4C55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457E9A7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548DE0F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1C672852">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7C1ABF8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690DC30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2542FA7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244B19B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7F387A1C">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6905DE94">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44CD79C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0B7555F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025F701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名称：深圳市</w:t>
      </w:r>
      <w:r>
        <w:rPr>
          <w:rFonts w:hint="eastAsia" w:ascii="宋体" w:hAnsi="宋体" w:eastAsia="宋体" w:cs="宋体"/>
          <w:snapToGrid w:val="0"/>
          <w:color w:val="auto"/>
          <w:sz w:val="21"/>
          <w:szCs w:val="21"/>
          <w:lang w:val="en-US" w:eastAsia="zh-CN"/>
        </w:rPr>
        <w:t>市场监督管理局</w:t>
      </w:r>
    </w:p>
    <w:p w14:paraId="09BE18A2">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福田区</w:t>
      </w:r>
      <w:r>
        <w:rPr>
          <w:rFonts w:hint="eastAsia" w:ascii="宋体" w:hAnsi="宋体" w:eastAsia="宋体" w:cs="宋体"/>
          <w:snapToGrid w:val="0"/>
          <w:color w:val="auto"/>
          <w:sz w:val="21"/>
          <w:szCs w:val="21"/>
        </w:rPr>
        <w:t>深南大道7010号工商物价大厦</w:t>
      </w:r>
    </w:p>
    <w:p w14:paraId="540ED9C6">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龙先生，0755-3070668</w:t>
      </w:r>
    </w:p>
    <w:p w14:paraId="1CB50C8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182020D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1C24E12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2C7D12E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2D65B9C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150CD0D5">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eastAsia="zh-CN"/>
        </w:rPr>
      </w:pPr>
      <w:r>
        <w:rPr>
          <w:rFonts w:hint="eastAsia" w:ascii="宋体" w:hAnsi="宋体" w:eastAsia="宋体" w:cs="宋体"/>
          <w:sz w:val="21"/>
          <w:szCs w:val="21"/>
        </w:rPr>
        <w:t>项目联系人：</w:t>
      </w:r>
      <w:r>
        <w:rPr>
          <w:rFonts w:hint="eastAsia" w:cs="宋体"/>
          <w:sz w:val="21"/>
          <w:szCs w:val="21"/>
          <w:lang w:val="en-US" w:eastAsia="zh-CN"/>
        </w:rPr>
        <w:t>庄工/周工</w:t>
      </w:r>
    </w:p>
    <w:p w14:paraId="510F3AB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0D2DACA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6987BA9E">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1AF25C8C">
      <w:pPr>
        <w:spacing w:line="400" w:lineRule="exact"/>
        <w:jc w:val="right"/>
        <w:rPr>
          <w:rFonts w:ascii="宋体" w:hAnsi="宋体"/>
          <w:szCs w:val="21"/>
        </w:rPr>
      </w:pPr>
    </w:p>
    <w:p w14:paraId="03EFAC55">
      <w:pPr>
        <w:rPr>
          <w:rFonts w:hint="eastAsia" w:ascii="宋体" w:hAnsi="宋体"/>
          <w:b/>
          <w:bCs/>
          <w:kern w:val="0"/>
          <w:sz w:val="24"/>
          <w:szCs w:val="20"/>
        </w:rPr>
      </w:pPr>
      <w:r>
        <w:rPr>
          <w:rFonts w:hint="eastAsia" w:ascii="宋体" w:hAnsi="宋体"/>
          <w:b/>
          <w:bCs/>
          <w:kern w:val="0"/>
          <w:sz w:val="24"/>
          <w:szCs w:val="20"/>
        </w:rPr>
        <w:br w:type="page"/>
      </w:r>
    </w:p>
    <w:p w14:paraId="0DDAC345">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48A546D3">
      <w:pPr>
        <w:keepNext/>
        <w:keepLines/>
        <w:adjustRightInd w:val="0"/>
        <w:spacing w:beforeLines="50" w:afterLines="50"/>
        <w:jc w:val="center"/>
        <w:textAlignment w:val="baseline"/>
        <w:outlineLvl w:val="1"/>
        <w:rPr>
          <w:rFonts w:ascii="宋体" w:hAnsi="宋体"/>
          <w:b/>
          <w:bCs/>
          <w:kern w:val="0"/>
          <w:sz w:val="28"/>
          <w:szCs w:val="28"/>
        </w:rPr>
      </w:pPr>
      <w:bookmarkStart w:id="0" w:name="_Toc73521635"/>
      <w:bookmarkStart w:id="1" w:name="_Toc73518117"/>
      <w:bookmarkStart w:id="2" w:name="_Toc60631620"/>
      <w:bookmarkStart w:id="3" w:name="_Toc60560625"/>
      <w:bookmarkStart w:id="4" w:name="_Toc73517639"/>
      <w:bookmarkStart w:id="5" w:name="_Toc73521547"/>
      <w:bookmarkStart w:id="6" w:name="_Toc100052364"/>
      <w:bookmarkStart w:id="7" w:name="_Toc101074876"/>
      <w:r>
        <w:rPr>
          <w:rFonts w:hint="eastAsia" w:ascii="宋体" w:hAnsi="宋体"/>
          <w:b/>
          <w:bCs/>
          <w:kern w:val="0"/>
          <w:sz w:val="28"/>
          <w:szCs w:val="28"/>
        </w:rPr>
        <w:t>一、对通用条款的补充内容</w:t>
      </w:r>
    </w:p>
    <w:bookmarkEnd w:id="0"/>
    <w:bookmarkEnd w:id="1"/>
    <w:bookmarkEnd w:id="2"/>
    <w:bookmarkEnd w:id="3"/>
    <w:bookmarkEnd w:id="4"/>
    <w:bookmarkEnd w:id="5"/>
    <w:bookmarkEnd w:id="6"/>
    <w:bookmarkEnd w:id="7"/>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3EA5A8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086B7641">
            <w:pPr>
              <w:jc w:val="center"/>
              <w:rPr>
                <w:rFonts w:ascii="宋体" w:hAnsi="宋体"/>
                <w:b/>
                <w:bCs/>
                <w:szCs w:val="24"/>
              </w:rPr>
            </w:pPr>
            <w:r>
              <w:rPr>
                <w:rFonts w:hint="eastAsia" w:ascii="宋体" w:hAnsi="宋体"/>
                <w:b/>
                <w:bCs/>
                <w:szCs w:val="24"/>
              </w:rPr>
              <w:t>序号</w:t>
            </w:r>
          </w:p>
        </w:tc>
        <w:tc>
          <w:tcPr>
            <w:tcW w:w="2160" w:type="dxa"/>
            <w:vAlign w:val="center"/>
          </w:tcPr>
          <w:p w14:paraId="10780A5F">
            <w:pPr>
              <w:jc w:val="center"/>
              <w:rPr>
                <w:rFonts w:ascii="宋体" w:hAnsi="宋体"/>
                <w:b/>
                <w:bCs/>
                <w:szCs w:val="24"/>
              </w:rPr>
            </w:pPr>
            <w:r>
              <w:rPr>
                <w:rFonts w:hint="eastAsia" w:ascii="宋体" w:hAnsi="宋体"/>
                <w:b/>
                <w:bCs/>
                <w:szCs w:val="24"/>
              </w:rPr>
              <w:t>内   容</w:t>
            </w:r>
          </w:p>
        </w:tc>
        <w:tc>
          <w:tcPr>
            <w:tcW w:w="5400" w:type="dxa"/>
            <w:vAlign w:val="center"/>
          </w:tcPr>
          <w:p w14:paraId="4FD576BF">
            <w:pPr>
              <w:jc w:val="center"/>
              <w:rPr>
                <w:rFonts w:ascii="宋体" w:hAnsi="宋体"/>
                <w:b/>
                <w:bCs/>
                <w:szCs w:val="24"/>
              </w:rPr>
            </w:pPr>
            <w:r>
              <w:rPr>
                <w:rFonts w:hint="eastAsia" w:ascii="宋体" w:hAnsi="宋体"/>
                <w:b/>
                <w:bCs/>
                <w:szCs w:val="24"/>
              </w:rPr>
              <w:t>规      定</w:t>
            </w:r>
          </w:p>
        </w:tc>
      </w:tr>
      <w:tr w14:paraId="22063A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47052309">
            <w:pPr>
              <w:jc w:val="center"/>
              <w:rPr>
                <w:rFonts w:ascii="宋体" w:hAnsi="宋体"/>
                <w:szCs w:val="24"/>
              </w:rPr>
            </w:pPr>
            <w:r>
              <w:rPr>
                <w:rFonts w:hint="eastAsia" w:ascii="宋体" w:hAnsi="宋体"/>
                <w:szCs w:val="24"/>
              </w:rPr>
              <w:t>1</w:t>
            </w:r>
          </w:p>
        </w:tc>
        <w:tc>
          <w:tcPr>
            <w:tcW w:w="2160" w:type="dxa"/>
            <w:vAlign w:val="center"/>
          </w:tcPr>
          <w:p w14:paraId="0B046D36">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1BB9E4CE">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37CA20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664BD1C2">
            <w:pPr>
              <w:jc w:val="center"/>
              <w:rPr>
                <w:rFonts w:ascii="宋体" w:hAnsi="宋体"/>
                <w:szCs w:val="24"/>
              </w:rPr>
            </w:pPr>
            <w:r>
              <w:rPr>
                <w:rFonts w:hint="eastAsia" w:ascii="宋体" w:hAnsi="宋体"/>
                <w:szCs w:val="24"/>
              </w:rPr>
              <w:t>2</w:t>
            </w:r>
          </w:p>
        </w:tc>
        <w:tc>
          <w:tcPr>
            <w:tcW w:w="2160" w:type="dxa"/>
            <w:vAlign w:val="center"/>
          </w:tcPr>
          <w:p w14:paraId="314ADD8E">
            <w:pPr>
              <w:jc w:val="center"/>
              <w:rPr>
                <w:rFonts w:ascii="宋体" w:hAnsi="宋体"/>
                <w:szCs w:val="24"/>
              </w:rPr>
            </w:pPr>
            <w:r>
              <w:rPr>
                <w:rFonts w:hint="eastAsia" w:ascii="宋体" w:hAnsi="宋体"/>
                <w:szCs w:val="24"/>
              </w:rPr>
              <w:t>投标有效期</w:t>
            </w:r>
          </w:p>
        </w:tc>
        <w:tc>
          <w:tcPr>
            <w:tcW w:w="5400" w:type="dxa"/>
            <w:vAlign w:val="center"/>
          </w:tcPr>
          <w:p w14:paraId="28D7AF0E">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054194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135EB724">
            <w:pPr>
              <w:jc w:val="center"/>
              <w:rPr>
                <w:rFonts w:ascii="宋体" w:hAnsi="宋体"/>
                <w:szCs w:val="24"/>
              </w:rPr>
            </w:pPr>
            <w:r>
              <w:rPr>
                <w:rFonts w:hint="eastAsia" w:ascii="宋体" w:hAnsi="宋体"/>
                <w:szCs w:val="24"/>
              </w:rPr>
              <w:t>3</w:t>
            </w:r>
          </w:p>
        </w:tc>
        <w:tc>
          <w:tcPr>
            <w:tcW w:w="2160" w:type="dxa"/>
            <w:vAlign w:val="center"/>
          </w:tcPr>
          <w:p w14:paraId="46E9B8BD">
            <w:pPr>
              <w:jc w:val="center"/>
              <w:rPr>
                <w:rFonts w:ascii="宋体" w:hAnsi="宋体"/>
                <w:szCs w:val="24"/>
              </w:rPr>
            </w:pPr>
            <w:r>
              <w:rPr>
                <w:rFonts w:hint="eastAsia" w:ascii="宋体" w:hAnsi="宋体"/>
                <w:szCs w:val="24"/>
              </w:rPr>
              <w:t>投标人的替代方案</w:t>
            </w:r>
          </w:p>
        </w:tc>
        <w:tc>
          <w:tcPr>
            <w:tcW w:w="5400" w:type="dxa"/>
            <w:vAlign w:val="center"/>
          </w:tcPr>
          <w:p w14:paraId="5B5CE8A7">
            <w:pPr>
              <w:rPr>
                <w:rFonts w:ascii="宋体" w:hAnsi="宋体"/>
                <w:szCs w:val="24"/>
              </w:rPr>
            </w:pPr>
            <w:r>
              <w:rPr>
                <w:rFonts w:hint="eastAsia" w:ascii="宋体" w:hAnsi="宋体"/>
                <w:szCs w:val="24"/>
              </w:rPr>
              <w:t>不允许</w:t>
            </w:r>
          </w:p>
        </w:tc>
      </w:tr>
      <w:tr w14:paraId="59FE2C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36A1C7E2">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3FFBB985">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474903D6">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764022BF">
            <w:pPr>
              <w:spacing w:line="360" w:lineRule="exact"/>
              <w:rPr>
                <w:rFonts w:asciiTheme="minorEastAsia" w:hAnsiTheme="minorEastAsia" w:eastAsiaTheme="minorEastAsia"/>
                <w:szCs w:val="20"/>
              </w:rPr>
            </w:pPr>
            <w:r>
              <w:rPr>
                <w:rFonts w:hint="eastAsia" w:ascii="宋体"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szCs w:val="20"/>
              </w:rPr>
              <w:t>，费用下浮</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u w:val="single"/>
                <w:lang w:val="en-US" w:eastAsia="zh-CN"/>
              </w:rPr>
              <w:t>11</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rPr>
              <w:t>%。</w:t>
            </w:r>
          </w:p>
          <w:p w14:paraId="2BD2E046">
            <w:pPr>
              <w:spacing w:line="360" w:lineRule="exact"/>
              <w:rPr>
                <w:rFonts w:ascii="宋体" w:hAnsi="宋体"/>
              </w:rPr>
            </w:pPr>
            <w:r>
              <w:rPr>
                <w:rFonts w:hint="eastAsia" w:ascii="Times New Roman" w:hAnsi="宋体"/>
                <w:szCs w:val="24"/>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szCs w:val="24"/>
              </w:rPr>
              <w:t>，费用下浮</w:t>
            </w:r>
            <w:r>
              <w:rPr>
                <w:rFonts w:hint="eastAsia" w:asciiTheme="minorEastAsia" w:hAnsiTheme="minorEastAsia" w:eastAsiaTheme="minorEastAsia"/>
                <w:szCs w:val="24"/>
                <w:u w:val="single"/>
              </w:rPr>
              <w:t xml:space="preserve">  0  </w:t>
            </w:r>
            <w:r>
              <w:rPr>
                <w:rFonts w:hint="eastAsia" w:asciiTheme="minorEastAsia" w:hAnsiTheme="minorEastAsia" w:eastAsiaTheme="minorEastAsia"/>
                <w:szCs w:val="24"/>
              </w:rPr>
              <w:t>%，收取</w:t>
            </w:r>
            <w:r>
              <w:rPr>
                <w:rFonts w:hint="eastAsia" w:asciiTheme="minorEastAsia" w:hAnsiTheme="minorEastAsia" w:eastAsiaTheme="minorEastAsia"/>
                <w:szCs w:val="24"/>
                <w:lang w:eastAsia="zh-CN"/>
              </w:rPr>
              <w:t>代理服务费</w:t>
            </w:r>
            <w:r>
              <w:rPr>
                <w:rFonts w:hint="eastAsia" w:asciiTheme="minorEastAsia" w:hAnsiTheme="minorEastAsia" w:eastAsiaTheme="minorEastAsia"/>
                <w:szCs w:val="24"/>
              </w:rPr>
              <w:t>：人民币</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元。</w:t>
            </w:r>
          </w:p>
        </w:tc>
      </w:tr>
      <w:tr w14:paraId="0756A6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6B06AC7E">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17B7E012">
            <w:pPr>
              <w:jc w:val="center"/>
              <w:rPr>
                <w:rFonts w:ascii="宋体" w:hAnsi="宋体"/>
                <w:szCs w:val="24"/>
              </w:rPr>
            </w:pPr>
            <w:r>
              <w:rPr>
                <w:rFonts w:hint="eastAsia" w:ascii="宋体" w:hAnsi="宋体"/>
                <w:szCs w:val="24"/>
              </w:rPr>
              <w:t>履约保证金</w:t>
            </w:r>
          </w:p>
        </w:tc>
        <w:tc>
          <w:tcPr>
            <w:tcW w:w="5400" w:type="dxa"/>
            <w:vAlign w:val="center"/>
          </w:tcPr>
          <w:p w14:paraId="08A5D827">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5A74D67D">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20BC5F63">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6A14B810">
            <w:pPr>
              <w:spacing w:line="360" w:lineRule="exact"/>
              <w:rPr>
                <w:rFonts w:ascii="宋体" w:hAnsi="宋体"/>
              </w:rPr>
            </w:pPr>
            <w:r>
              <w:rPr>
                <w:rFonts w:hint="eastAsia" w:ascii="宋体" w:hAnsi="宋体"/>
                <w:szCs w:val="24"/>
              </w:rPr>
              <w:t>如中标供应商为</w:t>
            </w:r>
            <w:r>
              <w:rPr>
                <w:rFonts w:hint="eastAsia" w:ascii="宋体" w:cs="宋体" w:hAnsiTheme="minorHAnsi"/>
                <w:kern w:val="0"/>
                <w:szCs w:val="21"/>
              </w:rPr>
              <w:t>中小微企业，则收取的履约保证金的数额不得超过政府采购合同金额的</w:t>
            </w:r>
            <w:r>
              <w:rPr>
                <w:rFonts w:ascii="宋体" w:cs="宋体" w:hAnsiTheme="minorHAnsi"/>
                <w:kern w:val="0"/>
                <w:szCs w:val="21"/>
              </w:rPr>
              <w:t>5%</w:t>
            </w:r>
            <w:r>
              <w:rPr>
                <w:rFonts w:hint="eastAsia" w:ascii="宋体" w:cs="宋体" w:hAnsiTheme="minorHAnsi"/>
                <w:kern w:val="0"/>
                <w:szCs w:val="21"/>
              </w:rPr>
              <w:t>。</w:t>
            </w:r>
          </w:p>
        </w:tc>
      </w:tr>
    </w:tbl>
    <w:p w14:paraId="6AEA9746">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76093FB9">
      <w:pPr>
        <w:rPr>
          <w:rFonts w:ascii="Times New Roman" w:hAnsi="Times New Roman"/>
          <w:b/>
          <w:szCs w:val="24"/>
        </w:rPr>
      </w:pPr>
    </w:p>
    <w:p w14:paraId="028B17DD">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8"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38A9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63BC810">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02BA06B2">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67A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2F9AD80">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3E83EB19">
            <w:pPr>
              <w:keepNext/>
              <w:keepLines/>
              <w:tabs>
                <w:tab w:val="left" w:pos="765"/>
              </w:tabs>
              <w:spacing w:line="376" w:lineRule="auto"/>
              <w:outlineLvl w:val="3"/>
              <w:rPr>
                <w:rFonts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r>
    </w:tbl>
    <w:p w14:paraId="6F2A70AF">
      <w:pPr>
        <w:adjustRightInd w:val="0"/>
        <w:snapToGrid w:val="0"/>
        <w:spacing w:line="360" w:lineRule="auto"/>
        <w:ind w:firstLine="482" w:firstLineChars="200"/>
      </w:pPr>
      <w:r>
        <w:rPr>
          <w:rFonts w:hint="eastAsia" w:ascii="黑体"/>
          <w:b/>
          <w:kern w:val="0"/>
          <w:sz w:val="24"/>
        </w:rPr>
        <w:t>注：上表所列内容为不可负偏离的实质性条款。</w:t>
      </w:r>
    </w:p>
    <w:bookmarkEnd w:id="8"/>
    <w:p w14:paraId="4AF4FBA0">
      <w:pPr>
        <w:pStyle w:val="18"/>
        <w:jc w:val="center"/>
        <w:rPr>
          <w:rFonts w:ascii="宋体" w:hAnsi="宋体"/>
          <w:sz w:val="28"/>
          <w:szCs w:val="28"/>
        </w:rPr>
      </w:pPr>
      <w:r>
        <w:rPr>
          <w:rFonts w:hint="eastAsia" w:ascii="宋体" w:hAnsi="宋体"/>
          <w:sz w:val="28"/>
          <w:szCs w:val="28"/>
        </w:rPr>
        <w:t>三、项目概况</w:t>
      </w:r>
    </w:p>
    <w:p w14:paraId="1C3A5D36">
      <w:pPr>
        <w:pStyle w:val="18"/>
      </w:pPr>
      <w:r>
        <w:rPr>
          <w:rFonts w:hint="eastAsia"/>
        </w:rPr>
        <w:t>（一）采购需求</w:t>
      </w:r>
    </w:p>
    <w:tbl>
      <w:tblPr>
        <w:tblStyle w:val="42"/>
        <w:tblW w:w="9796" w:type="dxa"/>
        <w:jc w:val="center"/>
        <w:tblLayout w:type="fixed"/>
        <w:tblCellMar>
          <w:top w:w="15" w:type="dxa"/>
          <w:left w:w="15" w:type="dxa"/>
          <w:bottom w:w="15" w:type="dxa"/>
          <w:right w:w="15" w:type="dxa"/>
        </w:tblCellMar>
      </w:tblPr>
      <w:tblGrid>
        <w:gridCol w:w="866"/>
        <w:gridCol w:w="3685"/>
        <w:gridCol w:w="921"/>
        <w:gridCol w:w="922"/>
        <w:gridCol w:w="1701"/>
        <w:gridCol w:w="1701"/>
      </w:tblGrid>
      <w:tr w14:paraId="1AE102AF">
        <w:tblPrEx>
          <w:tblCellMar>
            <w:top w:w="15" w:type="dxa"/>
            <w:left w:w="15" w:type="dxa"/>
            <w:bottom w:w="15" w:type="dxa"/>
            <w:right w:w="15" w:type="dxa"/>
          </w:tblCellMar>
        </w:tblPrEx>
        <w:trPr>
          <w:trHeight w:val="689" w:hRule="atLeast"/>
          <w:jc w:val="center"/>
        </w:trPr>
        <w:tc>
          <w:tcPr>
            <w:tcW w:w="866" w:type="dxa"/>
            <w:tcBorders>
              <w:top w:val="single" w:color="000000" w:sz="4" w:space="0"/>
              <w:left w:val="single" w:color="000000" w:sz="4" w:space="0"/>
              <w:right w:val="single" w:color="000000" w:sz="4" w:space="0"/>
            </w:tcBorders>
            <w:vAlign w:val="center"/>
          </w:tcPr>
          <w:p w14:paraId="0BE8B4F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0084E9D9">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5DFCB2A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2511962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3130BEC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1403D33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522A4548">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43913CCE">
        <w:tblPrEx>
          <w:tblCellMar>
            <w:top w:w="15" w:type="dxa"/>
            <w:left w:w="15" w:type="dxa"/>
            <w:bottom w:w="15" w:type="dxa"/>
            <w:right w:w="15" w:type="dxa"/>
          </w:tblCellMar>
        </w:tblPrEx>
        <w:trPr>
          <w:trHeight w:val="799" w:hRule="atLeast"/>
          <w:jc w:val="center"/>
        </w:trPr>
        <w:tc>
          <w:tcPr>
            <w:tcW w:w="866" w:type="dxa"/>
            <w:tcBorders>
              <w:top w:val="single" w:color="000000" w:sz="4" w:space="0"/>
              <w:left w:val="single" w:color="000000" w:sz="4" w:space="0"/>
              <w:bottom w:val="single" w:color="000000" w:sz="4" w:space="0"/>
              <w:right w:val="single" w:color="000000" w:sz="4" w:space="0"/>
            </w:tcBorders>
            <w:vAlign w:val="center"/>
          </w:tcPr>
          <w:p w14:paraId="19F27E44">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13A668B5">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eastAsia="宋体" w:cs="宋体"/>
                <w:szCs w:val="21"/>
                <w:lang w:eastAsia="zh-CN"/>
              </w:rPr>
              <w:t>“圳品”申报抽样检测技术服务项目</w:t>
            </w:r>
          </w:p>
        </w:tc>
        <w:tc>
          <w:tcPr>
            <w:tcW w:w="921" w:type="dxa"/>
            <w:tcBorders>
              <w:top w:val="single" w:color="000000" w:sz="4" w:space="0"/>
              <w:left w:val="single" w:color="000000" w:sz="4" w:space="0"/>
              <w:bottom w:val="single" w:color="000000" w:sz="4" w:space="0"/>
              <w:right w:val="single" w:color="000000" w:sz="4" w:space="0"/>
            </w:tcBorders>
            <w:vAlign w:val="center"/>
          </w:tcPr>
          <w:p w14:paraId="526072F1">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362ACABB">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597F422">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cs="宋体"/>
                <w:szCs w:val="21"/>
                <w:lang w:eastAsia="zh-CN"/>
              </w:rPr>
              <w:t>1,200,000.00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54D812B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18F5CDD5">
      <w:pPr>
        <w:pStyle w:val="18"/>
      </w:pPr>
      <w:r>
        <w:rPr>
          <w:rFonts w:hint="eastAsia"/>
        </w:rPr>
        <w:t>（二）</w:t>
      </w:r>
      <w:r>
        <w:rPr>
          <w:rFonts w:hint="eastAsia"/>
          <w:lang w:val="en-US" w:eastAsia="zh-CN"/>
        </w:rPr>
        <w:t>采购项目概况</w:t>
      </w:r>
    </w:p>
    <w:p w14:paraId="27D817AC">
      <w:pPr>
        <w:pStyle w:val="18"/>
        <w:ind w:firstLine="424" w:firstLineChars="202"/>
        <w:rPr>
          <w:b w:val="0"/>
          <w:sz w:val="21"/>
          <w:szCs w:val="21"/>
        </w:rPr>
      </w:pPr>
      <w:r>
        <w:rPr>
          <w:rFonts w:hint="eastAsia"/>
          <w:b w:val="0"/>
          <w:sz w:val="21"/>
          <w:szCs w:val="21"/>
          <w:lang w:val="en-US" w:eastAsia="zh-CN"/>
        </w:rPr>
        <w:t>按照《中共深圳市委办公厅 深圳市人民政府办公厅印发&lt;关于深化改革加强食品安全工作的实施方案&gt;的通知》《深圳市国民经济和社会发展第十四个五年规划和二〇三五年远景目标纲要》《深圳市第七次党代表大会报告》《深圳市人民政府关于印发2026年民生实事项目的通知》系列文件中的部署和要求，聚焦“圳品”标准研制、产品评价、监督检查（指产品获证后的符合性核验）、抽样检测、追溯管理、品质保障、影响力提升、效益评估，引领食品产业发展等工作要求，持续推动“圳品”工程可持续发展，为打造高标准食品城市品牌、全链条保障市民“舌尖上的安全”提供实践范例。</w:t>
      </w:r>
    </w:p>
    <w:p w14:paraId="14A6C2F0">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603E6F07">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62825259">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62073348">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1EE71C2D">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6B94CF40">
      <w:pPr>
        <w:autoSpaceDE w:val="0"/>
        <w:autoSpaceDN w:val="0"/>
        <w:adjustRightInd w:val="0"/>
        <w:spacing w:line="360" w:lineRule="auto"/>
        <w:ind w:firstLine="424" w:firstLineChars="176"/>
        <w:jc w:val="left"/>
        <w:rPr>
          <w:rFonts w:ascii="宋体" w:hAnsi="宋体"/>
          <w:b/>
          <w:bCs/>
          <w:kern w:val="0"/>
          <w:sz w:val="24"/>
          <w:szCs w:val="20"/>
        </w:rPr>
      </w:pPr>
    </w:p>
    <w:p w14:paraId="289BEAEA">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0F996DCC">
      <w:pPr>
        <w:spacing w:line="360" w:lineRule="auto"/>
        <w:ind w:firstLine="420" w:firstLineChars="200"/>
        <w:jc w:val="left"/>
        <w:rPr>
          <w:rFonts w:hint="eastAsia" w:ascii="宋体" w:hAnsi="宋体"/>
          <w:b/>
          <w:bCs/>
          <w:szCs w:val="21"/>
          <w:highlight w:val="yellow"/>
        </w:rPr>
      </w:pPr>
      <w:r>
        <w:rPr>
          <w:rFonts w:hint="eastAsia" w:ascii="宋体" w:hAnsi="宋体"/>
          <w:szCs w:val="21"/>
          <w:highlight w:val="yellow"/>
        </w:rPr>
        <w:t>★</w:t>
      </w:r>
      <w:r>
        <w:rPr>
          <w:rFonts w:hint="eastAsia" w:ascii="宋体" w:hAnsi="宋体"/>
          <w:b/>
          <w:bCs/>
          <w:szCs w:val="21"/>
          <w:highlight w:val="yellow"/>
          <w:lang w:val="en-US" w:eastAsia="zh-CN"/>
        </w:rPr>
        <w:t>1.</w:t>
      </w:r>
      <w:r>
        <w:rPr>
          <w:rFonts w:hint="eastAsia" w:ascii="宋体" w:hAnsi="宋体"/>
          <w:b/>
          <w:bCs/>
          <w:szCs w:val="21"/>
          <w:highlight w:val="yellow"/>
        </w:rPr>
        <w:t>服务总体要求</w:t>
      </w:r>
    </w:p>
    <w:p w14:paraId="1D6DC71B">
      <w:pPr>
        <w:spacing w:line="360" w:lineRule="auto"/>
        <w:ind w:firstLine="424" w:firstLineChars="202"/>
        <w:rPr>
          <w:rFonts w:hint="eastAsia" w:ascii="宋体" w:hAnsi="宋体"/>
          <w:szCs w:val="21"/>
          <w:highlight w:val="yellow"/>
        </w:rPr>
      </w:pPr>
      <w:r>
        <w:rPr>
          <w:rFonts w:hint="eastAsia" w:ascii="宋体" w:hAnsi="宋体"/>
          <w:szCs w:val="21"/>
          <w:highlight w:val="yellow"/>
        </w:rPr>
        <w:t>中标供应商须根据本项目的实际情况，为本项目指定合格的项目负责人，并配备不少于30人的项目团队（含1名项目负责人），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采购人监督，确保项目工作高质量完成。其服务主要内容为在检测资质范围内对申报产品进行抽样、检测工作，组织实施不少于300个申报产品的抽样检测技术服务。</w:t>
      </w:r>
    </w:p>
    <w:p w14:paraId="395099DC">
      <w:pPr>
        <w:spacing w:line="360" w:lineRule="auto"/>
        <w:ind w:firstLine="426" w:firstLineChars="202"/>
        <w:rPr>
          <w:rFonts w:hint="eastAsia" w:ascii="宋体" w:hAnsi="宋体"/>
          <w:b/>
          <w:bCs/>
          <w:szCs w:val="21"/>
        </w:rPr>
      </w:pPr>
      <w:r>
        <w:rPr>
          <w:rFonts w:hint="eastAsia" w:ascii="宋体" w:hAnsi="宋体"/>
          <w:b/>
          <w:bCs/>
          <w:szCs w:val="21"/>
          <w:lang w:val="en-US" w:eastAsia="zh-CN"/>
        </w:rPr>
        <w:t>2.</w:t>
      </w:r>
      <w:r>
        <w:rPr>
          <w:rFonts w:hint="eastAsia" w:ascii="宋体" w:hAnsi="宋体"/>
          <w:b/>
          <w:bCs/>
          <w:szCs w:val="21"/>
        </w:rPr>
        <w:t>服务标的数量和服务需求</w:t>
      </w:r>
    </w:p>
    <w:p w14:paraId="5C1DBA7A">
      <w:pPr>
        <w:spacing w:line="360" w:lineRule="auto"/>
        <w:ind w:firstLine="424" w:firstLineChars="202"/>
        <w:rPr>
          <w:rFonts w:hint="eastAsia" w:ascii="宋体" w:hAnsi="宋体"/>
          <w:szCs w:val="21"/>
        </w:rPr>
      </w:pPr>
      <w:r>
        <w:rPr>
          <w:rFonts w:hint="eastAsia" w:ascii="宋体" w:hAnsi="宋体"/>
          <w:szCs w:val="21"/>
        </w:rPr>
        <w:t>①风险研判</w:t>
      </w:r>
    </w:p>
    <w:p w14:paraId="1132F606">
      <w:pPr>
        <w:spacing w:line="360" w:lineRule="auto"/>
        <w:ind w:firstLine="424" w:firstLineChars="202"/>
        <w:rPr>
          <w:rFonts w:hint="eastAsia" w:ascii="宋体" w:hAnsi="宋体"/>
          <w:szCs w:val="21"/>
        </w:rPr>
      </w:pPr>
      <w:r>
        <w:rPr>
          <w:rFonts w:hint="eastAsia" w:ascii="宋体" w:hAnsi="宋体"/>
          <w:szCs w:val="21"/>
        </w:rPr>
        <w:t>及时发现并对“圳品工程”运行过程中产生的问题作出风险研判，并提出合理化建议，同时对检测过程中发现的企业食品安全风险给予检测意见和风险提示。</w:t>
      </w:r>
    </w:p>
    <w:p w14:paraId="41CFC1BD">
      <w:pPr>
        <w:spacing w:line="360" w:lineRule="auto"/>
        <w:ind w:firstLine="424" w:firstLineChars="202"/>
        <w:rPr>
          <w:rFonts w:hint="eastAsia" w:ascii="宋体" w:hAnsi="宋体"/>
          <w:szCs w:val="21"/>
        </w:rPr>
      </w:pPr>
      <w:r>
        <w:rPr>
          <w:rFonts w:hint="eastAsia" w:ascii="宋体" w:hAnsi="宋体"/>
          <w:szCs w:val="21"/>
        </w:rPr>
        <w:t>②制定申报产品的抽样检测计划</w:t>
      </w:r>
    </w:p>
    <w:p w14:paraId="145F5B2C">
      <w:pPr>
        <w:spacing w:line="360" w:lineRule="auto"/>
        <w:ind w:firstLine="424" w:firstLineChars="202"/>
        <w:rPr>
          <w:rFonts w:hint="eastAsia" w:ascii="宋体" w:hAnsi="宋体"/>
          <w:szCs w:val="21"/>
        </w:rPr>
      </w:pPr>
      <w:r>
        <w:rPr>
          <w:rFonts w:hint="eastAsia" w:ascii="宋体" w:hAnsi="宋体"/>
          <w:szCs w:val="21"/>
        </w:rPr>
        <w:t>根据产品风险等级、全国食品安全风险监测计划、重大食品安全舆情事件以及评价机构现场评价计划，科学确定抽检产品范围、检测指标及抽样方案，并确保检测全流程风险管控。</w:t>
      </w:r>
    </w:p>
    <w:p w14:paraId="1B30675E">
      <w:pPr>
        <w:spacing w:line="360" w:lineRule="auto"/>
        <w:ind w:firstLine="424" w:firstLineChars="202"/>
        <w:rPr>
          <w:rFonts w:hint="eastAsia" w:ascii="宋体" w:hAnsi="宋体"/>
          <w:szCs w:val="21"/>
        </w:rPr>
      </w:pPr>
      <w:r>
        <w:rPr>
          <w:rFonts w:hint="eastAsia" w:ascii="宋体" w:hAnsi="宋体"/>
          <w:szCs w:val="21"/>
        </w:rPr>
        <w:t>③组织实施不少于300个申报产品的抽样检测</w:t>
      </w:r>
    </w:p>
    <w:p w14:paraId="418F2E9C">
      <w:pPr>
        <w:spacing w:line="360" w:lineRule="auto"/>
        <w:ind w:firstLine="424" w:firstLineChars="202"/>
        <w:rPr>
          <w:rFonts w:hint="eastAsia" w:ascii="宋体" w:hAnsi="宋体"/>
          <w:szCs w:val="21"/>
        </w:rPr>
      </w:pPr>
      <w:r>
        <w:rPr>
          <w:rFonts w:hint="eastAsia" w:ascii="宋体" w:hAnsi="宋体"/>
          <w:szCs w:val="21"/>
        </w:rPr>
        <w:t>依据批准的抽样检测计划，在检测资质范围内对申报产品进行抽样、检测工作，组织实施不少于300个申报产品的抽样检测技术服务。</w:t>
      </w:r>
    </w:p>
    <w:p w14:paraId="3C35C35A">
      <w:pPr>
        <w:spacing w:line="360" w:lineRule="auto"/>
        <w:ind w:firstLine="424" w:firstLineChars="202"/>
        <w:rPr>
          <w:rFonts w:hint="eastAsia" w:ascii="宋体" w:hAnsi="宋体"/>
          <w:szCs w:val="21"/>
        </w:rPr>
      </w:pPr>
      <w:r>
        <w:rPr>
          <w:rFonts w:hint="eastAsia" w:ascii="宋体" w:hAnsi="宋体"/>
          <w:szCs w:val="21"/>
        </w:rPr>
        <w:t>④现场抽样</w:t>
      </w:r>
    </w:p>
    <w:p w14:paraId="5DFEF2B5">
      <w:pPr>
        <w:spacing w:line="360" w:lineRule="auto"/>
        <w:ind w:firstLine="424" w:firstLineChars="202"/>
        <w:rPr>
          <w:rFonts w:hint="eastAsia" w:ascii="宋体" w:hAnsi="宋体"/>
          <w:szCs w:val="21"/>
        </w:rPr>
      </w:pPr>
      <w:r>
        <w:rPr>
          <w:rFonts w:hint="eastAsia" w:ascii="宋体" w:hAnsi="宋体"/>
          <w:szCs w:val="21"/>
        </w:rPr>
        <w:t>按照《食品安全抽样检验工作规范》（市监食检发〔2023〕76号），安排人员进行抽样，确保抽样操作规范。</w:t>
      </w:r>
    </w:p>
    <w:p w14:paraId="047180CC">
      <w:pPr>
        <w:spacing w:line="360" w:lineRule="auto"/>
        <w:ind w:firstLine="424" w:firstLineChars="202"/>
        <w:rPr>
          <w:rFonts w:hint="eastAsia" w:ascii="宋体" w:hAnsi="宋体"/>
          <w:szCs w:val="21"/>
        </w:rPr>
      </w:pPr>
      <w:r>
        <w:rPr>
          <w:rFonts w:hint="eastAsia" w:ascii="宋体" w:hAnsi="宋体"/>
          <w:szCs w:val="21"/>
        </w:rPr>
        <w:t>⑤出具检测报告</w:t>
      </w:r>
    </w:p>
    <w:p w14:paraId="41C0D6DD">
      <w:pPr>
        <w:spacing w:line="360" w:lineRule="auto"/>
        <w:ind w:firstLine="424" w:firstLineChars="202"/>
        <w:rPr>
          <w:rFonts w:hint="eastAsia" w:ascii="宋体" w:hAnsi="宋体"/>
          <w:szCs w:val="21"/>
        </w:rPr>
      </w:pPr>
      <w:r>
        <w:rPr>
          <w:rFonts w:hint="eastAsia" w:ascii="宋体" w:hAnsi="宋体"/>
          <w:szCs w:val="21"/>
        </w:rPr>
        <w:t>依照“圳品标准”指标，对企业申报时提交的产品检测报告进行评估分析。依据“圳品”标准《圳品评价细则 食用农产品》《圳品评价细则 预包装食品》对所抽样品进行检测，出具检测报告，并对检测报告的真实性完整性负责，同时对抽检不符合情况进行风险性分析，为“圳品”评价及相关工作提供技术支撑。</w:t>
      </w:r>
    </w:p>
    <w:p w14:paraId="6655079A">
      <w:pPr>
        <w:spacing w:line="360" w:lineRule="auto"/>
        <w:ind w:firstLine="424" w:firstLineChars="202"/>
        <w:rPr>
          <w:rFonts w:hint="eastAsia" w:ascii="宋体" w:hAnsi="宋体"/>
          <w:szCs w:val="21"/>
        </w:rPr>
      </w:pPr>
      <w:r>
        <w:rPr>
          <w:rFonts w:hint="eastAsia" w:ascii="宋体" w:hAnsi="宋体"/>
          <w:szCs w:val="21"/>
        </w:rPr>
        <w:t>⑥抽样检测信息完整记录</w:t>
      </w:r>
    </w:p>
    <w:p w14:paraId="22F9BF3C">
      <w:pPr>
        <w:spacing w:line="360" w:lineRule="auto"/>
        <w:ind w:firstLine="424" w:firstLineChars="202"/>
        <w:rPr>
          <w:rFonts w:hint="eastAsia" w:ascii="宋体" w:hAnsi="宋体"/>
          <w:szCs w:val="21"/>
        </w:rPr>
      </w:pPr>
      <w:r>
        <w:rPr>
          <w:rFonts w:hint="eastAsia" w:ascii="宋体" w:hAnsi="宋体"/>
          <w:szCs w:val="21"/>
        </w:rPr>
        <w:t>将现场抽样、样品封存、样品运输及移交、样品保存、检测报告等抽检全流程信息完整录入。</w:t>
      </w:r>
    </w:p>
    <w:p w14:paraId="5DFE20BC">
      <w:pPr>
        <w:spacing w:line="360" w:lineRule="auto"/>
        <w:ind w:firstLine="424" w:firstLineChars="202"/>
        <w:rPr>
          <w:rFonts w:hint="eastAsia" w:ascii="宋体" w:hAnsi="宋体"/>
          <w:szCs w:val="21"/>
        </w:rPr>
      </w:pPr>
      <w:r>
        <w:rPr>
          <w:rFonts w:hint="eastAsia" w:ascii="宋体" w:hAnsi="宋体"/>
          <w:szCs w:val="21"/>
        </w:rPr>
        <w:t>⑦检测档案提交</w:t>
      </w:r>
    </w:p>
    <w:p w14:paraId="7258FA88">
      <w:pPr>
        <w:spacing w:line="360" w:lineRule="auto"/>
        <w:ind w:firstLine="424" w:firstLineChars="202"/>
        <w:rPr>
          <w:rFonts w:hint="eastAsia" w:ascii="宋体" w:hAnsi="宋体"/>
          <w:szCs w:val="21"/>
        </w:rPr>
      </w:pPr>
      <w:r>
        <w:rPr>
          <w:rFonts w:hint="eastAsia" w:ascii="宋体" w:hAnsi="宋体"/>
          <w:szCs w:val="21"/>
        </w:rPr>
        <w:t>及时完成检测档案的归档和提交，包括依据编码规则汇总电子和纸质档案，确保档案的完整、清晰。</w:t>
      </w:r>
    </w:p>
    <w:p w14:paraId="6407EFC2">
      <w:pPr>
        <w:spacing w:line="360" w:lineRule="auto"/>
        <w:ind w:firstLine="424" w:firstLineChars="202"/>
        <w:rPr>
          <w:rFonts w:hint="eastAsia" w:ascii="宋体" w:hAnsi="宋体"/>
          <w:szCs w:val="21"/>
        </w:rPr>
      </w:pPr>
      <w:r>
        <w:rPr>
          <w:rFonts w:hint="eastAsia" w:ascii="宋体" w:hAnsi="宋体"/>
          <w:szCs w:val="21"/>
        </w:rPr>
        <w:t>⑧购样费用支付</w:t>
      </w:r>
    </w:p>
    <w:p w14:paraId="24FC4CB1">
      <w:pPr>
        <w:spacing w:line="360" w:lineRule="auto"/>
        <w:ind w:firstLine="424" w:firstLineChars="202"/>
        <w:rPr>
          <w:rFonts w:hint="eastAsia" w:ascii="宋体" w:hAnsi="宋体"/>
          <w:szCs w:val="21"/>
        </w:rPr>
      </w:pPr>
      <w:r>
        <w:rPr>
          <w:rFonts w:hint="eastAsia" w:ascii="宋体" w:hAnsi="宋体"/>
          <w:szCs w:val="21"/>
        </w:rPr>
        <w:t>中标单位需自行承担所抽样品的购样费用。</w:t>
      </w:r>
    </w:p>
    <w:p w14:paraId="44F18FA4">
      <w:pPr>
        <w:spacing w:line="360" w:lineRule="auto"/>
        <w:ind w:firstLine="424" w:firstLineChars="202"/>
        <w:rPr>
          <w:rFonts w:hint="eastAsia" w:ascii="宋体" w:hAnsi="宋体"/>
          <w:szCs w:val="21"/>
        </w:rPr>
      </w:pPr>
      <w:r>
        <w:rPr>
          <w:rFonts w:hint="eastAsia" w:ascii="宋体" w:hAnsi="宋体"/>
          <w:szCs w:val="21"/>
        </w:rPr>
        <w:t>⑨材料汇总与梳理</w:t>
      </w:r>
    </w:p>
    <w:p w14:paraId="2162D005">
      <w:pPr>
        <w:spacing w:line="360" w:lineRule="auto"/>
        <w:ind w:firstLine="424" w:firstLineChars="202"/>
        <w:rPr>
          <w:rFonts w:hint="eastAsia" w:ascii="宋体" w:hAnsi="宋体"/>
          <w:szCs w:val="21"/>
        </w:rPr>
      </w:pPr>
      <w:r>
        <w:rPr>
          <w:rFonts w:hint="eastAsia" w:ascii="宋体" w:hAnsi="宋体"/>
          <w:szCs w:val="21"/>
        </w:rPr>
        <w:t>实施申报产品的抽样检测过程中的相关材料、数据等，应及时汇总，完整梳理备查。</w:t>
      </w:r>
    </w:p>
    <w:p w14:paraId="3F0E73DF">
      <w:pPr>
        <w:spacing w:line="360" w:lineRule="auto"/>
        <w:ind w:firstLine="424" w:firstLineChars="202"/>
        <w:rPr>
          <w:rFonts w:hint="eastAsia" w:ascii="宋体" w:hAnsi="宋体"/>
          <w:szCs w:val="21"/>
        </w:rPr>
      </w:pPr>
      <w:r>
        <w:rPr>
          <w:rFonts w:hint="eastAsia" w:ascii="宋体" w:hAnsi="宋体"/>
          <w:szCs w:val="21"/>
        </w:rPr>
        <w:t>⑩样品管理</w:t>
      </w:r>
    </w:p>
    <w:p w14:paraId="0BCDFE4D">
      <w:pPr>
        <w:spacing w:line="360" w:lineRule="auto"/>
        <w:ind w:firstLine="424" w:firstLineChars="202"/>
        <w:rPr>
          <w:rFonts w:hint="eastAsia" w:ascii="宋体" w:hAnsi="宋体"/>
          <w:szCs w:val="21"/>
        </w:rPr>
      </w:pPr>
      <w:r>
        <w:rPr>
          <w:rFonts w:hint="eastAsia" w:ascii="宋体" w:hAnsi="宋体"/>
          <w:szCs w:val="21"/>
        </w:rPr>
        <w:t>按照相关法律法规和标准要求进行样品管理（包含但不限于样品保存、留样和留样期满后处置）</w:t>
      </w:r>
    </w:p>
    <w:p w14:paraId="5D11A89C">
      <w:pPr>
        <w:spacing w:line="360" w:lineRule="auto"/>
        <w:ind w:firstLine="424" w:firstLineChars="202"/>
        <w:rPr>
          <w:rFonts w:hint="eastAsia" w:ascii="宋体" w:hAnsi="宋体"/>
          <w:szCs w:val="21"/>
        </w:rPr>
      </w:pPr>
      <w:r>
        <w:rPr>
          <w:rFonts w:hint="eastAsia" w:ascii="宋体" w:hAnsi="宋体"/>
          <w:szCs w:val="21"/>
        </w:rPr>
        <w:t>⑪参与“专家评审会”“供深食品标准工作委员会”的审议工作</w:t>
      </w:r>
    </w:p>
    <w:p w14:paraId="13324E26">
      <w:pPr>
        <w:spacing w:line="360" w:lineRule="auto"/>
        <w:ind w:firstLine="424" w:firstLineChars="202"/>
        <w:rPr>
          <w:rFonts w:hint="eastAsia" w:ascii="宋体" w:hAnsi="宋体"/>
          <w:szCs w:val="21"/>
        </w:rPr>
      </w:pPr>
      <w:r>
        <w:rPr>
          <w:rFonts w:hint="eastAsia" w:ascii="宋体" w:hAnsi="宋体"/>
          <w:szCs w:val="21"/>
        </w:rPr>
        <w:t>指定对上会产品业务熟练的工作人员，参与“圳品”专家评审会及“供深食品标准工作委员会”会务准备及审议工作，保证上会材料的质量，并对专家或委员会、委员提出的问题，进行专业解答、问题整改及后续完善。</w:t>
      </w:r>
    </w:p>
    <w:p w14:paraId="5A078376">
      <w:pPr>
        <w:spacing w:line="360" w:lineRule="auto"/>
        <w:ind w:firstLine="424" w:firstLineChars="202"/>
        <w:rPr>
          <w:rFonts w:hint="eastAsia" w:ascii="宋体" w:hAnsi="宋体"/>
          <w:szCs w:val="21"/>
        </w:rPr>
      </w:pPr>
      <w:r>
        <w:rPr>
          <w:rFonts w:hint="eastAsia" w:ascii="宋体" w:hAnsi="宋体"/>
          <w:szCs w:val="21"/>
        </w:rPr>
        <w:t>⑫‌建立和运行沟通协同工作机制</w:t>
      </w:r>
    </w:p>
    <w:p w14:paraId="4FACBB81">
      <w:pPr>
        <w:spacing w:line="360" w:lineRule="auto"/>
        <w:ind w:firstLine="424" w:firstLineChars="202"/>
        <w:rPr>
          <w:rFonts w:hint="eastAsia" w:ascii="宋体" w:hAnsi="宋体"/>
          <w:szCs w:val="21"/>
        </w:rPr>
      </w:pPr>
      <w:r>
        <w:rPr>
          <w:rFonts w:hint="eastAsia" w:ascii="宋体" w:hAnsi="宋体"/>
          <w:szCs w:val="21"/>
        </w:rPr>
        <w:t>建立与负责“圳品”申报产品文件评审及现场评价技术机构的常态化沟通机制和协同机制，确认“圳品”申报产品的现场评价工作计划，充分评估申报产品的风险值，同步形成与评价计划相匹配的抽检计划，并反馈至负责文件评审及现场评价的机构，需要协同的环节和点位不能脱节、不能滞后。</w:t>
      </w:r>
    </w:p>
    <w:p w14:paraId="11DB8753">
      <w:pPr>
        <w:keepNext/>
        <w:keepLines/>
        <w:adjustRightInd w:val="0"/>
        <w:spacing w:beforeLines="50" w:afterLines="50"/>
        <w:jc w:val="center"/>
        <w:textAlignment w:val="baseline"/>
        <w:outlineLvl w:val="1"/>
        <w:rPr>
          <w:rFonts w:ascii="宋体" w:hAnsi="宋体"/>
          <w:b/>
          <w:bCs/>
          <w:kern w:val="0"/>
          <w:sz w:val="28"/>
          <w:szCs w:val="28"/>
        </w:rPr>
      </w:pPr>
    </w:p>
    <w:p w14:paraId="7EF2821B">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五、项目商务要求</w:t>
      </w:r>
    </w:p>
    <w:p w14:paraId="27E8A03B">
      <w:pPr>
        <w:spacing w:line="360" w:lineRule="auto"/>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lang w:val="en-US" w:eastAsia="zh-CN"/>
        </w:rPr>
        <w:t>1.</w:t>
      </w:r>
      <w:r>
        <w:rPr>
          <w:rFonts w:hint="eastAsia" w:asciiTheme="minorEastAsia" w:hAnsiTheme="minorEastAsia" w:eastAsiaTheme="minorEastAsia"/>
          <w:b/>
          <w:highlight w:val="yellow"/>
        </w:rPr>
        <w:t>服务期限：</w:t>
      </w:r>
    </w:p>
    <w:p w14:paraId="083E2A14">
      <w:pPr>
        <w:spacing w:line="360" w:lineRule="auto"/>
        <w:ind w:firstLine="422" w:firstLineChars="200"/>
        <w:rPr>
          <w:rFonts w:asciiTheme="minorEastAsia" w:hAnsiTheme="minorEastAsia" w:eastAsiaTheme="minorEastAsia"/>
          <w:b/>
          <w:highlight w:val="yellow"/>
        </w:rPr>
      </w:pPr>
      <w:r>
        <w:rPr>
          <w:rFonts w:hint="eastAsia" w:asciiTheme="minorEastAsia" w:hAnsiTheme="minorEastAsia" w:eastAsiaTheme="minorEastAsia"/>
          <w:b/>
          <w:highlight w:val="yellow"/>
        </w:rPr>
        <w:t>合同签订之日起至2026年12月31日前完成。</w:t>
      </w:r>
    </w:p>
    <w:p w14:paraId="151CBAA0">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2.付款方式</w:t>
      </w:r>
      <w:r>
        <w:rPr>
          <w:rFonts w:hint="eastAsia" w:asciiTheme="minorEastAsia" w:hAnsiTheme="minorEastAsia" w:eastAsiaTheme="minorEastAsia"/>
          <w:b/>
        </w:rPr>
        <w:t>：</w:t>
      </w:r>
    </w:p>
    <w:p w14:paraId="6719511A">
      <w:pPr>
        <w:spacing w:line="360" w:lineRule="auto"/>
        <w:ind w:firstLine="424" w:firstLineChars="202"/>
        <w:rPr>
          <w:rFonts w:asciiTheme="minorEastAsia" w:hAnsiTheme="minorEastAsia" w:eastAsiaTheme="minorEastAsia"/>
          <w:b/>
        </w:rPr>
      </w:pPr>
      <w:r>
        <w:rPr>
          <w:rFonts w:hint="eastAsia" w:ascii="宋体" w:hAnsi="宋体"/>
          <w:szCs w:val="21"/>
        </w:rPr>
        <w:t>分期付款：采购方在合同签订后，且收到中标方提供符合国家财税有关规定发票后10个工作日内支付合同总额的50%作为首期款，余款按进度支付。</w:t>
      </w:r>
    </w:p>
    <w:p w14:paraId="4D9024AE">
      <w:pPr>
        <w:spacing w:line="360" w:lineRule="auto"/>
        <w:jc w:val="left"/>
        <w:rPr>
          <w:rFonts w:ascii="宋体" w:hAnsi="宋体"/>
          <w:b/>
          <w:bCs/>
          <w:szCs w:val="21"/>
        </w:rPr>
      </w:pPr>
      <w:r>
        <w:rPr>
          <w:rFonts w:hint="eastAsia" w:ascii="宋体" w:hAnsi="宋体"/>
          <w:b/>
          <w:bCs/>
          <w:szCs w:val="21"/>
          <w:lang w:val="en-US" w:eastAsia="zh-CN"/>
        </w:rPr>
        <w:t>3.</w:t>
      </w:r>
      <w:r>
        <w:rPr>
          <w:rFonts w:hint="eastAsia" w:ascii="宋体" w:hAnsi="宋体"/>
          <w:b/>
          <w:bCs/>
          <w:szCs w:val="21"/>
        </w:rPr>
        <w:t>报价要求：总价报价：</w:t>
      </w:r>
    </w:p>
    <w:p w14:paraId="2DDC0C71">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固定总价（即供应商进行总价报价）</w:t>
      </w:r>
      <w:r>
        <w:rPr>
          <w:rFonts w:hint="eastAsia" w:ascii="宋体" w:hAnsi="宋体"/>
          <w:szCs w:val="21"/>
          <w:lang w:eastAsia="zh-CN"/>
        </w:rPr>
        <w:t>，</w:t>
      </w:r>
      <w:r>
        <w:rPr>
          <w:rFonts w:hint="eastAsia" w:ascii="宋体" w:hAnsi="宋体"/>
          <w:szCs w:val="21"/>
        </w:rPr>
        <w:t>本项目服务费采用包干制，应包括服务成本、法定税费和利润。由投标人根据采购文件所提供的资料自行测算投标报价；一经中标，报价总作为中标人与采购人签定的合同金额，合同期限内不做调整。</w:t>
      </w:r>
    </w:p>
    <w:p w14:paraId="6DD60DBC">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投标人应当根据本单位的成本、利润、税费等情况自行决定报价。</w:t>
      </w:r>
    </w:p>
    <w:p w14:paraId="47D9D876">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rPr>
        <w:t>投标人的报价不得超过项目预算金额，否则作投标无效处理。</w:t>
      </w:r>
    </w:p>
    <w:p w14:paraId="0B5207C1">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rPr>
        <w:t>投标人的报价，应当是本项目采购范围和采购文件及合同条款上所列的各项内容中所述的全部，不得以任何理由予以重复。</w:t>
      </w:r>
    </w:p>
    <w:p w14:paraId="65002544">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5</w:t>
      </w:r>
      <w:r>
        <w:rPr>
          <w:rFonts w:hint="eastAsia" w:ascii="宋体" w:hAnsi="宋体"/>
          <w:szCs w:val="21"/>
          <w:lang w:eastAsia="zh-CN"/>
        </w:rPr>
        <w:t>）</w:t>
      </w:r>
      <w:r>
        <w:rPr>
          <w:rFonts w:hint="eastAsia" w:ascii="宋体" w:hAnsi="宋体"/>
          <w:szCs w:val="21"/>
        </w:rPr>
        <w:t>除非采购人通过修改采购文件予以更正，否则，投标人应毫无例外地按响应文件所列的清单中项目和数量填报综合单价或合价。投标人未填综合单价或合价的项目，在实施后，将不获得支付，并视作该项费用已包括在其他有价款的综合单价或合价内。</w:t>
      </w:r>
    </w:p>
    <w:p w14:paraId="51A29DB5">
      <w:pPr>
        <w:spacing w:line="360" w:lineRule="auto"/>
        <w:jc w:val="left"/>
      </w:pPr>
      <w:r>
        <w:rPr>
          <w:rFonts w:hint="eastAsia" w:ascii="宋体" w:hAnsi="宋体"/>
          <w:szCs w:val="21"/>
          <w:lang w:eastAsia="zh-CN"/>
        </w:rPr>
        <w:t>（</w:t>
      </w:r>
      <w:r>
        <w:rPr>
          <w:rFonts w:hint="eastAsia" w:ascii="宋体" w:hAnsi="宋体"/>
          <w:szCs w:val="21"/>
          <w:lang w:val="en-US" w:eastAsia="zh-CN"/>
        </w:rPr>
        <w:t>6</w:t>
      </w:r>
      <w:r>
        <w:rPr>
          <w:rFonts w:hint="eastAsia" w:ascii="宋体" w:hAnsi="宋体"/>
          <w:szCs w:val="21"/>
          <w:lang w:eastAsia="zh-CN"/>
        </w:rPr>
        <w:t>）</w:t>
      </w:r>
      <w:r>
        <w:rPr>
          <w:rFonts w:hint="eastAsia" w:ascii="宋体" w:hAnsi="宋体"/>
          <w:szCs w:val="21"/>
        </w:rPr>
        <w:t>投标人不得期望通过索赔等方式获取补偿，否则，除可能遭到拒绝外，还可能将被作为不良行为记录在案，并可能影响其以后参加政府采购的项目投标。各投标人在报价时，应充分考虑报价的风险。</w:t>
      </w:r>
    </w:p>
    <w:p w14:paraId="34EBD9A6">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4.售后服务</w:t>
      </w:r>
      <w:r>
        <w:rPr>
          <w:rFonts w:hint="eastAsia" w:asciiTheme="minorEastAsia" w:hAnsiTheme="minorEastAsia" w:eastAsiaTheme="minorEastAsia"/>
          <w:b/>
        </w:rPr>
        <w:t>：</w:t>
      </w:r>
    </w:p>
    <w:p w14:paraId="5A809094">
      <w:pPr>
        <w:spacing w:line="360" w:lineRule="auto"/>
        <w:ind w:firstLine="420" w:firstLineChars="200"/>
        <w:jc w:val="left"/>
        <w:rPr>
          <w:rFonts w:ascii="宋体" w:hAnsi="宋体"/>
          <w:szCs w:val="21"/>
        </w:rPr>
      </w:pPr>
      <w:r>
        <w:rPr>
          <w:rFonts w:hint="eastAsia" w:ascii="宋体" w:hAnsi="宋体"/>
          <w:szCs w:val="21"/>
        </w:rPr>
        <w:t>中标供应商在服务期满一年内需在采购人有需要时负责对本项目相关情况进行解释、说明，提供相应的修正服务。</w:t>
      </w:r>
    </w:p>
    <w:p w14:paraId="0922A3D1">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5.</w:t>
      </w:r>
      <w:r>
        <w:rPr>
          <w:rFonts w:hint="eastAsia" w:asciiTheme="minorEastAsia" w:hAnsiTheme="minorEastAsia" w:eastAsiaTheme="minorEastAsia"/>
          <w:b/>
        </w:rPr>
        <w:t>合同的变更：</w:t>
      </w:r>
    </w:p>
    <w:p w14:paraId="2A3569F8">
      <w:pPr>
        <w:spacing w:line="360" w:lineRule="auto"/>
        <w:ind w:firstLine="420" w:firstLineChars="200"/>
        <w:jc w:val="left"/>
        <w:rPr>
          <w:rFonts w:ascii="宋体" w:hAnsi="宋体"/>
          <w:szCs w:val="21"/>
        </w:rPr>
      </w:pPr>
      <w:r>
        <w:rPr>
          <w:rFonts w:hint="eastAsia" w:ascii="宋体" w:hAnsi="宋体"/>
          <w:szCs w:val="21"/>
        </w:rPr>
        <w:t>采购人和中标供应商双方不得擅自变更合同；若合同继续履行将损害国家利益和社会公共利益，则双方应当变更合同。</w:t>
      </w:r>
    </w:p>
    <w:p w14:paraId="1DB360F4">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6.</w:t>
      </w:r>
      <w:r>
        <w:rPr>
          <w:rFonts w:hint="eastAsia" w:asciiTheme="minorEastAsia" w:hAnsiTheme="minorEastAsia" w:eastAsiaTheme="minorEastAsia"/>
          <w:b/>
        </w:rPr>
        <w:t>合同解除：</w:t>
      </w:r>
    </w:p>
    <w:p w14:paraId="4E420C1E">
      <w:pPr>
        <w:spacing w:line="288" w:lineRule="auto"/>
        <w:ind w:firstLine="420" w:firstLineChars="200"/>
        <w:rPr>
          <w:rFonts w:ascii="宋体" w:hAnsi="宋体" w:cs="楷体"/>
          <w:bCs/>
          <w:szCs w:val="24"/>
        </w:rPr>
      </w:pPr>
      <w:r>
        <w:rPr>
          <w:rFonts w:hint="eastAsia" w:ascii="宋体" w:hAnsi="宋体" w:cs="楷体"/>
          <w:bCs/>
          <w:szCs w:val="24"/>
        </w:rPr>
        <w:t>经双方协商一致或一方依据本合同第十三条违约责任行使解除权并书面通知对方后，双方合同关系解除，合同终止履行，未履行部分不再履行，已履行部分按合同有关结算及违约赔偿条款处理。</w:t>
      </w:r>
    </w:p>
    <w:p w14:paraId="5311169C">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7.</w:t>
      </w:r>
      <w:r>
        <w:rPr>
          <w:rFonts w:hint="eastAsia" w:asciiTheme="minorEastAsia" w:hAnsiTheme="minorEastAsia" w:eastAsiaTheme="minorEastAsia"/>
          <w:b/>
        </w:rPr>
        <w:t>违约责任：</w:t>
      </w:r>
    </w:p>
    <w:p w14:paraId="3A2F9F88">
      <w:pPr>
        <w:spacing w:line="360" w:lineRule="auto"/>
        <w:ind w:firstLine="420" w:firstLineChars="200"/>
        <w:rPr>
          <w:rFonts w:hint="eastAsia" w:ascii="宋体" w:hAnsi="宋体" w:cs="楷体"/>
          <w:bCs/>
          <w:szCs w:val="24"/>
        </w:rPr>
      </w:pPr>
      <w:r>
        <w:rPr>
          <w:rFonts w:hint="eastAsia" w:ascii="宋体" w:hAnsi="宋体" w:cs="楷体"/>
          <w:bCs/>
          <w:szCs w:val="24"/>
        </w:rPr>
        <w:t>①中标供应商未在约定期限内完成项目内容并提交成果的，每延迟一日按照合同总金额千分之一的标准向采购人支付违约金。延迟超过十日的，采购人有权解除合同并要求中标供应商返还已经支付的款项，未支付的不再支付。</w:t>
      </w:r>
    </w:p>
    <w:p w14:paraId="0EA37D7E">
      <w:pPr>
        <w:spacing w:line="360" w:lineRule="auto"/>
        <w:ind w:firstLine="420" w:firstLineChars="200"/>
        <w:rPr>
          <w:rFonts w:hint="eastAsia" w:ascii="宋体" w:hAnsi="宋体" w:cs="楷体"/>
          <w:bCs/>
          <w:szCs w:val="24"/>
        </w:rPr>
      </w:pPr>
      <w:r>
        <w:rPr>
          <w:rFonts w:hint="eastAsia" w:ascii="宋体" w:hAnsi="宋体" w:cs="楷体"/>
          <w:bCs/>
          <w:szCs w:val="24"/>
        </w:rPr>
        <w:t>②中标供应商交付的成果验收不合格的，经采购人要求整改再次验收仍不合格的或中标供应商提交的成果存在虚假、违法违规、重大错误的，采购人有权立即解除合同、要求中标供应商返还已经支付的款项并支付合同总额20%的违约金。</w:t>
      </w:r>
    </w:p>
    <w:p w14:paraId="727543C0">
      <w:pPr>
        <w:spacing w:line="360" w:lineRule="auto"/>
        <w:ind w:firstLine="420" w:firstLineChars="200"/>
        <w:rPr>
          <w:rFonts w:hint="eastAsia" w:ascii="宋体" w:hAnsi="宋体" w:cs="楷体"/>
          <w:bCs/>
          <w:szCs w:val="24"/>
        </w:rPr>
      </w:pPr>
      <w:r>
        <w:rPr>
          <w:rFonts w:hint="eastAsia" w:ascii="宋体" w:hAnsi="宋体" w:cs="楷体"/>
          <w:bCs/>
          <w:szCs w:val="24"/>
        </w:rPr>
        <w:t>③因中标供应商实施本项目过程中侵犯第三人合法权益或者违约导致采购人承担赔偿责任的，采购人在承担赔偿责任后有权向中标供应商追偿，同时，采购人有权解除合同、要求中标供应商返还已经支付的款项并支付合同总额20%的违约金。</w:t>
      </w:r>
    </w:p>
    <w:p w14:paraId="035C9B2D">
      <w:pPr>
        <w:spacing w:line="360" w:lineRule="auto"/>
        <w:ind w:firstLine="420" w:firstLineChars="200"/>
        <w:rPr>
          <w:rFonts w:hint="eastAsia" w:ascii="宋体" w:hAnsi="宋体" w:cs="楷体"/>
          <w:bCs/>
          <w:szCs w:val="24"/>
        </w:rPr>
      </w:pPr>
      <w:r>
        <w:rPr>
          <w:rFonts w:hint="eastAsia" w:ascii="宋体" w:hAnsi="宋体" w:cs="楷体"/>
          <w:bCs/>
          <w:szCs w:val="24"/>
        </w:rPr>
        <w:t>④中标供应商签订合同后，实际配备的工作人员与投标文件的承诺不一致的，或实施本项目时已不符合招标文件要求的，采购人有权解除合同，并要求中标供应商向采购人支付合同总额20%的违约金。</w:t>
      </w:r>
    </w:p>
    <w:p w14:paraId="61EE4923">
      <w:pPr>
        <w:spacing w:line="360" w:lineRule="auto"/>
        <w:ind w:firstLine="420" w:firstLineChars="200"/>
        <w:rPr>
          <w:rFonts w:hint="eastAsia" w:ascii="宋体" w:hAnsi="宋体" w:cs="楷体"/>
          <w:bCs/>
          <w:szCs w:val="24"/>
        </w:rPr>
      </w:pPr>
      <w:r>
        <w:rPr>
          <w:rFonts w:hint="eastAsia" w:ascii="宋体" w:hAnsi="宋体" w:cs="楷体"/>
          <w:bCs/>
          <w:szCs w:val="24"/>
        </w:rPr>
        <w:t>⑤中标供应商无正当理由解除合同的，应向采购人支付合同总额20%的违约金。</w:t>
      </w:r>
    </w:p>
    <w:p w14:paraId="5D7BE570">
      <w:pPr>
        <w:spacing w:line="360" w:lineRule="auto"/>
        <w:ind w:firstLine="420" w:firstLineChars="200"/>
        <w:rPr>
          <w:rFonts w:ascii="宋体" w:hAnsi="宋体" w:cs="楷体"/>
          <w:bCs/>
          <w:szCs w:val="24"/>
        </w:rPr>
      </w:pPr>
      <w:r>
        <w:rPr>
          <w:rFonts w:hint="eastAsia" w:ascii="宋体" w:hAnsi="宋体" w:cs="楷体"/>
          <w:bCs/>
          <w:szCs w:val="24"/>
        </w:rPr>
        <w:t>⑥中标供应商未经采购人同意，将本合同项目的任务全部或者一部分转包或分包给第三人，采购人有权解除合同、要求中标供应商返还已经支付的款项并支付合同总额20%的违约金。</w:t>
      </w:r>
    </w:p>
    <w:p w14:paraId="3AEA83BF">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8.保密要求：</w:t>
      </w:r>
    </w:p>
    <w:p w14:paraId="329980BD">
      <w:pPr>
        <w:spacing w:line="360" w:lineRule="auto"/>
        <w:ind w:firstLine="420" w:firstLineChars="200"/>
        <w:rPr>
          <w:rFonts w:hint="eastAsia" w:ascii="宋体" w:hAnsi="宋体" w:cs="楷体"/>
          <w:bCs/>
          <w:szCs w:val="24"/>
          <w:lang w:eastAsia="zh-CN"/>
        </w:rPr>
      </w:pPr>
      <w:r>
        <w:rPr>
          <w:rFonts w:hint="eastAsia" w:ascii="宋体" w:hAnsi="宋体" w:cs="楷体"/>
          <w:bCs/>
          <w:szCs w:val="24"/>
        </w:rPr>
        <w:t>采购人和中标供应商双方对知悉对方的财务、技术、专项数据、合同价款、未披露的政策、诉讼方案以及为实施项目提供给对方的文件或信息的内容等负有保密义务。未经信息披露方书面事先同意，不得向本合同以外的任何第三方披露。资料接受方可仅为本合同目的向其确有知悉必要的雇员披露对方提供的保密资料，但同时须指示其雇员遵守本条规定的保密及不披露义务。双方应仅为本合同目的而复制和使用保密资料。合同履行完毕或者终止不视为解除保密义务，双方仍应承担保密义务</w:t>
      </w:r>
      <w:r>
        <w:rPr>
          <w:rFonts w:hint="eastAsia" w:ascii="宋体" w:hAnsi="宋体" w:cs="楷体"/>
          <w:bCs/>
          <w:szCs w:val="24"/>
          <w:lang w:eastAsia="zh-CN"/>
        </w:rPr>
        <w:t>。</w:t>
      </w:r>
    </w:p>
    <w:p w14:paraId="045EBBBA">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9.知识产权：</w:t>
      </w:r>
    </w:p>
    <w:p w14:paraId="4C011122">
      <w:pPr>
        <w:spacing w:line="360" w:lineRule="auto"/>
        <w:ind w:firstLine="420" w:firstLineChars="200"/>
        <w:rPr>
          <w:rFonts w:hint="eastAsia" w:ascii="宋体" w:hAnsi="宋体" w:eastAsia="宋体" w:cs="楷体"/>
          <w:bCs/>
          <w:szCs w:val="24"/>
          <w:lang w:val="en-US" w:eastAsia="zh-CN"/>
        </w:rPr>
      </w:pPr>
      <w:r>
        <w:rPr>
          <w:rFonts w:hint="eastAsia" w:ascii="宋体" w:hAnsi="宋体" w:cs="楷体"/>
          <w:bCs/>
          <w:szCs w:val="24"/>
        </w:rPr>
        <w:t>中标供应商在项目实施过程中不得侵犯第三人知识产权以及其他权益。需要使用第三人知识产权的，中标供应商取得权利人许可或者授权并由中标供应商承担费用。除第三人依法享有知识产权的除外，中标供应商实施本项目所形成成果的知识产权归采购人所有，未经采购人许可，中标供应商不得随意使用</w:t>
      </w:r>
      <w:r>
        <w:rPr>
          <w:rFonts w:hint="eastAsia" w:ascii="宋体" w:hAnsi="宋体" w:cs="楷体"/>
          <w:bCs/>
          <w:szCs w:val="24"/>
          <w:lang w:eastAsia="zh-CN"/>
        </w:rPr>
        <w:t>。</w:t>
      </w:r>
    </w:p>
    <w:p w14:paraId="55D23947">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10.履约验收内容及验收标准：</w:t>
      </w:r>
    </w:p>
    <w:p w14:paraId="6C2D0E7A">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①提交项目完成情况总结报告，电子版1份，纸质版1份；</w:t>
      </w:r>
    </w:p>
    <w:p w14:paraId="64235F67">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②提交不少于300个产品检测报告。</w:t>
      </w:r>
    </w:p>
    <w:p w14:paraId="5A0F1A3B">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11.</w:t>
      </w:r>
      <w:r>
        <w:rPr>
          <w:rFonts w:hint="eastAsia" w:asciiTheme="minorEastAsia" w:hAnsiTheme="minorEastAsia" w:eastAsiaTheme="minorEastAsia"/>
          <w:b/>
        </w:rPr>
        <w:t>服务地点：</w:t>
      </w:r>
    </w:p>
    <w:p w14:paraId="6548818A">
      <w:pPr>
        <w:spacing w:line="360" w:lineRule="auto"/>
        <w:ind w:firstLine="424" w:firstLineChars="202"/>
        <w:rPr>
          <w:rFonts w:asciiTheme="minorEastAsia" w:hAnsiTheme="minorEastAsia" w:eastAsiaTheme="minorEastAsia"/>
          <w:b/>
        </w:rPr>
      </w:pPr>
      <w:r>
        <w:rPr>
          <w:rFonts w:hint="eastAsia" w:ascii="宋体" w:hAnsi="宋体"/>
          <w:szCs w:val="21"/>
        </w:rPr>
        <w:t>深圳市。</w:t>
      </w:r>
    </w:p>
    <w:p w14:paraId="4F67ADD0">
      <w:pPr>
        <w:spacing w:beforeLines="25" w:afterLines="25"/>
        <w:rPr>
          <w:rFonts w:ascii="宋体" w:hAnsi="宋体"/>
          <w:szCs w:val="21"/>
        </w:rPr>
      </w:pPr>
    </w:p>
    <w:p w14:paraId="0846D262">
      <w:pPr>
        <w:keepNext/>
        <w:keepLines/>
        <w:widowControl w:val="0"/>
        <w:suppressLineNumbers w:val="0"/>
        <w:adjustRightInd w:val="0"/>
        <w:spacing w:before="0" w:beforeLines="50" w:beforeAutospacing="0" w:after="0" w:afterLines="50" w:afterAutospacing="0"/>
        <w:ind w:left="0" w:right="0"/>
        <w:jc w:val="center"/>
        <w:textAlignment w:val="baseline"/>
        <w:outlineLvl w:val="1"/>
        <w:rPr>
          <w:rFonts w:hint="eastAsia" w:ascii="宋体" w:hAnsi="宋体" w:eastAsia="宋体" w:cs="Times New Roman"/>
          <w:b/>
          <w:bCs/>
          <w:kern w:val="0"/>
          <w:sz w:val="28"/>
          <w:szCs w:val="28"/>
          <w:vertAlign w:val="baseline"/>
        </w:rPr>
      </w:pPr>
      <w:r>
        <w:rPr>
          <w:rFonts w:hint="eastAsia" w:ascii="宋体" w:hAnsi="宋体" w:cs="宋体"/>
          <w:b/>
          <w:bCs/>
          <w:kern w:val="0"/>
          <w:sz w:val="28"/>
          <w:szCs w:val="28"/>
          <w:vertAlign w:val="baseline"/>
          <w:lang w:val="en-US" w:eastAsia="zh-CN" w:bidi="ar"/>
        </w:rPr>
        <w:t>六</w:t>
      </w:r>
      <w:r>
        <w:rPr>
          <w:rFonts w:hint="eastAsia" w:ascii="宋体" w:hAnsi="宋体" w:eastAsia="宋体" w:cs="宋体"/>
          <w:b/>
          <w:bCs/>
          <w:kern w:val="0"/>
          <w:sz w:val="28"/>
          <w:szCs w:val="28"/>
          <w:vertAlign w:val="baseline"/>
          <w:lang w:val="en-US" w:eastAsia="zh-CN" w:bidi="ar"/>
        </w:rPr>
        <w:t>、投标/响应方案要求</w:t>
      </w:r>
    </w:p>
    <w:p w14:paraId="7A41F24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投标人应在满足★必备指标项要求的前提下，根据项目特点和采购需求，制定以下更为完整、详细、可操作性强的方案。</w:t>
      </w:r>
    </w:p>
    <w:p w14:paraId="1369AC9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（一）提供项目</w:t>
      </w:r>
      <w:r>
        <w:rPr>
          <w:rFonts w:hint="eastAsia" w:ascii="宋体" w:hAnsi="宋体" w:cs="宋体"/>
          <w:szCs w:val="21"/>
        </w:rPr>
        <w:t>实施方案</w:t>
      </w:r>
      <w:r>
        <w:rPr>
          <w:rFonts w:hint="eastAsia" w:ascii="宋体" w:hAnsi="宋体" w:eastAsia="宋体" w:cs="宋体"/>
          <w:kern w:val="2"/>
          <w:sz w:val="21"/>
          <w:szCs w:val="21"/>
          <w:lang w:val="en-US" w:eastAsia="zh-CN" w:bidi="ar"/>
        </w:rPr>
        <w:t>，内容包含但不限于：</w:t>
      </w:r>
    </w:p>
    <w:p w14:paraId="1DF345C6">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1.检测工作流程和工作制度；</w:t>
      </w:r>
    </w:p>
    <w:p w14:paraId="6630A037">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2.制定检测计划和风险管控；</w:t>
      </w:r>
    </w:p>
    <w:p w14:paraId="1528AB1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3.抽样方案；</w:t>
      </w:r>
    </w:p>
    <w:p w14:paraId="6CF037B6">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4.检验方案；</w:t>
      </w:r>
    </w:p>
    <w:p w14:paraId="529BEC21">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5.报告判定原则；</w:t>
      </w:r>
    </w:p>
    <w:p w14:paraId="72904E3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6.结果报送要求；</w:t>
      </w:r>
    </w:p>
    <w:p w14:paraId="7104D45A">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7.异议及后处理；</w:t>
      </w:r>
    </w:p>
    <w:p w14:paraId="760344C3">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8.检验过程的质量控制体系及方法；</w:t>
      </w:r>
    </w:p>
    <w:p w14:paraId="61FEBD60">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9.应急预案；</w:t>
      </w:r>
    </w:p>
    <w:p w14:paraId="46E2D2AA">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10.后续服务（含数据录入、统计分析报告）等相关内容。</w:t>
      </w:r>
    </w:p>
    <w:p w14:paraId="5FCAC11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（二）提供</w:t>
      </w:r>
      <w:r>
        <w:rPr>
          <w:rFonts w:hint="eastAsia" w:ascii="宋体" w:hAnsi="宋体" w:cs="宋体"/>
          <w:szCs w:val="21"/>
        </w:rPr>
        <w:t>项目重点难点分析、应对措施及相关的合理化建议</w:t>
      </w:r>
      <w:r>
        <w:rPr>
          <w:rFonts w:hint="eastAsia" w:ascii="宋体" w:hAnsi="宋体" w:eastAsia="宋体" w:cs="宋体"/>
          <w:kern w:val="2"/>
          <w:sz w:val="21"/>
          <w:szCs w:val="21"/>
          <w:lang w:val="en-US" w:eastAsia="zh-CN" w:bidi="ar"/>
        </w:rPr>
        <w:t>，内容包含但不限于：</w:t>
      </w:r>
    </w:p>
    <w:p w14:paraId="6EEF042B">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1.项目重点难点分析（包括但不限于对项目实施相关政策文件的准确性把握、沟通协调、组织活动、数据整理等）；</w:t>
      </w:r>
    </w:p>
    <w:p w14:paraId="3D5E5BEB">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2.项目重点难点应对措施（根据对项目重点难点、 “圳品”工程工作机制、操作流程、潜在风险点的分析结果制定相应的工作规划及应对措施）；</w:t>
      </w:r>
    </w:p>
    <w:p w14:paraId="5737E662">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3.项目重点难点相关合理化建议（对中标后，开展本项目相关工作的时序安排、风险点控制、制度运行规则以及存在的隐患等后续工作提出建议和应对措施）。</w:t>
      </w:r>
    </w:p>
    <w:p w14:paraId="59EB4821">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w:t>
      </w:r>
      <w:r>
        <w:rPr>
          <w:rFonts w:hint="eastAsia" w:ascii="宋体" w:hAnsi="宋体" w:cs="宋体"/>
          <w:kern w:val="2"/>
          <w:sz w:val="21"/>
          <w:szCs w:val="21"/>
          <w:lang w:val="en-US" w:eastAsia="zh-CN" w:bidi="ar"/>
        </w:rPr>
        <w:t>三</w:t>
      </w:r>
      <w:r>
        <w:rPr>
          <w:rFonts w:hint="eastAsia" w:ascii="宋体" w:hAnsi="宋体" w:eastAsia="宋体" w:cs="宋体"/>
          <w:kern w:val="2"/>
          <w:sz w:val="21"/>
          <w:szCs w:val="21"/>
          <w:lang w:val="en-US" w:eastAsia="zh-CN" w:bidi="ar"/>
        </w:rPr>
        <w:t>）提供</w:t>
      </w:r>
      <w:r>
        <w:rPr>
          <w:rFonts w:hint="eastAsia" w:ascii="宋体" w:hAnsi="宋体" w:cs="宋体"/>
          <w:szCs w:val="21"/>
        </w:rPr>
        <w:t>质量（完成时间、安全、环保）保障措施及方案</w:t>
      </w:r>
      <w:r>
        <w:rPr>
          <w:rFonts w:hint="eastAsia" w:ascii="宋体" w:hAnsi="宋体" w:eastAsia="宋体" w:cs="宋体"/>
          <w:kern w:val="2"/>
          <w:sz w:val="21"/>
          <w:szCs w:val="21"/>
          <w:lang w:val="en-US" w:eastAsia="zh-CN" w:bidi="ar"/>
        </w:rPr>
        <w:t>，内容包含但不限于：</w:t>
      </w:r>
    </w:p>
    <w:p w14:paraId="24A118D5">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1.保障项目质量的人力资源方案;</w:t>
      </w:r>
    </w:p>
    <w:p w14:paraId="3F7CF645">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2.保障项目质量的设备、技术等资源方案；</w:t>
      </w:r>
    </w:p>
    <w:p w14:paraId="59708B7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3.保障项目质量的内部监督工作方案；</w:t>
      </w:r>
    </w:p>
    <w:p w14:paraId="5CA5F496">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4.保障项目质量的紧急资源调配以及应急响应工作方案；</w:t>
      </w:r>
    </w:p>
    <w:p w14:paraId="76C76D5D">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5.保障项目质量的安全措施（包括但不限于舆情处置、突发情况处理、数据安全、操作安全等内容）。</w:t>
      </w:r>
    </w:p>
    <w:p w14:paraId="7008324F">
      <w:pPr>
        <w:keepNext w:val="0"/>
        <w:keepLines w:val="0"/>
        <w:widowControl w:val="0"/>
        <w:suppressLineNumbers w:val="0"/>
        <w:spacing w:before="0" w:beforeAutospacing="0" w:after="0" w:afterAutospacing="0" w:line="360" w:lineRule="auto"/>
        <w:ind w:left="0" w:leftChars="0" w:right="0" w:firstLine="420" w:firstLineChars="200"/>
        <w:jc w:val="left"/>
        <w:rPr>
          <w:rFonts w:ascii="宋体" w:hAnsi="宋体"/>
          <w:szCs w:val="21"/>
        </w:rPr>
      </w:pPr>
      <w:r>
        <w:rPr>
          <w:rFonts w:ascii="宋体" w:hAnsi="宋体"/>
          <w:szCs w:val="21"/>
        </w:rPr>
        <w:br w:type="page"/>
      </w:r>
    </w:p>
    <w:p w14:paraId="492CD520">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202D33FA">
      <w:pPr>
        <w:rPr>
          <w:rFonts w:ascii="Times New Roman" w:hAnsi="Times New Roman"/>
          <w:b/>
          <w:bCs/>
          <w:sz w:val="24"/>
          <w:szCs w:val="32"/>
        </w:rPr>
      </w:pPr>
      <w:r>
        <w:rPr>
          <w:rFonts w:hint="eastAsia" w:ascii="Times New Roman" w:hAnsi="Times New Roman"/>
          <w:b/>
          <w:bCs/>
          <w:sz w:val="24"/>
          <w:szCs w:val="32"/>
        </w:rPr>
        <w:t>特别提醒：</w:t>
      </w:r>
    </w:p>
    <w:p w14:paraId="74EDECB6">
      <w:pPr>
        <w:rPr>
          <w:rFonts w:ascii="Times New Roman" w:hAnsi="Times New Roman"/>
          <w:b/>
          <w:bCs/>
          <w:sz w:val="24"/>
          <w:szCs w:val="32"/>
        </w:rPr>
      </w:pPr>
    </w:p>
    <w:p w14:paraId="3A16F6BE">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354AACC0">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16F2548A">
      <w:pPr>
        <w:widowControl/>
        <w:jc w:val="center"/>
        <w:rPr>
          <w:rFonts w:ascii="宋体" w:hAnsi="宋体" w:cs="宋体" w:eastAsiaTheme="minorEastAsia"/>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6230"/>
            <wp:effectExtent l="0" t="0" r="0" b="0"/>
            <wp:docPr id="2"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图形用户界面, 应用程序&#10;&#10;描述已自动生成"/>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78755" cy="4126230"/>
                    </a:xfrm>
                    <a:prstGeom prst="rect">
                      <a:avLst/>
                    </a:prstGeom>
                    <a:noFill/>
                    <a:ln>
                      <a:noFill/>
                    </a:ln>
                  </pic:spPr>
                </pic:pic>
              </a:graphicData>
            </a:graphic>
          </wp:inline>
        </w:drawing>
      </w:r>
    </w:p>
    <w:p w14:paraId="3C8CCC59">
      <w:pPr>
        <w:widowControl/>
        <w:jc w:val="center"/>
        <w:rPr>
          <w:rFonts w:ascii="仿宋_GB2312" w:hAnsi="Times New Roman" w:eastAsia="仿宋_GB2312"/>
          <w:kern w:val="0"/>
          <w:sz w:val="24"/>
          <w:szCs w:val="24"/>
          <w:highlight w:val="green"/>
        </w:rPr>
      </w:pPr>
    </w:p>
    <w:p w14:paraId="6FBBADD0">
      <w:pPr>
        <w:widowControl/>
        <w:ind w:firstLine="480" w:firstLineChars="200"/>
        <w:jc w:val="left"/>
        <w:rPr>
          <w:rFonts w:ascii="仿宋_GB2312" w:hAnsi="Times New Roman" w:eastAsia="仿宋_GB2312"/>
          <w:b/>
          <w:kern w:val="0"/>
          <w:sz w:val="24"/>
          <w:szCs w:val="24"/>
        </w:rPr>
      </w:pPr>
      <w:bookmarkStart w:id="9"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9"/>
    <w:p w14:paraId="40A04506">
      <w:pPr>
        <w:rPr>
          <w:rFonts w:ascii="仿宋_GB2312" w:hAnsi="Times New Roman" w:eastAsia="仿宋_GB2312"/>
          <w:sz w:val="24"/>
          <w:szCs w:val="24"/>
        </w:rPr>
      </w:pPr>
    </w:p>
    <w:p w14:paraId="72ED782D">
      <w:pPr>
        <w:rPr>
          <w:rFonts w:hint="eastAsia" w:ascii="宋体" w:hAnsi="宋体"/>
          <w:sz w:val="24"/>
        </w:rPr>
      </w:pPr>
      <w:r>
        <w:rPr>
          <w:rFonts w:hint="eastAsia" w:ascii="宋体" w:hAnsi="宋体"/>
          <w:sz w:val="24"/>
        </w:rPr>
        <w:br w:type="page"/>
      </w:r>
    </w:p>
    <w:p w14:paraId="0CE16D0E">
      <w:pPr>
        <w:rPr>
          <w:rFonts w:hint="eastAsia" w:ascii="宋体" w:hAnsi="宋体"/>
          <w:sz w:val="24"/>
        </w:rPr>
      </w:pPr>
      <w:r>
        <w:rPr>
          <w:rFonts w:hint="eastAsia" w:ascii="宋体" w:hAnsi="宋体"/>
          <w:sz w:val="24"/>
        </w:rPr>
        <w:t>投标文件组成：</w:t>
      </w:r>
    </w:p>
    <w:p w14:paraId="46739B78">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14356E41">
      <w:pPr>
        <w:rPr>
          <w:rFonts w:hint="eastAsia" w:ascii="宋体" w:hAnsi="宋体"/>
          <w:sz w:val="24"/>
          <w:lang w:eastAsia="zh-CN"/>
        </w:rPr>
      </w:pPr>
    </w:p>
    <w:p w14:paraId="208BEAA7">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0FD27116">
      <w:pPr>
        <w:spacing w:beforeLines="25" w:afterLines="25"/>
        <w:ind w:firstLine="991" w:firstLineChars="472"/>
        <w:rPr>
          <w:rFonts w:ascii="宋体" w:hAnsi="宋体"/>
          <w:szCs w:val="21"/>
        </w:rPr>
      </w:pPr>
      <w:r>
        <w:rPr>
          <w:rFonts w:hint="eastAsia" w:ascii="宋体" w:hAnsi="宋体"/>
          <w:szCs w:val="21"/>
        </w:rPr>
        <w:t>（1）投标函</w:t>
      </w:r>
    </w:p>
    <w:p w14:paraId="30AEC3B4">
      <w:pPr>
        <w:spacing w:beforeLines="25" w:afterLines="25"/>
        <w:ind w:firstLine="991" w:firstLineChars="472"/>
        <w:rPr>
          <w:rFonts w:ascii="宋体" w:hAnsi="宋体"/>
          <w:szCs w:val="21"/>
        </w:rPr>
      </w:pPr>
      <w:r>
        <w:rPr>
          <w:rFonts w:hint="eastAsia" w:ascii="宋体" w:hAnsi="宋体"/>
          <w:szCs w:val="21"/>
        </w:rPr>
        <w:t>（2）资格响应文件</w:t>
      </w:r>
    </w:p>
    <w:p w14:paraId="1116B9B1">
      <w:pPr>
        <w:spacing w:beforeLines="25" w:afterLines="25"/>
        <w:ind w:firstLine="991" w:firstLineChars="472"/>
        <w:rPr>
          <w:rFonts w:ascii="宋体" w:hAnsi="宋体"/>
          <w:szCs w:val="21"/>
        </w:rPr>
      </w:pPr>
      <w:r>
        <w:rPr>
          <w:rFonts w:hint="eastAsia" w:ascii="宋体" w:hAnsi="宋体"/>
          <w:szCs w:val="21"/>
        </w:rPr>
        <w:t>（3）投标人情况介绍</w:t>
      </w:r>
    </w:p>
    <w:p w14:paraId="7935157C">
      <w:pPr>
        <w:spacing w:beforeLines="25" w:afterLines="25"/>
        <w:ind w:firstLine="991" w:firstLineChars="472"/>
        <w:rPr>
          <w:rFonts w:hint="eastAsia" w:ascii="宋体" w:hAnsi="宋体"/>
          <w:szCs w:val="21"/>
        </w:rPr>
      </w:pPr>
      <w:r>
        <w:rPr>
          <w:rFonts w:hint="eastAsia" w:ascii="宋体" w:hAnsi="宋体"/>
          <w:szCs w:val="21"/>
        </w:rPr>
        <w:t>（4）中小企业声明函等符合政府采购扶持政策的证明材料</w:t>
      </w:r>
    </w:p>
    <w:p w14:paraId="1A2768EF">
      <w:pPr>
        <w:spacing w:beforeLines="25" w:afterLines="25"/>
        <w:ind w:firstLine="991" w:firstLineChars="472"/>
        <w:rPr>
          <w:rFonts w:hint="eastAsia" w:asciiTheme="minorEastAsia" w:hAnsiTheme="minorEastAsia" w:eastAsiaTheme="minorEastAsia"/>
          <w:szCs w:val="21"/>
          <w:lang w:eastAsia="zh-CN"/>
        </w:rPr>
      </w:pP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lang w:val="en-US" w:eastAsia="zh-CN"/>
        </w:rPr>
        <w:t>5</w:t>
      </w:r>
      <w:r>
        <w:rPr>
          <w:rFonts w:hint="eastAsia" w:cs="仿宋" w:asciiTheme="minorEastAsia" w:hAnsiTheme="minorEastAsia" w:eastAsiaTheme="minorEastAsia"/>
          <w:szCs w:val="21"/>
          <w:lang w:eastAsia="zh-CN"/>
        </w:rPr>
        <w:t>）</w:t>
      </w:r>
      <w:r>
        <w:rPr>
          <w:rFonts w:hint="eastAsia" w:ascii="宋体" w:hAnsi="宋体"/>
          <w:szCs w:val="21"/>
        </w:rPr>
        <w:t>供应商认证情况</w:t>
      </w:r>
    </w:p>
    <w:p w14:paraId="032707D5">
      <w:pPr>
        <w:spacing w:beforeLines="25" w:afterLines="25"/>
        <w:ind w:firstLine="991" w:firstLineChars="472"/>
        <w:rPr>
          <w:rFonts w:hint="eastAsia" w:ascii="宋体" w:hAnsi="宋体" w:cs="宋体"/>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lang w:eastAsia="zh-CN"/>
        </w:rPr>
        <w:t>）供应商综合实力情况</w:t>
      </w:r>
    </w:p>
    <w:p w14:paraId="4FD17E75">
      <w:pPr>
        <w:spacing w:beforeLines="25" w:afterLines="25"/>
        <w:ind w:firstLine="991" w:firstLineChars="472"/>
        <w:rPr>
          <w:rFonts w:hint="eastAsia" w:ascii="宋体" w:hAnsi="宋体" w:cs="宋体"/>
          <w:szCs w:val="21"/>
          <w:lang w:eastAsia="zh-CN"/>
        </w:rPr>
      </w:pPr>
      <w:r>
        <w:rPr>
          <w:rFonts w:hint="eastAsia" w:ascii="宋体" w:hAnsi="宋体" w:cs="宋体"/>
          <w:szCs w:val="21"/>
          <w:lang w:eastAsia="zh-CN"/>
        </w:rPr>
        <w:t>（</w:t>
      </w:r>
      <w:r>
        <w:rPr>
          <w:rFonts w:hint="eastAsia" w:ascii="宋体" w:hAnsi="宋体" w:cs="宋体"/>
          <w:szCs w:val="21"/>
          <w:lang w:val="en-US" w:eastAsia="zh-CN"/>
        </w:rPr>
        <w:t>7</w:t>
      </w:r>
      <w:r>
        <w:rPr>
          <w:rFonts w:hint="eastAsia" w:ascii="宋体" w:hAnsi="宋体" w:cs="宋体"/>
          <w:szCs w:val="21"/>
          <w:lang w:eastAsia="zh-CN"/>
        </w:rPr>
        <w:t>）供应商获奖情况</w:t>
      </w:r>
    </w:p>
    <w:p w14:paraId="45969B51">
      <w:pPr>
        <w:spacing w:beforeLines="25" w:afterLines="25"/>
        <w:ind w:firstLine="991" w:firstLineChars="472"/>
        <w:rPr>
          <w:rFonts w:hint="eastAsia" w:ascii="宋体" w:hAnsi="宋体" w:cs="宋体"/>
          <w:szCs w:val="21"/>
          <w:lang w:eastAsia="zh-CN"/>
        </w:rPr>
      </w:pPr>
      <w:r>
        <w:rPr>
          <w:rFonts w:hint="eastAsia" w:ascii="宋体" w:hAnsi="宋体" w:cs="宋体"/>
          <w:szCs w:val="21"/>
          <w:lang w:eastAsia="zh-CN"/>
        </w:rPr>
        <w:t>（</w:t>
      </w:r>
      <w:r>
        <w:rPr>
          <w:rFonts w:hint="eastAsia" w:ascii="宋体" w:hAnsi="宋体" w:cs="宋体"/>
          <w:szCs w:val="21"/>
          <w:lang w:val="en-US" w:eastAsia="zh-CN"/>
        </w:rPr>
        <w:t>8</w:t>
      </w:r>
      <w:r>
        <w:rPr>
          <w:rFonts w:hint="eastAsia" w:ascii="宋体" w:hAnsi="宋体" w:cs="宋体"/>
          <w:szCs w:val="21"/>
          <w:lang w:eastAsia="zh-CN"/>
        </w:rPr>
        <w:t>）供应商自主知识产权产品（创新、设计）情况</w:t>
      </w:r>
    </w:p>
    <w:p w14:paraId="0B41693F">
      <w:pPr>
        <w:ind w:firstLine="424" w:firstLineChars="202"/>
        <w:rPr>
          <w:rFonts w:ascii="宋体" w:hAnsi="宋体"/>
          <w:szCs w:val="21"/>
        </w:rPr>
      </w:pPr>
    </w:p>
    <w:p w14:paraId="45BF629C">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6E7F81BF">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）政府采购违法行为风险知悉确认书</w:t>
      </w:r>
    </w:p>
    <w:p w14:paraId="102712D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）法定代表人（负责人）资格证明书</w:t>
      </w:r>
    </w:p>
    <w:p w14:paraId="0E4EFEF2">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）投标文件签署授权委托书</w:t>
      </w:r>
    </w:p>
    <w:p w14:paraId="03E6888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12</w:t>
      </w:r>
      <w:r>
        <w:rPr>
          <w:rFonts w:hint="eastAsia" w:ascii="宋体" w:hAnsi="宋体"/>
          <w:szCs w:val="21"/>
        </w:rPr>
        <w:t>）实质性条款响应情况表</w:t>
      </w:r>
    </w:p>
    <w:p w14:paraId="54BA63FE">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13</w:t>
      </w:r>
      <w:r>
        <w:rPr>
          <w:rFonts w:hint="eastAsia" w:ascii="宋体" w:hAnsi="宋体"/>
          <w:szCs w:val="21"/>
        </w:rPr>
        <w:t>）详细分项报价清单</w:t>
      </w:r>
    </w:p>
    <w:p w14:paraId="45F6EFE0">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14</w:t>
      </w:r>
      <w:r>
        <w:rPr>
          <w:rFonts w:hint="eastAsia" w:ascii="宋体" w:hAnsi="宋体"/>
          <w:szCs w:val="21"/>
        </w:rPr>
        <w:t>）服务要求</w:t>
      </w:r>
      <w:r>
        <w:rPr>
          <w:rFonts w:ascii="宋体" w:hAnsi="宋体"/>
          <w:szCs w:val="21"/>
        </w:rPr>
        <w:t>偏离表</w:t>
      </w:r>
    </w:p>
    <w:p w14:paraId="43DC5094">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15</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65B81F51">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16</w:t>
      </w:r>
      <w:r>
        <w:rPr>
          <w:rFonts w:hint="eastAsia" w:ascii="宋体" w:hAnsi="宋体" w:cs="宋体"/>
          <w:szCs w:val="21"/>
          <w:lang w:eastAsia="zh-CN"/>
        </w:rPr>
        <w:t>）</w:t>
      </w:r>
      <w:r>
        <w:rPr>
          <w:rFonts w:hint="eastAsia" w:ascii="宋体" w:hAnsi="宋体" w:cs="宋体"/>
          <w:szCs w:val="21"/>
        </w:rPr>
        <w:t>实施方案</w:t>
      </w:r>
    </w:p>
    <w:p w14:paraId="2E1F42DB">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17</w:t>
      </w:r>
      <w:r>
        <w:rPr>
          <w:rFonts w:hint="eastAsia" w:ascii="宋体" w:hAnsi="宋体" w:cs="宋体"/>
          <w:szCs w:val="21"/>
          <w:lang w:eastAsia="zh-CN"/>
        </w:rPr>
        <w:t>）</w:t>
      </w:r>
      <w:r>
        <w:rPr>
          <w:rFonts w:hint="eastAsia" w:ascii="宋体" w:hAnsi="宋体" w:cs="宋体"/>
          <w:bCs/>
          <w:szCs w:val="21"/>
        </w:rPr>
        <w:t>项目重点难点分析、应对措施及相关的合理化建议</w:t>
      </w:r>
    </w:p>
    <w:p w14:paraId="3F6B0163">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17</w:t>
      </w:r>
      <w:r>
        <w:rPr>
          <w:rFonts w:hint="eastAsia" w:ascii="宋体" w:hAnsi="宋体" w:cs="宋体"/>
          <w:szCs w:val="21"/>
          <w:lang w:eastAsia="zh-CN"/>
        </w:rPr>
        <w:t>）</w:t>
      </w:r>
      <w:r>
        <w:rPr>
          <w:rFonts w:hint="eastAsia" w:ascii="宋体" w:hAnsi="宋体" w:cs="宋体"/>
          <w:szCs w:val="21"/>
        </w:rPr>
        <w:t>质量（完成时间、安全、环保）保障措施及方案</w:t>
      </w:r>
    </w:p>
    <w:p w14:paraId="4FEE34E9">
      <w:pPr>
        <w:spacing w:beforeLines="25" w:afterLines="25"/>
        <w:ind w:firstLine="991" w:firstLineChars="472"/>
        <w:rPr>
          <w:rFonts w:hint="eastAsia" w:ascii="宋体" w:hAnsi="宋体" w:cs="宋体"/>
          <w:bCs/>
          <w:szCs w:val="21"/>
        </w:rPr>
      </w:pPr>
      <w:r>
        <w:rPr>
          <w:rFonts w:hint="eastAsia" w:ascii="宋体" w:hAnsi="宋体" w:cs="宋体"/>
          <w:szCs w:val="21"/>
          <w:lang w:eastAsia="zh-CN"/>
        </w:rPr>
        <w:t>（</w:t>
      </w:r>
      <w:r>
        <w:rPr>
          <w:rFonts w:hint="eastAsia" w:ascii="宋体" w:hAnsi="宋体" w:cs="宋体"/>
          <w:szCs w:val="21"/>
          <w:lang w:val="en-US" w:eastAsia="zh-CN"/>
        </w:rPr>
        <w:t>18</w:t>
      </w:r>
      <w:r>
        <w:rPr>
          <w:rFonts w:hint="eastAsia" w:ascii="宋体" w:hAnsi="宋体" w:cs="宋体"/>
          <w:szCs w:val="21"/>
          <w:lang w:eastAsia="zh-CN"/>
        </w:rPr>
        <w:t>）</w:t>
      </w:r>
      <w:r>
        <w:rPr>
          <w:rFonts w:hint="eastAsia" w:ascii="宋体" w:hAnsi="宋体" w:cs="宋体"/>
          <w:bCs/>
          <w:szCs w:val="21"/>
        </w:rPr>
        <w:t>质量（完成时间、安全、环保）保障措施及方案</w:t>
      </w:r>
    </w:p>
    <w:p w14:paraId="18297470">
      <w:pPr>
        <w:spacing w:beforeLines="25" w:afterLines="25"/>
        <w:ind w:firstLine="991" w:firstLineChars="472"/>
        <w:rPr>
          <w:rFonts w:hint="eastAsia" w:ascii="宋体" w:hAnsi="宋体" w:cs="宋体"/>
          <w:bCs/>
          <w:szCs w:val="21"/>
        </w:rPr>
      </w:pPr>
      <w:r>
        <w:rPr>
          <w:rFonts w:hint="eastAsia" w:ascii="宋体" w:hAnsi="宋体" w:cs="宋体"/>
          <w:bCs/>
          <w:szCs w:val="21"/>
          <w:lang w:eastAsia="zh-CN"/>
        </w:rPr>
        <w:t>（</w:t>
      </w:r>
      <w:r>
        <w:rPr>
          <w:rFonts w:hint="eastAsia" w:ascii="宋体" w:hAnsi="宋体" w:cs="宋体"/>
          <w:bCs/>
          <w:szCs w:val="21"/>
          <w:lang w:val="en-US" w:eastAsia="zh-CN"/>
        </w:rPr>
        <w:t>19</w:t>
      </w:r>
      <w:r>
        <w:rPr>
          <w:rFonts w:hint="eastAsia" w:ascii="宋体" w:hAnsi="宋体" w:cs="宋体"/>
          <w:bCs/>
          <w:szCs w:val="21"/>
          <w:lang w:eastAsia="zh-CN"/>
        </w:rPr>
        <w:t>）</w:t>
      </w:r>
      <w:r>
        <w:rPr>
          <w:rFonts w:hint="eastAsia" w:ascii="宋体" w:hAnsi="宋体" w:cs="宋体"/>
          <w:bCs/>
          <w:szCs w:val="21"/>
        </w:rPr>
        <w:t>项目完成（服务期满）后的服务承诺</w:t>
      </w:r>
    </w:p>
    <w:p w14:paraId="17AE677F">
      <w:pPr>
        <w:spacing w:beforeLines="25" w:afterLines="25"/>
        <w:ind w:firstLine="991" w:firstLineChars="472"/>
        <w:rPr>
          <w:rFonts w:hint="eastAsia" w:ascii="宋体" w:hAnsi="宋体" w:cs="宋体"/>
          <w:bCs/>
          <w:szCs w:val="21"/>
        </w:rPr>
      </w:pPr>
      <w:r>
        <w:rPr>
          <w:rFonts w:hint="eastAsia" w:ascii="宋体" w:hAnsi="宋体" w:cs="宋体"/>
          <w:bCs/>
          <w:szCs w:val="21"/>
          <w:lang w:eastAsia="zh-CN"/>
        </w:rPr>
        <w:t>（</w:t>
      </w:r>
      <w:r>
        <w:rPr>
          <w:rFonts w:hint="eastAsia" w:ascii="宋体" w:hAnsi="宋体" w:cs="宋体"/>
          <w:bCs/>
          <w:szCs w:val="21"/>
          <w:lang w:val="en-US" w:eastAsia="zh-CN"/>
        </w:rPr>
        <w:t>20</w:t>
      </w:r>
      <w:r>
        <w:rPr>
          <w:rFonts w:hint="eastAsia" w:ascii="宋体" w:hAnsi="宋体" w:cs="宋体"/>
          <w:bCs/>
          <w:szCs w:val="21"/>
          <w:lang w:eastAsia="zh-CN"/>
        </w:rPr>
        <w:t>）</w:t>
      </w:r>
      <w:r>
        <w:rPr>
          <w:rFonts w:hint="eastAsia" w:ascii="宋体" w:hAnsi="宋体" w:cs="宋体"/>
          <w:bCs/>
          <w:szCs w:val="21"/>
        </w:rPr>
        <w:t>违约承诺</w:t>
      </w:r>
    </w:p>
    <w:p w14:paraId="2C24FC9C">
      <w:pPr>
        <w:spacing w:beforeLines="25" w:afterLines="25"/>
        <w:ind w:firstLine="991" w:firstLineChars="472"/>
        <w:rPr>
          <w:rFonts w:hint="eastAsia" w:ascii="宋体" w:hAnsi="宋体" w:cs="宋体"/>
          <w:bCs/>
          <w:szCs w:val="21"/>
        </w:rPr>
      </w:pPr>
      <w:r>
        <w:rPr>
          <w:rFonts w:hint="eastAsia" w:ascii="宋体" w:hAnsi="宋体" w:cs="宋体"/>
          <w:bCs/>
          <w:szCs w:val="21"/>
          <w:lang w:eastAsia="zh-CN"/>
        </w:rPr>
        <w:t>（</w:t>
      </w:r>
      <w:r>
        <w:rPr>
          <w:rFonts w:hint="eastAsia" w:ascii="宋体" w:hAnsi="宋体" w:cs="宋体"/>
          <w:bCs/>
          <w:szCs w:val="21"/>
          <w:lang w:val="en-US" w:eastAsia="zh-CN"/>
        </w:rPr>
        <w:t>21</w:t>
      </w:r>
      <w:r>
        <w:rPr>
          <w:rFonts w:hint="eastAsia" w:ascii="宋体" w:hAnsi="宋体" w:cs="宋体"/>
          <w:bCs/>
          <w:szCs w:val="21"/>
          <w:lang w:eastAsia="zh-CN"/>
        </w:rPr>
        <w:t>）</w:t>
      </w:r>
      <w:r>
        <w:rPr>
          <w:rFonts w:hint="eastAsia" w:ascii="宋体" w:hAnsi="宋体" w:cs="宋体"/>
          <w:bCs/>
          <w:szCs w:val="21"/>
        </w:rPr>
        <w:t>拟安排的项目负责人情况（仅限一人）</w:t>
      </w:r>
    </w:p>
    <w:p w14:paraId="2AFBD761">
      <w:pPr>
        <w:spacing w:beforeLines="25" w:afterLines="25"/>
        <w:ind w:firstLine="991" w:firstLineChars="472"/>
        <w:rPr>
          <w:rFonts w:hint="eastAsia" w:ascii="宋体" w:hAnsi="宋体" w:cs="宋体"/>
          <w:bCs/>
          <w:szCs w:val="21"/>
        </w:rPr>
      </w:pPr>
      <w:r>
        <w:rPr>
          <w:rFonts w:hint="eastAsia" w:ascii="宋体" w:hAnsi="宋体" w:cs="宋体"/>
          <w:bCs/>
          <w:szCs w:val="21"/>
          <w:lang w:eastAsia="zh-CN"/>
        </w:rPr>
        <w:t>（</w:t>
      </w:r>
      <w:r>
        <w:rPr>
          <w:rFonts w:hint="eastAsia" w:ascii="宋体" w:hAnsi="宋体" w:cs="宋体"/>
          <w:bCs/>
          <w:szCs w:val="21"/>
          <w:lang w:val="en-US" w:eastAsia="zh-CN"/>
        </w:rPr>
        <w:t>22</w:t>
      </w:r>
      <w:r>
        <w:rPr>
          <w:rFonts w:hint="eastAsia" w:ascii="宋体" w:hAnsi="宋体" w:cs="宋体"/>
          <w:bCs/>
          <w:szCs w:val="21"/>
          <w:lang w:eastAsia="zh-CN"/>
        </w:rPr>
        <w:t>）</w:t>
      </w:r>
      <w:r>
        <w:rPr>
          <w:rFonts w:hint="eastAsia" w:ascii="宋体" w:hAnsi="宋体" w:cs="宋体"/>
          <w:bCs/>
          <w:szCs w:val="21"/>
        </w:rPr>
        <w:t>拟安排的项目主要团队成员（主要技术人员）情况（项目负责人除外）</w:t>
      </w:r>
    </w:p>
    <w:p w14:paraId="19DCE432">
      <w:pPr>
        <w:spacing w:beforeLines="25" w:afterLines="25"/>
        <w:ind w:firstLine="991" w:firstLineChars="472"/>
        <w:rPr>
          <w:rFonts w:hint="eastAsia" w:ascii="宋体" w:hAnsi="宋体" w:cs="宋体"/>
          <w:bCs/>
          <w:szCs w:val="21"/>
        </w:rPr>
      </w:pPr>
      <w:r>
        <w:rPr>
          <w:rFonts w:hint="eastAsia" w:ascii="宋体" w:hAnsi="宋体" w:cs="宋体"/>
          <w:bCs/>
          <w:szCs w:val="21"/>
          <w:lang w:eastAsia="zh-CN"/>
        </w:rPr>
        <w:t>（</w:t>
      </w:r>
      <w:r>
        <w:rPr>
          <w:rFonts w:hint="eastAsia" w:ascii="宋体" w:hAnsi="宋体" w:cs="宋体"/>
          <w:bCs/>
          <w:szCs w:val="21"/>
          <w:lang w:val="en-US" w:eastAsia="zh-CN"/>
        </w:rPr>
        <w:t>23</w:t>
      </w:r>
      <w:r>
        <w:rPr>
          <w:rFonts w:hint="eastAsia" w:ascii="宋体" w:hAnsi="宋体" w:cs="宋体"/>
          <w:bCs/>
          <w:szCs w:val="21"/>
          <w:lang w:eastAsia="zh-CN"/>
        </w:rPr>
        <w:t>）</w:t>
      </w:r>
      <w:r>
        <w:rPr>
          <w:rFonts w:hint="eastAsia" w:ascii="宋体" w:hAnsi="宋体" w:cs="宋体"/>
          <w:bCs/>
          <w:szCs w:val="21"/>
        </w:rPr>
        <w:t>拟投入的服务资源（工具、机器等）情况</w:t>
      </w:r>
    </w:p>
    <w:p w14:paraId="2E37F130">
      <w:pPr>
        <w:spacing w:beforeLines="25" w:afterLines="25"/>
        <w:ind w:firstLine="991" w:firstLineChars="472"/>
        <w:rPr>
          <w:rFonts w:hint="eastAsia" w:ascii="宋体" w:hAnsi="宋体" w:cs="宋体"/>
          <w:bCs/>
          <w:szCs w:val="21"/>
        </w:rPr>
      </w:pPr>
      <w:r>
        <w:rPr>
          <w:rFonts w:hint="eastAsia" w:ascii="宋体" w:hAnsi="宋体" w:cs="宋体"/>
          <w:bCs/>
          <w:szCs w:val="21"/>
          <w:lang w:eastAsia="zh-CN"/>
        </w:rPr>
        <w:t>（</w:t>
      </w:r>
      <w:r>
        <w:rPr>
          <w:rFonts w:hint="eastAsia" w:ascii="宋体" w:hAnsi="宋体" w:cs="宋体"/>
          <w:bCs/>
          <w:szCs w:val="21"/>
          <w:lang w:val="en-US" w:eastAsia="zh-CN"/>
        </w:rPr>
        <w:t>24</w:t>
      </w:r>
      <w:r>
        <w:rPr>
          <w:rFonts w:hint="eastAsia" w:ascii="宋体" w:hAnsi="宋体" w:cs="宋体"/>
          <w:bCs/>
          <w:szCs w:val="21"/>
          <w:lang w:eastAsia="zh-CN"/>
        </w:rPr>
        <w:t>）</w:t>
      </w:r>
      <w:r>
        <w:rPr>
          <w:rFonts w:hint="eastAsia" w:ascii="宋体" w:hAnsi="宋体" w:cs="宋体"/>
          <w:bCs/>
          <w:szCs w:val="21"/>
        </w:rPr>
        <w:t>投标人检验领域情况</w:t>
      </w:r>
    </w:p>
    <w:p w14:paraId="1002CF2D">
      <w:pPr>
        <w:spacing w:beforeLines="25" w:afterLines="25"/>
        <w:ind w:firstLine="991" w:firstLineChars="472"/>
        <w:rPr>
          <w:rFonts w:hint="eastAsia" w:ascii="宋体" w:hAnsi="宋体" w:cs="宋体"/>
          <w:bCs/>
          <w:szCs w:val="21"/>
        </w:rPr>
      </w:pPr>
      <w:r>
        <w:rPr>
          <w:rFonts w:hint="eastAsia" w:ascii="宋体" w:hAnsi="宋体" w:cs="宋体"/>
          <w:bCs/>
          <w:szCs w:val="21"/>
          <w:lang w:eastAsia="zh-CN"/>
        </w:rPr>
        <w:t>（</w:t>
      </w:r>
      <w:r>
        <w:rPr>
          <w:rFonts w:hint="eastAsia" w:ascii="宋体" w:hAnsi="宋体" w:cs="宋体"/>
          <w:bCs/>
          <w:szCs w:val="21"/>
          <w:lang w:val="en-US" w:eastAsia="zh-CN"/>
        </w:rPr>
        <w:t>25</w:t>
      </w:r>
      <w:r>
        <w:rPr>
          <w:rFonts w:hint="eastAsia" w:ascii="宋体" w:hAnsi="宋体" w:cs="宋体"/>
          <w:bCs/>
          <w:szCs w:val="21"/>
          <w:lang w:eastAsia="zh-CN"/>
        </w:rPr>
        <w:t>）</w:t>
      </w:r>
      <w:r>
        <w:rPr>
          <w:rFonts w:hint="eastAsia" w:ascii="宋体" w:hAnsi="宋体" w:cs="宋体"/>
          <w:bCs/>
          <w:szCs w:val="21"/>
        </w:rPr>
        <w:t>供应商同类项目业绩情况</w:t>
      </w:r>
    </w:p>
    <w:p w14:paraId="751760FB">
      <w:pPr>
        <w:spacing w:beforeLines="25" w:afterLines="25"/>
        <w:ind w:firstLine="991" w:firstLineChars="472"/>
        <w:rPr>
          <w:rFonts w:hint="eastAsia" w:ascii="宋体" w:hAnsi="宋体" w:cs="宋体"/>
          <w:bCs/>
          <w:szCs w:val="21"/>
        </w:rPr>
      </w:pPr>
      <w:r>
        <w:rPr>
          <w:rFonts w:hint="eastAsia" w:ascii="宋体" w:hAnsi="宋体" w:cs="宋体"/>
          <w:bCs/>
          <w:szCs w:val="21"/>
          <w:lang w:eastAsia="zh-CN"/>
        </w:rPr>
        <w:t>（</w:t>
      </w:r>
      <w:r>
        <w:rPr>
          <w:rFonts w:hint="eastAsia" w:ascii="宋体" w:hAnsi="宋体" w:cs="宋体"/>
          <w:bCs/>
          <w:szCs w:val="21"/>
          <w:lang w:val="en-US" w:eastAsia="zh-CN"/>
        </w:rPr>
        <w:t>26</w:t>
      </w:r>
      <w:r>
        <w:rPr>
          <w:rFonts w:hint="eastAsia" w:ascii="宋体" w:hAnsi="宋体" w:cs="宋体"/>
          <w:bCs/>
          <w:szCs w:val="21"/>
          <w:lang w:eastAsia="zh-CN"/>
        </w:rPr>
        <w:t>）</w:t>
      </w:r>
      <w:r>
        <w:rPr>
          <w:rFonts w:hint="eastAsia" w:ascii="宋体" w:hAnsi="宋体" w:cs="宋体"/>
          <w:bCs/>
          <w:szCs w:val="21"/>
        </w:rPr>
        <w:t>技术支撑能力</w:t>
      </w:r>
    </w:p>
    <w:p w14:paraId="67AEE608">
      <w:pPr>
        <w:spacing w:beforeLines="25" w:afterLines="25"/>
        <w:ind w:firstLine="991" w:firstLineChars="472"/>
        <w:rPr>
          <w:rFonts w:ascii="宋体" w:hAnsi="宋体"/>
          <w:szCs w:val="21"/>
        </w:rPr>
      </w:pPr>
      <w:r>
        <w:rPr>
          <w:rFonts w:hint="eastAsia" w:ascii="宋体" w:hAnsi="宋体" w:cs="宋体"/>
          <w:bCs/>
          <w:szCs w:val="21"/>
          <w:lang w:eastAsia="zh-CN"/>
        </w:rPr>
        <w:t>（</w:t>
      </w:r>
      <w:r>
        <w:rPr>
          <w:rFonts w:hint="eastAsia" w:ascii="宋体" w:hAnsi="宋体" w:cs="宋体"/>
          <w:bCs/>
          <w:szCs w:val="21"/>
          <w:lang w:val="en-US" w:eastAsia="zh-CN"/>
        </w:rPr>
        <w:t>27</w:t>
      </w:r>
      <w:r>
        <w:rPr>
          <w:rFonts w:hint="eastAsia" w:ascii="宋体" w:hAnsi="宋体" w:cs="宋体"/>
          <w:bCs/>
          <w:szCs w:val="21"/>
          <w:lang w:eastAsia="zh-CN"/>
        </w:rPr>
        <w:t>）</w:t>
      </w:r>
      <w:r>
        <w:rPr>
          <w:rFonts w:hint="eastAsia" w:ascii="宋体" w:hAnsi="宋体"/>
          <w:szCs w:val="21"/>
        </w:rPr>
        <w:t>招标文件要求的其它内容或投标人认为需要补充的资料</w:t>
      </w:r>
    </w:p>
    <w:p w14:paraId="3F4D7487">
      <w:pPr>
        <w:spacing w:beforeLines="25" w:afterLines="25"/>
        <w:rPr>
          <w:rFonts w:ascii="宋体" w:hAnsi="宋体"/>
          <w:szCs w:val="21"/>
        </w:rPr>
      </w:pPr>
    </w:p>
    <w:p w14:paraId="1A2F37B6">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备注：</w:t>
      </w:r>
    </w:p>
    <w:p w14:paraId="37B3C815">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1.本项目为网上电子投标项目，投标文件不需法人或授权委托人另行签字，无需加盖单位公章，招标文件专用条款另有规定的除外。</w:t>
      </w:r>
    </w:p>
    <w:p w14:paraId="67D01F29">
      <w:pPr>
        <w:widowControl/>
        <w:ind w:firstLine="487" w:firstLineChars="202"/>
        <w:jc w:val="left"/>
        <w:rPr>
          <w:rFonts w:hint="eastAsia" w:ascii="宋体" w:hAnsi="宋体" w:eastAsiaTheme="minorEastAsia"/>
          <w:b/>
          <w:kern w:val="0"/>
          <w:sz w:val="24"/>
          <w:szCs w:val="21"/>
        </w:rPr>
      </w:pPr>
      <w:r>
        <w:rPr>
          <w:rFonts w:hint="eastAsia" w:ascii="宋体" w:hAnsi="宋体" w:eastAsiaTheme="minorEastAsia"/>
          <w:b/>
          <w:kern w:val="0"/>
          <w:sz w:val="24"/>
          <w:szCs w:val="21"/>
        </w:rPr>
        <w:t>2.关于填写“开标一览表”的说明：“开标一览表”中除“投标报价”外，其他信息不作为评审依据。</w:t>
      </w:r>
    </w:p>
    <w:p w14:paraId="15F0FFC8">
      <w:pPr>
        <w:widowControl/>
        <w:jc w:val="left"/>
        <w:rPr>
          <w:rFonts w:hint="default" w:ascii="宋体" w:hAnsi="宋体" w:eastAsiaTheme="minorEastAsia"/>
          <w:b/>
          <w:color w:val="FF0000"/>
          <w:kern w:val="0"/>
          <w:sz w:val="24"/>
          <w:szCs w:val="21"/>
          <w:lang w:val="en-US" w:eastAsia="zh-CN"/>
        </w:rPr>
      </w:pPr>
    </w:p>
    <w:p w14:paraId="2910E1B1">
      <w:pPr>
        <w:widowControl/>
        <w:jc w:val="left"/>
        <w:rPr>
          <w:rFonts w:ascii="宋体" w:hAnsi="宋体"/>
          <w:szCs w:val="21"/>
        </w:rPr>
      </w:pPr>
      <w:r>
        <w:rPr>
          <w:rFonts w:ascii="宋体" w:hAnsi="宋体"/>
          <w:szCs w:val="21"/>
        </w:rPr>
        <w:br w:type="page"/>
      </w:r>
    </w:p>
    <w:p w14:paraId="73223F12">
      <w:pPr>
        <w:pStyle w:val="3"/>
        <w:spacing w:before="120" w:after="120"/>
        <w:jc w:val="center"/>
        <w:rPr>
          <w:rFonts w:hint="eastAsia" w:ascii="宋体" w:hAnsi="宋体" w:eastAsia="宋体" w:cs="宋体"/>
          <w:bCs w:val="0"/>
          <w:sz w:val="28"/>
          <w:szCs w:val="28"/>
        </w:rPr>
      </w:pPr>
      <w:r>
        <w:rPr>
          <w:rFonts w:hint="eastAsia" w:ascii="宋体" w:hAnsi="宋体" w:eastAsia="宋体" w:cs="宋体"/>
          <w:bCs w:val="0"/>
          <w:sz w:val="28"/>
          <w:szCs w:val="28"/>
          <w:lang w:eastAsia="zh-CN"/>
        </w:rPr>
        <w:t>温馨提示</w:t>
      </w:r>
    </w:p>
    <w:p w14:paraId="606C5E3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p>
    <w:p w14:paraId="5C9AA8BE">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eastAsia="zh-CN"/>
        </w:rPr>
        <w:t>、投标（响应）文件必须在提交投标（响应）文件截止时间前上传，并在规定时间内完成在线解密。为避免因系统拥堵影响文件上传或解密，导致失去投标（响应）资格，建议</w:t>
      </w:r>
      <w:r>
        <w:rPr>
          <w:rFonts w:hint="eastAsia" w:ascii="宋体" w:hAnsi="宋体" w:eastAsia="宋体" w:cs="宋体"/>
          <w:b/>
          <w:bCs/>
          <w:sz w:val="21"/>
          <w:szCs w:val="21"/>
          <w:u w:val="single"/>
          <w:lang w:eastAsia="zh-CN"/>
        </w:rPr>
        <w:t>适当提前上传文件，尽早登陆系统解密</w:t>
      </w:r>
      <w:r>
        <w:rPr>
          <w:rFonts w:hint="eastAsia" w:ascii="宋体" w:hAnsi="宋体" w:eastAsia="宋体" w:cs="宋体"/>
          <w:sz w:val="21"/>
          <w:szCs w:val="21"/>
          <w:highlight w:val="none"/>
        </w:rPr>
        <w:t>。</w:t>
      </w:r>
    </w:p>
    <w:p w14:paraId="4C33976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2、分项报价表中的各子项单价金额×数量应等同于单项汇总金额，单项汇总金额的合计金额应等同于投标（响应）总价，并与开标一览表的投标报价相同。请仔细阅读采购文件中的投标（响应）报价要求，</w:t>
      </w:r>
      <w:r>
        <w:rPr>
          <w:rFonts w:hint="eastAsia" w:ascii="宋体" w:hAnsi="宋体" w:eastAsia="宋体" w:cs="宋体"/>
          <w:b/>
          <w:bCs/>
          <w:sz w:val="21"/>
          <w:szCs w:val="21"/>
          <w:u w:val="single"/>
          <w:lang w:val="en-US" w:eastAsia="zh-CN"/>
        </w:rPr>
        <w:t>严格按照报价要求进行报价响应</w:t>
      </w:r>
      <w:r>
        <w:rPr>
          <w:rFonts w:hint="eastAsia" w:ascii="宋体" w:hAnsi="宋体" w:eastAsia="宋体" w:cs="宋体"/>
          <w:sz w:val="21"/>
          <w:szCs w:val="21"/>
          <w:lang w:val="en-US" w:eastAsia="zh-CN"/>
        </w:rPr>
        <w:t>。</w:t>
      </w:r>
    </w:p>
    <w:p w14:paraId="73F1552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i w:val="0"/>
          <w:iCs w:val="0"/>
          <w:caps w:val="0"/>
          <w:color w:val="000000"/>
          <w:spacing w:val="0"/>
          <w:sz w:val="21"/>
          <w:szCs w:val="21"/>
          <w:u w:val="none"/>
          <w:shd w:val="clear" w:fill="FFFFFF"/>
          <w:vertAlign w:val="baseline"/>
          <w:lang w:eastAsia="zh-CN"/>
        </w:rPr>
      </w:pPr>
      <w:r>
        <w:rPr>
          <w:rFonts w:hint="eastAsia" w:ascii="宋体" w:hAnsi="宋体" w:eastAsia="宋体" w:cs="宋体"/>
          <w:sz w:val="21"/>
          <w:szCs w:val="21"/>
          <w:lang w:val="en-US" w:eastAsia="zh-CN"/>
        </w:rPr>
        <w:t>3、投标（响应）文件中的投标函、承诺函、声明函（含《中小企业声明函》、《关于符合本国产品标准的声明函》等）应按要求填写完整、规范。请仔细检查</w:t>
      </w:r>
      <w:r>
        <w:rPr>
          <w:rFonts w:hint="eastAsia" w:ascii="宋体" w:hAnsi="宋体" w:eastAsia="宋体" w:cs="宋体"/>
          <w:b/>
          <w:bCs/>
          <w:sz w:val="21"/>
          <w:szCs w:val="21"/>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eastAsia="宋体" w:cs="宋体"/>
          <w:b/>
          <w:bCs/>
          <w:i w:val="0"/>
          <w:iCs w:val="0"/>
          <w:caps w:val="0"/>
          <w:color w:val="000000"/>
          <w:spacing w:val="0"/>
          <w:sz w:val="21"/>
          <w:szCs w:val="21"/>
          <w:u w:val="single"/>
          <w:shd w:val="clear" w:fill="FFFFFF"/>
          <w:vertAlign w:val="baseline"/>
          <w:lang w:eastAsia="zh-CN"/>
        </w:rPr>
        <w:t>名、</w:t>
      </w:r>
      <w:r>
        <w:rPr>
          <w:rStyle w:val="48"/>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48"/>
          <w:rFonts w:hint="eastAsia" w:ascii="宋体" w:hAnsi="宋体" w:eastAsia="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宋体" w:hAnsi="宋体" w:eastAsia="宋体" w:cs="宋体"/>
          <w:b/>
          <w:bCs/>
          <w:sz w:val="21"/>
          <w:szCs w:val="21"/>
          <w:u w:val="single"/>
          <w:lang w:val="en-US" w:eastAsia="zh-CN"/>
        </w:rPr>
        <w:t>中小微企业类型的选择是否符合相关行业划分标准</w:t>
      </w:r>
      <w:r>
        <w:rPr>
          <w:rStyle w:val="48"/>
          <w:rFonts w:hint="eastAsia" w:ascii="宋体" w:hAnsi="宋体" w:eastAsia="宋体" w:cs="宋体"/>
          <w:i w:val="0"/>
          <w:iCs w:val="0"/>
          <w:caps w:val="0"/>
          <w:color w:val="000000"/>
          <w:spacing w:val="0"/>
          <w:sz w:val="21"/>
          <w:szCs w:val="21"/>
          <w:u w:val="none"/>
          <w:shd w:val="clear" w:fill="FFFFFF"/>
          <w:vertAlign w:val="baseline"/>
          <w:lang w:eastAsia="zh-CN"/>
        </w:rPr>
        <w:t>。</w:t>
      </w:r>
    </w:p>
    <w:p w14:paraId="1205262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4、请仔细阅读采购文件中关于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资格性、符合性审查条款</w:t>
      </w: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0E853E6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5、请如实填写《供应商基本情况表》中的人员情况和关联关系情况，并按要求（如有）提供社保、股权或管理关系证明材料</w:t>
      </w:r>
      <w:r>
        <w:rPr>
          <w:rFonts w:hint="eastAsia" w:ascii="宋体" w:hAnsi="宋体" w:eastAsia="宋体" w:cs="宋体"/>
          <w:b w:val="0"/>
          <w:bCs w:val="0"/>
          <w:sz w:val="21"/>
          <w:szCs w:val="21"/>
          <w:lang w:eastAsia="zh-CN"/>
        </w:rPr>
        <w:t>，无法提供社保证明的，应按要求提供情况说明。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eastAsia="宋体" w:cs="宋体"/>
          <w:b/>
          <w:bCs/>
          <w:sz w:val="21"/>
          <w:szCs w:val="21"/>
          <w:u w:val="single"/>
          <w:lang w:eastAsia="zh-CN"/>
        </w:rPr>
        <w:t>人员和关联关系情况应与证明材料相符</w:t>
      </w:r>
      <w:r>
        <w:rPr>
          <w:rFonts w:hint="eastAsia" w:ascii="宋体" w:hAnsi="宋体" w:eastAsia="宋体" w:cs="宋体"/>
          <w:b w:val="0"/>
          <w:bCs w:val="0"/>
          <w:sz w:val="21"/>
          <w:szCs w:val="21"/>
          <w:lang w:eastAsia="zh-CN"/>
        </w:rPr>
        <w:t>。</w:t>
      </w:r>
    </w:p>
    <w:p w14:paraId="655981B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eastAsia="zh-CN"/>
        </w:rPr>
      </w:pPr>
      <w:r>
        <w:rPr>
          <w:rFonts w:hint="eastAsia" w:ascii="宋体" w:hAnsi="宋体" w:eastAsia="宋体" w:cs="宋体"/>
          <w:b w:val="0"/>
          <w:bCs w:val="0"/>
          <w:sz w:val="21"/>
          <w:szCs w:val="21"/>
          <w:lang w:val="en-US" w:eastAsia="zh-CN"/>
        </w:rPr>
        <w:t>6、</w:t>
      </w:r>
      <w:r>
        <w:rPr>
          <w:rFonts w:hint="eastAsia" w:ascii="宋体" w:hAnsi="宋体" w:eastAsia="宋体" w:cs="宋体"/>
          <w:snapToGrid w:val="0"/>
          <w:kern w:val="0"/>
          <w:sz w:val="21"/>
          <w:szCs w:val="21"/>
          <w:lang w:eastAsia="zh-CN"/>
        </w:rPr>
        <w:t>属于</w:t>
      </w:r>
      <w:r>
        <w:rPr>
          <w:rFonts w:hint="eastAsia" w:ascii="宋体" w:hAnsi="宋体" w:eastAsia="宋体" w:cs="宋体"/>
          <w:b/>
          <w:bCs/>
          <w:snapToGrid w:val="0"/>
          <w:kern w:val="0"/>
          <w:sz w:val="21"/>
          <w:szCs w:val="21"/>
          <w:u w:val="single"/>
          <w:lang w:eastAsia="zh-CN"/>
        </w:rPr>
        <w:t>异常低价</w:t>
      </w:r>
      <w:r>
        <w:rPr>
          <w:rFonts w:hint="eastAsia" w:ascii="宋体" w:hAnsi="宋体" w:eastAsia="宋体" w:cs="宋体"/>
          <w:b/>
          <w:bCs/>
          <w:snapToGrid w:val="0"/>
          <w:kern w:val="0"/>
          <w:sz w:val="21"/>
          <w:szCs w:val="21"/>
          <w:u w:val="single"/>
        </w:rPr>
        <w:t>审查</w:t>
      </w:r>
      <w:r>
        <w:rPr>
          <w:rFonts w:hint="eastAsia" w:ascii="宋体" w:hAnsi="宋体" w:eastAsia="宋体" w:cs="宋体"/>
          <w:b/>
          <w:bCs/>
          <w:snapToGrid w:val="0"/>
          <w:kern w:val="0"/>
          <w:sz w:val="21"/>
          <w:szCs w:val="21"/>
          <w:u w:val="single"/>
          <w:lang w:eastAsia="zh-CN"/>
        </w:rPr>
        <w:t>第3项情形</w:t>
      </w:r>
      <w:r>
        <w:rPr>
          <w:rFonts w:hint="eastAsia" w:ascii="宋体" w:hAnsi="宋体" w:eastAsia="宋体" w:cs="宋体"/>
          <w:snapToGrid w:val="0"/>
          <w:kern w:val="0"/>
          <w:sz w:val="21"/>
          <w:szCs w:val="21"/>
          <w:lang w:eastAsia="zh-CN"/>
        </w:rPr>
        <w:t>的，建议随投标（响应）文件一并提交报价相关书面说明及必要的证明材料。</w:t>
      </w:r>
    </w:p>
    <w:p w14:paraId="42D0284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val="en-US" w:eastAsia="zh-CN"/>
        </w:rPr>
      </w:pPr>
    </w:p>
    <w:p w14:paraId="3718E75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（以上提示内容为编制投标/响应文件的常规提醒，如与采购文件具体要求存在不一致或矛盾之处，以采购文件具体要求为准。）</w:t>
      </w:r>
    </w:p>
    <w:p w14:paraId="095349E5">
      <w:pPr>
        <w:rPr>
          <w:rFonts w:hint="eastAsia" w:ascii="仿宋_GB2312" w:hAnsi="Times New Roman" w:eastAsia="仿宋_GB2312"/>
          <w:b/>
          <w:color w:val="FF0000"/>
          <w:sz w:val="30"/>
          <w:szCs w:val="30"/>
        </w:rPr>
      </w:pPr>
      <w:r>
        <w:rPr>
          <w:rFonts w:hint="eastAsia" w:ascii="仿宋_GB2312" w:hAnsi="Times New Roman" w:eastAsia="仿宋_GB2312"/>
          <w:b/>
          <w:color w:val="FF0000"/>
          <w:sz w:val="30"/>
          <w:szCs w:val="30"/>
        </w:rPr>
        <w:br w:type="page"/>
      </w:r>
    </w:p>
    <w:p w14:paraId="5DB6F7A1">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2046BB6F">
      <w:pPr>
        <w:pStyle w:val="3"/>
        <w:jc w:val="center"/>
        <w:rPr>
          <w:rFonts w:ascii="黑体" w:eastAsia="黑体"/>
          <w:b w:val="0"/>
          <w:sz w:val="24"/>
        </w:rPr>
      </w:pPr>
      <w:r>
        <w:rPr>
          <w:rFonts w:hint="eastAsia" w:ascii="黑体" w:eastAsia="黑体"/>
          <w:b w:val="0"/>
          <w:sz w:val="24"/>
        </w:rPr>
        <w:t>一、投标函</w:t>
      </w:r>
    </w:p>
    <w:p w14:paraId="43B4EC3D">
      <w:pPr>
        <w:spacing w:line="360" w:lineRule="auto"/>
        <w:rPr>
          <w:rFonts w:ascii="宋体" w:hAnsi="宋体"/>
          <w:szCs w:val="21"/>
        </w:rPr>
      </w:pPr>
      <w:r>
        <w:rPr>
          <w:rFonts w:hint="eastAsia" w:ascii="宋体" w:hAnsi="宋体"/>
          <w:szCs w:val="21"/>
        </w:rPr>
        <w:t xml:space="preserve">深圳市中正招标有限公司：  </w:t>
      </w:r>
    </w:p>
    <w:p w14:paraId="3845FF17">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5ED141A8">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6562E10A">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3C8A6ECF">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562B8B4F">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3E410A47">
      <w:pPr>
        <w:spacing w:afterLines="50"/>
        <w:ind w:firstLine="411" w:firstLineChars="196"/>
        <w:rPr>
          <w:rFonts w:ascii="宋体" w:hAnsi="宋体"/>
          <w:szCs w:val="21"/>
        </w:rPr>
      </w:pPr>
      <w:r>
        <w:rPr>
          <w:rFonts w:hint="eastAsia" w:ascii="宋体" w:hAnsi="宋体"/>
          <w:szCs w:val="21"/>
        </w:rPr>
        <w:t>6.</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0DC4582">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729077FF">
      <w:pPr>
        <w:ind w:left="540" w:leftChars="257"/>
        <w:rPr>
          <w:szCs w:val="21"/>
          <w:u w:val="single"/>
        </w:rPr>
      </w:pPr>
      <w:r>
        <w:rPr>
          <w:rFonts w:hint="eastAsia"/>
          <w:szCs w:val="21"/>
        </w:rPr>
        <w:t>法定代表人或其委托代理人：</w:t>
      </w:r>
      <w:r>
        <w:rPr>
          <w:rFonts w:hint="eastAsia"/>
          <w:szCs w:val="21"/>
          <w:u w:val="single"/>
        </w:rPr>
        <w:t xml:space="preserve">                   </w:t>
      </w:r>
    </w:p>
    <w:p w14:paraId="4D8815CC">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656A4EC6">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0F194206">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62BCD21">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26402D93">
      <w:pPr>
        <w:ind w:firstLine="616" w:firstLineChars="257"/>
        <w:rPr>
          <w:sz w:val="24"/>
        </w:rPr>
      </w:pPr>
    </w:p>
    <w:p w14:paraId="34E972C0">
      <w:pPr>
        <w:rPr>
          <w:rFonts w:ascii="宋体" w:hAnsi="宋体"/>
          <w:szCs w:val="21"/>
        </w:rPr>
      </w:pPr>
      <w:r>
        <w:rPr>
          <w:rFonts w:hint="eastAsia"/>
          <w:szCs w:val="21"/>
          <w:u w:val="single"/>
        </w:rPr>
        <w:t>（备注：如联合体投标，投标人一栏仅需填写牵头人的名称）</w:t>
      </w:r>
    </w:p>
    <w:p w14:paraId="299A281E">
      <w:pPr>
        <w:ind w:firstLine="616" w:firstLineChars="257"/>
        <w:rPr>
          <w:sz w:val="24"/>
        </w:rPr>
      </w:pPr>
      <w:r>
        <w:rPr>
          <w:rFonts w:hint="eastAsia"/>
          <w:sz w:val="24"/>
        </w:rPr>
        <w:t xml:space="preserve">                          </w:t>
      </w:r>
    </w:p>
    <w:p w14:paraId="09C5103E">
      <w:pPr>
        <w:pStyle w:val="3"/>
        <w:jc w:val="center"/>
        <w:rPr>
          <w:rFonts w:ascii="黑体" w:eastAsia="黑体"/>
          <w:b w:val="0"/>
          <w:sz w:val="24"/>
        </w:rPr>
      </w:pPr>
      <w:r>
        <w:rPr>
          <w:rFonts w:hint="eastAsia" w:ascii="黑体" w:eastAsia="黑体"/>
          <w:b w:val="0"/>
          <w:sz w:val="24"/>
        </w:rPr>
        <w:t>二、资格响应文件</w:t>
      </w:r>
    </w:p>
    <w:p w14:paraId="77D1884A">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3682A00F">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4BF55C75">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3BF78E79">
      <w:pPr>
        <w:rPr>
          <w:szCs w:val="21"/>
          <w:u w:val="single"/>
        </w:rPr>
      </w:pPr>
    </w:p>
    <w:p w14:paraId="555AF857">
      <w:pPr>
        <w:rPr>
          <w:rFonts w:ascii="宋体" w:hAnsi="宋体"/>
          <w:szCs w:val="21"/>
        </w:rPr>
      </w:pPr>
      <w:r>
        <w:rPr>
          <w:rFonts w:hint="eastAsia"/>
          <w:szCs w:val="21"/>
          <w:u w:val="single"/>
        </w:rPr>
        <w:t>（备注：如联合体投标，联合体各方均应按要求提供资格响应文件）</w:t>
      </w:r>
    </w:p>
    <w:p w14:paraId="45D8CCA3">
      <w:pPr>
        <w:pStyle w:val="3"/>
        <w:jc w:val="center"/>
        <w:rPr>
          <w:rFonts w:ascii="黑体" w:eastAsia="黑体"/>
          <w:b w:val="0"/>
          <w:sz w:val="24"/>
        </w:rPr>
      </w:pPr>
    </w:p>
    <w:p w14:paraId="130CC16D">
      <w:pPr>
        <w:pStyle w:val="3"/>
        <w:jc w:val="center"/>
        <w:rPr>
          <w:rFonts w:ascii="黑体" w:eastAsia="黑体"/>
          <w:b w:val="0"/>
          <w:sz w:val="24"/>
        </w:rPr>
      </w:pPr>
      <w:r>
        <w:rPr>
          <w:rFonts w:hint="eastAsia" w:ascii="黑体" w:eastAsia="黑体"/>
          <w:b w:val="0"/>
          <w:sz w:val="24"/>
        </w:rPr>
        <w:t>政府采购投标及履约承诺函</w:t>
      </w:r>
    </w:p>
    <w:p w14:paraId="1969B0FE">
      <w:pPr>
        <w:rPr>
          <w:rFonts w:ascii="宋体" w:hAnsi="宋体"/>
          <w:szCs w:val="21"/>
        </w:rPr>
      </w:pPr>
      <w:r>
        <w:rPr>
          <w:rFonts w:hint="eastAsia" w:ascii="宋体" w:hAnsi="宋体"/>
          <w:szCs w:val="21"/>
        </w:rPr>
        <w:t>深圳市中正招标有限公司：</w:t>
      </w:r>
    </w:p>
    <w:p w14:paraId="4F1B9F86">
      <w:pPr>
        <w:ind w:right="-815" w:firstLine="420" w:firstLineChars="200"/>
        <w:rPr>
          <w:rFonts w:ascii="宋体" w:hAnsi="宋体"/>
          <w:szCs w:val="21"/>
        </w:rPr>
      </w:pPr>
      <w:r>
        <w:rPr>
          <w:rFonts w:hint="eastAsia" w:ascii="宋体" w:hAnsi="宋体"/>
          <w:szCs w:val="21"/>
        </w:rPr>
        <w:t>我单位承诺：</w:t>
      </w:r>
    </w:p>
    <w:p w14:paraId="5CCABA37">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408A5231">
      <w:pPr>
        <w:ind w:firstLine="424" w:firstLineChars="202"/>
        <w:rPr>
          <w:rFonts w:ascii="宋体" w:hAnsi="宋体"/>
          <w:szCs w:val="21"/>
        </w:rPr>
      </w:pPr>
      <w:r>
        <w:rPr>
          <w:rFonts w:hint="eastAsia" w:ascii="宋体" w:hAnsi="宋体"/>
          <w:szCs w:val="21"/>
        </w:rPr>
        <w:t>（一）具有独立承担民事责任的能力；</w:t>
      </w:r>
    </w:p>
    <w:p w14:paraId="7D8CD6E5">
      <w:pPr>
        <w:ind w:firstLine="424" w:firstLineChars="202"/>
        <w:rPr>
          <w:rFonts w:ascii="宋体" w:hAnsi="宋体"/>
          <w:szCs w:val="21"/>
        </w:rPr>
      </w:pPr>
      <w:r>
        <w:rPr>
          <w:rFonts w:hint="eastAsia" w:ascii="宋体" w:hAnsi="宋体"/>
          <w:szCs w:val="21"/>
        </w:rPr>
        <w:t>（二）具有良好的商业信誉和健全的财务会计制度；</w:t>
      </w:r>
    </w:p>
    <w:p w14:paraId="4F81C04F">
      <w:pPr>
        <w:ind w:firstLine="424" w:firstLineChars="202"/>
        <w:rPr>
          <w:rFonts w:ascii="宋体" w:hAnsi="宋体"/>
          <w:szCs w:val="21"/>
        </w:rPr>
      </w:pPr>
      <w:r>
        <w:rPr>
          <w:rFonts w:hint="eastAsia" w:ascii="宋体" w:hAnsi="宋体"/>
          <w:szCs w:val="21"/>
        </w:rPr>
        <w:t>（三）具有履行合同所必需的设备和专业技术能力；</w:t>
      </w:r>
    </w:p>
    <w:p w14:paraId="2AC3D777">
      <w:pPr>
        <w:ind w:firstLine="424" w:firstLineChars="202"/>
        <w:rPr>
          <w:rFonts w:ascii="宋体" w:hAnsi="宋体"/>
          <w:szCs w:val="21"/>
        </w:rPr>
      </w:pPr>
      <w:r>
        <w:rPr>
          <w:rFonts w:hint="eastAsia" w:ascii="宋体" w:hAnsi="宋体"/>
          <w:szCs w:val="21"/>
        </w:rPr>
        <w:t>（四）有依法缴纳税收和社会保障资金的良好记录；</w:t>
      </w:r>
    </w:p>
    <w:p w14:paraId="530B2CAD">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536227FB">
      <w:pPr>
        <w:ind w:firstLine="424" w:firstLineChars="202"/>
        <w:rPr>
          <w:rFonts w:ascii="宋体" w:hAnsi="宋体"/>
          <w:szCs w:val="21"/>
        </w:rPr>
      </w:pPr>
      <w:r>
        <w:rPr>
          <w:rFonts w:hint="eastAsia" w:ascii="宋体" w:hAnsi="宋体"/>
          <w:szCs w:val="21"/>
        </w:rPr>
        <w:t>（六）法律、行政法规规定的其他条件。</w:t>
      </w:r>
    </w:p>
    <w:p w14:paraId="2CD2304C">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0C72AE87">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17E65F1E">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06126ADC">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7ED9D5B1">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619DFACC">
      <w:pPr>
        <w:ind w:firstLine="424" w:firstLineChars="202"/>
        <w:rPr>
          <w:rFonts w:ascii="宋体" w:hAnsi="宋体"/>
          <w:szCs w:val="21"/>
        </w:rPr>
      </w:pPr>
      <w:r>
        <w:rPr>
          <w:rFonts w:hint="eastAsia" w:ascii="宋体" w:hAnsi="宋体"/>
          <w:szCs w:val="21"/>
        </w:rPr>
        <w:t>（1）投标供应商之间相互约定给予未中标的供应商利益补偿；</w:t>
      </w:r>
    </w:p>
    <w:p w14:paraId="5786C11C">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45A70485">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3819C5A6">
      <w:pPr>
        <w:ind w:firstLine="424" w:firstLineChars="202"/>
        <w:rPr>
          <w:rFonts w:ascii="宋体" w:hAnsi="宋体"/>
          <w:szCs w:val="21"/>
        </w:rPr>
      </w:pPr>
      <w:r>
        <w:rPr>
          <w:rFonts w:hint="eastAsia" w:ascii="宋体" w:hAnsi="宋体"/>
          <w:szCs w:val="21"/>
        </w:rPr>
        <w:t>（4）不同投标供应商的投标文件或部分投标文件相互混装；</w:t>
      </w:r>
    </w:p>
    <w:p w14:paraId="0AE9816F">
      <w:pPr>
        <w:ind w:firstLine="424" w:firstLineChars="202"/>
        <w:rPr>
          <w:rFonts w:ascii="宋体" w:hAnsi="宋体"/>
          <w:szCs w:val="21"/>
        </w:rPr>
      </w:pPr>
      <w:r>
        <w:rPr>
          <w:rFonts w:hint="eastAsia" w:ascii="宋体" w:hAnsi="宋体"/>
          <w:szCs w:val="21"/>
        </w:rPr>
        <w:t>（5）不同投标供应商的投标文件内容存在非正常一致；</w:t>
      </w:r>
    </w:p>
    <w:p w14:paraId="63115EDB">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28FF3C24">
      <w:pPr>
        <w:ind w:firstLine="424" w:firstLineChars="202"/>
        <w:rPr>
          <w:rFonts w:ascii="宋体" w:hAnsi="宋体"/>
          <w:szCs w:val="21"/>
        </w:rPr>
      </w:pPr>
      <w:r>
        <w:rPr>
          <w:rFonts w:hint="eastAsia" w:ascii="宋体" w:hAnsi="宋体"/>
          <w:szCs w:val="21"/>
        </w:rPr>
        <w:t>（7）主管部门依照法律、法规认定的其他情形。</w:t>
      </w:r>
    </w:p>
    <w:p w14:paraId="44B7727F">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1CC992F4">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C412388">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4899F1E8">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3589829C">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5AC91396">
      <w:pPr>
        <w:ind w:firstLine="424" w:firstLineChars="202"/>
        <w:rPr>
          <w:rFonts w:ascii="宋体" w:hAnsi="宋体"/>
          <w:szCs w:val="21"/>
        </w:rPr>
      </w:pPr>
    </w:p>
    <w:p w14:paraId="57E28D84">
      <w:pPr>
        <w:jc w:val="center"/>
      </w:pPr>
      <w:r>
        <w:rPr>
          <w:rFonts w:hint="eastAsia"/>
          <w:szCs w:val="21"/>
        </w:rPr>
        <w:t xml:space="preserve">                             投标人：</w:t>
      </w:r>
    </w:p>
    <w:p w14:paraId="74CDBB49">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4169A2C">
      <w:pPr>
        <w:ind w:firstLine="424" w:firstLineChars="202"/>
        <w:rPr>
          <w:rFonts w:ascii="宋体" w:hAnsi="宋体"/>
          <w:szCs w:val="21"/>
        </w:rPr>
      </w:pPr>
    </w:p>
    <w:p w14:paraId="4F92FF2A"/>
    <w:p w14:paraId="2B11D7A0">
      <w:pPr>
        <w:rPr>
          <w:rFonts w:ascii="宋体" w:hAnsi="宋体"/>
          <w:szCs w:val="21"/>
        </w:rPr>
      </w:pPr>
      <w:r>
        <w:rPr>
          <w:rFonts w:hint="eastAsia"/>
          <w:szCs w:val="21"/>
          <w:u w:val="single"/>
        </w:rPr>
        <w:t>（备注：如联合体投标，投标人一栏需填写联合体各方的名称）</w:t>
      </w:r>
    </w:p>
    <w:p w14:paraId="5443D70D"/>
    <w:p w14:paraId="6A7FC14E">
      <w:pPr>
        <w:ind w:firstLine="420" w:firstLineChars="200"/>
        <w:rPr>
          <w:rFonts w:cs="Courier New"/>
          <w:snapToGrid w:val="0"/>
          <w:szCs w:val="18"/>
        </w:rPr>
      </w:pPr>
    </w:p>
    <w:p w14:paraId="54E502E6">
      <w:pPr>
        <w:pStyle w:val="3"/>
        <w:jc w:val="center"/>
        <w:rPr>
          <w:rFonts w:ascii="黑体" w:eastAsia="黑体"/>
          <w:b w:val="0"/>
          <w:sz w:val="24"/>
        </w:rPr>
      </w:pPr>
      <w:r>
        <w:rPr>
          <w:rFonts w:hint="eastAsia" w:ascii="黑体" w:eastAsia="黑体"/>
          <w:b w:val="0"/>
          <w:sz w:val="24"/>
        </w:rPr>
        <w:t>三、投标人情况介绍</w:t>
      </w:r>
    </w:p>
    <w:p w14:paraId="24EFBBC9">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4D67CF5A">
      <w:pPr>
        <w:ind w:left="632" w:hanging="632" w:hangingChars="300"/>
        <w:rPr>
          <w:b/>
          <w:bCs/>
        </w:rPr>
      </w:pPr>
    </w:p>
    <w:p w14:paraId="7A37D742">
      <w:pPr>
        <w:rPr>
          <w:rFonts w:ascii="宋体" w:hAnsi="宋体"/>
          <w:szCs w:val="21"/>
        </w:rPr>
      </w:pPr>
      <w:r>
        <w:rPr>
          <w:rFonts w:hint="eastAsia"/>
          <w:szCs w:val="21"/>
          <w:u w:val="single"/>
        </w:rPr>
        <w:t>（备注：如联合体投标，联合体各方均需提供情况介绍）</w:t>
      </w:r>
    </w:p>
    <w:p w14:paraId="1034E689">
      <w:pPr>
        <w:ind w:left="632" w:hanging="632" w:hangingChars="300"/>
        <w:rPr>
          <w:b/>
          <w:bCs/>
        </w:rPr>
      </w:pPr>
    </w:p>
    <w:p w14:paraId="6E976FD3">
      <w:pPr>
        <w:ind w:left="632" w:hanging="632" w:hangingChars="300"/>
        <w:rPr>
          <w:b/>
          <w:bCs/>
        </w:rPr>
      </w:pPr>
    </w:p>
    <w:p w14:paraId="06B7F84D">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73FA4244">
      <w:pPr>
        <w:jc w:val="left"/>
        <w:outlineLvl w:val="3"/>
        <w:rPr>
          <w:rFonts w:ascii="黑体" w:hAnsi="宋体" w:eastAsia="黑体"/>
          <w:bCs/>
          <w:kern w:val="0"/>
          <w:sz w:val="24"/>
          <w:szCs w:val="32"/>
        </w:rPr>
      </w:pPr>
    </w:p>
    <w:p w14:paraId="3740C655">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552D038A">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7BF5208">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40B96E6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2BB336E">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0" w:name="_Hlk71925120"/>
      <w:r>
        <w:rPr>
          <w:rFonts w:hint="eastAsia" w:asciiTheme="minorEastAsia" w:hAnsiTheme="minorEastAsia" w:eastAsiaTheme="minorEastAsia"/>
          <w:kern w:val="0"/>
          <w:szCs w:val="21"/>
        </w:rPr>
        <w:t>《关于印发中小企业划型标准规定的通知》（工信部联企业〔2011〕300 号</w:t>
      </w:r>
      <w:bookmarkEnd w:id="10"/>
      <w:r>
        <w:rPr>
          <w:rFonts w:hint="eastAsia" w:asciiTheme="minorEastAsia" w:hAnsiTheme="minorEastAsia" w:eastAsiaTheme="minorEastAsia"/>
          <w:kern w:val="0"/>
          <w:szCs w:val="21"/>
        </w:rPr>
        <w:t>）</w:t>
      </w:r>
    </w:p>
    <w:p w14:paraId="50A289C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286A518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0D5B6B78">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5EA861CC">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3、请依照招标文件提供的格式和内容填写声明函，不要随意变更格式；声明函不需要盖章或签字；满足多项优惠政策的投标人，不重复享受多项价格扣除政策。</w:t>
      </w:r>
    </w:p>
    <w:p w14:paraId="08AC295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97F9EE0">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612C448E">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57DCE9CC">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w:t>
      </w:r>
      <w:r>
        <w:rPr>
          <w:rFonts w:hint="eastAsia" w:asciiTheme="minorEastAsia" w:hAnsiTheme="minorEastAsia" w:eastAsiaTheme="minorEastAsia"/>
          <w:b/>
          <w:color w:val="FF0000"/>
          <w:kern w:val="0"/>
          <w:szCs w:val="21"/>
        </w:rPr>
        <w:t>采购标的（货物或服务或工程）的具体名称</w:t>
      </w:r>
      <w:r>
        <w:rPr>
          <w:rFonts w:hint="eastAsia" w:asciiTheme="minorEastAsia" w:hAnsiTheme="minorEastAsia" w:eastAsiaTheme="minorEastAsia"/>
          <w:b/>
          <w:bCs/>
          <w:color w:val="FF0000"/>
          <w:kern w:val="0"/>
          <w:szCs w:val="21"/>
        </w:rPr>
        <w:t>（具体详见第二章招标项目需求，如涉及多项标的，投标人需逐项进行响应）</w:t>
      </w:r>
      <w:r>
        <w:rPr>
          <w:rFonts w:hint="eastAsia" w:asciiTheme="minorEastAsia" w:hAnsiTheme="minorEastAsia" w:eastAsiaTheme="minorEastAsia"/>
          <w:kern w:val="0"/>
          <w:szCs w:val="21"/>
        </w:rPr>
        <w:t>；</w:t>
      </w:r>
    </w:p>
    <w:p w14:paraId="380AE159">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w:t>
      </w:r>
      <w:r>
        <w:rPr>
          <w:rFonts w:hint="eastAsia" w:asciiTheme="minorEastAsia" w:hAnsiTheme="minorEastAsia" w:eastAsiaTheme="minorEastAsia"/>
          <w:b/>
          <w:color w:val="FF0000"/>
          <w:kern w:val="0"/>
          <w:szCs w:val="21"/>
        </w:rPr>
        <w:t>采购文件规定的本项目所属行业</w:t>
      </w:r>
      <w:r>
        <w:rPr>
          <w:rFonts w:hint="eastAsia" w:asciiTheme="minorEastAsia" w:hAnsiTheme="minorEastAsia" w:eastAsiaTheme="minorEastAsia"/>
          <w:b/>
          <w:bCs/>
          <w:color w:val="FF0000"/>
          <w:kern w:val="0"/>
          <w:szCs w:val="21"/>
        </w:rPr>
        <w:t>（详见其它关键信息）</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或以分包形式</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w:t>
      </w:r>
      <w:r>
        <w:rPr>
          <w:rFonts w:hint="eastAsia" w:asciiTheme="minorHAnsi" w:hAnsiTheme="minorHAnsi" w:eastAsiaTheme="minorEastAsia" w:cstheme="minorBidi"/>
          <w:b/>
          <w:color w:val="FF0000"/>
          <w:szCs w:val="22"/>
        </w:rPr>
        <w:t>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”填写投标（响应）供应商名称】</w:t>
      </w:r>
      <w:r>
        <w:rPr>
          <w:rFonts w:hint="eastAsia" w:ascii="宋体" w:hAnsi="宋体" w:eastAsiaTheme="minorEastAsia" w:cstheme="minorBidi"/>
          <w:kern w:val="0"/>
          <w:szCs w:val="21"/>
          <w:lang w:eastAsia="zh-CN"/>
        </w:rPr>
        <w:t>；</w:t>
      </w:r>
    </w:p>
    <w:p w14:paraId="67915E0F">
      <w:pPr>
        <w:widowControl/>
        <w:snapToGrid w:val="0"/>
        <w:spacing w:line="360" w:lineRule="auto"/>
        <w:ind w:firstLine="424" w:firstLineChars="202"/>
        <w:jc w:val="left"/>
        <w:rPr>
          <w:lang w:val="en-US"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0C78D47D">
      <w:pPr>
        <w:jc w:val="center"/>
        <w:outlineLvl w:val="3"/>
        <w:rPr>
          <w:rFonts w:ascii="黑体" w:hAnsi="宋体" w:eastAsia="黑体"/>
          <w:bCs/>
          <w:kern w:val="0"/>
          <w:sz w:val="24"/>
          <w:szCs w:val="32"/>
        </w:rPr>
      </w:pPr>
    </w:p>
    <w:p w14:paraId="4230D930">
      <w:pPr>
        <w:spacing w:after="60"/>
        <w:jc w:val="center"/>
        <w:outlineLvl w:val="3"/>
        <w:rPr>
          <w:b/>
          <w:sz w:val="24"/>
        </w:rPr>
      </w:pPr>
      <w:r>
        <w:rPr>
          <w:rFonts w:hint="eastAsia"/>
          <w:b/>
          <w:sz w:val="24"/>
        </w:rPr>
        <w:t>1、中小企业声明函</w:t>
      </w:r>
    </w:p>
    <w:p w14:paraId="4E864B7B">
      <w:pPr>
        <w:pStyle w:val="18"/>
        <w:spacing w:line="360" w:lineRule="exact"/>
        <w:ind w:firstLine="412"/>
        <w:rPr>
          <w:rFonts w:asciiTheme="minorEastAsia" w:hAnsiTheme="minorEastAsia" w:eastAsiaTheme="minorEastAsia"/>
          <w:b w:val="0"/>
          <w:sz w:val="21"/>
          <w:szCs w:val="21"/>
        </w:rPr>
      </w:pPr>
      <w:r>
        <w:rPr>
          <w:rFonts w:asciiTheme="minorEastAsia" w:hAnsiTheme="minorEastAsia" w:eastAsiaTheme="minorEastAsia"/>
          <w:b w:val="0"/>
          <w:sz w:val="21"/>
          <w:szCs w:val="21"/>
        </w:rPr>
        <w:t>本公司（联合体）郑重声明，根据《政府采购促进中小企业发展管理办法》（财库</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2020</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46 号）的规定，本公司（联合体）参加</w:t>
      </w:r>
      <w:r>
        <w:rPr>
          <w:rFonts w:asciiTheme="minorEastAsia" w:hAnsiTheme="minorEastAsia" w:eastAsiaTheme="minorEastAsia"/>
          <w:b w:val="0"/>
          <w:sz w:val="21"/>
          <w:szCs w:val="21"/>
          <w:u w:val="single"/>
        </w:rPr>
        <w:t>（单位名称）</w:t>
      </w:r>
      <w:r>
        <w:rPr>
          <w:rFonts w:asciiTheme="minorEastAsia" w:hAnsiTheme="minorEastAsia" w:eastAsiaTheme="minorEastAsia"/>
          <w:b w:val="0"/>
          <w:sz w:val="21"/>
          <w:szCs w:val="21"/>
        </w:rPr>
        <w:t>的</w:t>
      </w:r>
      <w:r>
        <w:rPr>
          <w:rFonts w:asciiTheme="minorEastAsia" w:hAnsiTheme="minorEastAsia" w:eastAsiaTheme="minorEastAsia"/>
          <w:b w:val="0"/>
          <w:sz w:val="21"/>
          <w:szCs w:val="21"/>
          <w:u w:val="single"/>
        </w:rPr>
        <w:t>（项目名称）</w:t>
      </w:r>
      <w:r>
        <w:rPr>
          <w:rFonts w:asciiTheme="minorEastAsia" w:hAnsiTheme="minorEastAsia" w:eastAsiaTheme="minorEastAsia"/>
          <w:b w:val="0"/>
          <w:sz w:val="21"/>
          <w:szCs w:val="21"/>
        </w:rPr>
        <w:t>采购活动，</w:t>
      </w:r>
      <w:r>
        <w:rPr>
          <w:rFonts w:hint="eastAsia" w:asciiTheme="minorEastAsia" w:hAnsiTheme="minorEastAsia" w:eastAsiaTheme="minorEastAsia"/>
          <w:b w:val="0"/>
          <w:sz w:val="21"/>
          <w:szCs w:val="21"/>
        </w:rPr>
        <w:t>服务全部由符合政策要求的中小企业承接</w:t>
      </w:r>
      <w:r>
        <w:rPr>
          <w:rFonts w:asciiTheme="minorEastAsia" w:hAnsiTheme="minorEastAsia" w:eastAsiaTheme="minorEastAsia"/>
          <w:b w:val="0"/>
          <w:sz w:val="21"/>
          <w:szCs w:val="21"/>
        </w:rPr>
        <w:t>。相关企业（含联合体中的中小企业、签订分包意向协议的中小企业）的具体情况如下：</w:t>
      </w:r>
    </w:p>
    <w:p w14:paraId="67C25152">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1.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3D142B08">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2.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06945880">
      <w:pPr>
        <w:pStyle w:val="18"/>
        <w:spacing w:before="11" w:line="360" w:lineRule="exact"/>
        <w:ind w:firstLine="424" w:firstLineChars="202"/>
        <w:rPr>
          <w:rFonts w:asciiTheme="minorEastAsia" w:hAnsiTheme="minorEastAsia" w:eastAsiaTheme="minorEastAsia"/>
          <w:b w:val="0"/>
          <w:sz w:val="21"/>
          <w:szCs w:val="21"/>
        </w:rPr>
      </w:pPr>
      <w:r>
        <w:rPr>
          <w:rFonts w:asciiTheme="minorEastAsia" w:hAnsiTheme="minorEastAsia" w:eastAsiaTheme="minorEastAsia"/>
          <w:b w:val="0"/>
          <w:sz w:val="21"/>
          <w:szCs w:val="21"/>
        </w:rPr>
        <w:t>……</w:t>
      </w:r>
    </w:p>
    <w:p w14:paraId="2FA926BB">
      <w:pPr>
        <w:pStyle w:val="18"/>
        <w:spacing w:before="108" w:line="360" w:lineRule="exact"/>
        <w:ind w:firstLine="408"/>
        <w:rPr>
          <w:rFonts w:asciiTheme="minorEastAsia" w:hAnsiTheme="minorEastAsia" w:eastAsiaTheme="minorEastAsia"/>
          <w:b w:val="0"/>
          <w:sz w:val="21"/>
          <w:szCs w:val="21"/>
        </w:rPr>
      </w:pPr>
      <w:r>
        <w:rPr>
          <w:rFonts w:asciiTheme="minorEastAsia" w:hAnsiTheme="minorEastAsia" w:eastAsiaTheme="minorEastAsia"/>
          <w:b w:val="0"/>
          <w:sz w:val="21"/>
          <w:szCs w:val="21"/>
        </w:rPr>
        <w:t>以上企业，不属于大企业的分支机构，不存在控股股东为大企业的情形，也不存在与大企业的负责人为同一人的情形。</w:t>
      </w:r>
    </w:p>
    <w:p w14:paraId="38CC59FE">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1CD97BFB">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6925291A">
      <w:pPr>
        <w:spacing w:line="360" w:lineRule="exact"/>
        <w:ind w:firstLine="420" w:firstLineChars="200"/>
        <w:rPr>
          <w:rFonts w:asciiTheme="minorEastAsia" w:hAnsiTheme="minorEastAsia" w:eastAsiaTheme="minorEastAsia"/>
          <w:szCs w:val="21"/>
        </w:rPr>
      </w:pPr>
    </w:p>
    <w:p w14:paraId="43A87D9C">
      <w:pPr>
        <w:spacing w:line="360" w:lineRule="exact"/>
        <w:jc w:val="center"/>
        <w:rPr>
          <w:rFonts w:ascii="Times New Roman" w:hAnsi="Times New Roman"/>
          <w:szCs w:val="24"/>
        </w:rPr>
      </w:pPr>
      <w:r>
        <w:rPr>
          <w:rFonts w:hint="eastAsia" w:ascii="Times New Roman" w:hAnsi="Times New Roman"/>
          <w:szCs w:val="21"/>
        </w:rPr>
        <w:t xml:space="preserve">                           企业名称：</w:t>
      </w:r>
    </w:p>
    <w:p w14:paraId="3C96A785">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FDA171">
      <w:pPr>
        <w:spacing w:line="360" w:lineRule="exact"/>
        <w:ind w:firstLine="420" w:firstLineChars="200"/>
        <w:rPr>
          <w:rFonts w:ascii="宋体" w:hAnsi="宋体"/>
          <w:szCs w:val="21"/>
        </w:rPr>
      </w:pPr>
      <w:r>
        <w:rPr>
          <w:rFonts w:hint="eastAsia" w:ascii="宋体" w:hAnsi="宋体"/>
          <w:szCs w:val="21"/>
        </w:rPr>
        <w:t>备注：</w:t>
      </w:r>
    </w:p>
    <w:p w14:paraId="00BE25A9">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7E66A0C2">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38DE75BF">
      <w:pPr>
        <w:spacing w:line="360" w:lineRule="exact"/>
        <w:ind w:firstLine="424" w:firstLineChars="202"/>
        <w:rPr>
          <w:rFonts w:asciiTheme="minorEastAsia" w:hAnsiTheme="minorEastAsia" w:eastAsiaTheme="minorEastAsia" w:cstheme="minorBidi"/>
        </w:rPr>
      </w:pPr>
      <w:r>
        <w:rPr>
          <w:rFonts w:hint="eastAsia" w:asciiTheme="minorEastAsia" w:hAnsiTheme="minorEastAsia" w:eastAsiaTheme="minorEastAsia" w:cstheme="minorBidi"/>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rPr>
        <w:t>《中小企业声明函》中相关企业所属行业应当与采购标的所属行业相一致</w:t>
      </w:r>
      <w:r>
        <w:rPr>
          <w:rFonts w:hint="eastAsia" w:asciiTheme="minorEastAsia" w:hAnsiTheme="minorEastAsia" w:eastAsiaTheme="minorEastAsia" w:cstheme="minorBidi"/>
        </w:rPr>
        <w:t>。</w:t>
      </w:r>
    </w:p>
    <w:p w14:paraId="17F1AF66">
      <w:pPr>
        <w:spacing w:line="360" w:lineRule="exact"/>
        <w:ind w:firstLine="424" w:firstLineChars="202"/>
        <w:rPr>
          <w:rFonts w:asciiTheme="minorHAnsi" w:hAnsiTheme="minorHAnsi" w:eastAsiaTheme="minorEastAsia" w:cstheme="minorBidi"/>
        </w:rPr>
      </w:pPr>
      <w:r>
        <w:rPr>
          <w:rFonts w:hint="eastAsia" w:asciiTheme="minorHAnsi" w:hAnsiTheme="minorHAnsi" w:eastAsiaTheme="minorEastAsia" w:cstheme="minorBidi"/>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1CD3DCE2">
      <w:pPr>
        <w:spacing w:line="360" w:lineRule="exact"/>
        <w:ind w:firstLine="420" w:firstLineChars="200"/>
        <w:rPr>
          <w:rFonts w:ascii="宋体" w:hAnsi="宋体"/>
          <w:szCs w:val="21"/>
        </w:rPr>
      </w:pPr>
    </w:p>
    <w:p w14:paraId="22A37754">
      <w:pPr>
        <w:spacing w:after="60" w:line="360" w:lineRule="exact"/>
        <w:jc w:val="center"/>
        <w:outlineLvl w:val="3"/>
        <w:rPr>
          <w:b/>
          <w:sz w:val="24"/>
        </w:rPr>
      </w:pPr>
      <w:r>
        <w:rPr>
          <w:rFonts w:hint="eastAsia"/>
          <w:b/>
          <w:sz w:val="24"/>
        </w:rPr>
        <w:t>2、监狱企业声明函</w:t>
      </w:r>
    </w:p>
    <w:p w14:paraId="56908FA2">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1C428651">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FB2CF3B">
      <w:pPr>
        <w:spacing w:line="360" w:lineRule="exact"/>
        <w:jc w:val="center"/>
      </w:pPr>
      <w:r>
        <w:rPr>
          <w:rFonts w:hint="eastAsia"/>
          <w:szCs w:val="21"/>
        </w:rPr>
        <w:t xml:space="preserve">                             单位名称：</w:t>
      </w:r>
    </w:p>
    <w:p w14:paraId="279D22A4">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8D82DAD">
      <w:pPr>
        <w:spacing w:line="360" w:lineRule="exact"/>
        <w:ind w:firstLine="645"/>
        <w:rPr>
          <w:rFonts w:ascii="宋体"/>
          <w:b/>
          <w:szCs w:val="21"/>
        </w:rPr>
      </w:pPr>
      <w:r>
        <w:rPr>
          <w:rFonts w:hint="eastAsia" w:ascii="宋体" w:hAnsi="宋体"/>
          <w:szCs w:val="21"/>
        </w:rPr>
        <w:t xml:space="preserve">                                    </w:t>
      </w:r>
    </w:p>
    <w:p w14:paraId="25A37C1F">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4E888584">
      <w:pPr>
        <w:ind w:left="723" w:hanging="723" w:hangingChars="300"/>
        <w:rPr>
          <w:b/>
          <w:sz w:val="24"/>
        </w:rPr>
      </w:pPr>
    </w:p>
    <w:p w14:paraId="7D76C198">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9646E21">
      <w:pPr>
        <w:spacing w:after="60" w:line="360" w:lineRule="exact"/>
        <w:ind w:firstLine="420" w:firstLineChars="200"/>
        <w:rPr>
          <w:rFonts w:ascii="宋体" w:hAnsi="宋体"/>
          <w:szCs w:val="21"/>
        </w:rPr>
      </w:pPr>
      <w:r>
        <w:rPr>
          <w:rFonts w:hint="eastAsia" w:ascii="宋体" w:hAnsi="宋体"/>
          <w:szCs w:val="21"/>
        </w:rPr>
        <w:t xml:space="preserve">                                     </w:t>
      </w:r>
    </w:p>
    <w:p w14:paraId="36850617">
      <w:pPr>
        <w:spacing w:after="60" w:line="360" w:lineRule="exact"/>
        <w:jc w:val="center"/>
        <w:outlineLvl w:val="3"/>
        <w:rPr>
          <w:b/>
          <w:bCs/>
        </w:rPr>
      </w:pPr>
      <w:r>
        <w:rPr>
          <w:rFonts w:hint="eastAsia"/>
          <w:b/>
          <w:sz w:val="24"/>
        </w:rPr>
        <w:t>3、残疾人福利性单位声明函</w:t>
      </w:r>
    </w:p>
    <w:p w14:paraId="69D54C88">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4D17DEBF">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75E3BEFC">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FEAFF83">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1CC74CBA">
      <w:pPr>
        <w:spacing w:line="360" w:lineRule="exact"/>
        <w:jc w:val="center"/>
      </w:pPr>
      <w:r>
        <w:rPr>
          <w:rFonts w:hint="eastAsia"/>
          <w:szCs w:val="21"/>
        </w:rPr>
        <w:t xml:space="preserve">                             单位名称：</w:t>
      </w:r>
    </w:p>
    <w:p w14:paraId="11B9ABBC">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3143581">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4EE4D732">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EB1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39771A9">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38E883F6">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56814F7C">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7C8AAC49">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27BF9814">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242E3133">
            <w:pPr>
              <w:jc w:val="center"/>
              <w:rPr>
                <w:rFonts w:ascii="Times New Roman" w:hAnsi="Times New Roman"/>
                <w:b/>
                <w:szCs w:val="21"/>
              </w:rPr>
            </w:pPr>
            <w:r>
              <w:rPr>
                <w:rFonts w:hint="eastAsia" w:ascii="Times New Roman" w:hAnsi="Times New Roman"/>
                <w:b/>
                <w:szCs w:val="21"/>
              </w:rPr>
              <w:t>备注</w:t>
            </w:r>
          </w:p>
        </w:tc>
      </w:tr>
      <w:tr w14:paraId="7E1F5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051EC1D4">
            <w:pPr>
              <w:rPr>
                <w:rFonts w:ascii="Times New Roman" w:hAnsi="Times New Roman"/>
                <w:szCs w:val="21"/>
              </w:rPr>
            </w:pPr>
          </w:p>
        </w:tc>
        <w:tc>
          <w:tcPr>
            <w:tcW w:w="1213" w:type="dxa"/>
            <w:vMerge w:val="continue"/>
            <w:vAlign w:val="center"/>
          </w:tcPr>
          <w:p w14:paraId="04EE809F">
            <w:pPr>
              <w:rPr>
                <w:rFonts w:ascii="Times New Roman" w:hAnsi="Times New Roman"/>
                <w:szCs w:val="21"/>
              </w:rPr>
            </w:pPr>
          </w:p>
        </w:tc>
        <w:tc>
          <w:tcPr>
            <w:tcW w:w="1840" w:type="dxa"/>
            <w:vMerge w:val="continue"/>
            <w:vAlign w:val="center"/>
          </w:tcPr>
          <w:p w14:paraId="109BF097">
            <w:pPr>
              <w:rPr>
                <w:rFonts w:ascii="Times New Roman" w:hAnsi="Times New Roman"/>
                <w:szCs w:val="21"/>
              </w:rPr>
            </w:pPr>
          </w:p>
        </w:tc>
        <w:tc>
          <w:tcPr>
            <w:tcW w:w="818" w:type="dxa"/>
            <w:vAlign w:val="center"/>
          </w:tcPr>
          <w:p w14:paraId="6F2ACFE6">
            <w:pPr>
              <w:rPr>
                <w:rFonts w:ascii="Times New Roman" w:hAnsi="Times New Roman"/>
                <w:szCs w:val="21"/>
              </w:rPr>
            </w:pPr>
            <w:r>
              <w:rPr>
                <w:rFonts w:hint="eastAsia" w:ascii="Times New Roman" w:hAnsi="Times New Roman"/>
                <w:szCs w:val="21"/>
              </w:rPr>
              <w:t>数量</w:t>
            </w:r>
          </w:p>
        </w:tc>
        <w:tc>
          <w:tcPr>
            <w:tcW w:w="1241" w:type="dxa"/>
            <w:vAlign w:val="center"/>
          </w:tcPr>
          <w:p w14:paraId="491A69A1">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49062507">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2307E469">
            <w:pPr>
              <w:rPr>
                <w:rFonts w:ascii="Times New Roman" w:hAnsi="Times New Roman"/>
                <w:szCs w:val="21"/>
              </w:rPr>
            </w:pPr>
          </w:p>
        </w:tc>
        <w:tc>
          <w:tcPr>
            <w:tcW w:w="720" w:type="dxa"/>
            <w:vMerge w:val="continue"/>
            <w:vAlign w:val="center"/>
          </w:tcPr>
          <w:p w14:paraId="044DDACE">
            <w:pPr>
              <w:rPr>
                <w:rFonts w:ascii="Times New Roman" w:hAnsi="Times New Roman"/>
                <w:szCs w:val="21"/>
              </w:rPr>
            </w:pPr>
          </w:p>
        </w:tc>
      </w:tr>
      <w:tr w14:paraId="5892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16059133">
            <w:pPr>
              <w:jc w:val="center"/>
              <w:rPr>
                <w:rFonts w:ascii="宋体" w:hAnsi="宋体"/>
                <w:szCs w:val="21"/>
              </w:rPr>
            </w:pPr>
            <w:r>
              <w:rPr>
                <w:rFonts w:hint="eastAsia" w:ascii="宋体" w:hAnsi="宋体"/>
                <w:szCs w:val="21"/>
              </w:rPr>
              <w:t>1</w:t>
            </w:r>
          </w:p>
        </w:tc>
        <w:tc>
          <w:tcPr>
            <w:tcW w:w="1213" w:type="dxa"/>
            <w:vAlign w:val="center"/>
          </w:tcPr>
          <w:p w14:paraId="7A37351B">
            <w:pPr>
              <w:jc w:val="center"/>
              <w:rPr>
                <w:rFonts w:ascii="Times New Roman" w:hAnsi="Times New Roman"/>
                <w:szCs w:val="21"/>
              </w:rPr>
            </w:pPr>
          </w:p>
        </w:tc>
        <w:tc>
          <w:tcPr>
            <w:tcW w:w="1840" w:type="dxa"/>
            <w:vAlign w:val="center"/>
          </w:tcPr>
          <w:p w14:paraId="4005D27F">
            <w:pPr>
              <w:jc w:val="center"/>
              <w:rPr>
                <w:rFonts w:ascii="Times New Roman" w:hAnsi="Times New Roman"/>
                <w:szCs w:val="21"/>
              </w:rPr>
            </w:pPr>
          </w:p>
        </w:tc>
        <w:tc>
          <w:tcPr>
            <w:tcW w:w="818" w:type="dxa"/>
            <w:vAlign w:val="center"/>
          </w:tcPr>
          <w:p w14:paraId="688DF69A">
            <w:pPr>
              <w:jc w:val="center"/>
              <w:rPr>
                <w:rFonts w:ascii="Times New Roman" w:hAnsi="Times New Roman"/>
                <w:szCs w:val="21"/>
              </w:rPr>
            </w:pPr>
          </w:p>
        </w:tc>
        <w:tc>
          <w:tcPr>
            <w:tcW w:w="1241" w:type="dxa"/>
            <w:vAlign w:val="center"/>
          </w:tcPr>
          <w:p w14:paraId="3762CE5B">
            <w:pPr>
              <w:jc w:val="center"/>
              <w:rPr>
                <w:rFonts w:ascii="Times New Roman" w:hAnsi="Times New Roman"/>
                <w:szCs w:val="21"/>
              </w:rPr>
            </w:pPr>
          </w:p>
        </w:tc>
        <w:tc>
          <w:tcPr>
            <w:tcW w:w="2292" w:type="dxa"/>
            <w:vAlign w:val="center"/>
          </w:tcPr>
          <w:p w14:paraId="121237B5">
            <w:pPr>
              <w:jc w:val="center"/>
              <w:rPr>
                <w:rFonts w:ascii="Times New Roman" w:hAnsi="Times New Roman"/>
                <w:szCs w:val="21"/>
              </w:rPr>
            </w:pPr>
          </w:p>
        </w:tc>
        <w:tc>
          <w:tcPr>
            <w:tcW w:w="1503" w:type="dxa"/>
            <w:vAlign w:val="center"/>
          </w:tcPr>
          <w:p w14:paraId="1DD3D0F5">
            <w:pPr>
              <w:jc w:val="center"/>
              <w:rPr>
                <w:rFonts w:ascii="Times New Roman" w:hAnsi="Times New Roman"/>
                <w:szCs w:val="21"/>
              </w:rPr>
            </w:pPr>
          </w:p>
        </w:tc>
        <w:tc>
          <w:tcPr>
            <w:tcW w:w="720" w:type="dxa"/>
            <w:vAlign w:val="center"/>
          </w:tcPr>
          <w:p w14:paraId="5A256247">
            <w:pPr>
              <w:jc w:val="center"/>
              <w:rPr>
                <w:rFonts w:ascii="Times New Roman" w:hAnsi="Times New Roman"/>
                <w:szCs w:val="21"/>
              </w:rPr>
            </w:pPr>
          </w:p>
        </w:tc>
      </w:tr>
      <w:tr w14:paraId="39E6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6246DE3C">
            <w:pPr>
              <w:jc w:val="center"/>
              <w:rPr>
                <w:rFonts w:ascii="宋体" w:hAnsi="宋体"/>
                <w:szCs w:val="21"/>
              </w:rPr>
            </w:pPr>
            <w:r>
              <w:rPr>
                <w:rFonts w:hint="eastAsia" w:ascii="宋体" w:hAnsi="宋体"/>
                <w:szCs w:val="21"/>
              </w:rPr>
              <w:t>2</w:t>
            </w:r>
          </w:p>
        </w:tc>
        <w:tc>
          <w:tcPr>
            <w:tcW w:w="1213" w:type="dxa"/>
            <w:vAlign w:val="center"/>
          </w:tcPr>
          <w:p w14:paraId="354C9F3C">
            <w:pPr>
              <w:jc w:val="center"/>
              <w:rPr>
                <w:rFonts w:ascii="Times New Roman" w:hAnsi="Times New Roman"/>
                <w:szCs w:val="21"/>
              </w:rPr>
            </w:pPr>
          </w:p>
        </w:tc>
        <w:tc>
          <w:tcPr>
            <w:tcW w:w="1840" w:type="dxa"/>
            <w:vAlign w:val="center"/>
          </w:tcPr>
          <w:p w14:paraId="13D16F35">
            <w:pPr>
              <w:jc w:val="center"/>
              <w:rPr>
                <w:rFonts w:ascii="Times New Roman" w:hAnsi="Times New Roman"/>
                <w:szCs w:val="21"/>
              </w:rPr>
            </w:pPr>
          </w:p>
        </w:tc>
        <w:tc>
          <w:tcPr>
            <w:tcW w:w="818" w:type="dxa"/>
            <w:vAlign w:val="center"/>
          </w:tcPr>
          <w:p w14:paraId="7A3CAAED">
            <w:pPr>
              <w:jc w:val="center"/>
              <w:rPr>
                <w:rFonts w:ascii="Times New Roman" w:hAnsi="Times New Roman"/>
                <w:szCs w:val="21"/>
              </w:rPr>
            </w:pPr>
          </w:p>
        </w:tc>
        <w:tc>
          <w:tcPr>
            <w:tcW w:w="1241" w:type="dxa"/>
            <w:vAlign w:val="center"/>
          </w:tcPr>
          <w:p w14:paraId="7D412F32">
            <w:pPr>
              <w:jc w:val="center"/>
              <w:rPr>
                <w:rFonts w:ascii="Times New Roman" w:hAnsi="Times New Roman"/>
                <w:szCs w:val="21"/>
              </w:rPr>
            </w:pPr>
          </w:p>
        </w:tc>
        <w:tc>
          <w:tcPr>
            <w:tcW w:w="2292" w:type="dxa"/>
            <w:vAlign w:val="center"/>
          </w:tcPr>
          <w:p w14:paraId="325B8691">
            <w:pPr>
              <w:jc w:val="center"/>
              <w:rPr>
                <w:rFonts w:ascii="Times New Roman" w:hAnsi="Times New Roman"/>
                <w:szCs w:val="21"/>
              </w:rPr>
            </w:pPr>
          </w:p>
        </w:tc>
        <w:tc>
          <w:tcPr>
            <w:tcW w:w="1503" w:type="dxa"/>
            <w:vAlign w:val="center"/>
          </w:tcPr>
          <w:p w14:paraId="7A5FABD8">
            <w:pPr>
              <w:jc w:val="center"/>
              <w:rPr>
                <w:rFonts w:ascii="Times New Roman" w:hAnsi="Times New Roman"/>
                <w:szCs w:val="21"/>
              </w:rPr>
            </w:pPr>
          </w:p>
        </w:tc>
        <w:tc>
          <w:tcPr>
            <w:tcW w:w="720" w:type="dxa"/>
            <w:vAlign w:val="center"/>
          </w:tcPr>
          <w:p w14:paraId="3918558A">
            <w:pPr>
              <w:jc w:val="center"/>
              <w:rPr>
                <w:rFonts w:ascii="Times New Roman" w:hAnsi="Times New Roman"/>
                <w:szCs w:val="21"/>
              </w:rPr>
            </w:pPr>
          </w:p>
        </w:tc>
      </w:tr>
    </w:tbl>
    <w:p w14:paraId="2B27CBC9">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28CF6201">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3B0EDCC7">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3A7FC8B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4314A68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E81EE0D">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48"/>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829E21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483E92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2A19E5B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1B4AEC4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1C7EFC8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　        </w:t>
      </w:r>
    </w:p>
    <w:p w14:paraId="658EB84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5A99206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517EBBC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2990234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7C189A1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4909699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546EB9E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16D9952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fill="FFFFFF"/>
          <w:vertAlign w:val="baseline"/>
          <w:lang w:val="en-US" w:eastAsia="zh-CN"/>
        </w:rPr>
        <w:t>。</w:t>
      </w:r>
    </w:p>
    <w:p w14:paraId="7589C2A9">
      <w:pPr>
        <w:spacing w:line="360" w:lineRule="auto"/>
        <w:rPr>
          <w:rFonts w:hint="eastAsia" w:ascii="宋体" w:hAnsi="宋体"/>
          <w:szCs w:val="21"/>
        </w:rPr>
      </w:pPr>
    </w:p>
    <w:p w14:paraId="350CAD52">
      <w:pPr>
        <w:jc w:val="center"/>
        <w:rPr>
          <w:rFonts w:hint="eastAsia" w:ascii="黑体" w:hAnsi="宋体" w:eastAsia="黑体"/>
          <w:bCs/>
          <w:kern w:val="0"/>
          <w:sz w:val="24"/>
          <w:szCs w:val="24"/>
        </w:rPr>
      </w:pPr>
    </w:p>
    <w:p w14:paraId="19DD9F7E">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703430D1">
      <w:pPr>
        <w:jc w:val="center"/>
        <w:rPr>
          <w:rFonts w:hint="eastAsia" w:ascii="黑体" w:hAnsi="宋体" w:eastAsia="黑体"/>
          <w:bCs/>
          <w:kern w:val="0"/>
          <w:sz w:val="24"/>
          <w:szCs w:val="24"/>
          <w:lang w:eastAsia="zh-CN"/>
        </w:rPr>
      </w:pPr>
    </w:p>
    <w:p w14:paraId="392435D8">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31CD605B">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5A4C6EB0">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0"/>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191FF75E">
      <w:pPr>
        <w:widowControl/>
        <w:autoSpaceDE w:val="0"/>
        <w:autoSpaceDN w:val="0"/>
        <w:spacing w:beforeLines="0" w:line="340" w:lineRule="exact"/>
        <w:ind w:firstLine="406" w:firstLineChars="200"/>
        <w:jc w:val="left"/>
        <w:rPr>
          <w:rFonts w:hint="eastAsia" w:ascii="宋体" w:hAnsi="宋体" w:eastAsia="宋体" w:cs="宋体"/>
          <w:b/>
          <w:bCs/>
          <w:color w:val="auto"/>
          <w:spacing w:val="-4"/>
          <w:kern w:val="0"/>
          <w:sz w:val="21"/>
          <w:szCs w:val="21"/>
        </w:rPr>
      </w:pPr>
    </w:p>
    <w:p w14:paraId="6C3CD24F">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611A01EA">
      <w:pPr>
        <w:spacing w:line="360" w:lineRule="auto"/>
        <w:ind w:firstLine="422" w:firstLineChars="200"/>
        <w:rPr>
          <w:rFonts w:ascii="宋体" w:hAnsi="宋体"/>
          <w:b/>
          <w:bCs/>
          <w:szCs w:val="21"/>
        </w:rPr>
      </w:pPr>
    </w:p>
    <w:p w14:paraId="14C00354">
      <w:pPr>
        <w:rPr>
          <w:rFonts w:ascii="宋体" w:hAnsi="宋体"/>
          <w:szCs w:val="21"/>
        </w:rPr>
      </w:pPr>
      <w:r>
        <w:rPr>
          <w:rFonts w:hint="eastAsia"/>
          <w:szCs w:val="21"/>
          <w:u w:val="single"/>
        </w:rPr>
        <w:t>（备注：如联合体投标，仅需加盖牵头人的公章）</w:t>
      </w:r>
    </w:p>
    <w:p w14:paraId="40F12D0C">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25FB7854">
      <w:pPr>
        <w:ind w:left="0" w:leftChars="0" w:firstLine="480" w:firstLineChars="200"/>
        <w:rPr>
          <w:rFonts w:hint="eastAsia" w:ascii="黑体" w:hAnsi="宋体" w:eastAsia="黑体"/>
          <w:bCs/>
          <w:kern w:val="0"/>
          <w:sz w:val="24"/>
          <w:szCs w:val="32"/>
        </w:rPr>
      </w:pPr>
    </w:p>
    <w:p w14:paraId="24FD56D6">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3228A135">
      <w:pPr>
        <w:rPr>
          <w:rFonts w:ascii="Times New Roman" w:hAnsi="Times New Roman"/>
          <w:sz w:val="24"/>
          <w:szCs w:val="24"/>
        </w:rPr>
      </w:pPr>
    </w:p>
    <w:p w14:paraId="6DF6D4C8">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1953284E">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6A311A90">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736239C4">
      <w:pPr>
        <w:spacing w:line="360" w:lineRule="auto"/>
        <w:rPr>
          <w:rFonts w:ascii="Times New Roman" w:hAnsi="Times New Roman"/>
          <w:b/>
          <w:szCs w:val="21"/>
        </w:rPr>
      </w:pPr>
    </w:p>
    <w:p w14:paraId="3FC624DB">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7CD4E134">
      <w:pPr>
        <w:spacing w:line="360" w:lineRule="auto"/>
        <w:rPr>
          <w:rFonts w:ascii="Times New Roman" w:hAnsi="Times New Roman"/>
          <w:b/>
          <w:sz w:val="24"/>
          <w:szCs w:val="24"/>
        </w:rPr>
      </w:pPr>
    </w:p>
    <w:p w14:paraId="6FD90234">
      <w:pPr>
        <w:rPr>
          <w:rFonts w:ascii="宋体" w:hAnsi="宋体"/>
          <w:szCs w:val="21"/>
        </w:rPr>
      </w:pPr>
      <w:r>
        <w:rPr>
          <w:rFonts w:hint="eastAsia"/>
          <w:szCs w:val="21"/>
          <w:u w:val="single"/>
        </w:rPr>
        <w:t>（备注：如联合体投标，单位一栏仅需填写牵头人的名称）</w:t>
      </w:r>
    </w:p>
    <w:p w14:paraId="36E077AB">
      <w:pPr>
        <w:spacing w:line="360" w:lineRule="auto"/>
        <w:rPr>
          <w:rFonts w:hint="eastAsia" w:ascii="Times New Roman" w:hAnsi="Times New Roman"/>
          <w:b/>
          <w:sz w:val="24"/>
          <w:szCs w:val="24"/>
          <w:lang w:val="en-US" w:eastAsia="zh-CN"/>
        </w:rPr>
      </w:pPr>
    </w:p>
    <w:p w14:paraId="2AD40417">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6D38639A">
      <w:pPr>
        <w:pStyle w:val="51"/>
        <w:rPr>
          <w:rFonts w:hint="eastAsia"/>
        </w:rPr>
      </w:pPr>
    </w:p>
    <w:p w14:paraId="103DC134">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15E453C8">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220051BD">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35410782">
      <w:pPr>
        <w:spacing w:line="360" w:lineRule="auto"/>
        <w:ind w:firstLine="420"/>
        <w:rPr>
          <w:rFonts w:ascii="Times New Roman" w:hAnsi="Times New Roman"/>
          <w:szCs w:val="21"/>
        </w:rPr>
      </w:pPr>
    </w:p>
    <w:p w14:paraId="1DB5149C">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40CCE138">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4AB02AE2">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7383DCBC">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0747C60A">
      <w:pPr>
        <w:spacing w:line="360" w:lineRule="auto"/>
        <w:ind w:left="540" w:leftChars="257"/>
        <w:rPr>
          <w:rFonts w:ascii="Times New Roman" w:hAnsi="Times New Roman"/>
          <w:szCs w:val="21"/>
          <w:u w:val="single"/>
        </w:rPr>
      </w:pPr>
    </w:p>
    <w:p w14:paraId="2BE4003C">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3C5DEFB9">
      <w:pPr>
        <w:rPr>
          <w:szCs w:val="21"/>
          <w:u w:val="single"/>
        </w:rPr>
      </w:pPr>
    </w:p>
    <w:p w14:paraId="5115AADF">
      <w:pPr>
        <w:rPr>
          <w:rFonts w:ascii="宋体" w:hAnsi="宋体"/>
          <w:szCs w:val="21"/>
        </w:rPr>
      </w:pPr>
      <w:r>
        <w:rPr>
          <w:rFonts w:hint="eastAsia"/>
          <w:szCs w:val="21"/>
          <w:u w:val="single"/>
        </w:rPr>
        <w:t>（备注：如联合体投标，投标供应商名称一栏仅需填写牵头人的名称）</w:t>
      </w:r>
    </w:p>
    <w:p w14:paraId="547D9071">
      <w:pPr>
        <w:spacing w:line="360" w:lineRule="auto"/>
        <w:rPr>
          <w:rFonts w:ascii="黑体" w:eastAsia="黑体"/>
          <w:b/>
          <w:sz w:val="24"/>
        </w:rPr>
      </w:pPr>
    </w:p>
    <w:p w14:paraId="6FB393DA">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342F737">
      <w:pPr>
        <w:pStyle w:val="51"/>
      </w:pPr>
    </w:p>
    <w:p w14:paraId="020CEBAC">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4790"/>
        <w:gridCol w:w="3685"/>
      </w:tblGrid>
      <w:tr w14:paraId="3DC5F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2197DBB5">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4790" w:type="dxa"/>
          </w:tcPr>
          <w:p w14:paraId="5966852C">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3685" w:type="dxa"/>
          </w:tcPr>
          <w:p w14:paraId="57782536">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2E41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1F7E7B85">
            <w:pPr>
              <w:adjustRightInd w:val="0"/>
              <w:snapToGrid w:val="0"/>
              <w:spacing w:line="360" w:lineRule="auto"/>
              <w:rPr>
                <w:rFonts w:ascii="宋体" w:hAnsi="宋体"/>
                <w:kern w:val="0"/>
                <w:szCs w:val="21"/>
              </w:rPr>
            </w:pPr>
            <w:r>
              <w:rPr>
                <w:rFonts w:hint="eastAsia" w:ascii="宋体" w:hAnsi="宋体"/>
                <w:kern w:val="0"/>
                <w:szCs w:val="21"/>
              </w:rPr>
              <w:t>1</w:t>
            </w:r>
          </w:p>
        </w:tc>
        <w:tc>
          <w:tcPr>
            <w:tcW w:w="4790" w:type="dxa"/>
          </w:tcPr>
          <w:p w14:paraId="00A9FA60">
            <w:pPr>
              <w:keepNext/>
              <w:keepLines/>
              <w:tabs>
                <w:tab w:val="left" w:pos="765"/>
              </w:tabs>
              <w:spacing w:line="376" w:lineRule="auto"/>
              <w:outlineLvl w:val="3"/>
              <w:rPr>
                <w:rFonts w:ascii="Times New Roman"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c>
          <w:tcPr>
            <w:tcW w:w="3685" w:type="dxa"/>
          </w:tcPr>
          <w:p w14:paraId="67C6C895">
            <w:pPr>
              <w:adjustRightInd w:val="0"/>
              <w:snapToGrid w:val="0"/>
              <w:spacing w:line="360" w:lineRule="auto"/>
              <w:rPr>
                <w:rFonts w:ascii="宋体" w:hAnsi="宋体"/>
                <w:kern w:val="0"/>
                <w:szCs w:val="21"/>
              </w:rPr>
            </w:pPr>
          </w:p>
        </w:tc>
      </w:tr>
    </w:tbl>
    <w:p w14:paraId="3F6019E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kern w:val="0"/>
          <w:szCs w:val="21"/>
        </w:rPr>
        <w:t>采购人要求内容</w:t>
      </w:r>
      <w:r>
        <w:rPr>
          <w:rFonts w:hint="eastAsia" w:asciiTheme="minorEastAsia" w:hAnsiTheme="minorEastAsia" w:eastAsiaTheme="minorEastAsia"/>
          <w:bCs/>
          <w:kern w:val="0"/>
          <w:szCs w:val="21"/>
        </w:rPr>
        <w:t>”为</w:t>
      </w:r>
      <w:r>
        <w:rPr>
          <w:rFonts w:hint="eastAsia" w:asciiTheme="minorEastAsia" w:hAnsiTheme="minorEastAsia" w:eastAsiaTheme="minorEastAsia"/>
          <w:b/>
          <w:bCs/>
          <w:kern w:val="0"/>
          <w:szCs w:val="21"/>
          <w:highlight w:val="yellow"/>
        </w:rPr>
        <w:t>“第一册  专用条款/第二章  招标项目需求”</w:t>
      </w:r>
      <w:r>
        <w:rPr>
          <w:rFonts w:hint="eastAsia" w:asciiTheme="minorEastAsia" w:hAnsiTheme="minorEastAsia" w:eastAsiaTheme="minorEastAsia"/>
          <w:bCs/>
          <w:kern w:val="0"/>
          <w:szCs w:val="21"/>
        </w:rPr>
        <w:t>中的不可负偏离的实质性条款，即“实质性条款”。</w:t>
      </w:r>
    </w:p>
    <w:p w14:paraId="5EFF77D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2.“投标人响应情况”一栏应如实填写“响应”或“不响应”。</w:t>
      </w:r>
    </w:p>
    <w:p w14:paraId="3E4A095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3.“实质性条款响应情况表”与投标文件其它内容冲突的，以“实质性条款响应情况表”为准。</w:t>
      </w:r>
    </w:p>
    <w:p w14:paraId="754F9F61">
      <w:pPr>
        <w:keepNext/>
        <w:keepLines/>
        <w:tabs>
          <w:tab w:val="left" w:pos="765"/>
        </w:tabs>
        <w:spacing w:line="376" w:lineRule="auto"/>
        <w:outlineLvl w:val="3"/>
        <w:rPr>
          <w:rFonts w:asciiTheme="minorEastAsia" w:hAnsiTheme="minorEastAsia" w:eastAsiaTheme="minorEastAsia"/>
          <w:bCs/>
          <w:kern w:val="0"/>
          <w:szCs w:val="21"/>
          <w:highlight w:val="yellow"/>
        </w:rPr>
      </w:pPr>
      <w:r>
        <w:rPr>
          <w:rFonts w:hint="eastAsia" w:asciiTheme="minorEastAsia" w:hAnsiTheme="minorEastAsia" w:eastAsiaTheme="minorEastAsia"/>
          <w:bCs/>
          <w:kern w:val="0"/>
          <w:szCs w:val="21"/>
          <w:highlight w:val="yellow"/>
        </w:rPr>
        <w:t>4.标★的条款要求提供证明材料的，应</w:t>
      </w:r>
      <w:r>
        <w:rPr>
          <w:rFonts w:hint="eastAsia" w:asciiTheme="minorEastAsia" w:hAnsiTheme="minorEastAsia" w:eastAsiaTheme="minorEastAsia"/>
          <w:bCs/>
          <w:kern w:val="0"/>
          <w:szCs w:val="21"/>
          <w:highlight w:val="yellow"/>
          <w:lang w:eastAsia="zh-CN"/>
        </w:rPr>
        <w:t>将证明材料</w:t>
      </w:r>
      <w:r>
        <w:rPr>
          <w:rFonts w:hint="eastAsia" w:asciiTheme="minorEastAsia" w:hAnsiTheme="minorEastAsia" w:eastAsiaTheme="minorEastAsia"/>
          <w:bCs/>
          <w:kern w:val="0"/>
          <w:szCs w:val="21"/>
          <w:highlight w:val="yellow"/>
        </w:rPr>
        <w:t>附在本表后，未提供证明材料或证明材料与响应情况不相符的，按负偏离处理。</w:t>
      </w:r>
    </w:p>
    <w:p w14:paraId="4EC6FA9E">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五</w:t>
      </w:r>
      <w:r>
        <w:rPr>
          <w:rFonts w:hint="eastAsia" w:ascii="黑体" w:hAnsi="宋体" w:eastAsia="黑体"/>
          <w:bCs/>
          <w:kern w:val="0"/>
          <w:sz w:val="24"/>
          <w:szCs w:val="24"/>
        </w:rPr>
        <w:t>、详细分项报价清单</w:t>
      </w:r>
    </w:p>
    <w:tbl>
      <w:tblPr>
        <w:tblStyle w:val="4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0D02CF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1ED70707">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序号</w:t>
            </w:r>
          </w:p>
        </w:tc>
        <w:tc>
          <w:tcPr>
            <w:tcW w:w="2485" w:type="dxa"/>
            <w:vAlign w:val="center"/>
          </w:tcPr>
          <w:p w14:paraId="33B06F9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项目内容</w:t>
            </w:r>
          </w:p>
        </w:tc>
        <w:tc>
          <w:tcPr>
            <w:tcW w:w="876" w:type="dxa"/>
            <w:vAlign w:val="center"/>
          </w:tcPr>
          <w:p w14:paraId="1ACA19A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数量</w:t>
            </w:r>
          </w:p>
        </w:tc>
        <w:tc>
          <w:tcPr>
            <w:tcW w:w="909" w:type="dxa"/>
            <w:vAlign w:val="center"/>
          </w:tcPr>
          <w:p w14:paraId="2DDEF12A">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单位</w:t>
            </w:r>
          </w:p>
        </w:tc>
        <w:tc>
          <w:tcPr>
            <w:tcW w:w="1643" w:type="dxa"/>
            <w:vAlign w:val="center"/>
          </w:tcPr>
          <w:p w14:paraId="310424F2">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单价（单位：元）</w:t>
            </w:r>
          </w:p>
        </w:tc>
        <w:tc>
          <w:tcPr>
            <w:tcW w:w="1701" w:type="dxa"/>
            <w:vAlign w:val="center"/>
          </w:tcPr>
          <w:p w14:paraId="7773949E">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总价（单位：元）</w:t>
            </w:r>
          </w:p>
        </w:tc>
        <w:tc>
          <w:tcPr>
            <w:tcW w:w="1125" w:type="dxa"/>
            <w:vAlign w:val="center"/>
          </w:tcPr>
          <w:p w14:paraId="58873379">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备注</w:t>
            </w:r>
          </w:p>
        </w:tc>
      </w:tr>
      <w:tr w14:paraId="0156A1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3CB59B6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1</w:t>
            </w:r>
          </w:p>
        </w:tc>
        <w:tc>
          <w:tcPr>
            <w:tcW w:w="2485" w:type="dxa"/>
            <w:vAlign w:val="center"/>
          </w:tcPr>
          <w:p w14:paraId="6E084386">
            <w:pPr>
              <w:adjustRightInd w:val="0"/>
              <w:snapToGrid w:val="0"/>
              <w:spacing w:line="300" w:lineRule="auto"/>
              <w:jc w:val="center"/>
              <w:rPr>
                <w:rFonts w:ascii="宋体" w:hAnsi="宋体"/>
                <w:szCs w:val="21"/>
                <w:lang w:val="zh-CN"/>
              </w:rPr>
            </w:pPr>
          </w:p>
        </w:tc>
        <w:tc>
          <w:tcPr>
            <w:tcW w:w="876" w:type="dxa"/>
            <w:vAlign w:val="center"/>
          </w:tcPr>
          <w:p w14:paraId="21DD7D59">
            <w:pPr>
              <w:adjustRightInd w:val="0"/>
              <w:snapToGrid w:val="0"/>
              <w:spacing w:line="300" w:lineRule="auto"/>
              <w:jc w:val="center"/>
              <w:rPr>
                <w:rFonts w:ascii="Times New Roman" w:hAnsi="Times New Roman"/>
                <w:snapToGrid w:val="0"/>
                <w:kern w:val="0"/>
                <w:szCs w:val="24"/>
              </w:rPr>
            </w:pPr>
          </w:p>
        </w:tc>
        <w:tc>
          <w:tcPr>
            <w:tcW w:w="909" w:type="dxa"/>
            <w:vAlign w:val="center"/>
          </w:tcPr>
          <w:p w14:paraId="269BFE7D">
            <w:pPr>
              <w:adjustRightInd w:val="0"/>
              <w:snapToGrid w:val="0"/>
              <w:spacing w:line="300" w:lineRule="auto"/>
              <w:jc w:val="center"/>
              <w:rPr>
                <w:rFonts w:ascii="Times New Roman" w:hAnsi="Times New Roman"/>
                <w:snapToGrid w:val="0"/>
                <w:kern w:val="0"/>
                <w:szCs w:val="24"/>
              </w:rPr>
            </w:pPr>
          </w:p>
        </w:tc>
        <w:tc>
          <w:tcPr>
            <w:tcW w:w="1643" w:type="dxa"/>
            <w:vAlign w:val="center"/>
          </w:tcPr>
          <w:p w14:paraId="762DEC98">
            <w:pPr>
              <w:adjustRightInd w:val="0"/>
              <w:snapToGrid w:val="0"/>
              <w:spacing w:line="300" w:lineRule="auto"/>
              <w:jc w:val="center"/>
              <w:rPr>
                <w:rFonts w:ascii="Times New Roman" w:hAnsi="Times New Roman"/>
                <w:snapToGrid w:val="0"/>
                <w:kern w:val="0"/>
                <w:szCs w:val="24"/>
              </w:rPr>
            </w:pPr>
          </w:p>
        </w:tc>
        <w:tc>
          <w:tcPr>
            <w:tcW w:w="1701" w:type="dxa"/>
            <w:vAlign w:val="center"/>
          </w:tcPr>
          <w:p w14:paraId="2C615352">
            <w:pPr>
              <w:adjustRightInd w:val="0"/>
              <w:snapToGrid w:val="0"/>
              <w:spacing w:line="300" w:lineRule="auto"/>
              <w:jc w:val="center"/>
              <w:rPr>
                <w:rFonts w:ascii="Times New Roman" w:hAnsi="Times New Roman"/>
                <w:snapToGrid w:val="0"/>
                <w:kern w:val="0"/>
                <w:szCs w:val="24"/>
              </w:rPr>
            </w:pPr>
          </w:p>
        </w:tc>
        <w:tc>
          <w:tcPr>
            <w:tcW w:w="1125" w:type="dxa"/>
            <w:vAlign w:val="center"/>
          </w:tcPr>
          <w:p w14:paraId="71CEBEA2">
            <w:pPr>
              <w:adjustRightInd w:val="0"/>
              <w:snapToGrid w:val="0"/>
              <w:spacing w:line="300" w:lineRule="auto"/>
              <w:jc w:val="center"/>
              <w:rPr>
                <w:rFonts w:ascii="Times New Roman" w:hAnsi="Times New Roman"/>
                <w:snapToGrid w:val="0"/>
                <w:kern w:val="0"/>
                <w:szCs w:val="24"/>
              </w:rPr>
            </w:pPr>
          </w:p>
        </w:tc>
      </w:tr>
      <w:tr w14:paraId="3FA9A4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15A92978">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2</w:t>
            </w:r>
          </w:p>
        </w:tc>
        <w:tc>
          <w:tcPr>
            <w:tcW w:w="2485" w:type="dxa"/>
            <w:vAlign w:val="center"/>
          </w:tcPr>
          <w:p w14:paraId="0D4A491C">
            <w:pPr>
              <w:adjustRightInd w:val="0"/>
              <w:snapToGrid w:val="0"/>
              <w:spacing w:line="300" w:lineRule="auto"/>
              <w:jc w:val="center"/>
              <w:rPr>
                <w:rFonts w:ascii="宋体" w:hAnsi="宋体"/>
                <w:szCs w:val="21"/>
                <w:lang w:val="zh-CN"/>
              </w:rPr>
            </w:pPr>
          </w:p>
        </w:tc>
        <w:tc>
          <w:tcPr>
            <w:tcW w:w="876" w:type="dxa"/>
            <w:vAlign w:val="center"/>
          </w:tcPr>
          <w:p w14:paraId="708A16AB">
            <w:pPr>
              <w:adjustRightInd w:val="0"/>
              <w:snapToGrid w:val="0"/>
              <w:spacing w:line="300" w:lineRule="auto"/>
              <w:jc w:val="center"/>
              <w:rPr>
                <w:rFonts w:ascii="Times New Roman" w:hAnsi="Times New Roman"/>
                <w:snapToGrid w:val="0"/>
                <w:kern w:val="0"/>
                <w:szCs w:val="24"/>
              </w:rPr>
            </w:pPr>
          </w:p>
        </w:tc>
        <w:tc>
          <w:tcPr>
            <w:tcW w:w="909" w:type="dxa"/>
            <w:vAlign w:val="center"/>
          </w:tcPr>
          <w:p w14:paraId="5B01ED45">
            <w:pPr>
              <w:adjustRightInd w:val="0"/>
              <w:snapToGrid w:val="0"/>
              <w:spacing w:line="300" w:lineRule="auto"/>
              <w:jc w:val="center"/>
              <w:rPr>
                <w:rFonts w:ascii="Times New Roman" w:hAnsi="Times New Roman"/>
                <w:snapToGrid w:val="0"/>
                <w:kern w:val="0"/>
                <w:szCs w:val="24"/>
              </w:rPr>
            </w:pPr>
          </w:p>
        </w:tc>
        <w:tc>
          <w:tcPr>
            <w:tcW w:w="1643" w:type="dxa"/>
            <w:vAlign w:val="center"/>
          </w:tcPr>
          <w:p w14:paraId="1855FA58">
            <w:pPr>
              <w:adjustRightInd w:val="0"/>
              <w:snapToGrid w:val="0"/>
              <w:spacing w:line="300" w:lineRule="auto"/>
              <w:jc w:val="center"/>
              <w:rPr>
                <w:rFonts w:ascii="Times New Roman" w:hAnsi="Times New Roman"/>
                <w:snapToGrid w:val="0"/>
                <w:kern w:val="0"/>
                <w:szCs w:val="24"/>
              </w:rPr>
            </w:pPr>
          </w:p>
        </w:tc>
        <w:tc>
          <w:tcPr>
            <w:tcW w:w="1701" w:type="dxa"/>
            <w:vAlign w:val="center"/>
          </w:tcPr>
          <w:p w14:paraId="07D64B9D">
            <w:pPr>
              <w:adjustRightInd w:val="0"/>
              <w:snapToGrid w:val="0"/>
              <w:spacing w:line="300" w:lineRule="auto"/>
              <w:jc w:val="center"/>
              <w:rPr>
                <w:rFonts w:ascii="Times New Roman" w:hAnsi="Times New Roman"/>
                <w:snapToGrid w:val="0"/>
                <w:kern w:val="0"/>
                <w:szCs w:val="24"/>
              </w:rPr>
            </w:pPr>
          </w:p>
        </w:tc>
        <w:tc>
          <w:tcPr>
            <w:tcW w:w="1125" w:type="dxa"/>
            <w:vAlign w:val="center"/>
          </w:tcPr>
          <w:p w14:paraId="2C49303E">
            <w:pPr>
              <w:adjustRightInd w:val="0"/>
              <w:snapToGrid w:val="0"/>
              <w:spacing w:line="300" w:lineRule="auto"/>
              <w:jc w:val="center"/>
              <w:rPr>
                <w:rFonts w:ascii="Times New Roman" w:hAnsi="Times New Roman"/>
                <w:snapToGrid w:val="0"/>
                <w:kern w:val="0"/>
                <w:szCs w:val="24"/>
              </w:rPr>
            </w:pPr>
          </w:p>
        </w:tc>
      </w:tr>
      <w:tr w14:paraId="7499FF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647DE217">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 xml:space="preserve">3 </w:t>
            </w:r>
          </w:p>
        </w:tc>
        <w:tc>
          <w:tcPr>
            <w:tcW w:w="2485" w:type="dxa"/>
            <w:vAlign w:val="center"/>
          </w:tcPr>
          <w:p w14:paraId="59E423DE">
            <w:pPr>
              <w:adjustRightInd w:val="0"/>
              <w:snapToGrid w:val="0"/>
              <w:spacing w:line="300" w:lineRule="auto"/>
              <w:jc w:val="center"/>
              <w:rPr>
                <w:rFonts w:ascii="宋体" w:hAnsi="宋体"/>
                <w:szCs w:val="21"/>
                <w:lang w:val="zh-CN"/>
              </w:rPr>
            </w:pPr>
          </w:p>
        </w:tc>
        <w:tc>
          <w:tcPr>
            <w:tcW w:w="876" w:type="dxa"/>
            <w:vAlign w:val="center"/>
          </w:tcPr>
          <w:p w14:paraId="3B2A92F8">
            <w:pPr>
              <w:adjustRightInd w:val="0"/>
              <w:snapToGrid w:val="0"/>
              <w:spacing w:line="300" w:lineRule="auto"/>
              <w:jc w:val="center"/>
              <w:rPr>
                <w:rFonts w:ascii="Times New Roman" w:hAnsi="Times New Roman"/>
                <w:snapToGrid w:val="0"/>
                <w:kern w:val="0"/>
                <w:szCs w:val="24"/>
              </w:rPr>
            </w:pPr>
          </w:p>
        </w:tc>
        <w:tc>
          <w:tcPr>
            <w:tcW w:w="909" w:type="dxa"/>
            <w:vAlign w:val="center"/>
          </w:tcPr>
          <w:p w14:paraId="5468CF0E">
            <w:pPr>
              <w:adjustRightInd w:val="0"/>
              <w:snapToGrid w:val="0"/>
              <w:spacing w:line="300" w:lineRule="auto"/>
              <w:jc w:val="center"/>
              <w:rPr>
                <w:rFonts w:ascii="Times New Roman" w:hAnsi="Times New Roman"/>
                <w:snapToGrid w:val="0"/>
                <w:kern w:val="0"/>
                <w:szCs w:val="24"/>
              </w:rPr>
            </w:pPr>
          </w:p>
        </w:tc>
        <w:tc>
          <w:tcPr>
            <w:tcW w:w="1643" w:type="dxa"/>
            <w:vAlign w:val="center"/>
          </w:tcPr>
          <w:p w14:paraId="0E4139CF">
            <w:pPr>
              <w:adjustRightInd w:val="0"/>
              <w:snapToGrid w:val="0"/>
              <w:spacing w:line="300" w:lineRule="auto"/>
              <w:jc w:val="center"/>
              <w:rPr>
                <w:rFonts w:ascii="Times New Roman" w:hAnsi="Times New Roman"/>
                <w:snapToGrid w:val="0"/>
                <w:kern w:val="0"/>
                <w:szCs w:val="24"/>
              </w:rPr>
            </w:pPr>
          </w:p>
        </w:tc>
        <w:tc>
          <w:tcPr>
            <w:tcW w:w="1701" w:type="dxa"/>
            <w:vAlign w:val="center"/>
          </w:tcPr>
          <w:p w14:paraId="670C0818">
            <w:pPr>
              <w:adjustRightInd w:val="0"/>
              <w:snapToGrid w:val="0"/>
              <w:spacing w:line="300" w:lineRule="auto"/>
              <w:jc w:val="center"/>
              <w:rPr>
                <w:rFonts w:ascii="Times New Roman" w:hAnsi="Times New Roman"/>
                <w:snapToGrid w:val="0"/>
                <w:kern w:val="0"/>
                <w:szCs w:val="24"/>
              </w:rPr>
            </w:pPr>
          </w:p>
        </w:tc>
        <w:tc>
          <w:tcPr>
            <w:tcW w:w="1125" w:type="dxa"/>
            <w:vAlign w:val="center"/>
          </w:tcPr>
          <w:p w14:paraId="302D2576">
            <w:pPr>
              <w:adjustRightInd w:val="0"/>
              <w:snapToGrid w:val="0"/>
              <w:spacing w:line="300" w:lineRule="auto"/>
              <w:jc w:val="center"/>
              <w:rPr>
                <w:rFonts w:ascii="Times New Roman" w:hAnsi="Times New Roman"/>
                <w:snapToGrid w:val="0"/>
                <w:kern w:val="0"/>
                <w:szCs w:val="24"/>
              </w:rPr>
            </w:pPr>
          </w:p>
        </w:tc>
      </w:tr>
      <w:tr w14:paraId="26AB3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0F5A8F23">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4</w:t>
            </w:r>
          </w:p>
        </w:tc>
        <w:tc>
          <w:tcPr>
            <w:tcW w:w="2485" w:type="dxa"/>
            <w:vAlign w:val="center"/>
          </w:tcPr>
          <w:p w14:paraId="59164360">
            <w:pPr>
              <w:adjustRightInd w:val="0"/>
              <w:snapToGrid w:val="0"/>
              <w:spacing w:line="300" w:lineRule="auto"/>
              <w:jc w:val="center"/>
              <w:rPr>
                <w:rFonts w:ascii="宋体" w:hAnsi="宋体"/>
                <w:szCs w:val="21"/>
                <w:lang w:val="zh-CN"/>
              </w:rPr>
            </w:pPr>
          </w:p>
        </w:tc>
        <w:tc>
          <w:tcPr>
            <w:tcW w:w="876" w:type="dxa"/>
            <w:vAlign w:val="center"/>
          </w:tcPr>
          <w:p w14:paraId="7E35DD39">
            <w:pPr>
              <w:adjustRightInd w:val="0"/>
              <w:snapToGrid w:val="0"/>
              <w:spacing w:line="300" w:lineRule="auto"/>
              <w:jc w:val="center"/>
              <w:rPr>
                <w:rFonts w:ascii="Times New Roman" w:hAnsi="Times New Roman"/>
                <w:snapToGrid w:val="0"/>
                <w:kern w:val="0"/>
                <w:szCs w:val="24"/>
              </w:rPr>
            </w:pPr>
          </w:p>
        </w:tc>
        <w:tc>
          <w:tcPr>
            <w:tcW w:w="909" w:type="dxa"/>
            <w:vAlign w:val="center"/>
          </w:tcPr>
          <w:p w14:paraId="4FD42C6F">
            <w:pPr>
              <w:adjustRightInd w:val="0"/>
              <w:snapToGrid w:val="0"/>
              <w:spacing w:line="300" w:lineRule="auto"/>
              <w:jc w:val="center"/>
              <w:rPr>
                <w:rFonts w:ascii="Times New Roman" w:hAnsi="Times New Roman"/>
                <w:snapToGrid w:val="0"/>
                <w:kern w:val="0"/>
                <w:szCs w:val="24"/>
              </w:rPr>
            </w:pPr>
          </w:p>
        </w:tc>
        <w:tc>
          <w:tcPr>
            <w:tcW w:w="1643" w:type="dxa"/>
            <w:vAlign w:val="center"/>
          </w:tcPr>
          <w:p w14:paraId="5566AF93">
            <w:pPr>
              <w:adjustRightInd w:val="0"/>
              <w:snapToGrid w:val="0"/>
              <w:spacing w:line="300" w:lineRule="auto"/>
              <w:jc w:val="center"/>
              <w:rPr>
                <w:rFonts w:ascii="Times New Roman" w:hAnsi="Times New Roman"/>
                <w:snapToGrid w:val="0"/>
                <w:kern w:val="0"/>
                <w:szCs w:val="24"/>
              </w:rPr>
            </w:pPr>
          </w:p>
        </w:tc>
        <w:tc>
          <w:tcPr>
            <w:tcW w:w="1701" w:type="dxa"/>
            <w:vAlign w:val="center"/>
          </w:tcPr>
          <w:p w14:paraId="450F859D">
            <w:pPr>
              <w:adjustRightInd w:val="0"/>
              <w:snapToGrid w:val="0"/>
              <w:spacing w:line="300" w:lineRule="auto"/>
              <w:jc w:val="center"/>
              <w:rPr>
                <w:rFonts w:ascii="Times New Roman" w:hAnsi="Times New Roman"/>
                <w:snapToGrid w:val="0"/>
                <w:kern w:val="0"/>
                <w:szCs w:val="24"/>
              </w:rPr>
            </w:pPr>
          </w:p>
        </w:tc>
        <w:tc>
          <w:tcPr>
            <w:tcW w:w="1125" w:type="dxa"/>
            <w:vAlign w:val="center"/>
          </w:tcPr>
          <w:p w14:paraId="14139FA0">
            <w:pPr>
              <w:adjustRightInd w:val="0"/>
              <w:snapToGrid w:val="0"/>
              <w:spacing w:line="300" w:lineRule="auto"/>
              <w:jc w:val="center"/>
              <w:rPr>
                <w:rFonts w:ascii="Times New Roman" w:hAnsi="Times New Roman"/>
                <w:snapToGrid w:val="0"/>
                <w:kern w:val="0"/>
                <w:szCs w:val="24"/>
              </w:rPr>
            </w:pPr>
          </w:p>
        </w:tc>
      </w:tr>
      <w:tr w14:paraId="763A54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bottom w:val="single" w:color="auto" w:sz="4" w:space="0"/>
            </w:tcBorders>
            <w:vAlign w:val="center"/>
          </w:tcPr>
          <w:p w14:paraId="525C10E3">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5</w:t>
            </w:r>
          </w:p>
        </w:tc>
        <w:tc>
          <w:tcPr>
            <w:tcW w:w="2485" w:type="dxa"/>
            <w:tcBorders>
              <w:bottom w:val="single" w:color="auto" w:sz="4" w:space="0"/>
            </w:tcBorders>
            <w:vAlign w:val="center"/>
          </w:tcPr>
          <w:p w14:paraId="4D6DF71D">
            <w:pPr>
              <w:adjustRightInd w:val="0"/>
              <w:snapToGrid w:val="0"/>
              <w:spacing w:line="300" w:lineRule="auto"/>
              <w:jc w:val="center"/>
              <w:rPr>
                <w:rFonts w:ascii="宋体" w:hAnsi="宋体"/>
                <w:szCs w:val="21"/>
                <w:lang w:val="zh-CN"/>
              </w:rPr>
            </w:pPr>
          </w:p>
        </w:tc>
        <w:tc>
          <w:tcPr>
            <w:tcW w:w="876" w:type="dxa"/>
            <w:tcBorders>
              <w:bottom w:val="single" w:color="auto" w:sz="4" w:space="0"/>
            </w:tcBorders>
            <w:vAlign w:val="center"/>
          </w:tcPr>
          <w:p w14:paraId="00ECCB8F">
            <w:pPr>
              <w:adjustRightInd w:val="0"/>
              <w:snapToGrid w:val="0"/>
              <w:spacing w:line="300" w:lineRule="auto"/>
              <w:jc w:val="center"/>
              <w:rPr>
                <w:rFonts w:ascii="Times New Roman" w:hAnsi="Times New Roman"/>
                <w:snapToGrid w:val="0"/>
                <w:kern w:val="0"/>
                <w:szCs w:val="24"/>
              </w:rPr>
            </w:pPr>
          </w:p>
        </w:tc>
        <w:tc>
          <w:tcPr>
            <w:tcW w:w="909" w:type="dxa"/>
            <w:tcBorders>
              <w:bottom w:val="single" w:color="auto" w:sz="4" w:space="0"/>
            </w:tcBorders>
            <w:vAlign w:val="center"/>
          </w:tcPr>
          <w:p w14:paraId="02AC8E77">
            <w:pPr>
              <w:adjustRightInd w:val="0"/>
              <w:snapToGrid w:val="0"/>
              <w:spacing w:line="300" w:lineRule="auto"/>
              <w:jc w:val="center"/>
              <w:rPr>
                <w:rFonts w:ascii="Times New Roman" w:hAnsi="Times New Roman"/>
                <w:snapToGrid w:val="0"/>
                <w:kern w:val="0"/>
                <w:szCs w:val="24"/>
              </w:rPr>
            </w:pPr>
          </w:p>
        </w:tc>
        <w:tc>
          <w:tcPr>
            <w:tcW w:w="1643" w:type="dxa"/>
            <w:tcBorders>
              <w:bottom w:val="single" w:color="auto" w:sz="4" w:space="0"/>
            </w:tcBorders>
            <w:vAlign w:val="center"/>
          </w:tcPr>
          <w:p w14:paraId="41C36D43">
            <w:pPr>
              <w:adjustRightInd w:val="0"/>
              <w:snapToGrid w:val="0"/>
              <w:spacing w:line="300" w:lineRule="auto"/>
              <w:jc w:val="center"/>
              <w:rPr>
                <w:rFonts w:ascii="Times New Roman" w:hAnsi="Times New Roman"/>
                <w:snapToGrid w:val="0"/>
                <w:kern w:val="0"/>
                <w:szCs w:val="24"/>
              </w:rPr>
            </w:pPr>
          </w:p>
        </w:tc>
        <w:tc>
          <w:tcPr>
            <w:tcW w:w="1701" w:type="dxa"/>
            <w:tcBorders>
              <w:bottom w:val="single" w:color="auto" w:sz="4" w:space="0"/>
            </w:tcBorders>
            <w:vAlign w:val="center"/>
          </w:tcPr>
          <w:p w14:paraId="7FD0BA84">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24962BF4">
            <w:pPr>
              <w:adjustRightInd w:val="0"/>
              <w:snapToGrid w:val="0"/>
              <w:spacing w:line="300" w:lineRule="auto"/>
              <w:jc w:val="center"/>
              <w:rPr>
                <w:rFonts w:ascii="Times New Roman" w:hAnsi="Times New Roman"/>
                <w:snapToGrid w:val="0"/>
                <w:kern w:val="0"/>
                <w:szCs w:val="24"/>
              </w:rPr>
            </w:pPr>
          </w:p>
        </w:tc>
      </w:tr>
      <w:tr w14:paraId="0EBF1F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7CC4A4A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6</w:t>
            </w:r>
          </w:p>
        </w:tc>
        <w:tc>
          <w:tcPr>
            <w:tcW w:w="2485" w:type="dxa"/>
            <w:tcBorders>
              <w:top w:val="single" w:color="auto" w:sz="4" w:space="0"/>
              <w:bottom w:val="single" w:color="auto" w:sz="4" w:space="0"/>
            </w:tcBorders>
            <w:vAlign w:val="center"/>
          </w:tcPr>
          <w:p w14:paraId="16BE0D2C">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298FA6FA">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75B0A302">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280F9F03">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76D8E391">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0A1471A7">
            <w:pPr>
              <w:adjustRightInd w:val="0"/>
              <w:snapToGrid w:val="0"/>
              <w:spacing w:line="300" w:lineRule="auto"/>
              <w:jc w:val="center"/>
              <w:rPr>
                <w:rFonts w:ascii="Times New Roman" w:hAnsi="Times New Roman"/>
                <w:snapToGrid w:val="0"/>
                <w:kern w:val="0"/>
                <w:szCs w:val="24"/>
              </w:rPr>
            </w:pPr>
          </w:p>
        </w:tc>
      </w:tr>
      <w:tr w14:paraId="670A47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18013727">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7</w:t>
            </w:r>
          </w:p>
        </w:tc>
        <w:tc>
          <w:tcPr>
            <w:tcW w:w="2485" w:type="dxa"/>
            <w:tcBorders>
              <w:top w:val="single" w:color="auto" w:sz="4" w:space="0"/>
              <w:bottom w:val="single" w:color="auto" w:sz="4" w:space="0"/>
            </w:tcBorders>
            <w:vAlign w:val="center"/>
          </w:tcPr>
          <w:p w14:paraId="37D68DAA">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02B809E8">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6C4B855B">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37DC29BB">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65D97FC7">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16698A1A">
            <w:pPr>
              <w:adjustRightInd w:val="0"/>
              <w:snapToGrid w:val="0"/>
              <w:spacing w:line="300" w:lineRule="auto"/>
              <w:jc w:val="center"/>
              <w:rPr>
                <w:rFonts w:ascii="Times New Roman" w:hAnsi="Times New Roman"/>
                <w:snapToGrid w:val="0"/>
                <w:kern w:val="0"/>
                <w:szCs w:val="24"/>
              </w:rPr>
            </w:pPr>
          </w:p>
        </w:tc>
      </w:tr>
      <w:tr w14:paraId="3E3506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1A5A61A9">
            <w:pPr>
              <w:adjustRightInd w:val="0"/>
              <w:snapToGrid w:val="0"/>
              <w:spacing w:line="300" w:lineRule="auto"/>
              <w:jc w:val="center"/>
              <w:rPr>
                <w:rFonts w:ascii="Times New Roman" w:hAnsi="Times New Roman"/>
                <w:snapToGrid w:val="0"/>
                <w:kern w:val="0"/>
                <w:szCs w:val="24"/>
              </w:rPr>
            </w:pPr>
            <w:r>
              <w:rPr>
                <w:rFonts w:hint="eastAsia" w:ascii="Times New Roman" w:hAnsi="Times New Roman"/>
                <w:snapToGrid w:val="0"/>
                <w:kern w:val="0"/>
                <w:szCs w:val="24"/>
              </w:rPr>
              <w:t>合</w:t>
            </w:r>
            <w:r>
              <w:rPr>
                <w:rFonts w:ascii="Times New Roman" w:hAnsi="Times New Roman"/>
                <w:snapToGrid w:val="0"/>
                <w:kern w:val="0"/>
                <w:szCs w:val="24"/>
              </w:rPr>
              <w:t xml:space="preserve">   </w:t>
            </w:r>
            <w:r>
              <w:rPr>
                <w:rFonts w:hint="eastAsia" w:ascii="Times New Roman" w:hAnsi="Times New Roman"/>
                <w:snapToGrid w:val="0"/>
                <w:kern w:val="0"/>
                <w:szCs w:val="24"/>
              </w:rPr>
              <w:t>计（即投标总价，单位：元）</w:t>
            </w:r>
          </w:p>
        </w:tc>
        <w:tc>
          <w:tcPr>
            <w:tcW w:w="1701" w:type="dxa"/>
            <w:tcBorders>
              <w:top w:val="single" w:color="auto" w:sz="4" w:space="0"/>
            </w:tcBorders>
            <w:vAlign w:val="center"/>
          </w:tcPr>
          <w:p w14:paraId="30DA7B50">
            <w:pPr>
              <w:adjustRightInd w:val="0"/>
              <w:snapToGrid w:val="0"/>
              <w:spacing w:line="300" w:lineRule="auto"/>
              <w:jc w:val="center"/>
              <w:rPr>
                <w:rFonts w:ascii="Times New Roman" w:hAnsi="Times New Roman"/>
                <w:snapToGrid w:val="0"/>
                <w:kern w:val="0"/>
                <w:szCs w:val="24"/>
              </w:rPr>
            </w:pPr>
          </w:p>
        </w:tc>
        <w:tc>
          <w:tcPr>
            <w:tcW w:w="1125" w:type="dxa"/>
            <w:tcBorders>
              <w:top w:val="single" w:color="auto" w:sz="4" w:space="0"/>
            </w:tcBorders>
            <w:vAlign w:val="center"/>
          </w:tcPr>
          <w:p w14:paraId="52FD4EB4">
            <w:pPr>
              <w:adjustRightInd w:val="0"/>
              <w:snapToGrid w:val="0"/>
              <w:spacing w:line="300" w:lineRule="auto"/>
              <w:jc w:val="center"/>
              <w:rPr>
                <w:rFonts w:ascii="Times New Roman" w:hAnsi="Times New Roman"/>
                <w:snapToGrid w:val="0"/>
                <w:kern w:val="0"/>
                <w:szCs w:val="24"/>
              </w:rPr>
            </w:pPr>
          </w:p>
        </w:tc>
      </w:tr>
    </w:tbl>
    <w:p w14:paraId="016F9A1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注：1、本表格仅为指导性范本，供应商可根据项目具体情况对各分项内容进行调整。</w:t>
      </w:r>
    </w:p>
    <w:p w14:paraId="7B91776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2、投标总价应为以上各分项价格之和。</w:t>
      </w:r>
    </w:p>
    <w:p w14:paraId="60C5A50A">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3、开标一览表的投标总价必须与以上分项报价清单的投标总价一致。</w:t>
      </w:r>
    </w:p>
    <w:p w14:paraId="4EE4E69D">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33E6802">
      <w:pPr>
        <w:keepNext/>
        <w:keepLines/>
        <w:tabs>
          <w:tab w:val="left" w:pos="765"/>
        </w:tabs>
        <w:spacing w:line="376" w:lineRule="auto"/>
        <w:outlineLvl w:val="3"/>
        <w:rPr>
          <w:rFonts w:asciiTheme="minorEastAsia" w:hAnsiTheme="minorEastAsia" w:eastAsiaTheme="minorEastAsia"/>
          <w:bCs/>
          <w:kern w:val="0"/>
          <w:szCs w:val="21"/>
        </w:rPr>
      </w:pPr>
    </w:p>
    <w:p w14:paraId="1F761FCA">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1" w:hRule="atLeast"/>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bl>
    <w:p w14:paraId="481C686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4C407108">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1</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“招标文件服务要求”一栏填写招标文件第二章“招标项目需求”</w:t>
      </w:r>
      <w:r>
        <w:rPr>
          <w:rFonts w:asciiTheme="minorEastAsia" w:hAnsiTheme="minorEastAsia" w:eastAsiaTheme="minorEastAsia"/>
          <w:b/>
          <w:bCs/>
          <w:kern w:val="0"/>
          <w:szCs w:val="21"/>
          <w:highlight w:val="yellow"/>
        </w:rPr>
        <w:t>“</w:t>
      </w:r>
      <w:r>
        <w:rPr>
          <w:rFonts w:hint="eastAsia" w:asciiTheme="minorEastAsia" w:hAnsiTheme="minorEastAsia" w:eastAsiaTheme="minorEastAsia"/>
          <w:b/>
          <w:bCs/>
          <w:kern w:val="0"/>
          <w:szCs w:val="21"/>
          <w:highlight w:val="yellow"/>
        </w:rPr>
        <w:t>四、项目</w:t>
      </w:r>
      <w:r>
        <w:rPr>
          <w:rFonts w:asciiTheme="minorEastAsia" w:hAnsiTheme="minorEastAsia" w:eastAsiaTheme="minorEastAsia"/>
          <w:b/>
          <w:bCs/>
          <w:kern w:val="0"/>
          <w:szCs w:val="21"/>
          <w:highlight w:val="yellow"/>
        </w:rPr>
        <w:t>服务</w:t>
      </w:r>
      <w:r>
        <w:rPr>
          <w:rFonts w:hint="eastAsia" w:asciiTheme="minorEastAsia" w:hAnsiTheme="minorEastAsia" w:eastAsiaTheme="minorEastAsia"/>
          <w:b/>
          <w:bCs/>
          <w:kern w:val="0"/>
          <w:szCs w:val="21"/>
          <w:highlight w:val="yellow"/>
        </w:rPr>
        <w:t>要求</w:t>
      </w:r>
      <w:r>
        <w:rPr>
          <w:rFonts w:asciiTheme="minorEastAsia" w:hAnsiTheme="minorEastAsia" w:eastAsiaTheme="minorEastAsia"/>
          <w:b/>
          <w:bCs/>
          <w:kern w:val="0"/>
          <w:szCs w:val="21"/>
          <w:highlight w:val="yellow"/>
        </w:rPr>
        <w:t>”</w:t>
      </w:r>
      <w:r>
        <w:rPr>
          <w:rFonts w:asciiTheme="minorEastAsia" w:hAnsiTheme="minorEastAsia" w:eastAsiaTheme="minorEastAsia"/>
          <w:bCs/>
          <w:kern w:val="0"/>
          <w:szCs w:val="21"/>
        </w:rPr>
        <w:t>的内容。</w:t>
      </w:r>
    </w:p>
    <w:p w14:paraId="4795A060">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2</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“投标文件服务</w:t>
      </w:r>
      <w:r>
        <w:rPr>
          <w:rFonts w:hint="eastAsia" w:asciiTheme="minorEastAsia" w:hAnsiTheme="minorEastAsia" w:eastAsiaTheme="minorEastAsia"/>
          <w:bCs/>
          <w:kern w:val="0"/>
          <w:szCs w:val="21"/>
        </w:rPr>
        <w:t>响应</w:t>
      </w:r>
      <w:r>
        <w:rPr>
          <w:rFonts w:asciiTheme="minorEastAsia" w:hAnsiTheme="minorEastAsia" w:eastAsiaTheme="minorEastAsia"/>
          <w:bCs/>
          <w:kern w:val="0"/>
          <w:szCs w:val="21"/>
        </w:rPr>
        <w:t>”一栏详细填写响应情况，并应对照</w:t>
      </w:r>
      <w:r>
        <w:rPr>
          <w:rFonts w:hint="eastAsia" w:asciiTheme="minorEastAsia" w:hAnsiTheme="minorEastAsia" w:eastAsiaTheme="minorEastAsia"/>
          <w:bCs/>
          <w:kern w:val="0"/>
          <w:szCs w:val="21"/>
        </w:rPr>
        <w:t>招</w:t>
      </w:r>
      <w:r>
        <w:rPr>
          <w:rFonts w:asciiTheme="minorEastAsia" w:hAnsiTheme="minorEastAsia" w:eastAsiaTheme="minorEastAsia"/>
          <w:bCs/>
          <w:kern w:val="0"/>
          <w:szCs w:val="21"/>
        </w:rPr>
        <w:t>标文件</w:t>
      </w:r>
      <w:r>
        <w:rPr>
          <w:rFonts w:hint="eastAsia" w:asciiTheme="minorEastAsia" w:hAnsiTheme="minorEastAsia" w:eastAsiaTheme="minorEastAsia"/>
          <w:bCs/>
          <w:kern w:val="0"/>
          <w:szCs w:val="21"/>
        </w:rPr>
        <w:t>服务</w:t>
      </w:r>
      <w:r>
        <w:rPr>
          <w:rFonts w:asciiTheme="minorEastAsia" w:hAnsiTheme="minorEastAsia" w:eastAsiaTheme="minorEastAsia"/>
          <w:bCs/>
          <w:kern w:val="0"/>
          <w:szCs w:val="21"/>
        </w:rPr>
        <w:t>要求一一对应响应。</w:t>
      </w:r>
    </w:p>
    <w:p w14:paraId="18856264">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3</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“偏离情况”一栏应如实填写“正偏离”、“负偏离”或“无偏离”。</w:t>
      </w:r>
    </w:p>
    <w:p w14:paraId="0BB97D25">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48E999F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32350FA9">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79AD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50E5A7B9">
            <w:pPr>
              <w:jc w:val="center"/>
              <w:rPr>
                <w:rFonts w:ascii="宋体" w:hAnsi="宋体"/>
                <w:szCs w:val="21"/>
              </w:rPr>
            </w:pPr>
            <w:r>
              <w:rPr>
                <w:rFonts w:hint="eastAsia" w:ascii="宋体" w:hAnsi="宋体"/>
                <w:szCs w:val="21"/>
              </w:rPr>
              <w:t>序号</w:t>
            </w:r>
          </w:p>
        </w:tc>
        <w:tc>
          <w:tcPr>
            <w:tcW w:w="2410" w:type="dxa"/>
            <w:vAlign w:val="center"/>
          </w:tcPr>
          <w:p w14:paraId="7AF764F6">
            <w:pPr>
              <w:jc w:val="center"/>
              <w:rPr>
                <w:rFonts w:ascii="宋体" w:hAnsi="宋体"/>
                <w:szCs w:val="21"/>
              </w:rPr>
            </w:pPr>
            <w:r>
              <w:rPr>
                <w:rFonts w:hint="eastAsia" w:ascii="宋体" w:hAnsi="宋体"/>
                <w:szCs w:val="21"/>
              </w:rPr>
              <w:t>招标文件商务要求</w:t>
            </w:r>
          </w:p>
        </w:tc>
        <w:tc>
          <w:tcPr>
            <w:tcW w:w="2551" w:type="dxa"/>
            <w:vAlign w:val="center"/>
          </w:tcPr>
          <w:p w14:paraId="42F0B6E4">
            <w:pPr>
              <w:jc w:val="center"/>
              <w:rPr>
                <w:rFonts w:ascii="宋体" w:hAnsi="宋体"/>
                <w:szCs w:val="21"/>
              </w:rPr>
            </w:pPr>
            <w:r>
              <w:rPr>
                <w:rFonts w:hint="eastAsia" w:ascii="宋体" w:hAnsi="宋体"/>
                <w:szCs w:val="21"/>
              </w:rPr>
              <w:t>投标文件商务响应</w:t>
            </w:r>
          </w:p>
        </w:tc>
        <w:tc>
          <w:tcPr>
            <w:tcW w:w="1344" w:type="dxa"/>
            <w:vAlign w:val="center"/>
          </w:tcPr>
          <w:p w14:paraId="62AFABD0">
            <w:pPr>
              <w:jc w:val="center"/>
              <w:rPr>
                <w:rFonts w:ascii="宋体" w:hAnsi="宋体"/>
                <w:szCs w:val="21"/>
              </w:rPr>
            </w:pPr>
            <w:r>
              <w:rPr>
                <w:rFonts w:hint="eastAsia" w:ascii="宋体" w:hAnsi="宋体"/>
                <w:szCs w:val="21"/>
              </w:rPr>
              <w:t>偏离情况</w:t>
            </w:r>
          </w:p>
        </w:tc>
        <w:tc>
          <w:tcPr>
            <w:tcW w:w="2008" w:type="dxa"/>
            <w:vAlign w:val="center"/>
          </w:tcPr>
          <w:p w14:paraId="18755FA9">
            <w:pPr>
              <w:jc w:val="center"/>
              <w:rPr>
                <w:rFonts w:ascii="宋体" w:hAnsi="宋体"/>
                <w:szCs w:val="21"/>
              </w:rPr>
            </w:pPr>
            <w:r>
              <w:rPr>
                <w:rFonts w:hint="eastAsia" w:ascii="宋体" w:hAnsi="宋体"/>
                <w:szCs w:val="21"/>
              </w:rPr>
              <w:t>说明</w:t>
            </w:r>
          </w:p>
        </w:tc>
      </w:tr>
      <w:tr w14:paraId="311F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00EEF4A7">
            <w:pPr>
              <w:rPr>
                <w:sz w:val="24"/>
              </w:rPr>
            </w:pPr>
          </w:p>
        </w:tc>
        <w:tc>
          <w:tcPr>
            <w:tcW w:w="2410" w:type="dxa"/>
          </w:tcPr>
          <w:p w14:paraId="03CB5AC6">
            <w:pPr>
              <w:rPr>
                <w:sz w:val="24"/>
              </w:rPr>
            </w:pPr>
          </w:p>
        </w:tc>
        <w:tc>
          <w:tcPr>
            <w:tcW w:w="2551" w:type="dxa"/>
          </w:tcPr>
          <w:p w14:paraId="629C5896">
            <w:pPr>
              <w:rPr>
                <w:sz w:val="24"/>
              </w:rPr>
            </w:pPr>
          </w:p>
        </w:tc>
        <w:tc>
          <w:tcPr>
            <w:tcW w:w="1344" w:type="dxa"/>
          </w:tcPr>
          <w:p w14:paraId="2A0C28EE">
            <w:pPr>
              <w:rPr>
                <w:sz w:val="24"/>
              </w:rPr>
            </w:pPr>
          </w:p>
        </w:tc>
        <w:tc>
          <w:tcPr>
            <w:tcW w:w="2008" w:type="dxa"/>
          </w:tcPr>
          <w:p w14:paraId="00CC59FA">
            <w:pPr>
              <w:rPr>
                <w:sz w:val="24"/>
              </w:rPr>
            </w:pPr>
            <w:r>
              <w:rPr>
                <w:rFonts w:hint="eastAsia"/>
                <w:szCs w:val="21"/>
              </w:rPr>
              <w:t>如需附证明文件，应在“说明”栏填写证明文件对应名称和页码。</w:t>
            </w:r>
          </w:p>
        </w:tc>
      </w:tr>
      <w:tr w14:paraId="7A13F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57EF8A31">
            <w:pPr>
              <w:rPr>
                <w:sz w:val="24"/>
              </w:rPr>
            </w:pPr>
          </w:p>
        </w:tc>
        <w:tc>
          <w:tcPr>
            <w:tcW w:w="2410" w:type="dxa"/>
          </w:tcPr>
          <w:p w14:paraId="621CBA5F">
            <w:pPr>
              <w:rPr>
                <w:sz w:val="24"/>
              </w:rPr>
            </w:pPr>
          </w:p>
        </w:tc>
        <w:tc>
          <w:tcPr>
            <w:tcW w:w="2551" w:type="dxa"/>
          </w:tcPr>
          <w:p w14:paraId="4528F0C9">
            <w:pPr>
              <w:rPr>
                <w:sz w:val="24"/>
              </w:rPr>
            </w:pPr>
          </w:p>
        </w:tc>
        <w:tc>
          <w:tcPr>
            <w:tcW w:w="1344" w:type="dxa"/>
          </w:tcPr>
          <w:p w14:paraId="707065F9">
            <w:pPr>
              <w:rPr>
                <w:sz w:val="24"/>
              </w:rPr>
            </w:pPr>
          </w:p>
        </w:tc>
        <w:tc>
          <w:tcPr>
            <w:tcW w:w="2008" w:type="dxa"/>
          </w:tcPr>
          <w:p w14:paraId="0A5347C0">
            <w:pPr>
              <w:rPr>
                <w:sz w:val="24"/>
              </w:rPr>
            </w:pPr>
          </w:p>
        </w:tc>
      </w:tr>
    </w:tbl>
    <w:p w14:paraId="25B83E1D">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01BDA369">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1、“招标文件商务服务要求”一栏填写招标文件第二章“招标项目需求”</w:t>
      </w:r>
      <w:r>
        <w:rPr>
          <w:rFonts w:hint="eastAsia" w:asciiTheme="minorEastAsia" w:hAnsiTheme="minorEastAsia" w:eastAsiaTheme="minorEastAsia"/>
          <w:b/>
          <w:bCs/>
          <w:kern w:val="0"/>
          <w:szCs w:val="21"/>
          <w:highlight w:val="yellow"/>
        </w:rPr>
        <w:t>“五、项目商务要求”</w:t>
      </w:r>
      <w:r>
        <w:rPr>
          <w:rFonts w:hint="eastAsia" w:asciiTheme="minorEastAsia" w:hAnsiTheme="minorEastAsia" w:eastAsiaTheme="minorEastAsia"/>
          <w:bCs/>
          <w:kern w:val="0"/>
          <w:szCs w:val="21"/>
        </w:rPr>
        <w:t>的内容</w:t>
      </w:r>
      <w:r>
        <w:rPr>
          <w:rFonts w:asciiTheme="minorEastAsia" w:hAnsiTheme="minorEastAsia" w:eastAsiaTheme="minorEastAsia"/>
          <w:bCs/>
          <w:kern w:val="0"/>
          <w:szCs w:val="21"/>
        </w:rPr>
        <w:t>。</w:t>
      </w:r>
    </w:p>
    <w:p w14:paraId="49B8AD4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2、“投标文件商务响应”一栏详细填写投标商务条款的内容</w:t>
      </w:r>
      <w:r>
        <w:rPr>
          <w:rFonts w:asciiTheme="minorEastAsia" w:hAnsiTheme="minorEastAsia" w:eastAsiaTheme="minorEastAsia"/>
          <w:bCs/>
          <w:kern w:val="0"/>
          <w:szCs w:val="21"/>
        </w:rPr>
        <w:t>。</w:t>
      </w:r>
    </w:p>
    <w:p w14:paraId="14D39D3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3、“偏离情况”栏中应如实填写“正偏离”、“负偏离”或“无偏离”</w:t>
      </w:r>
      <w:r>
        <w:rPr>
          <w:rFonts w:asciiTheme="minorEastAsia" w:hAnsiTheme="minorEastAsia" w:eastAsiaTheme="minorEastAsia"/>
          <w:bCs/>
          <w:kern w:val="0"/>
          <w:szCs w:val="21"/>
        </w:rPr>
        <w:t>。</w:t>
      </w:r>
    </w:p>
    <w:p w14:paraId="3EE00CF2">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55E10043">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5B34A1CA">
      <w:pPr>
        <w:jc w:val="center"/>
        <w:rPr>
          <w:rFonts w:hint="eastAsia" w:ascii="宋体" w:hAnsi="宋体"/>
          <w:b/>
          <w:bCs/>
          <w:kern w:val="0"/>
          <w:sz w:val="24"/>
          <w:szCs w:val="20"/>
        </w:rPr>
      </w:pPr>
    </w:p>
    <w:p w14:paraId="178B501E">
      <w:pPr>
        <w:jc w:val="center"/>
        <w:rPr>
          <w:rFonts w:hint="eastAsia" w:ascii="宋体" w:hAnsi="宋体"/>
          <w:b/>
          <w:bCs/>
          <w:kern w:val="0"/>
          <w:sz w:val="24"/>
          <w:szCs w:val="20"/>
        </w:rPr>
      </w:pPr>
    </w:p>
    <w:p w14:paraId="73F422CA">
      <w:pPr>
        <w:jc w:val="center"/>
        <w:rPr>
          <w:rFonts w:hint="eastAsia" w:ascii="宋体" w:hAnsi="宋体"/>
          <w:b/>
          <w:bCs/>
          <w:kern w:val="0"/>
          <w:sz w:val="24"/>
          <w:szCs w:val="20"/>
        </w:rPr>
      </w:pPr>
    </w:p>
    <w:p w14:paraId="2212C60F">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2C820204">
      <w:pPr>
        <w:jc w:val="center"/>
        <w:rPr>
          <w:rFonts w:hint="eastAsia" w:ascii="黑体" w:hAnsi="宋体" w:eastAsia="黑体"/>
          <w:bCs/>
          <w:kern w:val="0"/>
          <w:sz w:val="24"/>
          <w:szCs w:val="24"/>
          <w:lang w:eastAsia="zh-CN"/>
        </w:rPr>
      </w:pPr>
    </w:p>
    <w:p w14:paraId="7B42746E">
      <w:pPr>
        <w:rPr>
          <w:rFonts w:hint="eastAsia" w:ascii="宋体" w:hAnsi="宋体"/>
          <w:b/>
          <w:bCs/>
          <w:kern w:val="0"/>
          <w:sz w:val="24"/>
          <w:szCs w:val="20"/>
        </w:rPr>
      </w:pPr>
      <w:r>
        <w:rPr>
          <w:rFonts w:hint="eastAsia" w:ascii="宋体" w:hAnsi="宋体"/>
          <w:b/>
          <w:bCs/>
          <w:kern w:val="0"/>
          <w:sz w:val="24"/>
          <w:szCs w:val="20"/>
        </w:rPr>
        <w:br w:type="page"/>
      </w:r>
    </w:p>
    <w:p w14:paraId="08129F67">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7318CE04">
      <w:pPr>
        <w:ind w:firstLine="411" w:firstLineChars="196"/>
        <w:rPr>
          <w:rFonts w:ascii="Times New Roman" w:hAnsi="Times New Roman"/>
          <w:szCs w:val="24"/>
        </w:rPr>
      </w:pPr>
    </w:p>
    <w:p w14:paraId="5EA205C0">
      <w:pPr>
        <w:keepNext/>
        <w:keepLines/>
        <w:spacing w:before="260" w:after="260"/>
        <w:jc w:val="center"/>
        <w:outlineLvl w:val="2"/>
        <w:rPr>
          <w:rFonts w:ascii="Times New Roman" w:hAnsi="Times New Roman"/>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bookmarkStart w:id="11" w:name="_Toc73521680"/>
      <w:bookmarkStart w:id="12" w:name="_Toc73521592"/>
      <w:bookmarkStart w:id="13" w:name="_Toc73518163"/>
      <w:bookmarkStart w:id="14" w:name="_Toc73517685"/>
      <w:bookmarkStart w:id="15" w:name="_Toc100052414"/>
      <w:bookmarkStart w:id="16" w:name="_Toc101074886"/>
      <w:bookmarkStart w:id="17" w:name="_Toc84303603"/>
    </w:p>
    <w:p w14:paraId="0C3E97E1">
      <w:pPr>
        <w:ind w:firstLine="470" w:firstLineChars="196"/>
        <w:jc w:val="center"/>
        <w:rPr>
          <w:rFonts w:ascii="Times New Roman" w:hAnsi="Times New Roman"/>
          <w:sz w:val="24"/>
          <w:szCs w:val="24"/>
        </w:rPr>
      </w:pPr>
    </w:p>
    <w:bookmarkEnd w:id="11"/>
    <w:bookmarkEnd w:id="12"/>
    <w:bookmarkEnd w:id="13"/>
    <w:bookmarkEnd w:id="14"/>
    <w:bookmarkEnd w:id="15"/>
    <w:bookmarkEnd w:id="16"/>
    <w:bookmarkEnd w:id="17"/>
    <w:p w14:paraId="0D6FB2FD">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6C6A0976">
      <w:pPr>
        <w:snapToGrid w:val="0"/>
        <w:spacing w:line="560" w:lineRule="exact"/>
        <w:rPr>
          <w:sz w:val="24"/>
        </w:rPr>
      </w:pPr>
      <w:r>
        <w:rPr>
          <w:rFonts w:hint="eastAsia" w:ascii="黑体" w:eastAsia="黑体"/>
          <w:sz w:val="24"/>
        </w:rPr>
        <w:t>合同编号</w:t>
      </w:r>
      <w:r>
        <w:rPr>
          <w:rFonts w:hint="eastAsia"/>
          <w:sz w:val="24"/>
        </w:rPr>
        <w:t>：</w:t>
      </w:r>
      <w:r>
        <w:rPr>
          <w:rFonts w:hint="eastAsia"/>
          <w:sz w:val="24"/>
          <w:u w:val="single"/>
        </w:rPr>
        <w:t xml:space="preserve">                     </w:t>
      </w:r>
    </w:p>
    <w:p w14:paraId="6CFE4A57">
      <w:pPr>
        <w:snapToGrid w:val="0"/>
        <w:spacing w:line="560" w:lineRule="exact"/>
        <w:rPr>
          <w:sz w:val="24"/>
        </w:rPr>
      </w:pPr>
    </w:p>
    <w:p w14:paraId="6FE27CD7">
      <w:pPr>
        <w:snapToGrid w:val="0"/>
        <w:spacing w:line="560" w:lineRule="exact"/>
        <w:rPr>
          <w:sz w:val="24"/>
        </w:rPr>
      </w:pPr>
    </w:p>
    <w:p w14:paraId="5CCB77AF">
      <w:pPr>
        <w:snapToGrid w:val="0"/>
        <w:spacing w:line="560" w:lineRule="exact"/>
        <w:rPr>
          <w:sz w:val="24"/>
        </w:rPr>
      </w:pPr>
    </w:p>
    <w:p w14:paraId="457EC365">
      <w:pPr>
        <w:snapToGrid w:val="0"/>
        <w:spacing w:line="560" w:lineRule="exact"/>
        <w:rPr>
          <w:sz w:val="24"/>
        </w:rPr>
      </w:pPr>
    </w:p>
    <w:p w14:paraId="68EB4DF0">
      <w:pPr>
        <w:snapToGrid w:val="0"/>
        <w:spacing w:line="560" w:lineRule="exact"/>
        <w:rPr>
          <w:sz w:val="24"/>
        </w:rPr>
      </w:pPr>
    </w:p>
    <w:p w14:paraId="6ACB3AB4">
      <w:pPr>
        <w:snapToGrid w:val="0"/>
        <w:spacing w:line="560" w:lineRule="exact"/>
        <w:jc w:val="center"/>
        <w:outlineLvl w:val="0"/>
        <w:rPr>
          <w:rFonts w:ascii="黑体" w:eastAsia="黑体" w:cs="黑体"/>
          <w:sz w:val="36"/>
          <w:szCs w:val="36"/>
        </w:rPr>
      </w:pPr>
      <w:r>
        <w:rPr>
          <w:rFonts w:hint="eastAsia" w:ascii="宋体" w:hAnsi="宋体"/>
          <w:b/>
          <w:bCs/>
          <w:sz w:val="36"/>
          <w:szCs w:val="36"/>
          <w:u w:val="single"/>
        </w:rPr>
        <w:t>圳品工程--“圳品”标准体系建设和评价监督推广项目（</w:t>
      </w:r>
      <w:r>
        <w:rPr>
          <w:rFonts w:hint="eastAsia" w:ascii="宋体" w:hAnsi="宋体"/>
          <w:b/>
          <w:bCs/>
          <w:sz w:val="36"/>
          <w:szCs w:val="36"/>
          <w:u w:val="single"/>
          <w:lang w:val="en-US" w:eastAsia="zh-CN"/>
        </w:rPr>
        <w:t>E包</w:t>
      </w:r>
      <w:r>
        <w:rPr>
          <w:rFonts w:hint="eastAsia" w:ascii="宋体" w:hAnsi="宋体"/>
          <w:b/>
          <w:bCs/>
          <w:sz w:val="36"/>
          <w:szCs w:val="36"/>
          <w:u w:val="single"/>
        </w:rPr>
        <w:t>）</w:t>
      </w:r>
      <w:r>
        <w:rPr>
          <w:rFonts w:hint="eastAsia" w:ascii="黑体" w:eastAsia="黑体" w:cs="黑体"/>
          <w:sz w:val="36"/>
          <w:szCs w:val="36"/>
        </w:rPr>
        <w:t>合同</w:t>
      </w:r>
    </w:p>
    <w:p w14:paraId="0958F6F2">
      <w:pPr>
        <w:snapToGrid w:val="0"/>
        <w:spacing w:line="560" w:lineRule="exact"/>
        <w:rPr>
          <w:sz w:val="24"/>
        </w:rPr>
      </w:pPr>
    </w:p>
    <w:p w14:paraId="7739417D">
      <w:pPr>
        <w:snapToGrid w:val="0"/>
        <w:spacing w:line="560" w:lineRule="exact"/>
        <w:rPr>
          <w:sz w:val="24"/>
        </w:rPr>
      </w:pPr>
    </w:p>
    <w:p w14:paraId="067A288B">
      <w:pPr>
        <w:snapToGrid w:val="0"/>
        <w:spacing w:line="560" w:lineRule="exact"/>
        <w:rPr>
          <w:sz w:val="24"/>
        </w:rPr>
      </w:pPr>
    </w:p>
    <w:p w14:paraId="348D877A">
      <w:pPr>
        <w:snapToGrid w:val="0"/>
        <w:spacing w:line="560" w:lineRule="exact"/>
        <w:rPr>
          <w:sz w:val="24"/>
        </w:rPr>
      </w:pPr>
    </w:p>
    <w:p w14:paraId="30559FB8">
      <w:pPr>
        <w:snapToGrid w:val="0"/>
        <w:spacing w:line="560" w:lineRule="exact"/>
        <w:rPr>
          <w:sz w:val="24"/>
        </w:rPr>
      </w:pPr>
    </w:p>
    <w:p w14:paraId="13F08A61">
      <w:pPr>
        <w:snapToGrid w:val="0"/>
        <w:spacing w:line="560" w:lineRule="exact"/>
        <w:ind w:left="1260" w:hanging="1260" w:hangingChars="450"/>
        <w:rPr>
          <w:rFonts w:hint="eastAsia" w:ascii="黑体" w:eastAsia="黑体"/>
          <w:sz w:val="28"/>
          <w:szCs w:val="28"/>
          <w:u w:val="single"/>
        </w:rPr>
      </w:pPr>
      <w:r>
        <w:rPr>
          <w:rFonts w:hint="eastAsia" w:ascii="黑体" w:eastAsia="黑体"/>
          <w:sz w:val="28"/>
          <w:szCs w:val="28"/>
        </w:rPr>
        <w:t>项目名称：</w:t>
      </w:r>
      <w:r>
        <w:rPr>
          <w:rFonts w:hint="eastAsia" w:ascii="黑体" w:eastAsia="黑体"/>
          <w:sz w:val="28"/>
          <w:szCs w:val="28"/>
          <w:u w:val="single"/>
        </w:rPr>
        <w:t xml:space="preserve"> 圳品工程--“圳品”标准体系建设和评价监督推广项目（</w:t>
      </w:r>
      <w:r>
        <w:rPr>
          <w:rFonts w:hint="eastAsia" w:ascii="黑体" w:eastAsia="黑体"/>
          <w:sz w:val="28"/>
          <w:szCs w:val="28"/>
          <w:u w:val="single"/>
          <w:lang w:val="en-US" w:eastAsia="zh-CN"/>
        </w:rPr>
        <w:t>E包</w:t>
      </w:r>
      <w:r>
        <w:rPr>
          <w:rFonts w:hint="eastAsia" w:ascii="黑体" w:eastAsia="黑体"/>
          <w:sz w:val="28"/>
          <w:szCs w:val="28"/>
          <w:u w:val="single"/>
        </w:rPr>
        <w:t>）合同</w:t>
      </w:r>
    </w:p>
    <w:p w14:paraId="71115DAF">
      <w:pPr>
        <w:snapToGrid w:val="0"/>
        <w:spacing w:line="560" w:lineRule="exact"/>
        <w:rPr>
          <w:rFonts w:ascii="黑体" w:eastAsia="黑体"/>
          <w:sz w:val="28"/>
          <w:szCs w:val="28"/>
        </w:rPr>
      </w:pPr>
      <w:r>
        <w:rPr>
          <w:rFonts w:hint="eastAsia" w:ascii="黑体" w:eastAsia="黑体"/>
          <w:sz w:val="28"/>
          <w:szCs w:val="28"/>
        </w:rPr>
        <w:t>甲    方：</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深圳市市场监督管理局</w:t>
      </w:r>
      <w:r>
        <w:rPr>
          <w:rFonts w:ascii="黑体" w:eastAsia="黑体"/>
          <w:sz w:val="28"/>
          <w:szCs w:val="28"/>
          <w:u w:val="single"/>
        </w:rPr>
        <w:t xml:space="preserve"> </w:t>
      </w:r>
      <w:r>
        <w:rPr>
          <w:rFonts w:hint="eastAsia" w:ascii="黑体" w:eastAsia="黑体"/>
          <w:sz w:val="28"/>
          <w:szCs w:val="28"/>
          <w:u w:val="single"/>
        </w:rPr>
        <w:t xml:space="preserve">                        </w:t>
      </w:r>
    </w:p>
    <w:p w14:paraId="39D88129">
      <w:pPr>
        <w:snapToGrid w:val="0"/>
        <w:spacing w:line="560" w:lineRule="exact"/>
        <w:ind w:left="1400" w:hanging="1400" w:hangingChars="500"/>
        <w:rPr>
          <w:sz w:val="28"/>
          <w:szCs w:val="28"/>
          <w:u w:val="single"/>
        </w:rPr>
      </w:pPr>
      <w:r>
        <w:rPr>
          <w:rFonts w:hint="eastAsia" w:ascii="黑体" w:eastAsia="黑体"/>
          <w:sz w:val="28"/>
          <w:szCs w:val="28"/>
        </w:rPr>
        <w:t>乙    方：</w:t>
      </w:r>
      <w:r>
        <w:rPr>
          <w:rFonts w:hint="eastAsia" w:ascii="黑体" w:eastAsia="黑体"/>
          <w:sz w:val="28"/>
          <w:szCs w:val="28"/>
          <w:u w:val="single"/>
        </w:rPr>
        <w:t xml:space="preserve">                                               </w:t>
      </w:r>
    </w:p>
    <w:p w14:paraId="778A4BBE">
      <w:pPr>
        <w:snapToGrid w:val="0"/>
        <w:spacing w:line="560" w:lineRule="exact"/>
        <w:rPr>
          <w:sz w:val="28"/>
          <w:szCs w:val="28"/>
          <w:u w:val="single"/>
        </w:rPr>
      </w:pPr>
    </w:p>
    <w:p w14:paraId="1EF5E88E">
      <w:pPr>
        <w:snapToGrid w:val="0"/>
        <w:spacing w:line="560" w:lineRule="exact"/>
        <w:jc w:val="center"/>
        <w:rPr>
          <w:rFonts w:ascii="仿宋" w:eastAsia="仿宋"/>
          <w:sz w:val="28"/>
          <w:szCs w:val="28"/>
        </w:rPr>
      </w:pPr>
      <w:r>
        <w:rPr>
          <w:rFonts w:hint="eastAsia" w:ascii="仿宋" w:eastAsia="仿宋"/>
          <w:sz w:val="28"/>
          <w:szCs w:val="28"/>
        </w:rPr>
        <w:t>年   月   日</w:t>
      </w:r>
    </w:p>
    <w:p w14:paraId="43838D59">
      <w:pPr>
        <w:snapToGrid w:val="0"/>
        <w:spacing w:line="560" w:lineRule="exact"/>
        <w:rPr>
          <w:rFonts w:ascii="黑体" w:eastAsia="黑体"/>
          <w:sz w:val="32"/>
          <w:szCs w:val="32"/>
        </w:rPr>
        <w:sectPr>
          <w:pgSz w:w="11906" w:h="16838"/>
          <w:pgMar w:top="1440" w:right="1800" w:bottom="1440" w:left="1800" w:header="851" w:footer="992" w:gutter="0"/>
          <w:cols w:space="720" w:num="1"/>
          <w:docGrid w:type="lines" w:linePitch="387" w:charSpace="0"/>
        </w:sectPr>
      </w:pPr>
    </w:p>
    <w:p w14:paraId="72587388">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 ：</w:t>
      </w:r>
      <w:r>
        <w:rPr>
          <w:rFonts w:hint="eastAsia" w:asciiTheme="minorEastAsia" w:hAnsiTheme="minorEastAsia" w:eastAsiaTheme="minorEastAsia" w:cstheme="minorEastAsia"/>
          <w:sz w:val="21"/>
          <w:szCs w:val="21"/>
          <w:u w:val="single"/>
        </w:rPr>
        <w:t xml:space="preserve">                          </w:t>
      </w:r>
    </w:p>
    <w:p w14:paraId="212F7022">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住所：</w:t>
      </w:r>
    </w:p>
    <w:p w14:paraId="29A620BB">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p w14:paraId="172CAD06">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乙方：</w:t>
      </w:r>
      <w:r>
        <w:rPr>
          <w:rFonts w:hint="eastAsia" w:asciiTheme="minorEastAsia" w:hAnsiTheme="minorEastAsia" w:eastAsiaTheme="minorEastAsia" w:cstheme="minorEastAsia"/>
          <w:sz w:val="21"/>
          <w:szCs w:val="21"/>
          <w:u w:val="single"/>
        </w:rPr>
        <w:t xml:space="preserve">                        </w:t>
      </w:r>
    </w:p>
    <w:p w14:paraId="61D0F842">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住所：</w:t>
      </w:r>
    </w:p>
    <w:p w14:paraId="6FFF3652">
      <w:pPr>
        <w:snapToGrid w:val="0"/>
        <w:spacing w:line="5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p w14:paraId="0A422E89">
      <w:pPr>
        <w:pStyle w:val="221"/>
        <w:snapToGrid w:val="0"/>
        <w:spacing w:line="560" w:lineRule="exact"/>
        <w:rPr>
          <w:rFonts w:hint="eastAsia" w:asciiTheme="minorEastAsia" w:hAnsiTheme="minorEastAsia" w:eastAsiaTheme="minorEastAsia" w:cstheme="minorEastAsia"/>
          <w:sz w:val="21"/>
          <w:szCs w:val="21"/>
        </w:rPr>
      </w:pPr>
    </w:p>
    <w:p w14:paraId="231E0AD6">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招标公告，乙方投标并依法被确定为中标人。现甲、乙双方根据《招标投标法》《中华人民共和国民法典》等有关法律规定，本着平等、自愿原则，经友好协商，签订本合同。</w:t>
      </w:r>
    </w:p>
    <w:p w14:paraId="1FB3BA9F">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项目内容</w:t>
      </w:r>
    </w:p>
    <w:p w14:paraId="56F281F7">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1．项目名称：</w:t>
      </w:r>
      <w:r>
        <w:rPr>
          <w:rFonts w:hint="eastAsia" w:asciiTheme="minorEastAsia" w:hAnsiTheme="minorEastAsia" w:eastAsiaTheme="minorEastAsia" w:cstheme="minorEastAsia"/>
          <w:sz w:val="21"/>
          <w:szCs w:val="21"/>
          <w:u w:val="single"/>
        </w:rPr>
        <w:t>圳品工程--“圳品”标准体系建设和评价监督推广项目（E包）</w:t>
      </w:r>
    </w:p>
    <w:p w14:paraId="56B69024">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2．项目内容、要求及实施阶段：</w:t>
      </w:r>
    </w:p>
    <w:p w14:paraId="46669F8A">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（1）项目内容和要求</w:t>
      </w:r>
    </w:p>
    <w:p w14:paraId="75E7DE49">
      <w:pPr>
        <w:widowControl/>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乙方须根据本项目的实际情况，为本项目指定合格的项目负责人，并配备不少于30人的项目团队（含1名项目负责人），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甲方监督，确保项目工作高质量完成。其服务主要内容为在检测资质范围内对申报产品进行抽样、检测工作，组织实施不少于300个申报产品的抽样检测技术服务。</w:t>
      </w:r>
    </w:p>
    <w:p w14:paraId="7A091852">
      <w:pPr>
        <w:widowControl/>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（2）项目内容和要求</w:t>
      </w:r>
    </w:p>
    <w:p w14:paraId="63635167">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①风险研判</w:t>
      </w:r>
    </w:p>
    <w:p w14:paraId="04F29BB5">
      <w:pPr>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及时发现并对“圳品工程”运行过程中产生的问题作出风险研判，并提出合理化建议，同时对检测过程中发现的企业食品安全风险给予检测意见和风险提示。</w:t>
      </w:r>
    </w:p>
    <w:p w14:paraId="7FF24A70">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②制定申报产品的抽样检测计划</w:t>
      </w:r>
    </w:p>
    <w:p w14:paraId="5F2280F1">
      <w:pPr>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根据产品风险等级、全国食品安全风险监测计划、重大食品安全舆情事件以及评价机构现场评价计划，科学确定抽检产品范围、检测指标及抽样方案，并确保检测全流程风险管控。</w:t>
      </w:r>
    </w:p>
    <w:p w14:paraId="0D647D1C">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③组织实施不少于300个申报产品的抽样检测</w:t>
      </w:r>
    </w:p>
    <w:p w14:paraId="029B3C06">
      <w:pPr>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依据批准的抽样检测计划，在检测资质范围内对申报产品进行抽样、检测工作，组织实施不少于300个申报产品的抽样检测技术服务。</w:t>
      </w:r>
    </w:p>
    <w:p w14:paraId="018DF5F6">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④现场抽样</w:t>
      </w:r>
    </w:p>
    <w:p w14:paraId="3A2586CF">
      <w:pPr>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按照《食品安全抽样检验工作规范》（市监食检发〔2023〕76号），安排人员进行抽样，确保抽样操作规范。</w:t>
      </w:r>
    </w:p>
    <w:p w14:paraId="607F8E1E">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⑤出具检测报告</w:t>
      </w:r>
    </w:p>
    <w:p w14:paraId="2A2833C1">
      <w:pPr>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依照“圳品标准”指标，对企业申报时提交的产品检测报告进行评估分析。依据“圳品”标准《圳品评价细则 食用农产品》《圳品评价细则 预包装食品》对所抽样品进行检测，出具检测报告，并对检测报告的真实性完整性负责，同时对抽检不符合情况进行风险性分析，为“圳品”评价及相关工作提供技术支撑。</w:t>
      </w:r>
    </w:p>
    <w:p w14:paraId="210560D2">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⑥抽样检测信息完整记录</w:t>
      </w:r>
    </w:p>
    <w:p w14:paraId="09881C9C">
      <w:pPr>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将现场抽样、样品封存、样品运输及移交、样品保存、检测报告等抽检全流程信息完整录入。</w:t>
      </w:r>
    </w:p>
    <w:p w14:paraId="652D45A3">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⑦检测档案提交</w:t>
      </w:r>
    </w:p>
    <w:p w14:paraId="4D0FE96E">
      <w:pPr>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及时完成检测档案的归档和提交，包括依据编码规则汇总电子和纸质档案，确保档案的完整、清晰。</w:t>
      </w:r>
    </w:p>
    <w:p w14:paraId="77202EE9">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⑧购样费用支付</w:t>
      </w:r>
    </w:p>
    <w:p w14:paraId="5774836F">
      <w:pPr>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中标单位需自行承担所抽样品的购样费用。</w:t>
      </w:r>
    </w:p>
    <w:p w14:paraId="374E9845">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⑨材料汇总与梳理</w:t>
      </w:r>
    </w:p>
    <w:p w14:paraId="4B24E652">
      <w:pPr>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实施申报产品的抽样检测过程中的相关材料、数据等，应及时汇总，完整梳理备查。</w:t>
      </w:r>
    </w:p>
    <w:p w14:paraId="20707C88">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⑩样品管理</w:t>
      </w:r>
    </w:p>
    <w:p w14:paraId="292C18CF">
      <w:pPr>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按照相关法律法规和标准要求进行样品管理（包含但不限于样品保存、留样和留样期满后处置）。</w:t>
      </w:r>
    </w:p>
    <w:p w14:paraId="3C977EE5">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⑪参与“专家评审会”“供深食品标准工作委员会”的审议工作</w:t>
      </w:r>
    </w:p>
    <w:p w14:paraId="74625D8F">
      <w:pPr>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指定对上会产品业务熟练的工作人员，参与“圳品”专家评审会及“供深食品标准工作委员会”会务准备及审议工作，保证上会材料的质量，并对专家或委员会、委员提出的问题，进行专业解答、问题整改及后续完善。</w:t>
      </w:r>
    </w:p>
    <w:p w14:paraId="733686E0">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⑫‌建立和运行沟通协同工作机制</w:t>
      </w:r>
    </w:p>
    <w:p w14:paraId="59D5E83F">
      <w:pPr>
        <w:snapToGrid w:val="0"/>
        <w:spacing w:line="560" w:lineRule="exact"/>
        <w:ind w:firstLine="422"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lang w:eastAsia="zh-CN"/>
        </w:rPr>
        <w:t>项目内容：</w:t>
      </w:r>
      <w:r>
        <w:rPr>
          <w:rFonts w:hint="eastAsia" w:asciiTheme="minorEastAsia" w:hAnsiTheme="minorEastAsia" w:eastAsiaTheme="minorEastAsia" w:cstheme="minorEastAsia"/>
          <w:sz w:val="21"/>
          <w:szCs w:val="21"/>
          <w:u w:val="single"/>
        </w:rPr>
        <w:t>建立与负责“圳品”申报产品文件评审及现场评价技术机构的常态化沟通机制和协同机制，确认“圳品”申报产品的现场评价工作计划，充分评估申报产品的风险值，同步形成与评价计划相匹配的抽检计划，并反馈至负责文件评审及现场评价的机构，需要协同的环节和点位不能脱节、不能滞后。</w:t>
      </w:r>
    </w:p>
    <w:p w14:paraId="4A6E15A8">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3．乙方应于合同生效后三日内向甲方提交项目具体实施方案，经甲方审核确认后，乙方受实施方案约束。具体实施方案原则上应当与</w:t>
      </w:r>
      <w:r>
        <w:rPr>
          <w:rFonts w:hint="eastAsia" w:asciiTheme="minorEastAsia" w:hAnsiTheme="minorEastAsia" w:eastAsiaTheme="minorEastAsia" w:cstheme="minorEastAsia"/>
          <w:bCs/>
          <w:sz w:val="21"/>
          <w:szCs w:val="21"/>
        </w:rPr>
        <w:t>招标文件的要求或投标文件的承诺保持一致，除甲方要求作出修改的。</w:t>
      </w:r>
    </w:p>
    <w:p w14:paraId="2EF31AD5">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合同期限</w:t>
      </w:r>
    </w:p>
    <w:p w14:paraId="483AB7B3">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1．合同签订之日起至</w:t>
      </w:r>
      <w:r>
        <w:rPr>
          <w:rFonts w:hint="eastAsia" w:asciiTheme="minorEastAsia" w:hAnsiTheme="minorEastAsia" w:eastAsiaTheme="minorEastAsia" w:cstheme="minorEastAsia"/>
          <w:sz w:val="21"/>
          <w:szCs w:val="21"/>
          <w:u w:val="single"/>
        </w:rPr>
        <w:t>2026</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12</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31</w:t>
      </w:r>
      <w:r>
        <w:rPr>
          <w:rFonts w:hint="eastAsia" w:asciiTheme="minorEastAsia" w:hAnsiTheme="minorEastAsia" w:eastAsiaTheme="minorEastAsia" w:cstheme="minorEastAsia"/>
          <w:sz w:val="21"/>
          <w:szCs w:val="21"/>
        </w:rPr>
        <w:t>日前完成。☑本项目不属于长期服务项目。</w:t>
      </w:r>
    </w:p>
    <w:p w14:paraId="5E793AA6">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2．因乙方交付成果未通过验收而进行整改的，也应在上述日期之前完成整改，否则视为乙方违约。</w:t>
      </w:r>
    </w:p>
    <w:p w14:paraId="3A9607BE">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3．乙方在服务期满，后续服务公司未到位前仍按原合同服务承诺提供服务，甲方无需向乙方支付任何款项。</w:t>
      </w:r>
    </w:p>
    <w:p w14:paraId="6A1BBC27">
      <w:pPr>
        <w:numPr>
          <w:ilvl w:val="0"/>
          <w:numId w:val="1"/>
        </w:numPr>
        <w:snapToGrid w:val="0"/>
        <w:spacing w:line="560" w:lineRule="exact"/>
        <w:ind w:hanging="318"/>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乙方人员配置</w:t>
      </w:r>
    </w:p>
    <w:p w14:paraId="6758CFFF">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1．为实施本项目，乙方指定</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为项目对接人。乙方应配备项目工作人员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名，其中项目人员、职称、专业等方面情况如下表。</w:t>
      </w:r>
    </w:p>
    <w:p w14:paraId="1C30D2D5">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2．乙方配备的项目工作人员及配备人员的资质应当</w:t>
      </w:r>
      <w:r>
        <w:rPr>
          <w:rFonts w:hint="eastAsia" w:asciiTheme="minorEastAsia" w:hAnsiTheme="minorEastAsia" w:eastAsiaTheme="minorEastAsia" w:cstheme="minorEastAsia"/>
          <w:bCs/>
          <w:sz w:val="21"/>
          <w:szCs w:val="21"/>
        </w:rPr>
        <w:t>与招标文件的要求或投标文件的承诺保持一致，非经甲方同意不得更换。</w:t>
      </w:r>
    </w:p>
    <w:p w14:paraId="47C39C23">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3．乙方保证上述工作人员信息的真实性，并对工作人员在工作中的行为承担最终法律责任。</w:t>
      </w:r>
    </w:p>
    <w:p w14:paraId="176F9EE8">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合同费用及支付</w:t>
      </w:r>
    </w:p>
    <w:p w14:paraId="5991F1A8">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1．甲方就合同事项向乙方支付的费用总额为人民币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（小写：</w:t>
      </w:r>
      <w:r>
        <w:rPr>
          <w:rFonts w:hint="eastAsia" w:asciiTheme="minorEastAsia" w:hAnsiTheme="minorEastAsia" w:eastAsiaTheme="minorEastAsia" w:cstheme="minorEastAsia"/>
          <w:sz w:val="21"/>
          <w:szCs w:val="21"/>
          <w:u w:val="single"/>
        </w:rPr>
        <w:t>￥    元</w:t>
      </w:r>
      <w:r>
        <w:rPr>
          <w:rFonts w:hint="eastAsia" w:asciiTheme="minorEastAsia" w:hAnsiTheme="minorEastAsia" w:eastAsiaTheme="minorEastAsia" w:cstheme="minorEastAsia"/>
          <w:sz w:val="21"/>
          <w:szCs w:val="21"/>
        </w:rPr>
        <w:t>），该费用包含但不限于乙方所承担的税费、工作人员和专家报酬、场地使用费、印刷费、耗材费、差旅费以及合理的利润等。除经协商一致变更本合同外，甲方无需再向乙方支付任何款项。</w:t>
      </w:r>
    </w:p>
    <w:p w14:paraId="7D08E110">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2．甲方将依照招标公告的要求选择以下方式向乙方支付合同费用：</w:t>
      </w:r>
    </w:p>
    <w:p w14:paraId="407E273F">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
          <w:sz w:val="21"/>
          <w:szCs w:val="21"/>
        </w:rPr>
        <w:t>分期付款</w:t>
      </w:r>
      <w:r>
        <w:rPr>
          <w:rFonts w:hint="eastAsia" w:asciiTheme="minorEastAsia" w:hAnsiTheme="minorEastAsia" w:eastAsiaTheme="minorEastAsia" w:cstheme="minorEastAsia"/>
          <w:sz w:val="21"/>
          <w:szCs w:val="21"/>
        </w:rPr>
        <w:t>：本合同生效且乙方提供符合规定的发票之日起</w:t>
      </w:r>
      <w:r>
        <w:rPr>
          <w:rFonts w:hint="eastAsia" w:asciiTheme="minorEastAsia" w:hAnsiTheme="minorEastAsia" w:eastAsiaTheme="minorEastAsia" w:cstheme="minorEastAsia"/>
          <w:sz w:val="21"/>
          <w:szCs w:val="21"/>
          <w:u w:val="single"/>
        </w:rPr>
        <w:t>10</w:t>
      </w:r>
      <w:r>
        <w:rPr>
          <w:rFonts w:hint="eastAsia" w:asciiTheme="minorEastAsia" w:hAnsiTheme="minorEastAsia" w:eastAsiaTheme="minorEastAsia" w:cstheme="minorEastAsia"/>
          <w:sz w:val="21"/>
          <w:szCs w:val="21"/>
        </w:rPr>
        <w:t>个工作日内，甲方向乙方支付合同总额的</w:t>
      </w:r>
      <w:r>
        <w:rPr>
          <w:rFonts w:hint="eastAsia" w:asciiTheme="minorEastAsia" w:hAnsiTheme="minorEastAsia" w:eastAsiaTheme="minorEastAsia" w:cstheme="minorEastAsia"/>
          <w:sz w:val="21"/>
          <w:szCs w:val="21"/>
          <w:u w:val="single"/>
        </w:rPr>
        <w:t>50</w:t>
      </w:r>
      <w:r>
        <w:rPr>
          <w:rFonts w:hint="eastAsia" w:asciiTheme="minorEastAsia" w:hAnsiTheme="minorEastAsia" w:eastAsiaTheme="minorEastAsia" w:cstheme="minorEastAsia"/>
          <w:sz w:val="21"/>
          <w:szCs w:val="21"/>
        </w:rPr>
        <w:t>%，即人民币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（小写：</w:t>
      </w:r>
      <w:r>
        <w:rPr>
          <w:rFonts w:hint="eastAsia" w:asciiTheme="minorEastAsia" w:hAnsiTheme="minorEastAsia" w:eastAsiaTheme="minorEastAsia" w:cstheme="minorEastAsia"/>
          <w:sz w:val="21"/>
          <w:szCs w:val="21"/>
          <w:u w:val="single"/>
        </w:rPr>
        <w:t>￥    元</w:t>
      </w:r>
      <w:r>
        <w:rPr>
          <w:rFonts w:hint="eastAsia" w:asciiTheme="minorEastAsia" w:hAnsiTheme="minorEastAsia" w:eastAsiaTheme="minorEastAsia" w:cstheme="minorEastAsia"/>
          <w:sz w:val="21"/>
          <w:szCs w:val="21"/>
        </w:rPr>
        <w:t>），余款按照进度验收后支付。</w:t>
      </w:r>
    </w:p>
    <w:p w14:paraId="549CEFAD">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
          <w:sz w:val="21"/>
          <w:szCs w:val="21"/>
        </w:rPr>
        <w:t>一次性付款：</w:t>
      </w:r>
      <w:r>
        <w:rPr>
          <w:rFonts w:hint="eastAsia" w:asciiTheme="minorEastAsia" w:hAnsiTheme="minorEastAsia" w:eastAsiaTheme="minorEastAsia" w:cstheme="minorEastAsia"/>
          <w:sz w:val="21"/>
          <w:szCs w:val="21"/>
        </w:rPr>
        <w:t>乙方交付成果且经甲方验收合格后，由乙方提供符合规定的发票，甲方应于收到发票之日起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个工作日内，一次性支付合同款项人民币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元（小写：</w:t>
      </w:r>
      <w:r>
        <w:rPr>
          <w:rFonts w:hint="eastAsia" w:asciiTheme="minorEastAsia" w:hAnsiTheme="minorEastAsia" w:eastAsiaTheme="minorEastAsia" w:cstheme="minorEastAsia"/>
          <w:sz w:val="21"/>
          <w:szCs w:val="21"/>
          <w:u w:val="single"/>
        </w:rPr>
        <w:t xml:space="preserve">  ￥             </w:t>
      </w:r>
      <w:r>
        <w:rPr>
          <w:rFonts w:hint="eastAsia" w:asciiTheme="minorEastAsia" w:hAnsiTheme="minorEastAsia" w:eastAsiaTheme="minorEastAsia" w:cstheme="minorEastAsia"/>
          <w:sz w:val="21"/>
          <w:szCs w:val="21"/>
        </w:rPr>
        <w:t>）。</w:t>
      </w:r>
    </w:p>
    <w:p w14:paraId="07B1C6D2">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xml:space="preserve">其他付款方式：                                      </w:t>
      </w:r>
    </w:p>
    <w:p w14:paraId="6940283A">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3．乙方指定收款银行账户信息如下：</w:t>
      </w:r>
    </w:p>
    <w:p w14:paraId="49BAA02A">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开户单位：</w:t>
      </w:r>
      <w:r>
        <w:rPr>
          <w:rFonts w:hint="eastAsia" w:asciiTheme="minorEastAsia" w:hAnsiTheme="minorEastAsia" w:eastAsiaTheme="minorEastAsia" w:cstheme="minorEastAsia"/>
          <w:sz w:val="21"/>
          <w:szCs w:val="21"/>
          <w:u w:val="single"/>
        </w:rPr>
        <w:t xml:space="preserve">                               </w:t>
      </w:r>
    </w:p>
    <w:p w14:paraId="1E30A87F">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账号：</w:t>
      </w:r>
      <w:r>
        <w:rPr>
          <w:rFonts w:hint="eastAsia" w:asciiTheme="minorEastAsia" w:hAnsiTheme="minorEastAsia" w:eastAsiaTheme="minorEastAsia" w:cstheme="minorEastAsia"/>
          <w:sz w:val="21"/>
          <w:szCs w:val="21"/>
          <w:u w:val="single"/>
        </w:rPr>
        <w:t xml:space="preserve">                                   </w:t>
      </w:r>
    </w:p>
    <w:p w14:paraId="64AF8786">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开户行：</w:t>
      </w:r>
      <w:r>
        <w:rPr>
          <w:rFonts w:hint="eastAsia" w:asciiTheme="minorEastAsia" w:hAnsiTheme="minorEastAsia" w:eastAsiaTheme="minorEastAsia" w:cstheme="minorEastAsia"/>
          <w:sz w:val="21"/>
          <w:szCs w:val="21"/>
          <w:u w:val="single"/>
        </w:rPr>
        <w:t xml:space="preserve">                                  </w:t>
      </w:r>
    </w:p>
    <w:p w14:paraId="5FD3A5E6">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纳税识别号：</w:t>
      </w:r>
      <w:r>
        <w:rPr>
          <w:rFonts w:hint="eastAsia" w:asciiTheme="minorEastAsia" w:hAnsiTheme="minorEastAsia" w:eastAsiaTheme="minorEastAsia" w:cstheme="minorEastAsia"/>
          <w:sz w:val="21"/>
          <w:szCs w:val="21"/>
          <w:u w:val="single"/>
        </w:rPr>
        <w:t xml:space="preserve">                              </w:t>
      </w:r>
    </w:p>
    <w:p w14:paraId="42D59AF9">
      <w:pPr>
        <w:snapToGrid w:val="0"/>
        <w:spacing w:line="560" w:lineRule="exact"/>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乙方变更收款银行账户信息的，应及时通知甲方，否则由此导致的款项延期支付等责任均由乙方自行承担。</w:t>
      </w:r>
    </w:p>
    <w:p w14:paraId="4966E2ED">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4．若根据本合同约定乙方应当支付违约金、承担赔偿责任，则甲方有权从上述任何一笔付款中直接扣除相应金额。</w:t>
      </w:r>
    </w:p>
    <w:p w14:paraId="285E0A68">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5．以上甲方支付时间是指甲方申请政府财政部门向乙方支付的时间，因财政审批等原因未及时付款的甲方不承担违约责任。</w:t>
      </w:r>
    </w:p>
    <w:p w14:paraId="48B770A9">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履约保函</w:t>
      </w:r>
    </w:p>
    <w:p w14:paraId="558A1823">
      <w:pPr>
        <w:snapToGrid w:val="0"/>
        <w:spacing w:line="560" w:lineRule="exact"/>
        <w:ind w:left="56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w:t>
      </w:r>
    </w:p>
    <w:p w14:paraId="5BC4E261">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☑无履约保函。</w:t>
      </w:r>
    </w:p>
    <w:p w14:paraId="20C18FD1">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□有履约保函。乙方应于合同签订后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日内向甲方提供银行出具的不可撤销履约保函。在乙方承担支付义务或者赔偿责任时，甲方有权要求银行无条件支付款项。保函的具体要求由双方另行确定。</w:t>
      </w:r>
    </w:p>
    <w:p w14:paraId="18E891DE">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成果及验收</w:t>
      </w:r>
    </w:p>
    <w:p w14:paraId="1C95583F">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1．项目任务完成后，乙方应向甲方交付以下成果供甲方验收：</w:t>
      </w:r>
    </w:p>
    <w:p w14:paraId="3B7FD22D">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（1）提交项目完成情况总结报告，电子版1份，</w:t>
      </w:r>
      <w:bookmarkStart w:id="18" w:name="OLE_LINK9"/>
      <w:r>
        <w:rPr>
          <w:rFonts w:hint="eastAsia" w:asciiTheme="minorEastAsia" w:hAnsiTheme="minorEastAsia" w:eastAsiaTheme="minorEastAsia" w:cstheme="minorEastAsia"/>
          <w:bCs/>
          <w:sz w:val="21"/>
          <w:szCs w:val="21"/>
          <w:u w:val="single"/>
        </w:rPr>
        <w:t>纸质版</w:t>
      </w:r>
      <w:bookmarkEnd w:id="18"/>
      <w:r>
        <w:rPr>
          <w:rFonts w:hint="eastAsia" w:asciiTheme="minorEastAsia" w:hAnsiTheme="minorEastAsia" w:eastAsiaTheme="minorEastAsia" w:cstheme="minorEastAsia"/>
          <w:bCs/>
          <w:sz w:val="21"/>
          <w:szCs w:val="21"/>
          <w:u w:val="single"/>
        </w:rPr>
        <w:t>1份。</w:t>
      </w:r>
    </w:p>
    <w:p w14:paraId="31C92EBB">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（2）提交不少于300个产品检测报告。</w:t>
      </w:r>
    </w:p>
    <w:p w14:paraId="046965F7">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2．上述成果必须与招标文件的要求及投标文件的承诺一致。否则，甲方有权拒绝接收有关成果。</w:t>
      </w:r>
    </w:p>
    <w:p w14:paraId="355C8762">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3．就上述成果，乙方应提交纸质形式</w:t>
      </w:r>
      <w:r>
        <w:rPr>
          <w:rFonts w:hint="eastAsia" w:asciiTheme="minorEastAsia" w:hAnsiTheme="minorEastAsia" w:eastAsiaTheme="minorEastAsia" w:cstheme="minorEastAsia"/>
          <w:bCs/>
          <w:sz w:val="21"/>
          <w:szCs w:val="21"/>
          <w:u w:val="single"/>
        </w:rPr>
        <w:t>1</w:t>
      </w:r>
      <w:r>
        <w:rPr>
          <w:rFonts w:hint="eastAsia" w:asciiTheme="minorEastAsia" w:hAnsiTheme="minorEastAsia" w:eastAsiaTheme="minorEastAsia" w:cstheme="minorEastAsia"/>
          <w:bCs/>
          <w:sz w:val="21"/>
          <w:szCs w:val="21"/>
        </w:rPr>
        <w:t>套，电子形式</w:t>
      </w:r>
      <w:r>
        <w:rPr>
          <w:rFonts w:hint="eastAsia" w:asciiTheme="minorEastAsia" w:hAnsiTheme="minorEastAsia" w:eastAsiaTheme="minorEastAsia" w:cstheme="minorEastAsia"/>
          <w:bCs/>
          <w:sz w:val="21"/>
          <w:szCs w:val="21"/>
          <w:u w:val="single"/>
        </w:rPr>
        <w:t>1</w:t>
      </w:r>
      <w:r>
        <w:rPr>
          <w:rFonts w:hint="eastAsia" w:asciiTheme="minorEastAsia" w:hAnsiTheme="minorEastAsia" w:eastAsiaTheme="minorEastAsia" w:cstheme="minorEastAsia"/>
          <w:bCs/>
          <w:sz w:val="21"/>
          <w:szCs w:val="21"/>
        </w:rPr>
        <w:t>套。</w:t>
      </w:r>
    </w:p>
    <w:p w14:paraId="6CED1915">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rPr>
        <w:t>4．乙方提交的成果未验收合格的，乙方应进行整改，乙方不整改或因整改导致超出逾期交付的，均视为违约。</w:t>
      </w:r>
    </w:p>
    <w:p w14:paraId="71E0897C">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知识产权</w:t>
      </w:r>
    </w:p>
    <w:p w14:paraId="518A083B">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1．乙方在项目实施过程中不得侵犯第三人知识产权以及其他权益。需要使用第三人知识产权的，乙方应取得权利人许可或者授权并由乙方承担费用。</w:t>
      </w:r>
    </w:p>
    <w:p w14:paraId="41AC0E84">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2．除第三人依法享有知识产权的除外，乙方实施本项目所形成成果的知识产权归甲方所有，未经甲方许可，乙方不得随意使用。</w:t>
      </w:r>
    </w:p>
    <w:p w14:paraId="209CB4F3">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保密义务</w:t>
      </w:r>
    </w:p>
    <w:p w14:paraId="0C7EFA49">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甲乙双方对知悉对方的财务、技术、专项数据、合同价款、未披露的政策、诉讼方案以及为实施项目提供给对方的文件或信息的内容(简称“保密资料”)等负有保密义务。未经信息披露方书面事先同意，不得向本合同以外的任何第三方披露。资料接受方可仅为本合同目的向其确有知悉必要的雇员披露对方提供的保密资料，但同时须指示其雇员遵守本条规定的保密及不披露义务。双方应仅为本合同目的而复制和使用保密资料。</w:t>
      </w:r>
    </w:p>
    <w:p w14:paraId="1C635010">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2．合同履行完毕或者终止不视为解除保密义务，双方仍应承担保密义务。</w:t>
      </w:r>
    </w:p>
    <w:p w14:paraId="2EEBB848">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其他权利和义务</w:t>
      </w:r>
    </w:p>
    <w:p w14:paraId="78396497">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甲方有权监督、检查、了解乙方工作开展情况，有权对乙方的工作提出建议，并提供实施项目必要的有关资料。乙方应当每月向甲方汇报工作进展，对项目执行过程中发现的问题、阶段性成果及时报告甲方，同时按进度完成合同约定的项目内容并提交成果。</w:t>
      </w:r>
    </w:p>
    <w:p w14:paraId="15C1B47D">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2．乙方在承担该项目期间，不得接受申报主体和相关方的宴请、礼品和礼金；不得接受申报主体和相关方邀请参加可能影响项目实施的考察交流、捐赠等相关活动。</w:t>
      </w:r>
    </w:p>
    <w:p w14:paraId="45E2B986">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sz w:val="21"/>
          <w:szCs w:val="21"/>
        </w:rPr>
        <w:t>3．乙方在服务期满一年内需在甲方有需要时负责对本项目相关情况进行解释、说明，提供相应的修正服务。</w:t>
      </w:r>
    </w:p>
    <w:p w14:paraId="342DCA3C">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合同转让</w:t>
      </w:r>
    </w:p>
    <w:p w14:paraId="4DD221B3">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未经甲方同意，乙方不得将本合同项目的任务全部或者一部分转包或分包给第三人。</w:t>
      </w:r>
    </w:p>
    <w:p w14:paraId="02A8BBFD">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第十一条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合同的变更</w:t>
      </w:r>
    </w:p>
    <w:p w14:paraId="7D275B11">
      <w:pPr>
        <w:widowControl w:val="0"/>
        <w:numPr>
          <w:ilvl w:val="0"/>
          <w:numId w:val="0"/>
        </w:numPr>
        <w:tabs>
          <w:tab w:val="left" w:pos="0"/>
        </w:tabs>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双方不得擅自变更合同；若合同继续履行将损害国家利益和社会公共利益，则双方应当变更合同。</w:t>
      </w:r>
    </w:p>
    <w:p w14:paraId="4D9BA9AC">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第十二条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lang w:eastAsia="zh-CN"/>
        </w:rPr>
        <w:t>合同解除</w:t>
      </w:r>
    </w:p>
    <w:p w14:paraId="71C1A7F7">
      <w:pPr>
        <w:widowControl w:val="0"/>
        <w:numPr>
          <w:ilvl w:val="0"/>
          <w:numId w:val="0"/>
        </w:numPr>
        <w:tabs>
          <w:tab w:val="left" w:pos="0"/>
        </w:tabs>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经双方协商一致或一方依据本合同第十三条违约责任行使解除权并书面通知对方后，双方合同关系解除，合同终止履行，未履行部分不再履行，已履行部分按合同有关结算及违约赔偿条款处理。</w:t>
      </w:r>
    </w:p>
    <w:p w14:paraId="133CEB39">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第十三条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违约责任</w:t>
      </w:r>
    </w:p>
    <w:p w14:paraId="43EECA28">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1．乙方未在约定期限内完成项目内容并提交成果的，每延迟一日按照合同总金额千分之一的标准向甲方支付违约金。延迟超过十日的，甲方有权解除合同并要求乙方返还已经支付的款项，未支付的不再支付。</w:t>
      </w:r>
    </w:p>
    <w:p w14:paraId="5FF0B64A">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2．乙方交付的成果验收不合格的，经甲方要求整改再次验收仍不合格的或乙方提交的成果存在虚假、违法违规、重大错误的，甲方有权立即解除合同、要求乙方返还已经支付的款项并支付合同总额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77C78636">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3．因乙方实施本项目过程中侵犯第三人合法权益或者违约导致甲方承担赔偿责任的，甲方在承担赔偿责任后有权向乙方追偿，同时，甲方有权解除合同、要求乙方返还已经支付的款项并支付合同总额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7A47B741">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4．乙方签订合同后，实际配备的工作人员与投标文件的承诺不一致的，或实施本项目时已不符合招标文件要求的，甲方有权解除合同，并要求乙方向甲方支付合同总额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37991BF1">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5．乙方无正当理由解除合同的，应向甲方支付合同总额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617C9C06">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6．乙方违反本合同第十条的，甲方有权解除合同、要求乙方返还已经支付的款项并支付合同总额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3D53BA80">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7．乙方违反本合同第七条的，应向甲方支付合同总额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44724D16">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8．甲方违反本合同第九条“其他权利和义务”约定的，应当及时整改；乙方违反本合同第一条“项目内容、要求及实施阶段”和第九条“其他权利和义务”约定的，甲方有权立即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的违约金，因乙方行为给甲方造成损失的，由乙方承担一切赔偿责任。</w:t>
      </w:r>
    </w:p>
    <w:p w14:paraId="42929289">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9．甲方违约的，应按照《民法典》有关规定承担违约责任。</w:t>
      </w:r>
    </w:p>
    <w:p w14:paraId="04547FAB">
      <w:pPr>
        <w:snapToGrid w:val="0"/>
        <w:spacing w:line="560" w:lineRule="exact"/>
        <w:ind w:left="567"/>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第十</w:t>
      </w:r>
      <w:r>
        <w:rPr>
          <w:rFonts w:hint="eastAsia" w:asciiTheme="minorEastAsia" w:hAnsiTheme="minorEastAsia" w:eastAsiaTheme="minorEastAsia" w:cstheme="minorEastAsia"/>
          <w:bCs/>
          <w:sz w:val="21"/>
          <w:szCs w:val="21"/>
          <w:lang w:eastAsia="zh-CN"/>
        </w:rPr>
        <w:t>四</w:t>
      </w:r>
      <w:r>
        <w:rPr>
          <w:rFonts w:hint="eastAsia" w:asciiTheme="minorEastAsia" w:hAnsiTheme="minorEastAsia" w:eastAsiaTheme="minorEastAsia" w:cstheme="minorEastAsia"/>
          <w:bCs/>
          <w:sz w:val="21"/>
          <w:szCs w:val="21"/>
        </w:rPr>
        <w:t>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法律适用和争议解决</w:t>
      </w:r>
    </w:p>
    <w:p w14:paraId="342926DC">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1．本合同适用中华人民共和国法律。</w:t>
      </w:r>
    </w:p>
    <w:p w14:paraId="008D5FC3">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2．双方因履行本合同发生争议的，可协商解决，无法协商解决的：应向甲方住所地有管辖权的人民法院提起诉讼。</w:t>
      </w:r>
    </w:p>
    <w:p w14:paraId="6DEB0E43">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3．诉讼进行过程中，双方将继续履行本合同未涉诉讼的其它部分。</w:t>
      </w:r>
    </w:p>
    <w:p w14:paraId="0987EA3F">
      <w:pPr>
        <w:snapToGrid w:val="0"/>
        <w:spacing w:line="560" w:lineRule="exact"/>
        <w:ind w:left="567"/>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第十</w:t>
      </w:r>
      <w:r>
        <w:rPr>
          <w:rFonts w:hint="eastAsia" w:asciiTheme="minorEastAsia" w:hAnsiTheme="minorEastAsia" w:eastAsiaTheme="minorEastAsia" w:cstheme="minorEastAsia"/>
          <w:bCs/>
          <w:sz w:val="21"/>
          <w:szCs w:val="21"/>
          <w:lang w:eastAsia="zh-CN"/>
        </w:rPr>
        <w:t>五</w:t>
      </w:r>
      <w:r>
        <w:rPr>
          <w:rFonts w:hint="eastAsia" w:asciiTheme="minorEastAsia" w:hAnsiTheme="minorEastAsia" w:eastAsiaTheme="minorEastAsia" w:cstheme="minorEastAsia"/>
          <w:bCs/>
          <w:sz w:val="21"/>
          <w:szCs w:val="21"/>
        </w:rPr>
        <w:t>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附则</w:t>
      </w:r>
    </w:p>
    <w:p w14:paraId="2676594F">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sz w:val="21"/>
          <w:szCs w:val="21"/>
        </w:rPr>
        <w:t>本项目招标文件、乙方投标文件和中标通知书均为本合同组成部分，与本合同文本具有相同法律效力。但本合同与招投标文件不一致的，以本合同内容为准。</w:t>
      </w:r>
    </w:p>
    <w:p w14:paraId="309B1A0E">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2．本合同□无附件/☑有附件，附件包括</w:t>
      </w:r>
      <w:r>
        <w:rPr>
          <w:rFonts w:hint="eastAsia" w:asciiTheme="minorEastAsia" w:hAnsiTheme="minorEastAsia" w:eastAsiaTheme="minorEastAsia" w:cstheme="minorEastAsia"/>
          <w:sz w:val="21"/>
          <w:szCs w:val="21"/>
          <w:u w:val="single"/>
        </w:rPr>
        <w:t>服务质量要求。</w:t>
      </w:r>
    </w:p>
    <w:p w14:paraId="3EED7D4A">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3．本合同与招投标文件不一致的，以本合同内容为准。</w:t>
      </w:r>
    </w:p>
    <w:p w14:paraId="45BBA4FB">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4．本合同自双方盖章后生效。</w:t>
      </w:r>
    </w:p>
    <w:p w14:paraId="4E88DD6D">
      <w:pPr>
        <w:snapToGrid w:val="0"/>
        <w:spacing w:line="560" w:lineRule="exact"/>
        <w:ind w:firstLine="420" w:firstLineChars="200"/>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5．本合同一式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份，甲方执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份，乙方执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份，提交给财政部门</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份，具有同等法律效力</w:t>
      </w:r>
      <w:r>
        <w:rPr>
          <w:rFonts w:hint="eastAsia" w:asciiTheme="minorEastAsia" w:hAnsiTheme="minorEastAsia" w:eastAsiaTheme="minorEastAsia" w:cstheme="minorEastAsia"/>
          <w:sz w:val="21"/>
          <w:szCs w:val="21"/>
          <w:lang w:eastAsia="zh-CN"/>
        </w:rPr>
        <w:t>。</w:t>
      </w:r>
    </w:p>
    <w:p w14:paraId="7958DA69">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7F608873">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3F618467">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甲方（盖章）：</w:t>
      </w:r>
    </w:p>
    <w:p w14:paraId="7812138E">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法定代表人或授权代表签字：</w:t>
      </w:r>
    </w:p>
    <w:p w14:paraId="7E5C1BEA">
      <w:pPr>
        <w:snapToGrid w:val="0"/>
        <w:spacing w:line="560" w:lineRule="exact"/>
        <w:ind w:firstLine="1260" w:firstLineChars="6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   月   日</w:t>
      </w:r>
    </w:p>
    <w:p w14:paraId="315D756A">
      <w:pPr>
        <w:snapToGrid w:val="0"/>
        <w:spacing w:line="560" w:lineRule="exact"/>
        <w:jc w:val="left"/>
        <w:rPr>
          <w:rFonts w:hint="eastAsia" w:asciiTheme="minorEastAsia" w:hAnsiTheme="minorEastAsia" w:eastAsiaTheme="minorEastAsia" w:cstheme="minorEastAsia"/>
          <w:sz w:val="21"/>
          <w:szCs w:val="21"/>
        </w:rPr>
      </w:pPr>
    </w:p>
    <w:p w14:paraId="66C768B2">
      <w:pPr>
        <w:snapToGrid w:val="0"/>
        <w:spacing w:line="560" w:lineRule="exact"/>
        <w:jc w:val="left"/>
        <w:rPr>
          <w:rFonts w:hint="eastAsia" w:asciiTheme="minorEastAsia" w:hAnsiTheme="minorEastAsia" w:eastAsiaTheme="minorEastAsia" w:cstheme="minorEastAsia"/>
          <w:sz w:val="21"/>
          <w:szCs w:val="21"/>
        </w:rPr>
      </w:pPr>
    </w:p>
    <w:p w14:paraId="01E94A5B">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乙方（盖章）：</w:t>
      </w:r>
    </w:p>
    <w:p w14:paraId="3345D489">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法定代表人或授权代表签字：</w:t>
      </w:r>
    </w:p>
    <w:p w14:paraId="7C77002F">
      <w:pPr>
        <w:snapToGrid w:val="0"/>
        <w:spacing w:line="560" w:lineRule="exact"/>
        <w:ind w:left="1680" w:firstLine="4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   月   日</w:t>
      </w:r>
    </w:p>
    <w:p w14:paraId="07DAE602">
      <w:pPr>
        <w:snapToGrid w:val="0"/>
        <w:spacing w:line="560" w:lineRule="exact"/>
        <w:rPr>
          <w:rFonts w:hint="eastAsia" w:asciiTheme="minorEastAsia" w:hAnsiTheme="minorEastAsia" w:eastAsiaTheme="minorEastAsia" w:cstheme="minorEastAsia"/>
          <w:sz w:val="21"/>
          <w:szCs w:val="21"/>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cstheme="minorEastAsia"/>
          <w:sz w:val="21"/>
          <w:szCs w:val="21"/>
        </w:rPr>
        <w:br w:type="page"/>
      </w:r>
    </w:p>
    <w:p w14:paraId="495510BA">
      <w:pPr>
        <w:outlineLvl w:val="2"/>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附件</w:t>
      </w:r>
    </w:p>
    <w:p w14:paraId="52CD7891">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服务质量要求</w:t>
      </w:r>
    </w:p>
    <w:tbl>
      <w:tblPr>
        <w:tblStyle w:val="42"/>
        <w:tblW w:w="8502" w:type="dxa"/>
        <w:jc w:val="center"/>
        <w:tblLayout w:type="fixed"/>
        <w:tblCellMar>
          <w:top w:w="0" w:type="dxa"/>
          <w:left w:w="108" w:type="dxa"/>
          <w:bottom w:w="0" w:type="dxa"/>
          <w:right w:w="108" w:type="dxa"/>
        </w:tblCellMar>
      </w:tblPr>
      <w:tblGrid>
        <w:gridCol w:w="952"/>
        <w:gridCol w:w="1350"/>
        <w:gridCol w:w="6200"/>
      </w:tblGrid>
      <w:tr w14:paraId="2E684C29">
        <w:tblPrEx>
          <w:tblCellMar>
            <w:top w:w="0" w:type="dxa"/>
            <w:left w:w="108" w:type="dxa"/>
            <w:bottom w:w="0" w:type="dxa"/>
            <w:right w:w="108" w:type="dxa"/>
          </w:tblCellMar>
        </w:tblPrEx>
        <w:trPr>
          <w:trHeight w:val="765"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0530BA16">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5F0A12C3">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主要内容</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563D0B0C">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具体内容</w:t>
            </w:r>
          </w:p>
        </w:tc>
      </w:tr>
      <w:tr w14:paraId="15B799A3">
        <w:tblPrEx>
          <w:tblCellMar>
            <w:top w:w="0" w:type="dxa"/>
            <w:left w:w="108" w:type="dxa"/>
            <w:bottom w:w="0" w:type="dxa"/>
            <w:right w:w="108" w:type="dxa"/>
          </w:tblCellMar>
        </w:tblPrEx>
        <w:trPr>
          <w:trHeight w:val="765"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7A9004A3">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59389945">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风险研判</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4368E488">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密切跟踪“圳品工程”全流程运行情况，及时发现标准指标设置、抽样检测等环节中存在的技术问题，并对识别出的问题进行科学研判，形成客观准确的风险研判意见，提出具有针对性和可操作性的优化建议或解决方案。在检测过程中，如发现企业产品存在食品安全风险隐患，应及时出具检测意见，明确问题表现、可能原因及整改建议，为“圳品”工作机制完善和决策调整提供技术支撑。</w:t>
            </w:r>
          </w:p>
        </w:tc>
      </w:tr>
      <w:tr w14:paraId="7CBC1C70">
        <w:tblPrEx>
          <w:tblCellMar>
            <w:top w:w="0" w:type="dxa"/>
            <w:left w:w="108" w:type="dxa"/>
            <w:bottom w:w="0" w:type="dxa"/>
            <w:right w:w="108" w:type="dxa"/>
          </w:tblCellMar>
        </w:tblPrEx>
        <w:trPr>
          <w:trHeight w:val="162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679C03DA">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117375A5">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制定申报产品的抽样检测计划</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4024AA7C">
            <w:pPr>
              <w:snapToGrid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产品风险等级、全国食品安全风险监测计划、重大食品安全舆情事件以及评价机构现场评价计划，科学确定抽检实施方案，包括检测工作流程和工作制度、检测计划和风险管控、抽样方案、检验方案、报告判定原则、结果报送要求、异议及后续处理、检验过程的质量控制体系及方法、应急预案、后续服务等。</w:t>
            </w:r>
          </w:p>
        </w:tc>
      </w:tr>
      <w:tr w14:paraId="18ED2AF3">
        <w:tblPrEx>
          <w:tblCellMar>
            <w:top w:w="0" w:type="dxa"/>
            <w:left w:w="108" w:type="dxa"/>
            <w:bottom w:w="0" w:type="dxa"/>
            <w:right w:w="108" w:type="dxa"/>
          </w:tblCellMar>
        </w:tblPrEx>
        <w:trPr>
          <w:trHeight w:val="135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6FEA8BDB">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3B551090">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组织实施不少于300个申报产品的抽样检测</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2F47221B">
            <w:pPr>
              <w:snapToGrid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依据批准的抽样检测计划，在检测资质范围内执行申报产品的抽样、检测工作，组织实施不少于300个申报产品的抽样检测技术服务。检测项目和要求依据《圳品评价细则 预包装食品》（SZS.TC.EC-2023-394）和《圳品评价细则 食用农产品》（SZS.TC.EC-2023-393）的执行。</w:t>
            </w:r>
          </w:p>
        </w:tc>
      </w:tr>
      <w:tr w14:paraId="71FF264F">
        <w:tblPrEx>
          <w:tblCellMar>
            <w:top w:w="0" w:type="dxa"/>
            <w:left w:w="108" w:type="dxa"/>
            <w:bottom w:w="0" w:type="dxa"/>
            <w:right w:w="108" w:type="dxa"/>
          </w:tblCellMar>
        </w:tblPrEx>
        <w:trPr>
          <w:trHeight w:val="81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36334A8E">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3C08967C">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现场抽样</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40F817FB">
            <w:pPr>
              <w:widowControl/>
              <w:snapToGrid w:val="0"/>
              <w:spacing w:line="460" w:lineRule="exac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按照《食品安全抽样检验工作规范》（市监食检发〔2023〕76号），安排人员进行抽样，确保抽样操作规范。</w:t>
            </w:r>
          </w:p>
          <w:p w14:paraId="7EF7548E">
            <w:pPr>
              <w:snapToGrid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抽样人员应当使用规范的抽样工作单及封条，如实详细记录抽样信息。抽样工作单应包含委托任务信息、被抽样单位信息、抽样位点信息、抽样单位信息、样品信息、抽样方式、样品储存环境条件、唯一性标识。抽样单填写完毕后，应当由抽样人员和被抽样单位签字或盖章确认；</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2.抽样人员应当采取有效的防拆封措施，对检验样品和检测结果再确认样品分别封样，并由抽样人员和被抽样单位签字或盖章确认；</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3.抽样人员应在抽样完成后及时将样品携带或寄送至检测实验室；</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4.对有特殊贮存和运输要求的样品，应当采取相应措施，保证样品贮存、运输过程符合国家相关规定和包装标示的要求，不发生影响检验结论的变化。</w:t>
            </w:r>
          </w:p>
        </w:tc>
      </w:tr>
      <w:tr w14:paraId="3B4A9DB9">
        <w:tblPrEx>
          <w:tblCellMar>
            <w:top w:w="0" w:type="dxa"/>
            <w:left w:w="108" w:type="dxa"/>
            <w:bottom w:w="0" w:type="dxa"/>
            <w:right w:w="108" w:type="dxa"/>
          </w:tblCellMar>
        </w:tblPrEx>
        <w:trPr>
          <w:trHeight w:val="486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6AE0E8D1">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2E85A19E">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出具检测报告</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4E566BA9">
            <w:pPr>
              <w:snapToGrid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依据“圳品”标准对所抽样品进行检测，出具检测报告，并对检测报告的真实性、完整性负责。同时，对抽检不符合情况进行风险性分析，为“圳品”评价及相关工作提供技术支撑：</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1.各抽检任务的检验项目及方法应按照《圳品评价细则 预包装食品》（SZS.TC.EC-2023-394）和《圳品评价细则 食用农产品》（SZS.TC.EC-2023-393）开展检验。后续如有更新的通知，应以最新的为准。</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2.按照有关法律、法规的规定，并依照食品安全标准和检验规范对样品进行检验，尊重科学，恪守职业道德，保证出具的检验数据和结论客观、公正，不得出具虚假的检验报告。</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3.未经委托方同意，不得分包、转包检验任务，不得租赁或借用他人检测设备。</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4.应对检验情况予以保密，在检验前以及检验过程中不得泄露任何有关检验及样品的信息；对于检验结果和检验情况只能向委托方报告，不得向任何第三方透露。</w:t>
            </w:r>
          </w:p>
        </w:tc>
      </w:tr>
      <w:tr w14:paraId="678A06F1">
        <w:tblPrEx>
          <w:tblCellMar>
            <w:top w:w="0" w:type="dxa"/>
            <w:left w:w="108" w:type="dxa"/>
            <w:bottom w:w="0" w:type="dxa"/>
            <w:right w:w="108" w:type="dxa"/>
          </w:tblCellMar>
        </w:tblPrEx>
        <w:trPr>
          <w:trHeight w:val="81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207B563D">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26C32F2E">
            <w:pPr>
              <w:snapToGrid w:val="0"/>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抽样检测信息完整记录</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67E976A8">
            <w:pPr>
              <w:snapToGrid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严格按照检测工作规范开展检测工作，并按照委托方的要求使用指定系统，确保现场抽样、样品封存、样品运输及移交、样品保存、检测报告等抽检全流程的信息能够完整录入。</w:t>
            </w:r>
          </w:p>
        </w:tc>
      </w:tr>
      <w:tr w14:paraId="405BCE2F">
        <w:tblPrEx>
          <w:tblCellMar>
            <w:top w:w="0" w:type="dxa"/>
            <w:left w:w="108" w:type="dxa"/>
            <w:bottom w:w="0" w:type="dxa"/>
            <w:right w:w="108" w:type="dxa"/>
          </w:tblCellMar>
        </w:tblPrEx>
        <w:trPr>
          <w:trHeight w:val="108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5D2A1046">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33AF7AD2">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检测档案提交</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4A5454DA">
            <w:pPr>
              <w:snapToGrid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依据《“圳品”抽样和检验档案管理规范》（SZS.PR.OR-2023-034）的要求，及时完成检测档案的归档和提交，包括依据编码规则汇总的抽样任务书、抽样工作单、检测报告等电子和纸质档案，确保档案的完整清晰。</w:t>
            </w:r>
          </w:p>
        </w:tc>
      </w:tr>
      <w:tr w14:paraId="5DEA8322">
        <w:tblPrEx>
          <w:tblCellMar>
            <w:top w:w="0" w:type="dxa"/>
            <w:left w:w="108" w:type="dxa"/>
            <w:bottom w:w="0" w:type="dxa"/>
            <w:right w:w="108" w:type="dxa"/>
          </w:tblCellMar>
        </w:tblPrEx>
        <w:trPr>
          <w:trHeight w:val="81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3A5AC8AB">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6631166A">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购样费用支付</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0A2585C3">
            <w:pPr>
              <w:snapToGrid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自行承担所抽样品的购样费用。由被抽样单位提供所抽样品的购样发票；如企业自愿免费提供样品，企业需提供免费样品声明以代替发票。</w:t>
            </w:r>
          </w:p>
        </w:tc>
      </w:tr>
      <w:tr w14:paraId="43478AC6">
        <w:tblPrEx>
          <w:tblCellMar>
            <w:top w:w="0" w:type="dxa"/>
            <w:left w:w="108" w:type="dxa"/>
            <w:bottom w:w="0" w:type="dxa"/>
            <w:right w:w="108" w:type="dxa"/>
          </w:tblCellMar>
        </w:tblPrEx>
        <w:trPr>
          <w:trHeight w:val="81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0ADAF523">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2F773C3C">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材料汇总与梳理</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6713AE1E">
            <w:pPr>
              <w:snapToGrid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实施</w:t>
            </w:r>
            <w:r>
              <w:rPr>
                <w:rFonts w:hint="eastAsia" w:asciiTheme="minorEastAsia" w:hAnsiTheme="minorEastAsia" w:eastAsiaTheme="minorEastAsia" w:cstheme="minorEastAsia"/>
                <w:sz w:val="21"/>
                <w:szCs w:val="21"/>
                <w:lang w:eastAsia="zh-CN"/>
              </w:rPr>
              <w:t>申报产品的</w:t>
            </w:r>
            <w:r>
              <w:rPr>
                <w:rFonts w:hint="eastAsia" w:asciiTheme="minorEastAsia" w:hAnsiTheme="minorEastAsia" w:eastAsiaTheme="minorEastAsia" w:cstheme="minorEastAsia"/>
                <w:sz w:val="21"/>
                <w:szCs w:val="21"/>
              </w:rPr>
              <w:t>抽样检测过程中的相关材料，如委托方下发的任务书、抽检计划、抽样单、样品照片、检测报告、数据等，应及时汇总，完整梳理以备查。</w:t>
            </w:r>
          </w:p>
        </w:tc>
      </w:tr>
      <w:tr w14:paraId="178C3C3F">
        <w:tblPrEx>
          <w:tblCellMar>
            <w:top w:w="0" w:type="dxa"/>
            <w:left w:w="108" w:type="dxa"/>
            <w:bottom w:w="0" w:type="dxa"/>
            <w:right w:w="108" w:type="dxa"/>
          </w:tblCellMar>
        </w:tblPrEx>
        <w:trPr>
          <w:trHeight w:val="189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6C7A9F7D">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44EC6424">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样品管理</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072839B1">
            <w:pPr>
              <w:snapToGrid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照相关法律法规和标准要求进行样品管理（包含但不限于样品保存、留样和留样期满后处置）。检验结论合格的，检测承检机构应当妥善保存检测结果再确认样品。检测结果再确认样品剩余保质期不足1个月的，应当保存至保质期结束。检验结论不合格的，检测承检机构应当妥善保存检测结果再确认样品。检测结果再确认样品剩余保质期不足3个月的，应当保存至保质期结束。</w:t>
            </w:r>
          </w:p>
        </w:tc>
      </w:tr>
      <w:tr w14:paraId="0B08EB4A">
        <w:tblPrEx>
          <w:tblCellMar>
            <w:top w:w="0" w:type="dxa"/>
            <w:left w:w="108" w:type="dxa"/>
            <w:bottom w:w="0" w:type="dxa"/>
            <w:right w:w="108" w:type="dxa"/>
          </w:tblCellMar>
        </w:tblPrEx>
        <w:trPr>
          <w:trHeight w:val="189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53883A3B">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6D52C014">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参与“专家评审会”“供深食品标准工作委员会”的审议工作</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7178F17D">
            <w:pPr>
              <w:snapToGrid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参与“圳品”专家评审会及“供深食品标准工作委员会”的审议工作，确保提交会议的材料准确无误、内容详实且符合相关标准。针对专家或委员会成员提出的问题，需能够提供专业的解答，并对所指出的问题进行认真分析和整改。此外，还需负责跟进问题的解决情况，确保所有提出的建议和改进措施得到有效落实，进一步完善相关工作的流程与成果。同时，保持与各方的良好沟通，促进信息的及时传递和反馈，以提升工作效率和质量。</w:t>
            </w:r>
          </w:p>
        </w:tc>
      </w:tr>
      <w:tr w14:paraId="6F5E4743">
        <w:tblPrEx>
          <w:tblCellMar>
            <w:top w:w="0" w:type="dxa"/>
            <w:left w:w="108" w:type="dxa"/>
            <w:bottom w:w="0" w:type="dxa"/>
            <w:right w:w="108" w:type="dxa"/>
          </w:tblCellMar>
        </w:tblPrEx>
        <w:trPr>
          <w:trHeight w:val="189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1D4F9D3D">
            <w:pPr>
              <w:snapToGrid w:val="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12</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32BFE3CB">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80F17"/>
                <w:kern w:val="0"/>
                <w:sz w:val="21"/>
                <w:szCs w:val="21"/>
              </w:rPr>
              <w:t>建立圳品全链条沟通推进工作机制</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14FE5943">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申报抽样检测机构”须与“申报现场评价机构”建立常态化、即时工作沟通机制，确保申报进程中评价、检测工作一体推进。“申报现场评价机构”收到分派任务后，1个工作日内需与“申报抽样检测机构”全面对接，“申报抽样检测机构”需提前明确企业信息、产品规格、执行标准、评审节点及抽检计划等核心内容，做好抽检前期准备；现场工作中须及时跟进“申报现场评价机构”，依据现场核查问题甄别产品风险，发现抽检不合格、重大风险或突发状况或“申报抽样检测机构”认为有必要及时告知的事项，要在2小时内与“申报现场评价机构”进行通报，并加强处置；双方应确立专职对接人员及信息流转流程，保障文件评审结论、抽检结果等关键信息高效互达，杜绝脱节滞后。</w:t>
            </w:r>
          </w:p>
          <w:p w14:paraId="3397F11F">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出现以下几种情况的责任归位：</w:t>
            </w:r>
          </w:p>
          <w:p w14:paraId="69C8B94F">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1.如发生明确信息不对称、工作延误、因“申报现场评价机构”未及时提供完整准确核心资料、未及时告知现场变化及评审进度、未及时反馈评价问题等，导致信息不对称或延误的，由“申报现场评价机构”承担责任；</w:t>
            </w:r>
          </w:p>
          <w:p w14:paraId="48795F6C">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2.因“申报抽样检测机构”未主动对接确认信息、未同步抽检情况、未按时反馈结果等，导致信息不对称的，由“申报抽样检测机构”承担责任；</w:t>
            </w:r>
          </w:p>
          <w:p w14:paraId="2BB2DA41">
            <w:pPr>
              <w:wordWrap w:val="0"/>
              <w:snapToGrid w:val="0"/>
              <w:spacing w:line="240" w:lineRule="atLeast"/>
              <w:jc w:val="left"/>
              <w:rPr>
                <w:rFonts w:hint="eastAsia" w:asciiTheme="minorEastAsia" w:hAnsiTheme="minorEastAsia" w:eastAsiaTheme="minorEastAsia" w:cstheme="minorEastAsia"/>
                <w:color w:val="080F17"/>
                <w:kern w:val="0"/>
                <w:sz w:val="21"/>
                <w:szCs w:val="21"/>
              </w:rPr>
            </w:pPr>
            <w:r>
              <w:rPr>
                <w:rFonts w:hint="eastAsia" w:asciiTheme="minorEastAsia" w:hAnsiTheme="minorEastAsia" w:eastAsiaTheme="minorEastAsia" w:cstheme="minorEastAsia"/>
                <w:color w:val="080F17"/>
                <w:kern w:val="0"/>
                <w:sz w:val="21"/>
                <w:szCs w:val="21"/>
              </w:rPr>
              <w:t xml:space="preserve">3.在任务发生后，对双方的情况互达，信息沟通没有按照上述要求完成的，除追究“申报抽样检测机构”和“申报现场评价机构”外，追究“圳品”机构的责任。 </w:t>
            </w:r>
          </w:p>
          <w:p w14:paraId="2481C0AD">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80F17"/>
                <w:kern w:val="0"/>
                <w:sz w:val="21"/>
                <w:szCs w:val="21"/>
              </w:rPr>
              <w:t>“圳品”运行风险控制与效益评估机构（也就是日常的“圳品”监理机构）对“申报现场评价机构”与“申报抽样检测机构”的一体化推进情况进行全过程跟踪核查。“圳品”运行风险控制与效益评估机构发现“申报现场评价机构”或“申报抽样检测机构”存在合同附件《服务质量要求》所列不合规情形的，应及时督促其整改，发出警示建议书，并在1个工作日内向甲方书面报备。经审核属实的，甲方有权依据合同约定视情节轻重采取要求整改、将相关情况纳入履约评价、扣减当期应付款项、暂停支付后续款项直至问题整改完毕等措施。甲方除对“申报现场评价机构”与“申报抽样检测机构”进行履约责任追究外，对“圳品”运行风险控制与效益评估机构未及时发现问题的情形，亦保留追究其相应责任的权力。</w:t>
            </w:r>
          </w:p>
        </w:tc>
      </w:tr>
    </w:tbl>
    <w:p w14:paraId="612C8F29">
      <w:pPr>
        <w:widowControl/>
        <w:jc w:val="left"/>
        <w:rPr>
          <w:rFonts w:ascii="宋体" w:hAnsi="宋体"/>
          <w:b/>
          <w:szCs w:val="21"/>
        </w:rPr>
      </w:pPr>
      <w:r>
        <w:rPr>
          <w:bCs/>
          <w:szCs w:val="21"/>
        </w:rPr>
        <w:br w:type="page"/>
      </w:r>
    </w:p>
    <w:p w14:paraId="2B560A7D">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636B4D40">
      <w:pPr>
        <w:spacing w:line="240" w:lineRule="atLeast"/>
        <w:rPr>
          <w:rFonts w:ascii="宋体" w:hAnsi="宋体"/>
          <w:b/>
          <w:szCs w:val="21"/>
        </w:rPr>
      </w:pPr>
      <w:r>
        <w:rPr>
          <w:rFonts w:hint="eastAsia" w:ascii="宋体" w:hAnsi="宋体"/>
          <w:b/>
          <w:szCs w:val="21"/>
        </w:rPr>
        <w:t>采购人名称：                       联系人及电话：</w:t>
      </w:r>
    </w:p>
    <w:p w14:paraId="59D16232">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2474B7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45329A73">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1DB8195A">
            <w:pPr>
              <w:spacing w:line="240" w:lineRule="atLeast"/>
              <w:jc w:val="center"/>
              <w:rPr>
                <w:rFonts w:ascii="宋体" w:hAnsi="宋体"/>
                <w:szCs w:val="21"/>
              </w:rPr>
            </w:pPr>
          </w:p>
        </w:tc>
        <w:tc>
          <w:tcPr>
            <w:tcW w:w="1980" w:type="dxa"/>
            <w:vAlign w:val="center"/>
          </w:tcPr>
          <w:p w14:paraId="77615645">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190518F4">
            <w:pPr>
              <w:spacing w:line="240" w:lineRule="atLeast"/>
              <w:jc w:val="center"/>
              <w:rPr>
                <w:rFonts w:ascii="宋体" w:hAnsi="宋体"/>
                <w:szCs w:val="21"/>
              </w:rPr>
            </w:pPr>
          </w:p>
        </w:tc>
      </w:tr>
      <w:tr w14:paraId="7AAE8C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5FCADD3F">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0C96782B">
            <w:pPr>
              <w:spacing w:line="240" w:lineRule="atLeast"/>
              <w:jc w:val="center"/>
              <w:rPr>
                <w:rFonts w:ascii="宋体" w:hAnsi="宋体"/>
                <w:szCs w:val="21"/>
              </w:rPr>
            </w:pPr>
          </w:p>
        </w:tc>
        <w:tc>
          <w:tcPr>
            <w:tcW w:w="1980" w:type="dxa"/>
            <w:vAlign w:val="center"/>
          </w:tcPr>
          <w:p w14:paraId="57B4C207">
            <w:pPr>
              <w:spacing w:line="240" w:lineRule="atLeast"/>
              <w:jc w:val="center"/>
              <w:rPr>
                <w:rFonts w:ascii="宋体" w:hAnsi="宋体"/>
                <w:szCs w:val="21"/>
              </w:rPr>
            </w:pPr>
            <w:r>
              <w:rPr>
                <w:rFonts w:hint="eastAsia" w:ascii="宋体" w:hAnsi="宋体"/>
                <w:szCs w:val="21"/>
              </w:rPr>
              <w:t>供应商</w:t>
            </w:r>
          </w:p>
          <w:p w14:paraId="02C5BDB4">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226B0E87">
            <w:pPr>
              <w:spacing w:line="240" w:lineRule="atLeast"/>
              <w:jc w:val="center"/>
              <w:rPr>
                <w:rFonts w:ascii="宋体" w:hAnsi="宋体"/>
                <w:szCs w:val="21"/>
              </w:rPr>
            </w:pPr>
          </w:p>
        </w:tc>
      </w:tr>
      <w:tr w14:paraId="61C8741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5D009E73">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478B4F66">
            <w:pPr>
              <w:spacing w:line="240" w:lineRule="atLeast"/>
              <w:jc w:val="center"/>
              <w:rPr>
                <w:rFonts w:ascii="宋体" w:hAnsi="宋体"/>
                <w:szCs w:val="21"/>
              </w:rPr>
            </w:pPr>
          </w:p>
        </w:tc>
        <w:tc>
          <w:tcPr>
            <w:tcW w:w="1980" w:type="dxa"/>
            <w:vAlign w:val="center"/>
          </w:tcPr>
          <w:p w14:paraId="5E9BFB3A">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22BA939B">
            <w:pPr>
              <w:spacing w:line="240" w:lineRule="atLeast"/>
              <w:rPr>
                <w:rFonts w:ascii="宋体" w:hAnsi="宋体"/>
                <w:szCs w:val="21"/>
              </w:rPr>
            </w:pPr>
            <w:r>
              <w:rPr>
                <w:rFonts w:hint="eastAsia" w:ascii="宋体" w:hAnsi="宋体"/>
                <w:szCs w:val="21"/>
              </w:rPr>
              <w:t>自       至</w:t>
            </w:r>
          </w:p>
        </w:tc>
      </w:tr>
      <w:tr w14:paraId="483D2C3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5FF15ED1">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4E5624B0">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20EA52FB">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07F9C7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AB284CA">
            <w:pPr>
              <w:spacing w:line="240" w:lineRule="atLeast"/>
              <w:jc w:val="center"/>
              <w:rPr>
                <w:rFonts w:ascii="宋体" w:hAnsi="宋体"/>
                <w:szCs w:val="21"/>
              </w:rPr>
            </w:pPr>
          </w:p>
        </w:tc>
        <w:tc>
          <w:tcPr>
            <w:tcW w:w="720" w:type="dxa"/>
            <w:vMerge w:val="restart"/>
            <w:tcBorders>
              <w:right w:val="single" w:color="auto" w:sz="4" w:space="0"/>
            </w:tcBorders>
            <w:vAlign w:val="center"/>
          </w:tcPr>
          <w:p w14:paraId="453252F4">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4913A4AB">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00CC63CD">
            <w:pPr>
              <w:spacing w:line="240" w:lineRule="atLeast"/>
              <w:jc w:val="center"/>
              <w:rPr>
                <w:rFonts w:ascii="宋体" w:hAnsi="宋体"/>
                <w:szCs w:val="21"/>
              </w:rPr>
            </w:pPr>
            <w:r>
              <w:rPr>
                <w:rFonts w:hint="eastAsia" w:ascii="宋体" w:hAnsi="宋体"/>
                <w:szCs w:val="21"/>
              </w:rPr>
              <w:t xml:space="preserve"> □ 优          □ 良          □ 中           □ 差</w:t>
            </w:r>
          </w:p>
        </w:tc>
      </w:tr>
      <w:tr w14:paraId="3514CD4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5C576A5">
            <w:pPr>
              <w:spacing w:line="240" w:lineRule="atLeast"/>
              <w:jc w:val="center"/>
              <w:rPr>
                <w:rFonts w:ascii="宋体" w:hAnsi="宋体"/>
                <w:szCs w:val="21"/>
              </w:rPr>
            </w:pPr>
          </w:p>
        </w:tc>
        <w:tc>
          <w:tcPr>
            <w:tcW w:w="720" w:type="dxa"/>
            <w:vMerge w:val="continue"/>
            <w:tcBorders>
              <w:right w:val="single" w:color="auto" w:sz="4" w:space="0"/>
            </w:tcBorders>
            <w:vAlign w:val="center"/>
          </w:tcPr>
          <w:p w14:paraId="094CE00C">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6FAAE94D">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2883F7AC">
            <w:pPr>
              <w:spacing w:line="240" w:lineRule="atLeast"/>
              <w:jc w:val="center"/>
              <w:rPr>
                <w:rFonts w:ascii="宋体" w:hAnsi="宋体"/>
                <w:szCs w:val="21"/>
              </w:rPr>
            </w:pPr>
            <w:r>
              <w:rPr>
                <w:rFonts w:hint="eastAsia" w:ascii="宋体" w:hAnsi="宋体"/>
                <w:szCs w:val="21"/>
              </w:rPr>
              <w:t xml:space="preserve"> □ 优          □ 良          □ 中           □ 差</w:t>
            </w:r>
          </w:p>
        </w:tc>
      </w:tr>
      <w:tr w14:paraId="7D87B5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1CBE5A3">
            <w:pPr>
              <w:spacing w:line="240" w:lineRule="atLeast"/>
              <w:jc w:val="center"/>
              <w:rPr>
                <w:rFonts w:ascii="宋体" w:hAnsi="宋体"/>
                <w:szCs w:val="21"/>
              </w:rPr>
            </w:pPr>
          </w:p>
        </w:tc>
        <w:tc>
          <w:tcPr>
            <w:tcW w:w="720" w:type="dxa"/>
            <w:vMerge w:val="continue"/>
            <w:tcBorders>
              <w:right w:val="single" w:color="auto" w:sz="4" w:space="0"/>
            </w:tcBorders>
            <w:vAlign w:val="center"/>
          </w:tcPr>
          <w:p w14:paraId="4F706AC7">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4541826">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2E1B8932">
            <w:pPr>
              <w:spacing w:line="240" w:lineRule="atLeast"/>
              <w:jc w:val="center"/>
              <w:rPr>
                <w:rFonts w:ascii="宋体" w:hAnsi="宋体"/>
                <w:szCs w:val="21"/>
              </w:rPr>
            </w:pPr>
            <w:r>
              <w:rPr>
                <w:rFonts w:hint="eastAsia" w:ascii="宋体" w:hAnsi="宋体"/>
                <w:szCs w:val="21"/>
              </w:rPr>
              <w:t xml:space="preserve"> □ 优          □ 良          □ 中           □ 差</w:t>
            </w:r>
          </w:p>
        </w:tc>
      </w:tr>
      <w:tr w14:paraId="71DE00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57B8238">
            <w:pPr>
              <w:spacing w:line="240" w:lineRule="atLeast"/>
              <w:jc w:val="center"/>
              <w:rPr>
                <w:rFonts w:ascii="宋体" w:hAnsi="宋体"/>
                <w:szCs w:val="21"/>
              </w:rPr>
            </w:pPr>
          </w:p>
        </w:tc>
        <w:tc>
          <w:tcPr>
            <w:tcW w:w="720" w:type="dxa"/>
            <w:vMerge w:val="continue"/>
            <w:tcBorders>
              <w:right w:val="single" w:color="auto" w:sz="4" w:space="0"/>
            </w:tcBorders>
            <w:vAlign w:val="center"/>
          </w:tcPr>
          <w:p w14:paraId="39EDC40F">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2A4983F">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04DD1BDE">
            <w:pPr>
              <w:spacing w:line="240" w:lineRule="atLeast"/>
              <w:jc w:val="center"/>
              <w:rPr>
                <w:rFonts w:ascii="宋体" w:hAnsi="宋体"/>
                <w:szCs w:val="21"/>
              </w:rPr>
            </w:pPr>
            <w:r>
              <w:rPr>
                <w:rFonts w:hint="eastAsia" w:ascii="宋体" w:hAnsi="宋体"/>
                <w:szCs w:val="21"/>
              </w:rPr>
              <w:t xml:space="preserve"> □ 优          □ 良          □ 中           □ 差</w:t>
            </w:r>
          </w:p>
        </w:tc>
      </w:tr>
      <w:tr w14:paraId="3E1886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E601484">
            <w:pPr>
              <w:spacing w:line="240" w:lineRule="atLeast"/>
              <w:jc w:val="center"/>
              <w:rPr>
                <w:rFonts w:ascii="宋体" w:hAnsi="宋体"/>
                <w:szCs w:val="21"/>
              </w:rPr>
            </w:pPr>
          </w:p>
        </w:tc>
        <w:tc>
          <w:tcPr>
            <w:tcW w:w="720" w:type="dxa"/>
            <w:vMerge w:val="continue"/>
            <w:tcBorders>
              <w:right w:val="single" w:color="auto" w:sz="4" w:space="0"/>
            </w:tcBorders>
            <w:vAlign w:val="center"/>
          </w:tcPr>
          <w:p w14:paraId="03D99A73">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53DC93F">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1EBD70F5">
            <w:pPr>
              <w:spacing w:line="240" w:lineRule="atLeast"/>
              <w:jc w:val="center"/>
              <w:rPr>
                <w:rFonts w:ascii="宋体" w:hAnsi="宋体"/>
                <w:szCs w:val="21"/>
              </w:rPr>
            </w:pPr>
            <w:r>
              <w:rPr>
                <w:rFonts w:hint="eastAsia" w:ascii="宋体" w:hAnsi="宋体"/>
                <w:szCs w:val="21"/>
              </w:rPr>
              <w:t xml:space="preserve"> □ 优          □ 良          □ 中           □ 差</w:t>
            </w:r>
          </w:p>
        </w:tc>
      </w:tr>
      <w:tr w14:paraId="0A0059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7BE90246">
            <w:pPr>
              <w:spacing w:line="240" w:lineRule="atLeast"/>
              <w:jc w:val="center"/>
              <w:rPr>
                <w:rFonts w:ascii="宋体" w:hAnsi="宋体"/>
                <w:szCs w:val="21"/>
              </w:rPr>
            </w:pPr>
          </w:p>
        </w:tc>
        <w:tc>
          <w:tcPr>
            <w:tcW w:w="720" w:type="dxa"/>
            <w:vMerge w:val="continue"/>
            <w:tcBorders>
              <w:right w:val="single" w:color="auto" w:sz="4" w:space="0"/>
            </w:tcBorders>
            <w:vAlign w:val="center"/>
          </w:tcPr>
          <w:p w14:paraId="40119A81">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56D26A3">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1B839F8C">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3BFE9435">
            <w:pPr>
              <w:spacing w:beforeLines="50" w:afterLines="50" w:line="240" w:lineRule="atLeast"/>
              <w:rPr>
                <w:rFonts w:ascii="宋体" w:hAnsi="宋体"/>
                <w:szCs w:val="21"/>
              </w:rPr>
            </w:pPr>
            <w:r>
              <w:rPr>
                <w:rFonts w:hint="eastAsia" w:ascii="宋体" w:hAnsi="宋体"/>
                <w:szCs w:val="21"/>
              </w:rPr>
              <w:t>评价等级为：  □ 优       □ 良        □ 中         □ 差</w:t>
            </w:r>
          </w:p>
        </w:tc>
      </w:tr>
      <w:tr w14:paraId="2C8D14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23FA3816">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297F394A">
            <w:pPr>
              <w:spacing w:line="240" w:lineRule="atLeast"/>
              <w:rPr>
                <w:rFonts w:ascii="宋体" w:hAnsi="宋体"/>
                <w:szCs w:val="21"/>
              </w:rPr>
            </w:pPr>
          </w:p>
          <w:p w14:paraId="62B89C98">
            <w:pPr>
              <w:spacing w:line="240" w:lineRule="atLeast"/>
              <w:rPr>
                <w:rFonts w:ascii="宋体" w:hAnsi="宋体"/>
                <w:szCs w:val="21"/>
              </w:rPr>
            </w:pPr>
          </w:p>
          <w:p w14:paraId="6916AD55">
            <w:pPr>
              <w:spacing w:line="240" w:lineRule="atLeast"/>
              <w:rPr>
                <w:rFonts w:ascii="宋体" w:hAnsi="宋体"/>
                <w:szCs w:val="21"/>
              </w:rPr>
            </w:pPr>
          </w:p>
          <w:p w14:paraId="70DD4F8F">
            <w:pPr>
              <w:spacing w:line="240" w:lineRule="atLeast"/>
              <w:rPr>
                <w:rFonts w:ascii="宋体" w:hAnsi="宋体"/>
                <w:szCs w:val="21"/>
              </w:rPr>
            </w:pPr>
          </w:p>
          <w:p w14:paraId="492A92F5">
            <w:pPr>
              <w:spacing w:line="240" w:lineRule="atLeast"/>
              <w:rPr>
                <w:rFonts w:ascii="宋体" w:hAnsi="宋体"/>
                <w:szCs w:val="21"/>
              </w:rPr>
            </w:pPr>
          </w:p>
          <w:p w14:paraId="2C7EE866">
            <w:pPr>
              <w:spacing w:line="240" w:lineRule="atLeast"/>
              <w:rPr>
                <w:rFonts w:ascii="宋体" w:hAnsi="宋体"/>
                <w:szCs w:val="21"/>
              </w:rPr>
            </w:pPr>
          </w:p>
          <w:p w14:paraId="0FCBB159">
            <w:pPr>
              <w:spacing w:line="240" w:lineRule="atLeast"/>
              <w:rPr>
                <w:rFonts w:ascii="宋体" w:hAnsi="宋体"/>
                <w:szCs w:val="21"/>
              </w:rPr>
            </w:pPr>
          </w:p>
          <w:p w14:paraId="7ACA2E97">
            <w:pPr>
              <w:spacing w:line="240" w:lineRule="atLeast"/>
              <w:rPr>
                <w:rFonts w:ascii="宋体" w:hAnsi="宋体"/>
                <w:szCs w:val="21"/>
              </w:rPr>
            </w:pPr>
          </w:p>
        </w:tc>
      </w:tr>
      <w:tr w14:paraId="50DB73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07727D77">
            <w:pPr>
              <w:spacing w:line="240" w:lineRule="atLeast"/>
              <w:jc w:val="center"/>
              <w:rPr>
                <w:rFonts w:ascii="宋体" w:hAnsi="宋体"/>
                <w:szCs w:val="21"/>
              </w:rPr>
            </w:pPr>
            <w:r>
              <w:rPr>
                <w:rFonts w:hint="eastAsia" w:ascii="宋体" w:hAnsi="宋体"/>
                <w:szCs w:val="21"/>
              </w:rPr>
              <w:t>采购人意见</w:t>
            </w:r>
          </w:p>
          <w:p w14:paraId="72133A30">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444ED1B3">
            <w:pPr>
              <w:spacing w:line="240" w:lineRule="atLeast"/>
              <w:rPr>
                <w:rFonts w:ascii="宋体" w:hAnsi="宋体"/>
                <w:szCs w:val="21"/>
              </w:rPr>
            </w:pPr>
          </w:p>
          <w:p w14:paraId="07BD5378">
            <w:pPr>
              <w:spacing w:line="240" w:lineRule="atLeast"/>
              <w:rPr>
                <w:rFonts w:ascii="宋体" w:hAnsi="宋体"/>
                <w:szCs w:val="21"/>
              </w:rPr>
            </w:pPr>
            <w:r>
              <w:rPr>
                <w:rFonts w:hint="eastAsia" w:ascii="宋体" w:hAnsi="宋体"/>
                <w:szCs w:val="21"/>
              </w:rPr>
              <w:t xml:space="preserve">                                        </w:t>
            </w:r>
          </w:p>
          <w:p w14:paraId="1007B101">
            <w:pPr>
              <w:spacing w:line="240" w:lineRule="atLeast"/>
              <w:ind w:firstLine="3780" w:firstLineChars="1800"/>
              <w:rPr>
                <w:rFonts w:ascii="宋体" w:hAnsi="宋体"/>
                <w:szCs w:val="21"/>
              </w:rPr>
            </w:pPr>
          </w:p>
          <w:p w14:paraId="1788A0A4">
            <w:pPr>
              <w:spacing w:line="240" w:lineRule="atLeast"/>
              <w:ind w:firstLine="3780" w:firstLineChars="1800"/>
              <w:rPr>
                <w:rFonts w:ascii="宋体" w:hAnsi="宋体"/>
                <w:szCs w:val="21"/>
              </w:rPr>
            </w:pPr>
            <w:r>
              <w:rPr>
                <w:rFonts w:hint="eastAsia" w:ascii="宋体" w:hAnsi="宋体"/>
                <w:szCs w:val="21"/>
              </w:rPr>
              <w:t>日期：   年   月   日</w:t>
            </w:r>
          </w:p>
        </w:tc>
      </w:tr>
    </w:tbl>
    <w:p w14:paraId="0F6EDB5C">
      <w:pPr>
        <w:spacing w:line="240" w:lineRule="atLeast"/>
        <w:rPr>
          <w:rFonts w:ascii="宋体" w:hAnsi="宋体"/>
          <w:szCs w:val="21"/>
        </w:rPr>
      </w:pPr>
      <w:r>
        <w:rPr>
          <w:rFonts w:hint="eastAsia" w:ascii="宋体" w:hAnsi="宋体"/>
          <w:szCs w:val="21"/>
        </w:rPr>
        <w:t>说明：</w:t>
      </w:r>
    </w:p>
    <w:p w14:paraId="5BAB8757">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7CDBC3CF">
      <w:pPr>
        <w:spacing w:line="240" w:lineRule="atLeast"/>
        <w:rPr>
          <w:rFonts w:ascii="宋体" w:hAnsi="宋体"/>
          <w:szCs w:val="21"/>
        </w:rPr>
        <w:sectPr>
          <w:footerReference r:id="rId3"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786140EA">
      <w:pPr>
        <w:jc w:val="center"/>
        <w:rPr>
          <w:rFonts w:ascii="宋体" w:hAnsi="宋体"/>
          <w:b/>
          <w:bCs/>
          <w:kern w:val="0"/>
          <w:sz w:val="24"/>
          <w:szCs w:val="20"/>
        </w:rPr>
      </w:pPr>
      <w:r>
        <w:rPr>
          <w:rFonts w:hint="eastAsia" w:ascii="宋体" w:hAnsi="宋体"/>
          <w:b/>
          <w:bCs/>
          <w:kern w:val="0"/>
          <w:sz w:val="24"/>
          <w:szCs w:val="20"/>
        </w:rPr>
        <w:t>第五章  附件</w:t>
      </w:r>
    </w:p>
    <w:p w14:paraId="5AF19A8B">
      <w:pPr>
        <w:jc w:val="center"/>
        <w:rPr>
          <w:rFonts w:ascii="宋体" w:hAnsi="宋体"/>
          <w:b/>
          <w:bCs/>
          <w:kern w:val="0"/>
          <w:sz w:val="24"/>
          <w:szCs w:val="20"/>
        </w:rPr>
      </w:pPr>
    </w:p>
    <w:p w14:paraId="4C75582F">
      <w:pPr>
        <w:pStyle w:val="3"/>
        <w:spacing w:before="0" w:after="0"/>
        <w:jc w:val="center"/>
      </w:pPr>
      <w:bookmarkStart w:id="19" w:name="_Toc73610162"/>
      <w:bookmarkStart w:id="20" w:name="_Toc73613644"/>
      <w:r>
        <w:rPr>
          <w:rFonts w:hint="eastAsia"/>
        </w:rPr>
        <w:t>一、财政部 工业和信息化部关于印发《政府采购促进中小企业发展管理办法》的通知</w:t>
      </w:r>
      <w:bookmarkEnd w:id="19"/>
      <w:bookmarkEnd w:id="20"/>
    </w:p>
    <w:p w14:paraId="41A8C1FE">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14:paraId="3273F07D">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14:paraId="2A1D627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27F4B3D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14:paraId="04DB8F23">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14:paraId="1447179A">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14:paraId="4CBB4F77">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14:paraId="01B42C5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4C1C9E09">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14:paraId="3446B87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780A02DD">
      <w:pPr>
        <w:pStyle w:val="37"/>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14:paraId="69421DF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688783A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14:paraId="280C0EB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3BC7DD4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14:paraId="3444D43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14:paraId="5BFD5DB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14:paraId="2919430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14:paraId="5AAF7F8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14:paraId="43B4CDC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14:paraId="6E5BC30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14:paraId="7816AD2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14:paraId="5116734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765EB74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2DCD57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14:paraId="0F9867D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14:paraId="2425343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14:paraId="331AA11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14:paraId="35CF293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14:paraId="0D20D38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14:paraId="779194C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14:paraId="746A2EC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14:paraId="3AFF35D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4E745EC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14:paraId="62B2AE0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14:paraId="60B981A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14:paraId="55BAA92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14:paraId="291AB9E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820052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0494DA3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1EFB4AE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401FB4E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BFA55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14:paraId="55CF59A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14:paraId="415A8B8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14:paraId="13E9FF7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14:paraId="10D82E8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14:paraId="2D8AF00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14:paraId="33B9254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14:paraId="722D189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14:paraId="4C34B8A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14:paraId="7C593D6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14:paraId="23A0A0B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2576881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5EDEC5A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02EB47C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14:paraId="4F2F542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0C738EB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274A989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39C165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14:paraId="0E441D8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1655D19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0E5E2A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14:paraId="025CA9F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14:paraId="263E8EC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14:paraId="12ACCC87">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14:paraId="78CD9BD5">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14:paraId="29E3CF5D">
      <w:pPr>
        <w:spacing w:line="360" w:lineRule="auto"/>
        <w:rPr>
          <w:rFonts w:asciiTheme="minorEastAsia" w:hAnsiTheme="minorEastAsia" w:eastAsiaTheme="minorEastAsia"/>
          <w:szCs w:val="21"/>
        </w:rPr>
      </w:pPr>
    </w:p>
    <w:p w14:paraId="3C37A92B">
      <w:pPr>
        <w:pStyle w:val="3"/>
        <w:spacing w:before="0" w:after="0"/>
        <w:jc w:val="center"/>
      </w:pPr>
      <w:bookmarkStart w:id="21" w:name="_Toc73610163"/>
      <w:bookmarkStart w:id="22" w:name="_Toc73613645"/>
      <w:r>
        <w:rPr>
          <w:rFonts w:hint="eastAsia"/>
        </w:rPr>
        <w:t>二、关于印发中小企业划型标准规定的通知</w:t>
      </w:r>
      <w:bookmarkEnd w:id="21"/>
      <w:bookmarkEnd w:id="22"/>
    </w:p>
    <w:p w14:paraId="5836FC33">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14:paraId="717BF8FC">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1EF6ECD2">
      <w:pPr>
        <w:pStyle w:val="37"/>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工业和信息化部　国家统计局</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国家发展和改革委员会　财政部</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二○一一年六月十八日</w:t>
      </w:r>
    </w:p>
    <w:p w14:paraId="77B34B40">
      <w:pPr>
        <w:pStyle w:val="37"/>
        <w:shd w:val="clear" w:color="auto" w:fill="FFFFFF"/>
        <w:spacing w:line="360" w:lineRule="auto"/>
        <w:jc w:val="center"/>
        <w:rPr>
          <w:rFonts w:asciiTheme="minorEastAsia" w:hAnsiTheme="minorEastAsia" w:eastAsiaTheme="minorEastAsia"/>
          <w:color w:val="000000"/>
          <w:sz w:val="21"/>
          <w:szCs w:val="21"/>
        </w:rPr>
      </w:pPr>
      <w:r>
        <w:rPr>
          <w:rStyle w:val="45"/>
          <w:rFonts w:hint="eastAsia" w:asciiTheme="minorEastAsia" w:hAnsiTheme="minorEastAsia" w:eastAsiaTheme="minorEastAsia"/>
          <w:color w:val="000000"/>
          <w:sz w:val="21"/>
          <w:szCs w:val="21"/>
        </w:rPr>
        <w:t>中小企业划型标准规定</w:t>
      </w:r>
    </w:p>
    <w:p w14:paraId="09968051">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四、各行业划型标准为：</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五、企业类型的划分以统计部门的统计数据为依据。</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九、本规定由工业和信息化部、国家统计局会同有关部门负责解释。</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14:paraId="69E7667C">
      <w:pPr>
        <w:pStyle w:val="37"/>
        <w:shd w:val="clear" w:color="auto" w:fill="FFFFFF"/>
        <w:spacing w:line="360" w:lineRule="auto"/>
        <w:rPr>
          <w:rFonts w:asciiTheme="minorEastAsia" w:hAnsiTheme="minorEastAsia" w:eastAsiaTheme="minorEastAsia"/>
          <w:color w:val="000000"/>
          <w:sz w:val="21"/>
          <w:szCs w:val="21"/>
        </w:rPr>
      </w:pPr>
    </w:p>
    <w:p w14:paraId="1B8FBD2C">
      <w:pPr>
        <w:pStyle w:val="3"/>
        <w:spacing w:before="0" w:after="0"/>
        <w:jc w:val="center"/>
        <w:rPr>
          <w:rFonts w:asciiTheme="minorEastAsia" w:hAnsiTheme="minorEastAsia" w:eastAsiaTheme="minorEastAsia"/>
        </w:rPr>
      </w:pPr>
      <w:bookmarkStart w:id="23" w:name="_Toc73610164"/>
      <w:bookmarkStart w:id="24" w:name="_Toc73613646"/>
      <w:r>
        <w:rPr>
          <w:rFonts w:hint="eastAsia" w:asciiTheme="minorEastAsia" w:hAnsiTheme="minorEastAsia" w:eastAsiaTheme="minorEastAsia"/>
          <w:bCs w:val="0"/>
        </w:rPr>
        <w:t>三、</w:t>
      </w:r>
      <w:r>
        <w:rPr>
          <w:rFonts w:asciiTheme="minorEastAsia" w:hAnsiTheme="minorEastAsia" w:eastAsiaTheme="minorEastAsia"/>
          <w:bCs w:val="0"/>
        </w:rPr>
        <w:t>国家统计局关于印发《统计上大中小微型企业划分办法 （2017）》的通知</w:t>
      </w:r>
      <w:bookmarkEnd w:id="23"/>
      <w:bookmarkEnd w:id="24"/>
      <w:r>
        <w:rPr>
          <w:rFonts w:asciiTheme="minorEastAsia" w:hAnsiTheme="minorEastAsia" w:eastAsiaTheme="minorEastAsia"/>
          <w:bCs w:val="0"/>
        </w:rPr>
        <w:t> </w:t>
      </w:r>
    </w:p>
    <w:p w14:paraId="0FB64294">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14AD6BF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76C60E0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60D3DA3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8019A56">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88104F2">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266F6994">
      <w:pPr>
        <w:widowControl/>
        <w:spacing w:line="360" w:lineRule="auto"/>
        <w:jc w:val="center"/>
        <w:rPr>
          <w:rFonts w:cs="宋体" w:asciiTheme="minorEastAsia" w:hAnsiTheme="minorEastAsia" w:eastAsiaTheme="minorEastAsia"/>
          <w:b/>
          <w:bCs/>
          <w:kern w:val="0"/>
          <w:szCs w:val="21"/>
        </w:rPr>
      </w:pPr>
    </w:p>
    <w:p w14:paraId="48F77017">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C748B47">
      <w:pPr>
        <w:widowControl/>
        <w:spacing w:line="360" w:lineRule="auto"/>
        <w:jc w:val="left"/>
        <w:rPr>
          <w:rFonts w:cs="宋体" w:asciiTheme="minorEastAsia" w:hAnsiTheme="minorEastAsia" w:eastAsiaTheme="minorEastAsia"/>
          <w:kern w:val="0"/>
          <w:szCs w:val="21"/>
        </w:rPr>
      </w:pPr>
    </w:p>
    <w:p w14:paraId="2E7711BB">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356018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706C793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7DD1AF9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5AE801F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70EE15FA">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503E7CD8">
      <w:pPr>
        <w:widowControl/>
        <w:spacing w:line="360" w:lineRule="auto"/>
        <w:jc w:val="left"/>
        <w:rPr>
          <w:rFonts w:cs="宋体" w:asciiTheme="minorEastAsia" w:hAnsiTheme="minorEastAsia" w:eastAsiaTheme="minorEastAsia"/>
          <w:kern w:val="0"/>
          <w:szCs w:val="21"/>
        </w:rPr>
      </w:pPr>
    </w:p>
    <w:p w14:paraId="2F6B3A88">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332F30D">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6AA1DB49">
      <w:pPr>
        <w:widowControl/>
        <w:spacing w:line="360" w:lineRule="auto"/>
        <w:jc w:val="left"/>
        <w:rPr>
          <w:rFonts w:cs="宋体" w:asciiTheme="minorEastAsia" w:hAnsiTheme="minorEastAsia" w:eastAsiaTheme="minorEastAsia"/>
          <w:kern w:val="0"/>
          <w:szCs w:val="21"/>
        </w:rPr>
      </w:pPr>
    </w:p>
    <w:p w14:paraId="0BC8433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5CB38B9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B64F3C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648D198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5C4FFC5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6FC56A1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4C01BB39">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409DF568">
      <w:pPr>
        <w:widowControl/>
        <w:spacing w:line="360" w:lineRule="auto"/>
        <w:jc w:val="left"/>
        <w:rPr>
          <w:rFonts w:cs="宋体" w:asciiTheme="minorEastAsia" w:hAnsiTheme="minorEastAsia" w:eastAsiaTheme="minorEastAsia"/>
          <w:kern w:val="0"/>
          <w:szCs w:val="21"/>
        </w:rPr>
      </w:pPr>
    </w:p>
    <w:p w14:paraId="2851B57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0859B152">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7C10DECE">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8783337">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5BAE7D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1ECE824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58E668E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A37EB0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559FD32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691DFEC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166BC528">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3FE06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67D8517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ED27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C46476F">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6F0BBB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FA71AE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2EA12404">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07F9162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CEF328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6D8051B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6C809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BFF75C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392E82F">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55CBE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49AF1EA">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BB2C9D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8D77A0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4C454F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7D1C28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2C79DB">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EB482B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3C0EACF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6A45DD6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5AAB45E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9B6419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2F5A221D">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09C6EC7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1BF78E3">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25213AC3">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F8172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452D2669">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A106E4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2606BC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5B2392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4C0BBDD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C1331A0">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528CBC0">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52850E4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2D938B31">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2150CAF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75C98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5CD096C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91268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F903DC6">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2E131AA">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55090CE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0B4D28E6">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51B0E90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127A7D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311C39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2058C9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3B42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A353E0D">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39B80136">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65F814B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02D34C2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FEBA29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603E552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4327B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0C9C46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200D58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2585DC9F">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139069D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3CE770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535905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A56B4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594F6B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809A1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279CA7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B491E1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63EC557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F735BCB">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ED203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376C08F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4ADB42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F372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B4F2068">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6B513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3C2650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CE7451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317E9E">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CDD37E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6D589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9D1B61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D6B01AD">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01356CB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184082F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0041FB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159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0B9BC6A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E4EA4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D13DDB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C25CA3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6EE09DA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4E3B1159">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ACBACD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4C2283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3D3F40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BC683C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FE6E242">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0C1C396">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36455B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7DAC6C4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D39884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A241A8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0E9F126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80BA15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4B5E59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7D0841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1C13C2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237F5C3">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DD10AA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30E62D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3F0E2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B356DC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964196B">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341CA0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415200E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1E8E5F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1A0C2D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7E4829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A17CA6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C346CE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4A9D1F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040D1B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7E98F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076EACE">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443D86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87E0D4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DB3B9A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45CFD5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519CC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2E6353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30B1FE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93A1CA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5D3811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26E8C2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5CDC1F8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60EBA1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5E278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4A8C0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ACA57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BDF175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338EE5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B8E97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BD0FF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03F819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C59F6C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1FA1D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2EF1292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CE04C3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B89682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908FF9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31AEF6F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9DF6E6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C2AD1F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30D1DE5">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5ECE46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E3FBB7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95166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52758A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B17020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6357F7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95F3C3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52CD401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40EF01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133204D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5B6A1B8">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C09F8C3">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5FEC8B3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74DAF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B37C9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8E1EE4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1A5C52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2BEF1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4DF3CE5">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501B0F61">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7C6E41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F63D68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FE8557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06B00F2">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2BF31E7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29A73E0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7F56798E">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C9F6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103B2A6C">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A1A6A0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4EE9270">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79013EB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0CDD3B9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28C6F4D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29B6E8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27F6F14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794CB0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506A7A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FC9BAA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70A0AC0B">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78DBCCD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30C14F55">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483EA5CF">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122055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3F6391A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82FFB1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66623B2">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0D02DC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713BD6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27A0E419">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31EFF22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61B9E2E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B258A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36736D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0B96CD0">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1389B99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0D0A9C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410D9A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02E61D4">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84E342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2235E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5C2BB6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6E1BD3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3830252">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C2745F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30C613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74F959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CD4D72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D5C48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E9E531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DD9FBF5">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9BF81C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2F6369B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A5E3ADE">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71CFDBA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60263CD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234708C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483DEBC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194E3279">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672DB67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3AF285B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3604E3E1">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27F3F77F">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692B9B5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099D707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5F47177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61075020">
      <w:pPr>
        <w:spacing w:line="360" w:lineRule="auto"/>
        <w:rPr>
          <w:rFonts w:asciiTheme="minorEastAsia" w:hAnsiTheme="minorEastAsia" w:eastAsiaTheme="minorEastAsia"/>
          <w:szCs w:val="21"/>
        </w:rPr>
      </w:pPr>
    </w:p>
    <w:p w14:paraId="3166F3E3">
      <w:pPr>
        <w:pStyle w:val="3"/>
        <w:spacing w:before="0" w:after="0"/>
        <w:jc w:val="center"/>
      </w:pPr>
      <w:bookmarkStart w:id="25" w:name="_Toc73613647"/>
      <w:bookmarkStart w:id="26" w:name="_Toc73610165"/>
      <w:r>
        <w:rPr>
          <w:rFonts w:hint="eastAsia"/>
        </w:rPr>
        <w:t>四、</w:t>
      </w:r>
      <w:r>
        <w:t>财政部 民政部 中国残疾人联合会关于促进残疾人就业 政府采购政策的通知</w:t>
      </w:r>
      <w:bookmarkEnd w:id="25"/>
      <w:bookmarkEnd w:id="26"/>
      <w:r>
        <w:t xml:space="preserve"> </w:t>
      </w:r>
    </w:p>
    <w:p w14:paraId="7BFDB946">
      <w:pPr>
        <w:pStyle w:val="37"/>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14:paraId="16F28E6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1197822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43DE72C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494F16A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07AF91E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6782944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5A4F444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1AB970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50E8D8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0C94BB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21130A9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2F0F09D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178CF15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31CD34A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235FE7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1F5C204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0CFD163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7C0FEF2F">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7748170F">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48A7F3CE">
      <w:pPr>
        <w:widowControl/>
        <w:spacing w:line="360" w:lineRule="auto"/>
        <w:jc w:val="right"/>
        <w:rPr>
          <w:rFonts w:cs="宋体" w:asciiTheme="minorEastAsia" w:hAnsiTheme="minorEastAsia" w:eastAsiaTheme="minorEastAsia"/>
          <w:kern w:val="0"/>
          <w:szCs w:val="21"/>
        </w:rPr>
      </w:pPr>
    </w:p>
    <w:p w14:paraId="5B9DFE3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0DC05904">
      <w:pPr>
        <w:tabs>
          <w:tab w:val="left" w:pos="1875"/>
        </w:tabs>
      </w:pPr>
    </w:p>
    <w:p w14:paraId="029DE2CA"/>
    <w:p w14:paraId="62B87F86">
      <w:pPr>
        <w:pStyle w:val="3"/>
        <w:spacing w:before="0" w:after="0"/>
        <w:jc w:val="center"/>
      </w:pPr>
      <w:r>
        <w:rPr>
          <w:rFonts w:hint="eastAsia"/>
        </w:rPr>
        <w:t>五、财政部 司法部关于政府采购支持监狱企业发展有关问题的通知</w:t>
      </w:r>
      <w:r>
        <w:t xml:space="preserve"> </w:t>
      </w:r>
    </w:p>
    <w:p w14:paraId="41B3894D">
      <w:pPr>
        <w:widowControl/>
        <w:spacing w:line="360" w:lineRule="auto"/>
        <w:jc w:val="center"/>
        <w:rPr>
          <w:rFonts w:cs="宋体" w:asciiTheme="minorEastAsia" w:hAnsiTheme="minorEastAsia" w:eastAsiaTheme="minorEastAsia"/>
          <w:kern w:val="0"/>
          <w:szCs w:val="21"/>
        </w:rPr>
      </w:pPr>
    </w:p>
    <w:p w14:paraId="69789DEB">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160A76">
      <w:pPr>
        <w:widowControl/>
        <w:spacing w:line="360" w:lineRule="auto"/>
        <w:jc w:val="left"/>
        <w:rPr>
          <w:rFonts w:cs="宋体" w:asciiTheme="minorEastAsia" w:hAnsiTheme="minorEastAsia" w:eastAsiaTheme="minorEastAsia"/>
          <w:kern w:val="0"/>
          <w:szCs w:val="21"/>
        </w:rPr>
      </w:pPr>
    </w:p>
    <w:p w14:paraId="2B19091E">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B82F698">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0E8D592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62F3F89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DFF692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6803755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3D9FA27B">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51D2E13">
      <w:pPr>
        <w:widowControl/>
        <w:spacing w:line="360" w:lineRule="auto"/>
        <w:jc w:val="left"/>
        <w:rPr>
          <w:rFonts w:cs="宋体" w:asciiTheme="minorEastAsia" w:hAnsiTheme="minorEastAsia" w:eastAsiaTheme="minorEastAsia"/>
          <w:kern w:val="0"/>
          <w:szCs w:val="21"/>
        </w:rPr>
      </w:pPr>
    </w:p>
    <w:p w14:paraId="5B08312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6E08BC0B">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2E2657F2">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6BF65DA8">
      <w:pPr>
        <w:widowControl/>
        <w:spacing w:line="360" w:lineRule="auto"/>
        <w:jc w:val="center"/>
        <w:rPr>
          <w:rFonts w:asciiTheme="majorEastAsia" w:hAnsiTheme="majorEastAsia" w:eastAsiaTheme="majorEastAsia"/>
          <w:b/>
          <w:sz w:val="32"/>
          <w:szCs w:val="32"/>
        </w:rPr>
      </w:pPr>
      <w:r>
        <w:rPr>
          <w:rFonts w:cs="宋体" w:asciiTheme="minorEastAsia" w:hAnsiTheme="minorEastAsia" w:eastAsiaTheme="minorEastAsia"/>
          <w:kern w:val="0"/>
          <w:szCs w:val="21"/>
        </w:rPr>
        <w:br w:type="page"/>
      </w:r>
      <w:r>
        <w:rPr>
          <w:rFonts w:hint="eastAsia" w:asciiTheme="majorEastAsia" w:hAnsiTheme="majorEastAsia" w:eastAsiaTheme="majorEastAsia"/>
          <w:b/>
          <w:sz w:val="32"/>
          <w:szCs w:val="32"/>
        </w:rPr>
        <w:t>第二册  通用条款（公开招标）</w:t>
      </w:r>
    </w:p>
    <w:p w14:paraId="30086E90">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27" w:name="_Hlk72399513"/>
      <w:r>
        <w:rPr>
          <w:rFonts w:hint="eastAsia" w:asciiTheme="majorEastAsia" w:hAnsiTheme="majorEastAsia" w:eastAsiaTheme="majorEastAsia"/>
          <w:b/>
          <w:bCs/>
          <w:kern w:val="0"/>
          <w:sz w:val="28"/>
          <w:szCs w:val="28"/>
        </w:rPr>
        <w:t>总则</w:t>
      </w:r>
    </w:p>
    <w:bookmarkEnd w:id="27"/>
    <w:p w14:paraId="3BED2F7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 通用条款说明</w:t>
      </w:r>
    </w:p>
    <w:p w14:paraId="489F86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1.1采购代理机构发出招标文件通用条款版本，列出深圳市政府采购项目进行招标采购所适用的通用条款内容。</w:t>
      </w:r>
      <w:bookmarkStart w:id="28" w:name="_Hlk72399729"/>
      <w:r>
        <w:rPr>
          <w:rFonts w:hint="eastAsia" w:asciiTheme="majorEastAsia" w:hAnsiTheme="majorEastAsia" w:eastAsiaTheme="majorEastAsia"/>
          <w:szCs w:val="21"/>
        </w:rPr>
        <w:t>如有需要，采购代理机构可以对通用条款的内容进行补充。</w:t>
      </w:r>
      <w:bookmarkEnd w:id="28"/>
    </w:p>
    <w:p w14:paraId="2C779DB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1.2招标文件分为第一册“专用条款”和第二册“通用条款”。</w:t>
      </w:r>
    </w:p>
    <w:p w14:paraId="5C769DC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1.3“专用条款”是对本次采购项目的具体要求，包含招标公告、对通用条款的补充内容及其他关键信息、用户需求书、投标文件格式及附件、合同条款及格式等内容。</w:t>
      </w:r>
    </w:p>
    <w:p w14:paraId="61E0D01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1.4“通用条款”是适用于政府采购公开招标项目的基础性条款，具有普遍性和通用性。</w:t>
      </w:r>
    </w:p>
    <w:p w14:paraId="08CC21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1.5 “专用条款”和“通用条款”表述不一致或有冲突时，以“专用条款”为准。</w:t>
      </w:r>
    </w:p>
    <w:p w14:paraId="3C674490">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2</w:t>
      </w:r>
      <w:r>
        <w:rPr>
          <w:rFonts w:asciiTheme="majorEastAsia" w:hAnsiTheme="majorEastAsia" w:eastAsiaTheme="majorEastAsia"/>
          <w:b/>
          <w:bCs/>
          <w:szCs w:val="21"/>
        </w:rPr>
        <w:t>．</w:t>
      </w:r>
      <w:r>
        <w:rPr>
          <w:rFonts w:hint="eastAsia" w:asciiTheme="majorEastAsia" w:hAnsiTheme="majorEastAsia" w:eastAsiaTheme="majorEastAsia"/>
          <w:b/>
          <w:bCs/>
          <w:szCs w:val="21"/>
        </w:rPr>
        <w:t>招标说明</w:t>
      </w:r>
    </w:p>
    <w:p w14:paraId="12F943A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本项目按照《深圳经济特区政府采购条例》、《深圳经济特区政府采购条例实施细则》及政府采购其他法律法规，通过公开招标方式确定中标供应商。</w:t>
      </w:r>
    </w:p>
    <w:p w14:paraId="2E0D1D22">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3．定义</w:t>
      </w:r>
    </w:p>
    <w:p w14:paraId="32314D3D">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招标文件中下列术语应解释为：</w:t>
      </w:r>
    </w:p>
    <w:p w14:paraId="59E398D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1</w:t>
      </w:r>
      <w:r>
        <w:rPr>
          <w:rFonts w:hint="eastAsia" w:asciiTheme="majorEastAsia" w:hAnsiTheme="majorEastAsia" w:eastAsiaTheme="majorEastAsia"/>
          <w:szCs w:val="21"/>
        </w:rPr>
        <w:t>“采购人”：指利用财政性资金依法进行政府采购的国家机关、事业单位、团体组织；</w:t>
      </w:r>
    </w:p>
    <w:p w14:paraId="15E64A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 “政府集中采购机构”</w:t>
      </w:r>
      <w:r>
        <w:rPr>
          <w:rFonts w:hint="eastAsia" w:cs="Arial" w:asciiTheme="majorEastAsia" w:hAnsiTheme="majorEastAsia" w:eastAsiaTheme="majorEastAsia"/>
          <w:szCs w:val="21"/>
          <w:shd w:val="clear" w:color="auto" w:fill="FFFFFF"/>
        </w:rPr>
        <w:t>是指市政府设立的，对纳入集中采购目录内的采购项目组织实施采购，并对政府采购活动提供服务的专门机构；</w:t>
      </w:r>
      <w:r>
        <w:rPr>
          <w:rFonts w:hint="eastAsia" w:asciiTheme="majorEastAsia" w:hAnsiTheme="majorEastAsia" w:eastAsiaTheme="majorEastAsia"/>
          <w:szCs w:val="21"/>
        </w:rPr>
        <w:t>本文件所述的“政府集中采购机构”</w:t>
      </w:r>
      <w:r>
        <w:rPr>
          <w:rFonts w:asciiTheme="majorEastAsia" w:hAnsiTheme="majorEastAsia" w:eastAsiaTheme="majorEastAsia"/>
          <w:szCs w:val="21"/>
        </w:rPr>
        <w:t>指</w:t>
      </w:r>
      <w:r>
        <w:rPr>
          <w:rFonts w:hint="eastAsia" w:asciiTheme="majorEastAsia" w:hAnsiTheme="majorEastAsia" w:eastAsiaTheme="majorEastAsia"/>
          <w:szCs w:val="21"/>
        </w:rPr>
        <w:t>深圳公共资源交易中心；</w:t>
      </w:r>
    </w:p>
    <w:p w14:paraId="05BC79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3.3“采购代理机构”是指根据采购人委托，代理政府采购事宜的社会采购代理机构。本招标文件的招标机构特指</w:t>
      </w:r>
      <w:r>
        <w:rPr>
          <w:rFonts w:hint="eastAsia" w:asciiTheme="majorEastAsia" w:hAnsiTheme="majorEastAsia" w:eastAsiaTheme="majorEastAsia"/>
          <w:b/>
          <w:bCs/>
          <w:szCs w:val="21"/>
        </w:rPr>
        <w:t>深圳市中正招标有限公司；</w:t>
      </w:r>
    </w:p>
    <w:p w14:paraId="5ECAD3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3.4“投标人”，即供应商，指参加投标竞争并愿意按照招标文件要求向采购人提供货物、工程或者服务的依法成立的法人、其他组织或者自然人；</w:t>
      </w:r>
    </w:p>
    <w:p w14:paraId="03A4BB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3.5“评审委员会”是依据《深圳经济特区政府采购条例》、《深圳经济特区政府采购条例实施细则》等有关规定组建的专门负责本次招标其评审工作的临时性机构；</w:t>
      </w:r>
    </w:p>
    <w:p w14:paraId="6B37143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3.6“日期”</w:t>
      </w:r>
      <w:r>
        <w:rPr>
          <w:rFonts w:asciiTheme="majorEastAsia" w:hAnsiTheme="majorEastAsia" w:eastAsiaTheme="majorEastAsia"/>
          <w:szCs w:val="21"/>
        </w:rPr>
        <w:t>指</w:t>
      </w:r>
      <w:r>
        <w:rPr>
          <w:rFonts w:hint="eastAsia" w:asciiTheme="majorEastAsia" w:hAnsiTheme="majorEastAsia" w:eastAsiaTheme="majorEastAsia"/>
          <w:szCs w:val="21"/>
        </w:rPr>
        <w:t>公历日；</w:t>
      </w:r>
    </w:p>
    <w:p w14:paraId="19C0B06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3.7“合同”指由本次招标所产生的合同或合约文件；</w:t>
      </w:r>
    </w:p>
    <w:p w14:paraId="5373EF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3.8“电子投标文件”指利用</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站提供的深圳智慧采购平台投标文件制作专用软件（以下简称：投标文件制作软件）制作并加密的投标文件,适用于网上投标；（投标文件制作软件可从“下载地址：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TPBidder/DownLoad/深圳市智慧采购平台投标文件制作专用软件.zip”下载）；</w:t>
      </w:r>
    </w:p>
    <w:p w14:paraId="5B0FB0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3.9“网上投标”指通过</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站上传电子投标文件；</w:t>
      </w:r>
    </w:p>
    <w:p w14:paraId="4724E7D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3.10招标文件中的标题或题名仅起引导作用，而不应视为对招标文件内容的理解和解释。</w:t>
      </w:r>
    </w:p>
    <w:p w14:paraId="0A5F058F">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 xml:space="preserve">4. </w:t>
      </w:r>
      <w:bookmarkStart w:id="29" w:name="_Hlk72398643"/>
      <w:r>
        <w:rPr>
          <w:rFonts w:hint="eastAsia" w:asciiTheme="majorEastAsia" w:hAnsiTheme="majorEastAsia" w:eastAsiaTheme="majorEastAsia"/>
          <w:b/>
          <w:bCs/>
          <w:szCs w:val="21"/>
        </w:rPr>
        <w:t>政府采购供应商责任</w:t>
      </w:r>
    </w:p>
    <w:p w14:paraId="48CBB5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4.1欢迎诚信、有实力和有社会责任心的供应商参与政府采购事业。</w:t>
      </w:r>
    </w:p>
    <w:p w14:paraId="052C02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4.2投标人应当遵循公平竞争的原则，不得恶意串通，不得妨碍其他投标人的竞争行为，不得损害采购人或者其他投标人的合法权益。如违反上述要求，经核实后，供应商的投标无效。</w:t>
      </w:r>
    </w:p>
    <w:p w14:paraId="67ADC5C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5．投标人参加政府采购的条件</w:t>
      </w:r>
    </w:p>
    <w:p w14:paraId="0EA173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5.1投标人应在投标前到</w:t>
      </w:r>
      <w:r>
        <w:rPr>
          <w:rFonts w:hint="eastAsia" w:asciiTheme="majorEastAsia" w:hAnsiTheme="majorEastAsia" w:eastAsiaTheme="majorEastAsia"/>
          <w:b/>
          <w:bCs/>
          <w:szCs w:val="21"/>
        </w:rPr>
        <w:t>深圳公共资源交易中心（具体在深圳交易集团有限公司政府采购业务分公司进行办理）</w:t>
      </w:r>
      <w:r>
        <w:rPr>
          <w:rFonts w:hint="eastAsia" w:asciiTheme="majorEastAsia" w:hAnsiTheme="majorEastAsia" w:eastAsiaTheme="majorEastAsia"/>
          <w:szCs w:val="21"/>
        </w:rPr>
        <w:t>进行注册并办理电子密钥。《</w:t>
      </w:r>
      <w:r>
        <w:fldChar w:fldCharType="begin"/>
      </w:r>
      <w:r>
        <w:instrText xml:space="preserve"> HYPERLINK "http://www.szzfcg.cn/viewer.do?id=2455258" \t "documentViewer2455258" </w:instrText>
      </w:r>
      <w:r>
        <w:fldChar w:fldCharType="separate"/>
      </w:r>
      <w:r>
        <w:rPr>
          <w:rFonts w:asciiTheme="majorEastAsia" w:hAnsiTheme="majorEastAsia" w:eastAsiaTheme="majorEastAsia"/>
          <w:szCs w:val="21"/>
        </w:rPr>
        <w:t>供应商注册及电子密钥新申请指引</w:t>
      </w:r>
      <w:r>
        <w:rPr>
          <w:rFonts w:asciiTheme="majorEastAsia" w:hAnsiTheme="majorEastAsia" w:eastAsiaTheme="majorEastAsia"/>
          <w:szCs w:val="21"/>
        </w:rPr>
        <w:fldChar w:fldCharType="end"/>
      </w:r>
      <w:r>
        <w:rPr>
          <w:rFonts w:hint="eastAsia" w:asciiTheme="majorEastAsia" w:hAnsiTheme="majorEastAsia" w:eastAsiaTheme="majorEastAsia"/>
          <w:szCs w:val="21"/>
        </w:rPr>
        <w:t>》详见</w:t>
      </w:r>
      <w:r>
        <w:rPr>
          <w:rFonts w:asciiTheme="majorEastAsia" w:hAnsiTheme="majorEastAsia" w:eastAsiaTheme="majorEastAsia"/>
          <w:szCs w:val="21"/>
        </w:rPr>
        <w:t>http://zfcg.szggzy.com/</w:t>
      </w:r>
      <w:r>
        <w:rPr>
          <w:rFonts w:hint="eastAsia" w:asciiTheme="majorEastAsia" w:hAnsiTheme="majorEastAsia" w:eastAsiaTheme="majorEastAsia"/>
          <w:szCs w:val="21"/>
        </w:rPr>
        <w:t>。</w:t>
      </w:r>
    </w:p>
    <w:p w14:paraId="110A362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5.2投标人资格要求</w:t>
      </w:r>
    </w:p>
    <w:p w14:paraId="2E88E6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参加本项目的投标人应具备的资格条件详见本项目招标公告中 “投标人资格要求”（即申请人的资格要求）的内容。</w:t>
      </w:r>
    </w:p>
    <w:p w14:paraId="7217FF3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5.3联合体投标</w:t>
      </w:r>
    </w:p>
    <w:p w14:paraId="500263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5.3.1　以下有关联合体投标的条款仅适用于允许投标人组成联合体投标的项目。</w:t>
      </w:r>
    </w:p>
    <w:p w14:paraId="13BD81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5.3.2  由两个或两个以上的自然人、法人或者其他组织可以组成一个联合体，以一个供应商的身份共同投标时，应符合以下原则：</w:t>
      </w:r>
    </w:p>
    <w:p w14:paraId="5886A09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（1）投标联合体各方参加政府采购活动应当具备下列条件：</w:t>
      </w:r>
    </w:p>
    <w:p w14:paraId="02D89777">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1、具有独立承担民事责任的能力；</w:t>
      </w:r>
    </w:p>
    <w:p w14:paraId="2E834455">
      <w:pPr>
        <w:spacing w:line="360" w:lineRule="auto"/>
        <w:ind w:left="420" w:firstLine="411" w:firstLineChars="196"/>
        <w:rPr>
          <w:rFonts w:asciiTheme="majorEastAsia" w:hAnsiTheme="majorEastAsia" w:eastAsiaTheme="majorEastAsia"/>
          <w:szCs w:val="21"/>
        </w:rPr>
      </w:pPr>
      <w:r>
        <w:rPr>
          <w:rFonts w:hint="eastAsia" w:asciiTheme="majorEastAsia" w:hAnsiTheme="majorEastAsia" w:eastAsiaTheme="majorEastAsia"/>
          <w:szCs w:val="21"/>
        </w:rPr>
        <w:t>2、有良好的商业信誉和健全的财务会计制度；</w:t>
      </w:r>
    </w:p>
    <w:p w14:paraId="3442932F">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3、具有履行合同所必需的设备和专业技术能力；</w:t>
      </w:r>
    </w:p>
    <w:p w14:paraId="25FCFC7B">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4、有依法缴纳税收和社会保障资金的良好记录；</w:t>
      </w:r>
    </w:p>
    <w:p w14:paraId="4FA91B5B">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5、参加政府采购活动前三年内，在经营活动中没有重大违法记录；</w:t>
      </w:r>
    </w:p>
    <w:p w14:paraId="6ABA5329">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6、法律、行政法规规定的其他条件。</w:t>
      </w:r>
    </w:p>
    <w:p w14:paraId="6C62FE6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（2）联合体中有同类资质的供应商按照联合体分工承担相同工作的，应当按照资质等级较低的供应商确定资质等级；</w:t>
      </w:r>
    </w:p>
    <w:p w14:paraId="0675584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（3）是否允许联合体参加投标，应当由采购人和采购代理机构根据项目的实际情况和潜在供应商的数量自主决定，如果决定接受联合体投标则应当在招标公告中明示；</w:t>
      </w:r>
    </w:p>
    <w:p w14:paraId="5CE7FCA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（4）投标人的投标文件及中标后签署的合同协议对联合体各方均具法律约束力；</w:t>
      </w:r>
    </w:p>
    <w:p w14:paraId="0985060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（5）联合体各方应当签订联合体投标协议，明确约定各方拟承担的工作和责任，并将该协议随投标文件一并递交给采购代理机构；</w:t>
      </w:r>
    </w:p>
    <w:p w14:paraId="5670A93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（6）联合体中标后，联合体各方应当共同与采购人签订合同，就中标项目向采购人承担连带责任；</w:t>
      </w:r>
    </w:p>
    <w:p w14:paraId="3A5D49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713348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（8）本通用条款中“投标人”一词亦指联合体各方，专用条款另有规定或说明的除外。</w:t>
      </w:r>
    </w:p>
    <w:p w14:paraId="7E7B8E1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6．政策导向</w:t>
      </w:r>
    </w:p>
    <w:p w14:paraId="75BD63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6.1政府采购扶持贫困地区、中小企业、监狱企业和残疾人福利性单位发展，支持节能减排、环境保护。</w:t>
      </w:r>
    </w:p>
    <w:p w14:paraId="2848B251">
      <w:pPr>
        <w:spacing w:line="360" w:lineRule="auto"/>
        <w:ind w:firstLine="405"/>
        <w:rPr>
          <w:rFonts w:asciiTheme="majorEastAsia" w:hAnsiTheme="majorEastAsia" w:eastAsiaTheme="majorEastAsia"/>
          <w:szCs w:val="21"/>
          <w:shd w:val="clear" w:color="auto" w:fill="FFFFFF"/>
        </w:rPr>
      </w:pPr>
      <w:r>
        <w:rPr>
          <w:rFonts w:hint="eastAsia" w:asciiTheme="majorEastAsia" w:hAnsiTheme="majorEastAsia" w:eastAsiaTheme="majorEastAsia"/>
          <w:szCs w:val="21"/>
        </w:rPr>
        <w:t>6.2本项目落实深圳市政府采购供应商诚信管理政策要求。</w:t>
      </w:r>
    </w:p>
    <w:p w14:paraId="76749E7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7. 本项目若涉及采购货物，则合格的货物及相应服务应满足以下要求：</w:t>
      </w:r>
    </w:p>
    <w:p w14:paraId="61D9AE9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 xml:space="preserve">.1  </w:t>
      </w:r>
      <w:r>
        <w:rPr>
          <w:rFonts w:hint="eastAsia" w:asciiTheme="majorEastAsia" w:hAnsiTheme="majorEastAsia" w:eastAsiaTheme="majorEastAsia"/>
          <w:szCs w:val="21"/>
        </w:rPr>
        <w:t>必须是全新、未使用过的原装合格正品（包括零部件），如安装或配置了软件的，须为正版软件。</w:t>
      </w:r>
    </w:p>
    <w:p w14:paraId="671FFDE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7.2  国产的货物及其有关服务必须符合中华人民共和国的设计、制造生产标准及行业标准。招标公告有其他要求的，亦应符合其要求。</w:t>
      </w:r>
    </w:p>
    <w:p w14:paraId="0A7477A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3AC4A3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4投标人</w:t>
      </w:r>
      <w:bookmarkStart w:id="30" w:name="_Hlk72152753"/>
      <w:r>
        <w:rPr>
          <w:rFonts w:hint="eastAsia" w:asciiTheme="majorEastAsia" w:hAnsiTheme="majorEastAsia" w:eastAsiaTheme="majorEastAsia"/>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30"/>
    </w:p>
    <w:p w14:paraId="5EA243C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7671A0B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7.6  工期要求：投标人在投标时对其所投项目应提交交货进度、交货计划等，在合同规定的时间内完成项目实施工作。</w:t>
      </w:r>
    </w:p>
    <w:p w14:paraId="1BCFF78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7.7  投标人必须承担的设备运输、安装调试、验收检测和提供设备操作说明书、图纸等其他相关及类似的义务。</w:t>
      </w:r>
    </w:p>
    <w:p w14:paraId="7F48BE6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8．投标费用</w:t>
      </w:r>
    </w:p>
    <w:p w14:paraId="010FCC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不论投标结果如何，投标人应承担其编制投标文件与递交投标文件所涉及的一切费用。</w:t>
      </w:r>
    </w:p>
    <w:p w14:paraId="76B96779">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9．踏勘现场</w:t>
      </w:r>
    </w:p>
    <w:p w14:paraId="6DB56E1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6DDACC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9.2投标人及其人员经过采购人的允许，可以进入采购人的项目现场踏勘。若招标文件要求投标人于统一时间地点踏勘现场的，投标人应当按时前往。</w:t>
      </w:r>
    </w:p>
    <w:p w14:paraId="58B654E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9.3采购人应当通过采购代理机构向投标人提供有关现场的书面资料和数据。</w:t>
      </w:r>
    </w:p>
    <w:p w14:paraId="78A4C82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9.4任何人或任何组织在踏勘现场时向投标人提供的任何书面资料或口头承诺，未经采购代理机构在网上发布或书面通知，均作无效处理。</w:t>
      </w:r>
    </w:p>
    <w:p w14:paraId="483F754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9</w:t>
      </w:r>
      <w:r>
        <w:rPr>
          <w:rFonts w:hint="eastAsia" w:asciiTheme="majorEastAsia" w:hAnsiTheme="majorEastAsia" w:eastAsiaTheme="majorEastAsia"/>
          <w:szCs w:val="21"/>
        </w:rPr>
        <w:t>.</w:t>
      </w:r>
      <w:r>
        <w:rPr>
          <w:rFonts w:asciiTheme="majorEastAsia" w:hAnsiTheme="majorEastAsia" w:eastAsiaTheme="majorEastAsia"/>
          <w:szCs w:val="21"/>
        </w:rPr>
        <w:t>5</w:t>
      </w:r>
      <w:r>
        <w:rPr>
          <w:rFonts w:hint="eastAsia" w:asciiTheme="majorEastAsia" w:hAnsiTheme="majorEastAsia" w:eastAsiaTheme="majorEastAsia"/>
          <w:szCs w:val="21"/>
        </w:rPr>
        <w:t>未参与踏勘现场不作为否定投标人资格的理由。</w:t>
      </w:r>
    </w:p>
    <w:p w14:paraId="097819E5">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0</w:t>
      </w:r>
      <w:r>
        <w:rPr>
          <w:rFonts w:hint="eastAsia" w:asciiTheme="majorEastAsia" w:hAnsiTheme="majorEastAsia" w:eastAsiaTheme="majorEastAsia"/>
          <w:b/>
          <w:bCs/>
          <w:szCs w:val="21"/>
        </w:rPr>
        <w:t>．标前会议</w:t>
      </w:r>
    </w:p>
    <w:p w14:paraId="672630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57A2D3D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任何人或任何组织在标前会议时向投标人提供的任何书面资料或口头承诺，未经采购代理机构在网上发布或书面通知，均作无效处理。</w:t>
      </w:r>
    </w:p>
    <w:p w14:paraId="4A4BD0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3</w:t>
      </w:r>
      <w:r>
        <w:rPr>
          <w:rFonts w:hint="eastAsia" w:asciiTheme="majorEastAsia" w:hAnsiTheme="majorEastAsia" w:eastAsiaTheme="majorEastAsia"/>
          <w:szCs w:val="21"/>
        </w:rPr>
        <w:t>未参与标前会议不作为否定投标人资格的理由。</w:t>
      </w:r>
    </w:p>
    <w:bookmarkEnd w:id="29"/>
    <w:p w14:paraId="4F957864">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招标文件</w:t>
      </w:r>
    </w:p>
    <w:p w14:paraId="17E39CA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1</w:t>
      </w:r>
      <w:r>
        <w:rPr>
          <w:rFonts w:hint="eastAsia" w:asciiTheme="majorEastAsia" w:hAnsiTheme="majorEastAsia" w:eastAsiaTheme="majorEastAsia"/>
          <w:b/>
          <w:bCs/>
          <w:szCs w:val="21"/>
        </w:rPr>
        <w:t>．</w:t>
      </w:r>
      <w:bookmarkStart w:id="31" w:name="_Hlk72399819"/>
      <w:r>
        <w:rPr>
          <w:rFonts w:hint="eastAsia" w:asciiTheme="majorEastAsia" w:hAnsiTheme="majorEastAsia" w:eastAsiaTheme="majorEastAsia"/>
          <w:b/>
          <w:bCs/>
          <w:szCs w:val="21"/>
        </w:rPr>
        <w:t>招标文件的编制与组成</w:t>
      </w:r>
    </w:p>
    <w:p w14:paraId="181908F7">
      <w:pPr>
        <w:snapToGrid w:val="0"/>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.1招标文件除以下内容外，采购代理机构在招标期间发出的澄清或修改等相关公告或通知内容，均是招标文件的组成部分，对投标人起约束作用；</w:t>
      </w:r>
    </w:p>
    <w:p w14:paraId="78B18CB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招标文件包括下列内容：</w:t>
      </w:r>
    </w:p>
    <w:p w14:paraId="4C33CFA5">
      <w:pPr>
        <w:spacing w:line="360" w:lineRule="auto"/>
        <w:ind w:left="420" w:leftChars="200"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第一册  专用条款</w:t>
      </w:r>
    </w:p>
    <w:p w14:paraId="795D4521">
      <w:pPr>
        <w:spacing w:line="360" w:lineRule="auto"/>
        <w:ind w:left="1079" w:leftChars="514"/>
        <w:rPr>
          <w:rFonts w:asciiTheme="majorEastAsia" w:hAnsiTheme="majorEastAsia" w:eastAsiaTheme="majorEastAsia"/>
          <w:b/>
          <w:szCs w:val="21"/>
        </w:rPr>
      </w:pPr>
      <w:r>
        <w:rPr>
          <w:rFonts w:hint="eastAsia" w:asciiTheme="majorEastAsia" w:hAnsiTheme="majorEastAsia" w:eastAsiaTheme="majorEastAsia"/>
          <w:b/>
          <w:szCs w:val="21"/>
        </w:rPr>
        <w:t>关键信息</w:t>
      </w:r>
    </w:p>
    <w:p w14:paraId="4EAFBF8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招标公告</w:t>
      </w:r>
    </w:p>
    <w:p w14:paraId="2AB3AE87">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对通用条款的补充内容及其他关键信息</w:t>
      </w:r>
    </w:p>
    <w:p w14:paraId="251C5FD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用户需求书</w:t>
      </w:r>
    </w:p>
    <w:p w14:paraId="2101808D">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投标文件格式及附件</w:t>
      </w:r>
    </w:p>
    <w:p w14:paraId="65D6AE5E">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合同条款及格式</w:t>
      </w:r>
    </w:p>
    <w:p w14:paraId="051B2583">
      <w:pPr>
        <w:spacing w:line="360" w:lineRule="auto"/>
        <w:ind w:left="420" w:leftChars="200" w:firstLine="413" w:firstLineChars="196"/>
        <w:outlineLvl w:val="0"/>
        <w:rPr>
          <w:rFonts w:asciiTheme="majorEastAsia" w:hAnsiTheme="majorEastAsia" w:eastAsiaTheme="majorEastAsia"/>
          <w:b/>
          <w:szCs w:val="21"/>
        </w:rPr>
      </w:pPr>
      <w:r>
        <w:rPr>
          <w:rFonts w:hint="eastAsia" w:asciiTheme="majorEastAsia" w:hAnsiTheme="majorEastAsia" w:eastAsiaTheme="majorEastAsia"/>
          <w:b/>
          <w:szCs w:val="21"/>
        </w:rPr>
        <w:t>第二册  通用条款</w:t>
      </w:r>
    </w:p>
    <w:p w14:paraId="61F61BE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总则</w:t>
      </w:r>
    </w:p>
    <w:p w14:paraId="12CFB6A9">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招标文件</w:t>
      </w:r>
    </w:p>
    <w:p w14:paraId="1CFB19E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投标文件的编制</w:t>
      </w:r>
    </w:p>
    <w:p w14:paraId="6FA276A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投标文件的递交</w:t>
      </w:r>
    </w:p>
    <w:p w14:paraId="72DAEA2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开标</w:t>
      </w:r>
    </w:p>
    <w:p w14:paraId="103125D1">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第六章  评审要求</w:t>
      </w:r>
    </w:p>
    <w:p w14:paraId="6988638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第七章  评审程序及评审方法</w:t>
      </w:r>
    </w:p>
    <w:p w14:paraId="71EFD6D8">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第八章  定标及公示</w:t>
      </w:r>
    </w:p>
    <w:p w14:paraId="04242E3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第九章  公开招标失败的后续处理</w:t>
      </w:r>
    </w:p>
    <w:p w14:paraId="4EE3480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第十章  合同的授予与备案</w:t>
      </w:r>
    </w:p>
    <w:p w14:paraId="7ED647DA">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第十一章  质疑处理</w:t>
      </w:r>
    </w:p>
    <w:p w14:paraId="6E9090F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173A66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6270E4B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2</w:t>
      </w:r>
      <w:r>
        <w:rPr>
          <w:rFonts w:hint="eastAsia" w:asciiTheme="majorEastAsia" w:hAnsiTheme="majorEastAsia" w:eastAsiaTheme="majorEastAsia"/>
          <w:b/>
          <w:bCs/>
          <w:szCs w:val="21"/>
        </w:rPr>
        <w:t>．招标文件的澄清</w:t>
      </w:r>
    </w:p>
    <w:p w14:paraId="43DE9E4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.1招标文件澄清的目的是澄清、解答投标人在查阅招标文件后或现场踏勘中可能提出的与投标有关的疑问或询问。</w:t>
      </w:r>
    </w:p>
    <w:p w14:paraId="24F75E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.2投标人如对招标文件内容有疑问，应当在招标公告规定的澄清（提问）截止时间前以网上提问的形式通过网上政府采购系统提交采购代理机构。</w:t>
      </w:r>
    </w:p>
    <w:p w14:paraId="06F657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Theme="majorEastAsia" w:hAnsiTheme="majorEastAsia" w:eastAsiaTheme="majorEastAsia"/>
          <w:szCs w:val="21"/>
        </w:rPr>
        <w:t>3.3</w:t>
      </w:r>
      <w:r>
        <w:rPr>
          <w:rFonts w:hint="eastAsia" w:asciiTheme="majorEastAsia" w:hAnsiTheme="majorEastAsia" w:eastAsiaTheme="majorEastAsia"/>
          <w:szCs w:val="21"/>
        </w:rPr>
        <w:t>、1</w:t>
      </w:r>
      <w:r>
        <w:rPr>
          <w:rFonts w:asciiTheme="majorEastAsia" w:hAnsiTheme="majorEastAsia" w:eastAsiaTheme="majorEastAsia"/>
          <w:szCs w:val="21"/>
        </w:rPr>
        <w:t>3.4</w:t>
      </w:r>
      <w:r>
        <w:rPr>
          <w:rFonts w:hint="eastAsia" w:asciiTheme="majorEastAsia" w:hAnsiTheme="majorEastAsia" w:eastAsiaTheme="majorEastAsia"/>
          <w:szCs w:val="21"/>
        </w:rPr>
        <w:t>款规定执行。</w:t>
      </w:r>
    </w:p>
    <w:p w14:paraId="351687F8">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w:t>
      </w:r>
      <w:r>
        <w:rPr>
          <w:rFonts w:hint="eastAsia" w:asciiTheme="majorEastAsia" w:hAnsiTheme="majorEastAsia" w:eastAsiaTheme="majorEastAsia"/>
          <w:b/>
          <w:bCs/>
          <w:szCs w:val="21"/>
        </w:rPr>
        <w:t>3．招标文件的修改</w:t>
      </w:r>
    </w:p>
    <w:p w14:paraId="3E708B0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3.1招标文件发出后，在投标截止日期前任何时候，确需要变更招标文件内容的，采购代理机构可主动或在解答投标人提出的澄清问题时对招标文件进行修改。</w:t>
      </w:r>
    </w:p>
    <w:p w14:paraId="709ADEB0">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3.2招标文件的修改以书面形式（包括采购代理机构网站发布方式，如更正公告等）发送给所有投标人，招标文件的修改内容作为招标文件的组成部分，并具有约束力。</w:t>
      </w:r>
    </w:p>
    <w:p w14:paraId="79915C8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3EE5E54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1"/>
    </w:p>
    <w:p w14:paraId="1009A40E">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投标文件的编制</w:t>
      </w:r>
    </w:p>
    <w:p w14:paraId="27500CA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14．</w:t>
      </w:r>
      <w:bookmarkStart w:id="32" w:name="_Hlk72400236"/>
      <w:r>
        <w:rPr>
          <w:rFonts w:hint="eastAsia" w:asciiTheme="majorEastAsia" w:hAnsiTheme="majorEastAsia" w:eastAsiaTheme="majorEastAsia"/>
          <w:b/>
          <w:bCs/>
          <w:szCs w:val="21"/>
        </w:rPr>
        <w:t>投标文件的语言及度量单位</w:t>
      </w:r>
    </w:p>
    <w:p w14:paraId="7B6C057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595B48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14.2 除技术规范另有规定外，投标文件使用的度量单位，均采用中华人民共和国法定计量单位。</w:t>
      </w:r>
    </w:p>
    <w:bookmarkEnd w:id="32"/>
    <w:p w14:paraId="62738F2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15．</w:t>
      </w:r>
      <w:bookmarkStart w:id="33" w:name="_Hlk72401567"/>
      <w:r>
        <w:rPr>
          <w:rFonts w:hint="eastAsia" w:asciiTheme="majorEastAsia" w:hAnsiTheme="majorEastAsia" w:eastAsiaTheme="majorEastAsia"/>
          <w:b/>
          <w:bCs/>
          <w:szCs w:val="21"/>
        </w:rPr>
        <w:t>投标文件的组成</w:t>
      </w:r>
    </w:p>
    <w:p w14:paraId="36702CD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具体内容在招标文件专用条款中进行规定。</w:t>
      </w:r>
    </w:p>
    <w:p w14:paraId="7BE7A1BC">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16．投标文件格式</w:t>
      </w:r>
    </w:p>
    <w:p w14:paraId="08FF9F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投标文件包括本通用条款第</w:t>
      </w:r>
      <w:r>
        <w:rPr>
          <w:rFonts w:asciiTheme="majorEastAsia" w:hAnsiTheme="majorEastAsia" w:eastAsiaTheme="majorEastAsia"/>
          <w:szCs w:val="21"/>
        </w:rPr>
        <w:t>15条中规定的内容。如招标文件提供了投标文件格式，则</w:t>
      </w:r>
      <w:r>
        <w:rPr>
          <w:rFonts w:hint="eastAsia" w:asciiTheme="majorEastAsia" w:hAnsiTheme="majorEastAsia" w:eastAsiaTheme="majorEastAsia"/>
          <w:b/>
          <w:bCs/>
          <w:szCs w:val="21"/>
        </w:rPr>
        <w:t>投标人提交的投标文件应使用招标文件所提供的相应格式</w:t>
      </w:r>
      <w:r>
        <w:rPr>
          <w:rFonts w:hint="eastAsia" w:asciiTheme="majorEastAsia" w:hAnsiTheme="majorEastAsia" w:eastAsiaTheme="majorEastAsia"/>
          <w:szCs w:val="21"/>
        </w:rPr>
        <w:t>（表格均可按同样格式扩展）。</w:t>
      </w:r>
    </w:p>
    <w:p w14:paraId="613A081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17．投标货币</w:t>
      </w:r>
    </w:p>
    <w:p w14:paraId="44CD07C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本项目的投标报价应以人民币计。</w:t>
      </w:r>
    </w:p>
    <w:bookmarkEnd w:id="33"/>
    <w:p w14:paraId="5A3A0E7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18．</w:t>
      </w:r>
      <w:bookmarkStart w:id="34" w:name="_Hlk72401735"/>
      <w:r>
        <w:rPr>
          <w:rFonts w:hint="eastAsia" w:asciiTheme="majorEastAsia" w:hAnsiTheme="majorEastAsia" w:eastAsiaTheme="majorEastAsia"/>
          <w:b/>
          <w:bCs/>
          <w:szCs w:val="21"/>
        </w:rPr>
        <w:t>证明投标文件投标技术方案的合格性和符合招标文件规定的文件要求</w:t>
      </w:r>
    </w:p>
    <w:p w14:paraId="266E162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w:t>
      </w:r>
      <w:r>
        <w:rPr>
          <w:rFonts w:asciiTheme="majorEastAsia" w:hAnsiTheme="majorEastAsia" w:eastAsiaTheme="majorEastAsia"/>
          <w:szCs w:val="21"/>
        </w:rPr>
        <w:t xml:space="preserve">.1 </w:t>
      </w:r>
      <w:r>
        <w:rPr>
          <w:rFonts w:hint="eastAsia" w:asciiTheme="majorEastAsia" w:hAnsiTheme="majorEastAsia" w:eastAsiaTheme="majorEastAsia"/>
          <w:szCs w:val="21"/>
        </w:rPr>
        <w:t>投标人应提交证明文件，证明其投标技术方案项下的货物和服务的合格性符合招标文件规定。该投标技术方案及其证明文件均作为投标文件组成部分。</w:t>
      </w:r>
    </w:p>
    <w:p w14:paraId="2CC8D10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 xml:space="preserve">.2 </w:t>
      </w:r>
      <w:r>
        <w:rPr>
          <w:rFonts w:hint="eastAsia" w:asciiTheme="majorEastAsia" w:hAnsiTheme="majorEastAsia" w:eastAsiaTheme="major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3849B0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18.2.1主要技术指标和性能的详细说明。</w:t>
      </w:r>
    </w:p>
    <w:p w14:paraId="34FA33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2</w:t>
      </w:r>
      <w:r>
        <w:rPr>
          <w:rFonts w:hint="eastAsia" w:asciiTheme="majorEastAsia" w:hAnsiTheme="majorEastAsia" w:eastAsiaTheme="majorEastAsia"/>
          <w:szCs w:val="21"/>
        </w:rPr>
        <w:t>投标产品从采购人开始使用至招标文件中规定的周期内正常、连续地使用所必须的备件和专用工具清单，包括备件和专用工具的货源及现行价格。</w:t>
      </w:r>
    </w:p>
    <w:p w14:paraId="2A66D2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3</w:t>
      </w:r>
      <w:r>
        <w:rPr>
          <w:rFonts w:hint="eastAsia" w:asciiTheme="majorEastAsia" w:hAnsiTheme="majorEastAsia" w:eastAsiaTheme="majorEastAsia"/>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0B244B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4F8505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35BA7CB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18.3相关资料不符合18.2款要求的，评审委员会有权认定为投标技术方案不合格响应，其相关分数予以扣减或作投标无效处理。</w:t>
      </w:r>
    </w:p>
    <w:p w14:paraId="6E8F299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648473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18.5除非另有规定或说明，投标人对同一项目投标时，不得同时提供两套或两套以上的投标方案。</w:t>
      </w:r>
    </w:p>
    <w:bookmarkEnd w:id="34"/>
    <w:p w14:paraId="3C8928A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19．</w:t>
      </w:r>
      <w:bookmarkStart w:id="35" w:name="_Hlk72402034"/>
      <w:r>
        <w:rPr>
          <w:rFonts w:hint="eastAsia" w:asciiTheme="majorEastAsia" w:hAnsiTheme="majorEastAsia" w:eastAsiaTheme="majorEastAsia"/>
          <w:b/>
          <w:bCs/>
          <w:szCs w:val="21"/>
        </w:rPr>
        <w:t>投标文件其他证明文件的要求</w:t>
      </w:r>
    </w:p>
    <w:p w14:paraId="7596A47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6" w:name="_Hlk71407299"/>
    </w:p>
    <w:bookmarkEnd w:id="36"/>
    <w:p w14:paraId="404792A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115DAAB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20．投标有效期</w:t>
      </w:r>
    </w:p>
    <w:bookmarkEnd w:id="35"/>
    <w:p w14:paraId="5BB8D7BE">
      <w:pPr>
        <w:spacing w:line="360" w:lineRule="auto"/>
        <w:ind w:firstLine="411" w:firstLineChars="196"/>
        <w:rPr>
          <w:rFonts w:asciiTheme="majorEastAsia" w:hAnsiTheme="majorEastAsia" w:eastAsiaTheme="majorEastAsia"/>
          <w:szCs w:val="21"/>
        </w:rPr>
      </w:pPr>
      <w:bookmarkStart w:id="37" w:name="_Hlk72402214"/>
      <w:r>
        <w:rPr>
          <w:rFonts w:hint="eastAsia" w:asciiTheme="majorEastAsia" w:hAnsiTheme="majorEastAsia" w:eastAsiaTheme="majorEastAsia"/>
          <w:szCs w:val="21"/>
        </w:rPr>
        <w:t>20.1 投标有效期为</w:t>
      </w:r>
      <w:r>
        <w:rPr>
          <w:rFonts w:hint="eastAsia" w:cs="Arial" w:asciiTheme="majorEastAsia" w:hAnsiTheme="majorEastAsia" w:eastAsiaTheme="majorEastAsia"/>
          <w:szCs w:val="21"/>
        </w:rPr>
        <w:t>从投标截止之日算起的日历天数。</w:t>
      </w:r>
      <w:r>
        <w:rPr>
          <w:rFonts w:hint="eastAsia" w:asciiTheme="majorEastAsia" w:hAnsiTheme="majorEastAsia" w:eastAsiaTheme="majorEastAsia"/>
          <w:szCs w:val="21"/>
        </w:rPr>
        <w:t>在此期限内，所有投标文件均保持有效。</w:t>
      </w:r>
    </w:p>
    <w:p w14:paraId="0BCE97C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5D8E4A8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.3</w:t>
      </w:r>
      <w:r>
        <w:rPr>
          <w:rFonts w:hint="eastAsia" w:asciiTheme="majorEastAsia" w:hAnsiTheme="majorEastAsia" w:eastAsiaTheme="majorEastAsia"/>
          <w:szCs w:val="21"/>
        </w:rPr>
        <w:t xml:space="preserve"> 中标供应商的投标文件有效期，截止于完成本招标文件规定的全部项目内容，并通过竣工验收及保修期结束。</w:t>
      </w:r>
    </w:p>
    <w:bookmarkEnd w:id="37"/>
    <w:p w14:paraId="23213E4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21．</w:t>
      </w:r>
      <w:bookmarkStart w:id="38" w:name="_Hlk72402325"/>
      <w:r>
        <w:rPr>
          <w:rFonts w:hint="eastAsia" w:asciiTheme="majorEastAsia" w:hAnsiTheme="majorEastAsia" w:eastAsiaTheme="majorEastAsia"/>
          <w:szCs w:val="21"/>
        </w:rPr>
        <w:t xml:space="preserve">关于投标保证金 </w:t>
      </w:r>
    </w:p>
    <w:p w14:paraId="5E265D1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21.1 根据《</w:t>
      </w:r>
      <w:r>
        <w:rPr>
          <w:rFonts w:asciiTheme="majorEastAsia" w:hAnsiTheme="majorEastAsia" w:eastAsiaTheme="majorEastAsia"/>
          <w:szCs w:val="21"/>
        </w:rPr>
        <w:t>深圳市财政局关于明确政府采购保证金管理工作的通知</w:t>
      </w:r>
      <w:r>
        <w:rPr>
          <w:rFonts w:hint="eastAsia" w:asciiTheme="majorEastAsia" w:hAnsiTheme="majorEastAsia" w:eastAsiaTheme="majorEastAsia"/>
          <w:szCs w:val="21"/>
        </w:rPr>
        <w:t>》（深财购[</w:t>
      </w:r>
      <w:r>
        <w:rPr>
          <w:rFonts w:asciiTheme="majorEastAsia" w:hAnsiTheme="majorEastAsia" w:eastAsiaTheme="majorEastAsia"/>
          <w:szCs w:val="21"/>
        </w:rPr>
        <w:t>2019]42</w:t>
      </w:r>
      <w:r>
        <w:rPr>
          <w:rFonts w:hint="eastAsia" w:asciiTheme="majorEastAsia" w:hAnsiTheme="majorEastAsia" w:eastAsiaTheme="majorEastAsia"/>
          <w:szCs w:val="21"/>
        </w:rPr>
        <w:t>号）文的规定，本项目不收取投标保证金。</w:t>
      </w:r>
    </w:p>
    <w:p w14:paraId="085C088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22．投标人的替代方案</w:t>
      </w:r>
    </w:p>
    <w:p w14:paraId="21AFC2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294A3C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38"/>
    <w:p w14:paraId="3BCA160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23．</w:t>
      </w:r>
      <w:bookmarkStart w:id="39" w:name="_Hlk72402860"/>
      <w:r>
        <w:rPr>
          <w:rFonts w:asciiTheme="majorEastAsia" w:hAnsiTheme="majorEastAsia" w:eastAsiaTheme="majorEastAsia"/>
          <w:b/>
          <w:bCs/>
          <w:szCs w:val="21"/>
        </w:rPr>
        <w:t>投标文件的</w:t>
      </w:r>
      <w:r>
        <w:rPr>
          <w:rFonts w:hint="eastAsia" w:asciiTheme="majorEastAsia" w:hAnsiTheme="majorEastAsia" w:eastAsiaTheme="majorEastAsia"/>
          <w:b/>
          <w:bCs/>
          <w:szCs w:val="21"/>
        </w:rPr>
        <w:t>制作</w:t>
      </w:r>
      <w:r>
        <w:rPr>
          <w:rFonts w:asciiTheme="majorEastAsia" w:hAnsiTheme="majorEastAsia" w:eastAsiaTheme="majorEastAsia"/>
          <w:b/>
          <w:bCs/>
          <w:szCs w:val="21"/>
        </w:rPr>
        <w:t>要求</w:t>
      </w:r>
    </w:p>
    <w:p w14:paraId="2AD95E4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w:t>
      </w:r>
    </w:p>
    <w:p w14:paraId="2F2A47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23.2投标人在使用《投标文件制作软件》编制投标书时须注意：</w:t>
      </w:r>
    </w:p>
    <w:p w14:paraId="14861C9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23.2.1导入《投标文件制作软件》的招标文件项目编号、包号应与以此制作的投标文件项目编号、包号一致。例如，不能将甲项目A包的招标书导入《投标文件制作软件》，制作乙项目B包的投标书。</w:t>
      </w:r>
    </w:p>
    <w:p w14:paraId="3C6222F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23.2.2不能用非本公司的电子密钥加密本公司的投标文件，或者用其它公司的登录用户上传本公司的投标文件。</w:t>
      </w:r>
    </w:p>
    <w:p w14:paraId="27E5ACE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23.2.3要求用《投标文件制作软件》编制投标书的包，不能用其它方式编制投标书。编制投标文件时，电脑须连通互联网。</w:t>
      </w:r>
    </w:p>
    <w:p w14:paraId="12F68E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23.2.4投标文件不能带病毒。采购代理机构将用专业杀毒软件对投标文件进行病毒检测，如果这两种软件均报告发现病毒，则采购代理机构认为该投标文件带病毒。</w:t>
      </w:r>
    </w:p>
    <w:p w14:paraId="1AF20B3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23.2.5完整填写“投标关键信息”，如下图所示：</w:t>
      </w:r>
    </w:p>
    <w:p w14:paraId="38FFC1DF">
      <w:pPr>
        <w:tabs>
          <w:tab w:val="left" w:pos="0"/>
        </w:tabs>
        <w:spacing w:line="360" w:lineRule="auto"/>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8"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4BCB144B">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备注：上述“开标一览表”中的“投标总价”将作为价格分计算依据；其它信息仅是对投标文件相关内容的概括性表述，不作为评审依据。</w:t>
      </w:r>
    </w:p>
    <w:p w14:paraId="0B582A7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23.2.6投标人在编辑投标文件时，</w:t>
      </w:r>
      <w:r>
        <w:rPr>
          <w:rFonts w:hint="eastAsia" w:asciiTheme="majorEastAsia" w:hAnsiTheme="majorEastAsia" w:eastAsiaTheme="majorEastAsia"/>
          <w:b/>
          <w:szCs w:val="21"/>
        </w:rPr>
        <w:t>在投标文件目录中属于本节点内容的必须在本节点中填写，填写到其他节点或附件，</w:t>
      </w:r>
      <w:r>
        <w:rPr>
          <w:rFonts w:hint="eastAsia" w:asciiTheme="majorEastAsia" w:hAnsiTheme="majorEastAsia" w:eastAsiaTheme="majorEastAsia"/>
          <w:szCs w:val="21"/>
        </w:rPr>
        <w:t>一切后果由供应商自行承担。</w:t>
      </w:r>
    </w:p>
    <w:p w14:paraId="7B29406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23.2.7投标文件编写完成后，</w:t>
      </w:r>
      <w:r>
        <w:rPr>
          <w:rFonts w:hint="eastAsia" w:asciiTheme="majorEastAsia" w:hAnsiTheme="majorEastAsia" w:eastAsiaTheme="majorEastAsia"/>
          <w:b/>
          <w:szCs w:val="21"/>
        </w:rPr>
        <w:t>必须用属于投标人的电子密钥进行加密，否则视同未盖公章，将导致投标文件无效。</w:t>
      </w:r>
    </w:p>
    <w:p w14:paraId="6FEDC21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226CEFA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23.2.9如果开标时出现网络故障、技术故障，影响了政府采购活动，采购代理机构有权采取措施如延期、接受无法从网上上传的投标书等，以保障政府采购活动的公开、公平和公正。</w:t>
      </w:r>
    </w:p>
    <w:p w14:paraId="3B3A2B7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23.3电报、电话、传真形式的投标概不接受。</w:t>
      </w:r>
    </w:p>
    <w:p w14:paraId="762866A0">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23.4经投标人电子密钥加密的投标文件无须盖章或签字，</w:t>
      </w:r>
      <w:r>
        <w:rPr>
          <w:rFonts w:hint="eastAsia" w:asciiTheme="majorEastAsia" w:hAnsiTheme="majorEastAsia" w:eastAsiaTheme="majorEastAsia"/>
          <w:szCs w:val="21"/>
        </w:rPr>
        <w:t>专用条款另有要求的除外。</w:t>
      </w:r>
    </w:p>
    <w:p w14:paraId="6D0E5046">
      <w:pPr>
        <w:spacing w:line="360" w:lineRule="auto"/>
        <w:ind w:firstLine="413" w:firstLineChars="196"/>
        <w:rPr>
          <w:rFonts w:asciiTheme="majorEastAsia" w:hAnsiTheme="majorEastAsia" w:eastAsiaTheme="majorEastAsia"/>
          <w:szCs w:val="21"/>
        </w:rPr>
      </w:pPr>
      <w:r>
        <w:rPr>
          <w:rFonts w:hint="eastAsia" w:asciiTheme="majorEastAsia" w:hAnsiTheme="majorEastAsia" w:eastAsiaTheme="majorEastAsia"/>
          <w:b/>
          <w:szCs w:val="21"/>
        </w:rPr>
        <w:t>23.5</w:t>
      </w:r>
      <w:r>
        <w:rPr>
          <w:rFonts w:hint="eastAsia" w:asciiTheme="majorEastAsia" w:hAnsiTheme="majorEastAsia" w:eastAsiaTheme="majorEastAsia"/>
          <w:szCs w:val="21"/>
        </w:rPr>
        <w:t xml:space="preserve"> 各类资格（资质）文件提供扫描件，专用条款另有要求的除外。</w:t>
      </w:r>
      <w:bookmarkEnd w:id="39"/>
    </w:p>
    <w:p w14:paraId="3727EF68">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投标文件的递交</w:t>
      </w:r>
      <w:bookmarkStart w:id="40" w:name="_Hlk72405459"/>
    </w:p>
    <w:p w14:paraId="1D71F9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24．投标书的保密</w:t>
      </w:r>
    </w:p>
    <w:p w14:paraId="624CF72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3D8E052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9"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04B0A3C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在投标文件制作软件点击【生成标书】按钮进入【填写开标一览表界面】界面，在该界面填写完开标一览表信息后点击【确定】，进入投标文件生成环节。</w:t>
      </w:r>
      <w:r>
        <w:rPr>
          <w:rFonts w:asciiTheme="majorEastAsia" w:hAnsiTheme="majorEastAsia" w:eastAsiaTheme="majorEastAsia"/>
          <w:szCs w:val="21"/>
        </w:rPr>
        <w:drawing>
          <wp:inline distT="0" distB="0" distL="0" distR="0">
            <wp:extent cx="5278755" cy="2732405"/>
            <wp:effectExtent l="0" t="0" r="0" b="0"/>
            <wp:docPr id="12"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图形用户界面&#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8554BD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投标文件制作软件会在投标文件生成过程中，提示用户输入密码，输入密码后对标文件自动进行加密。</w:t>
      </w:r>
    </w:p>
    <w:p w14:paraId="48B8E180">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24.2若采购项目出现延期情况：</w:t>
      </w:r>
    </w:p>
    <w:p w14:paraId="548BA4F9">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）有更新，投标人必须重新下载招标文件、重新制作投标文件、重新加密投标文件、重新上传投标文件；如果供下载的招标文件（后缀名为.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）没有更新，投标人必须重新加密投标文件、重新上传投标文件（是否重新制作投标文件根据项目实际情况定）。否则，投标人自行承担投标文件无法解密导致投标无效的后果。</w:t>
      </w:r>
    </w:p>
    <w:p w14:paraId="07CC2C8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25．上传投标文件及投标截止日期</w:t>
      </w:r>
    </w:p>
    <w:p w14:paraId="6023C7F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1实行网上投标，</w:t>
      </w:r>
      <w:r>
        <w:rPr>
          <w:rFonts w:asciiTheme="majorEastAsia" w:hAnsiTheme="majorEastAsia" w:eastAsiaTheme="majorEastAsia"/>
          <w:szCs w:val="21"/>
        </w:rPr>
        <w:t>投标人必须</w:t>
      </w:r>
      <w:r>
        <w:rPr>
          <w:rFonts w:hint="eastAsia" w:asciiTheme="majorEastAsia" w:hAnsiTheme="majorEastAsia" w:eastAsiaTheme="majorEastAsia"/>
          <w:szCs w:val="21"/>
        </w:rPr>
        <w:t>在招标</w:t>
      </w:r>
      <w:r>
        <w:rPr>
          <w:rFonts w:asciiTheme="majorEastAsia" w:hAnsiTheme="majorEastAsia" w:eastAsiaTheme="majorEastAsia"/>
          <w:szCs w:val="21"/>
        </w:rPr>
        <w:t>文件规定的投标截止时间前</w:t>
      </w:r>
      <w:r>
        <w:rPr>
          <w:rFonts w:hint="eastAsia" w:asciiTheme="majorEastAsia" w:hAnsiTheme="majorEastAsia" w:eastAsiaTheme="majorEastAsia"/>
          <w:szCs w:val="21"/>
        </w:rPr>
        <w:t>用电子密钥登录“深圳政府采购智慧平台用户网上办事子系统（http://zfcg.szggzy.com/TPBidder/memberLogin）”，用“【我的项目】→【项目流程】→【递交投标(应答)文件】”功能点上传投标文件。</w:t>
      </w:r>
    </w:p>
    <w:p w14:paraId="7C28008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341ED83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3投标截止时间以后不得上传投标文件。</w:t>
      </w:r>
    </w:p>
    <w:p w14:paraId="293E024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40"/>
    <w:p w14:paraId="39BBE85F">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26. 样品、现场演示、方案讲解</w:t>
      </w:r>
    </w:p>
    <w:p w14:paraId="1CDF15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26.1 样品、现场演示、方案讲解等事项在招标文件专用条款中进行规定。</w:t>
      </w:r>
    </w:p>
    <w:p w14:paraId="3E0B048C">
      <w:pPr>
        <w:spacing w:line="360" w:lineRule="auto"/>
        <w:rPr>
          <w:rFonts w:asciiTheme="majorEastAsia" w:hAnsiTheme="majorEastAsia" w:eastAsiaTheme="majorEastAsia"/>
          <w:b/>
          <w:bCs/>
          <w:szCs w:val="21"/>
        </w:rPr>
      </w:pPr>
      <w:bookmarkStart w:id="41" w:name="_Hlk72428346"/>
      <w:r>
        <w:rPr>
          <w:rFonts w:asciiTheme="majorEastAsia" w:hAnsiTheme="majorEastAsia" w:eastAsiaTheme="majorEastAsia"/>
          <w:b/>
          <w:bCs/>
          <w:szCs w:val="21"/>
        </w:rPr>
        <w:t>2</w:t>
      </w:r>
      <w:r>
        <w:rPr>
          <w:rFonts w:hint="eastAsia" w:asciiTheme="majorEastAsia" w:hAnsiTheme="majorEastAsia" w:eastAsiaTheme="majorEastAsia"/>
          <w:b/>
          <w:bCs/>
          <w:szCs w:val="21"/>
        </w:rPr>
        <w:t>7．</w:t>
      </w:r>
      <w:r>
        <w:rPr>
          <w:rFonts w:asciiTheme="majorEastAsia" w:hAnsiTheme="majorEastAsia" w:eastAsiaTheme="majorEastAsia"/>
          <w:b/>
          <w:bCs/>
          <w:szCs w:val="21"/>
        </w:rPr>
        <w:t>投标文件的修改和撤销</w:t>
      </w:r>
    </w:p>
    <w:p w14:paraId="388803B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1</w:t>
      </w:r>
      <w:r>
        <w:rPr>
          <w:rFonts w:asciiTheme="majorEastAsia" w:hAnsiTheme="majorEastAsia" w:eastAsiaTheme="majorEastAsia"/>
          <w:szCs w:val="21"/>
        </w:rPr>
        <w:t>投标方在提交投标文件后可对其投标文件进行修改</w:t>
      </w:r>
      <w:r>
        <w:rPr>
          <w:rFonts w:hint="eastAsia" w:asciiTheme="majorEastAsia" w:hAnsiTheme="majorEastAsia" w:eastAsiaTheme="majorEastAsia"/>
          <w:szCs w:val="21"/>
        </w:rPr>
        <w:t>并重新上传投标文件</w:t>
      </w:r>
      <w:r>
        <w:rPr>
          <w:rFonts w:asciiTheme="majorEastAsia" w:hAnsiTheme="majorEastAsia" w:eastAsiaTheme="majorEastAsia"/>
          <w:szCs w:val="21"/>
        </w:rPr>
        <w:t>或</w:t>
      </w:r>
      <w:r>
        <w:rPr>
          <w:rFonts w:hint="eastAsia" w:asciiTheme="majorEastAsia" w:hAnsiTheme="majorEastAsia" w:eastAsiaTheme="majorEastAsia"/>
          <w:szCs w:val="21"/>
        </w:rPr>
        <w:t>在网上进行</w:t>
      </w:r>
      <w:r>
        <w:rPr>
          <w:rFonts w:asciiTheme="majorEastAsia" w:hAnsiTheme="majorEastAsia" w:eastAsiaTheme="majorEastAsia"/>
          <w:szCs w:val="21"/>
        </w:rPr>
        <w:t>撤销</w:t>
      </w:r>
      <w:r>
        <w:rPr>
          <w:rFonts w:hint="eastAsia" w:asciiTheme="majorEastAsia" w:hAnsiTheme="majorEastAsia" w:eastAsiaTheme="majorEastAsia"/>
          <w:szCs w:val="21"/>
        </w:rPr>
        <w:t>投标的操作</w:t>
      </w:r>
      <w:r>
        <w:rPr>
          <w:rFonts w:asciiTheme="majorEastAsia" w:hAnsiTheme="majorEastAsia" w:eastAsiaTheme="majorEastAsia"/>
          <w:szCs w:val="21"/>
        </w:rPr>
        <w:t>。</w:t>
      </w:r>
    </w:p>
    <w:p w14:paraId="317DC6A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投标截止时间以后不得修改投标文件。</w:t>
      </w:r>
    </w:p>
    <w:p w14:paraId="5139E5CC">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3从投标截止期至投标人在投标文件中确定的投标有效期之间的这段时间内，投标人不得撤回其投标。</w:t>
      </w:r>
    </w:p>
    <w:p w14:paraId="3F62120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27.4采购代理机构不退还投标文件，专用条款另有规定的除外。</w:t>
      </w:r>
    </w:p>
    <w:bookmarkEnd w:id="41"/>
    <w:p w14:paraId="78D5BC31">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开标</w:t>
      </w:r>
    </w:p>
    <w:p w14:paraId="17802E3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28．开标</w:t>
      </w:r>
    </w:p>
    <w:p w14:paraId="3A3E7F09">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1投标人须在开标当日的开标时间至解密截止时间内进行解密，逾期未解密的作无效处理。解密方法：登录“深圳政府采购智慧平台用户网上办事子系统（</w:t>
      </w:r>
      <w:r>
        <w:rPr>
          <w:rFonts w:asciiTheme="majorEastAsia" w:hAnsiTheme="majorEastAsia" w:eastAsiaTheme="majorEastAsia"/>
          <w:szCs w:val="21"/>
        </w:rPr>
        <w:t>http://zfcg.szggzy.com/</w:t>
      </w:r>
      <w:r>
        <w:rPr>
          <w:rFonts w:hint="eastAsia" w:asciiTheme="majorEastAsia" w:hAnsiTheme="majorEastAsia" w:eastAsiaTheme="majorEastAsia"/>
          <w:szCs w:val="21"/>
        </w:rPr>
        <w:t>TPBidder/memberLogin）”，使用本单位制作电子投标文件同一个电子密钥，在“【我的项目】→【项目流程】→【开标及解密】”进行在线解密、查询开标情况。</w:t>
      </w:r>
    </w:p>
    <w:p w14:paraId="5A94C477">
      <w:pPr>
        <w:spacing w:line="360" w:lineRule="auto"/>
        <w:ind w:firstLine="359" w:firstLineChars="171"/>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szCs w:val="21"/>
        </w:rPr>
        <w:t xml:space="preserve">8.2 </w:t>
      </w:r>
      <w:r>
        <w:rPr>
          <w:rFonts w:hint="eastAsia" w:asciiTheme="majorEastAsia" w:hAnsiTheme="majorEastAsia" w:eastAsiaTheme="majorEastAsia"/>
          <w:szCs w:val="21"/>
        </w:rPr>
        <w:t>采购代理机构将在满足开标条件（</w:t>
      </w:r>
      <w:r>
        <w:rPr>
          <w:rFonts w:hint="eastAsia" w:cs="宋体" w:asciiTheme="majorEastAsia" w:hAnsiTheme="majorEastAsia" w:eastAsiaTheme="majorEastAsia"/>
          <w:color w:val="333333"/>
          <w:szCs w:val="21"/>
          <w:shd w:val="clear" w:color="auto" w:fill="FFFFFF"/>
        </w:rPr>
        <w:t>①</w:t>
      </w:r>
      <w:r>
        <w:rPr>
          <w:rFonts w:hint="eastAsia" w:asciiTheme="majorEastAsia" w:hAnsiTheme="majorEastAsia" w:eastAsiaTheme="majorEastAsia"/>
          <w:szCs w:val="21"/>
        </w:rPr>
        <w:t>解密时间结束，解密后的投标供应商数量满足开标要求或</w:t>
      </w:r>
      <w:r>
        <w:rPr>
          <w:rFonts w:hint="eastAsia" w:cs="宋体" w:asciiTheme="majorEastAsia" w:hAnsiTheme="majorEastAsia" w:eastAsiaTheme="majorEastAsia"/>
          <w:color w:val="333333"/>
          <w:szCs w:val="21"/>
          <w:shd w:val="clear" w:color="auto" w:fill="FFFFFF"/>
        </w:rPr>
        <w:t>②</w:t>
      </w:r>
      <w:r>
        <w:rPr>
          <w:rFonts w:hint="eastAsia" w:asciiTheme="majorEastAsia" w:hAnsiTheme="majorEastAsia" w:eastAsiaTheme="majorEastAsia"/>
          <w:szCs w:val="21"/>
        </w:rPr>
        <w:t>解密时间结束前所有投标供应商均完成投标文件解密）后，对投标文件进行开标，并在网上公布开标结果。</w:t>
      </w:r>
    </w:p>
    <w:p w14:paraId="6DA7F9BA">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评审要求</w:t>
      </w:r>
    </w:p>
    <w:p w14:paraId="26BBC07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29．评审委员会组成</w:t>
      </w:r>
    </w:p>
    <w:p w14:paraId="27D7CBF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29.1网上开标结束后召开评审会议，评审委员会由采购代理机构依法组建，负责评审活动。</w:t>
      </w:r>
    </w:p>
    <w:p w14:paraId="2F82B4CF">
      <w:pPr>
        <w:spacing w:line="360" w:lineRule="auto"/>
        <w:ind w:firstLine="411" w:firstLineChars="196"/>
        <w:rPr>
          <w:rFonts w:asciiTheme="majorEastAsia" w:hAnsiTheme="majorEastAsia" w:eastAsiaTheme="majorEastAsia"/>
          <w:szCs w:val="21"/>
        </w:rPr>
      </w:pPr>
      <w:bookmarkStart w:id="42" w:name="_Hlk72436580"/>
      <w:r>
        <w:rPr>
          <w:rFonts w:hint="eastAsia" w:asciiTheme="majorEastAsia" w:hAnsiTheme="majorEastAsia" w:eastAsiaTheme="majorEastAsia"/>
          <w:szCs w:val="21"/>
        </w:rPr>
        <w:t>评审委员会由采购人代表和评审专家组成，成员人数应当为5人以上单数（部分条件下为7人以上单数），其中评审专家不得少于成员总数的三分之二。</w:t>
      </w:r>
      <w:bookmarkEnd w:id="42"/>
      <w:r>
        <w:rPr>
          <w:rFonts w:hint="eastAsia" w:asciiTheme="majorEastAsia" w:hAnsiTheme="majorEastAsia" w:eastAsiaTheme="majorEastAsia"/>
          <w:szCs w:val="21"/>
        </w:rPr>
        <w:t>评定分离项目</w:t>
      </w:r>
      <w:r>
        <w:rPr>
          <w:rFonts w:asciiTheme="majorEastAsia" w:hAnsiTheme="majorEastAsia" w:eastAsiaTheme="majorEastAsia"/>
          <w:szCs w:val="21"/>
        </w:rPr>
        <w:t>评审专家</w:t>
      </w:r>
      <w:r>
        <w:rPr>
          <w:rFonts w:hint="eastAsia" w:asciiTheme="majorEastAsia" w:hAnsiTheme="majorEastAsia" w:eastAsiaTheme="majorEastAsia"/>
          <w:szCs w:val="21"/>
        </w:rPr>
        <w:t>均</w:t>
      </w:r>
      <w:r>
        <w:rPr>
          <w:rFonts w:asciiTheme="majorEastAsia" w:hAnsiTheme="majorEastAsia" w:eastAsiaTheme="majorEastAsia"/>
          <w:szCs w:val="21"/>
        </w:rPr>
        <w:t>由</w:t>
      </w:r>
      <w:r>
        <w:rPr>
          <w:rFonts w:hint="eastAsia" w:asciiTheme="majorEastAsia" w:hAnsiTheme="majorEastAsia" w:eastAsiaTheme="majorEastAsia"/>
          <w:szCs w:val="21"/>
        </w:rPr>
        <w:t>评审专家组成。评审专家一般是从深圳市政府采购评审专家库中随机抽取。采购人代表须持本单位签发的《评审授权书》参加评审。</w:t>
      </w:r>
    </w:p>
    <w:p w14:paraId="7D76BBE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29.2评审定标应当遵循公平、公正、科学、择优的原则。</w:t>
      </w:r>
    </w:p>
    <w:p w14:paraId="24A21DD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29.3评审活动依法进行，任何单位和个人不得非法干预评标过程和结果。</w:t>
      </w:r>
    </w:p>
    <w:p w14:paraId="5089C0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29.4评审过程中不允许违背评标程序或采用招标文件未载明的评标方法或评标因素进行评标。</w:t>
      </w:r>
    </w:p>
    <w:p w14:paraId="09AEA153">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29.5 开标后，直到签订合同为止，凡属于对投标文件的审查、澄清、评价和比较的有关资料以及中标候选人的推荐情况、与评审有关的其他任何情况均严格保密（</w:t>
      </w:r>
      <w:r>
        <w:rPr>
          <w:rFonts w:hint="eastAsia" w:asciiTheme="majorEastAsia" w:hAnsiTheme="majorEastAsia" w:eastAsiaTheme="majorEastAsia"/>
          <w:szCs w:val="21"/>
        </w:rPr>
        <w:t>信息公开的内容除外</w:t>
      </w:r>
      <w:r>
        <w:rPr>
          <w:rFonts w:hint="eastAsia" w:asciiTheme="majorEastAsia" w:hAnsiTheme="majorEastAsia" w:eastAsiaTheme="majorEastAsia"/>
          <w:bCs/>
          <w:szCs w:val="21"/>
        </w:rPr>
        <w:t>）。</w:t>
      </w:r>
    </w:p>
    <w:p w14:paraId="034C7B6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30．向评审委员会提供的资料</w:t>
      </w:r>
    </w:p>
    <w:p w14:paraId="3D6464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30.1公开发布的招标文件，包括图纸、服务清单、答疑文件等；</w:t>
      </w:r>
    </w:p>
    <w:p w14:paraId="21A282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30.2其他评标必须的资料。</w:t>
      </w:r>
    </w:p>
    <w:p w14:paraId="1D56A0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30.3评审委员会应当认真研究招标文件，至少应了解熟悉以下内容：</w:t>
      </w:r>
    </w:p>
    <w:p w14:paraId="54BA3F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（1）招标的目的；</w:t>
      </w:r>
    </w:p>
    <w:p w14:paraId="383FD0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（2）招标项目需求的范围和性质；</w:t>
      </w:r>
    </w:p>
    <w:p w14:paraId="4389B3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（3）招标文件规定的投标人的资格、财政预算限额、商务条款；</w:t>
      </w:r>
    </w:p>
    <w:p w14:paraId="0312BA5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（4）招标文件规定的评标程序、评标方法和评标因素；</w:t>
      </w:r>
    </w:p>
    <w:p w14:paraId="3AB4B56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（5）招标文件所列示的资格性审查表及符合性审查表。</w:t>
      </w:r>
    </w:p>
    <w:p w14:paraId="3A4E8A7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31．独立评审</w:t>
      </w:r>
    </w:p>
    <w:p w14:paraId="6B8EC0C7">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.1</w:t>
      </w:r>
      <w:r>
        <w:rPr>
          <w:rFonts w:hint="eastAsia" w:asciiTheme="majorEastAsia" w:hAnsiTheme="majorEastAsia" w:eastAsiaTheme="majorEastAsia"/>
          <w:szCs w:val="21"/>
        </w:rPr>
        <w:t>评审委员会</w:t>
      </w:r>
      <w:r>
        <w:rPr>
          <w:rFonts w:hint="eastAsia" w:asciiTheme="majorEastAsia" w:hAnsiTheme="majorEastAsia" w:eastAsiaTheme="majorEastAsia"/>
          <w:bCs/>
          <w:szCs w:val="21"/>
        </w:rPr>
        <w:t>成员的评标活动应当独立进行，并应遵循投标文件初审、澄清有关问题、比较与评价、确定中标供应商、编写评审报告的工作程序。</w:t>
      </w:r>
    </w:p>
    <w:p w14:paraId="7FEEC99F">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评审程序及评审方法</w:t>
      </w:r>
    </w:p>
    <w:p w14:paraId="62E00C7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32．投标文件初审</w:t>
      </w:r>
    </w:p>
    <w:p w14:paraId="795E39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32.1投标文件初审包括资格性审查和符合性审查。</w:t>
      </w:r>
    </w:p>
    <w:p w14:paraId="651589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资格性审查：依据法律法规和招标文件的规定，对投标文件中的资格证明等进行审查，以确定投标供应商是否具备投标资格。</w:t>
      </w:r>
    </w:p>
    <w:p w14:paraId="6F9A3C3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符合性审查：依据招标文件的规定，对投标文件的有效性、完整性和对招标文件的响应程度进行审查，以确定是否满足符合性审查的要求。</w:t>
      </w:r>
    </w:p>
    <w:p w14:paraId="6DC44D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32.2 投标文件初审内容请详见《资格性审查表》和《符合性审查表》部分。投标人若有一条审查不通过则按投标无效处理。</w:t>
      </w:r>
    </w:p>
    <w:p w14:paraId="24144365">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 投标文件初审中关于供应商家数的计算:</w:t>
      </w:r>
    </w:p>
    <w:p w14:paraId="4BA29545">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38829604">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312506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32.3.3非单一产品采购项目，采购人应当根据采购项目技术构成、产品价格比重等合理确定核心产品，并在招标文件中载明。多家投标人提供的核心产品品牌相同的，按前两款规定处理。</w:t>
      </w:r>
    </w:p>
    <w:p w14:paraId="3AAC7EA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32.4投标人投标文件作无效处理的情形，具体包括但不限于以下：</w:t>
      </w:r>
    </w:p>
    <w:p w14:paraId="26C17CE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32.4.1不同投标人的投标文件由同一单位或者同一个人编制，或者由同一个人分阶段参与编制；</w:t>
      </w:r>
    </w:p>
    <w:p w14:paraId="486B012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32.4.</w:t>
      </w:r>
      <w:r>
        <w:rPr>
          <w:rFonts w:hint="eastAsia" w:asciiTheme="majorEastAsia" w:hAnsiTheme="majorEastAsia" w:eastAsiaTheme="majorEastAsia"/>
          <w:szCs w:val="21"/>
        </w:rPr>
        <w:t>2不同投标人委托同一单位或者个人办理投标事宜；</w:t>
      </w:r>
    </w:p>
    <w:p w14:paraId="10BB19D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32.4.3不同投标人的投标文件载明的项目管理成员或者联系人员为同一人；</w:t>
      </w:r>
    </w:p>
    <w:p w14:paraId="6DDD15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32.4.4不同投标人的投标文件异常一致或者投标报价呈规律性差异；</w:t>
      </w:r>
    </w:p>
    <w:p w14:paraId="3C0158F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32.4.5</w:t>
      </w:r>
      <w:r>
        <w:rPr>
          <w:rFonts w:asciiTheme="majorEastAsia" w:hAnsiTheme="majorEastAsia" w:eastAsiaTheme="majorEastAsia"/>
          <w:szCs w:val="21"/>
        </w:rPr>
        <w:t>不同投标供应商的投标文件或部分投标文件相互混装</w:t>
      </w:r>
      <w:r>
        <w:rPr>
          <w:rFonts w:hint="eastAsia" w:asciiTheme="majorEastAsia" w:hAnsiTheme="majorEastAsia" w:eastAsiaTheme="majorEastAsia"/>
          <w:szCs w:val="21"/>
        </w:rPr>
        <w:t>；</w:t>
      </w:r>
    </w:p>
    <w:p w14:paraId="378EBE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32.4.6投标供应商之间相互约定给予未中标的供应商利益补偿；</w:t>
      </w:r>
    </w:p>
    <w:p w14:paraId="48767B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32.4.7不同投标供应商的法定代表人、主要经营负责人、项目投标授权代表人、项目负责人、主要技术人员为同一人、属同一单位或者同一单位缴纳社会保险；</w:t>
      </w:r>
    </w:p>
    <w:p w14:paraId="2B7A05E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32.4.8不同投标供应商的投标文件内容存在非正常一致；</w:t>
      </w:r>
    </w:p>
    <w:p w14:paraId="52E2B3B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32.4.9在同一单位工作人员为两家以上（含两家）供应商进行同一项投标活动；</w:t>
      </w:r>
    </w:p>
    <w:p w14:paraId="37E75A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32.4.10主管部门依照法律、法规认定的其他情形。</w:t>
      </w:r>
    </w:p>
    <w:p w14:paraId="488DD9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32.5对不属于《资格性审查表》和《符合性审查表》所列的其他情形，除专用条款另有规定和32.4条款所列情形外，不得作为投标无效的理由。</w:t>
      </w:r>
    </w:p>
    <w:p w14:paraId="0F4FFD1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33．澄清有关问题</w:t>
      </w:r>
    </w:p>
    <w:p w14:paraId="7057FF3F">
      <w:pPr>
        <w:spacing w:line="360" w:lineRule="auto"/>
        <w:ind w:firstLine="411" w:firstLineChars="196"/>
        <w:rPr>
          <w:rFonts w:asciiTheme="majorEastAsia" w:hAnsiTheme="majorEastAsia" w:eastAsiaTheme="majorEastAsia"/>
          <w:szCs w:val="21"/>
        </w:rPr>
      </w:pPr>
      <w:bookmarkStart w:id="43" w:name="_Hlk71407321"/>
      <w:r>
        <w:rPr>
          <w:rFonts w:hint="eastAsia" w:asciiTheme="majorEastAsia" w:hAnsiTheme="majorEastAsia" w:eastAsiaTheme="majorEastAsia"/>
          <w:szCs w:val="21"/>
        </w:rPr>
        <w:t>3</w:t>
      </w:r>
      <w:r>
        <w:rPr>
          <w:rFonts w:asciiTheme="majorEastAsia" w:hAnsiTheme="majorEastAsia" w:eastAsiaTheme="majorEastAsia"/>
          <w:szCs w:val="21"/>
        </w:rPr>
        <w:t>3.1</w:t>
      </w:r>
      <w:r>
        <w:rPr>
          <w:rFonts w:hint="eastAsia" w:asciiTheme="majorEastAsia" w:hAnsiTheme="majorEastAsia" w:eastAsiaTheme="majorEastAsia"/>
          <w:szCs w:val="21"/>
        </w:rPr>
        <w:t>对招标文件中描述有歧义或前后不一致的地方（不含</w:t>
      </w:r>
      <w:r>
        <w:rPr>
          <w:rFonts w:asciiTheme="majorEastAsia" w:hAnsiTheme="majorEastAsia" w:eastAsiaTheme="majorEastAsia"/>
          <w:szCs w:val="21"/>
        </w:rPr>
        <w:t>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w:t>
      </w:r>
      <w:r>
        <w:rPr>
          <w:rFonts w:hint="eastAsia" w:asciiTheme="majorEastAsia" w:hAnsiTheme="majorEastAsia" w:eastAsiaTheme="majorEastAsia"/>
          <w:szCs w:val="21"/>
        </w:rPr>
        <w:t>的情况），评审委员会有权进行评判，但对同一条款的评判应适用于每个投标人。</w:t>
      </w:r>
      <w:bookmarkEnd w:id="43"/>
    </w:p>
    <w:p w14:paraId="6F1AFE3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3.2评</w:t>
      </w:r>
      <w:r>
        <w:rPr>
          <w:rFonts w:hint="eastAsia" w:asciiTheme="majorEastAsia" w:hAnsiTheme="majorEastAsia" w:eastAsiaTheme="majorEastAsia"/>
          <w:szCs w:val="21"/>
        </w:rPr>
        <w:t>审</w:t>
      </w:r>
      <w:r>
        <w:rPr>
          <w:rFonts w:asciiTheme="majorEastAsia" w:hAnsiTheme="majorEastAsia" w:eastAsiaTheme="majorEastAsia"/>
          <w:szCs w:val="21"/>
        </w:rPr>
        <w:t>委员会发现招标文件存在歧义、重大缺陷导致评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工作无法进行，或者招标文件内容违反国家有关强制性规定的，应当停止评</w:t>
      </w:r>
      <w:r>
        <w:rPr>
          <w:rFonts w:hint="eastAsia" w:asciiTheme="majorEastAsia" w:hAnsiTheme="majorEastAsia" w:eastAsiaTheme="majorEastAsia"/>
          <w:szCs w:val="21"/>
        </w:rPr>
        <w:t>审</w:t>
      </w:r>
      <w:r>
        <w:rPr>
          <w:rFonts w:asciiTheme="majorEastAsia" w:hAnsiTheme="majorEastAsia" w:eastAsiaTheme="majorEastAsia"/>
          <w:szCs w:val="21"/>
        </w:rPr>
        <w:t>工作，与</w:t>
      </w:r>
      <w:r>
        <w:rPr>
          <w:rFonts w:hint="eastAsia" w:asciiTheme="majorEastAsia" w:hAnsiTheme="majorEastAsia" w:eastAsiaTheme="majorEastAsia"/>
          <w:szCs w:val="21"/>
        </w:rPr>
        <w:t>采购代理机构</w:t>
      </w:r>
      <w:r>
        <w:rPr>
          <w:rFonts w:asciiTheme="majorEastAsia" w:hAnsiTheme="majorEastAsia" w:eastAsiaTheme="majorEastAsia"/>
          <w:szCs w:val="21"/>
        </w:rPr>
        <w:t>沟通并作书面记录。</w:t>
      </w:r>
      <w:r>
        <w:rPr>
          <w:rFonts w:hint="eastAsia" w:asciiTheme="majorEastAsia" w:hAnsiTheme="majorEastAsia" w:eastAsiaTheme="majorEastAsia"/>
          <w:szCs w:val="21"/>
        </w:rPr>
        <w:t>经</w:t>
      </w:r>
      <w:r>
        <w:rPr>
          <w:rFonts w:asciiTheme="majorEastAsia" w:hAnsiTheme="majorEastAsia" w:eastAsiaTheme="majorEastAsia"/>
          <w:szCs w:val="21"/>
        </w:rPr>
        <w:t>确认后，</w:t>
      </w:r>
      <w:r>
        <w:rPr>
          <w:rFonts w:hint="eastAsia" w:asciiTheme="majorEastAsia" w:hAnsiTheme="majorEastAsia" w:eastAsiaTheme="majorEastAsia"/>
          <w:szCs w:val="21"/>
        </w:rPr>
        <w:t>项目</w:t>
      </w:r>
      <w:r>
        <w:rPr>
          <w:rFonts w:asciiTheme="majorEastAsia" w:hAnsiTheme="majorEastAsia" w:eastAsiaTheme="majorEastAsia"/>
          <w:szCs w:val="21"/>
        </w:rPr>
        <w:t>应当修改招标文件，重新组织采购活动。</w:t>
      </w:r>
    </w:p>
    <w:p w14:paraId="211F5218">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33.3</w:t>
      </w:r>
      <w:r>
        <w:rPr>
          <w:rFonts w:hint="eastAsia" w:asciiTheme="majorEastAsia" w:hAnsiTheme="majorEastAsia" w:eastAsiaTheme="majorEastAsia"/>
          <w:szCs w:val="21"/>
        </w:rPr>
        <w:t>对于投标文件中含义不明确、同类问题表述不一致或者有明显文字和计算错误的内容，评审委员会应当以书面形式要求投标人作出必要的澄清、说明或者补正。</w:t>
      </w:r>
    </w:p>
    <w:p w14:paraId="61A52A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4851B2C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根据本通用条款第34条，凡属于评审委员会在评审中发现的算术错误进行核实的修改不在此列。</w:t>
      </w:r>
    </w:p>
    <w:p w14:paraId="037F7C21">
      <w:pPr>
        <w:spacing w:line="360" w:lineRule="auto"/>
        <w:rPr>
          <w:rFonts w:asciiTheme="majorEastAsia" w:hAnsiTheme="majorEastAsia" w:eastAsiaTheme="majorEastAsia"/>
          <w:b/>
          <w:bCs/>
          <w:szCs w:val="21"/>
        </w:rPr>
      </w:pPr>
      <w:bookmarkStart w:id="44" w:name="_Toc73517673"/>
      <w:bookmarkStart w:id="45" w:name="_Toc73521581"/>
      <w:bookmarkStart w:id="46" w:name="_Toc100052400"/>
      <w:bookmarkStart w:id="47" w:name="_Toc73518151"/>
      <w:bookmarkStart w:id="48" w:name="_Toc73521669"/>
      <w:r>
        <w:rPr>
          <w:rFonts w:hint="eastAsia" w:asciiTheme="majorEastAsia" w:hAnsiTheme="majorEastAsia" w:eastAsiaTheme="majorEastAsia"/>
          <w:b/>
          <w:bCs/>
          <w:szCs w:val="21"/>
        </w:rPr>
        <w:t>34．错误的修正</w:t>
      </w:r>
      <w:bookmarkEnd w:id="44"/>
      <w:bookmarkEnd w:id="45"/>
      <w:bookmarkEnd w:id="46"/>
      <w:bookmarkEnd w:id="47"/>
      <w:bookmarkEnd w:id="48"/>
    </w:p>
    <w:p w14:paraId="147D67A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投标文件报价出现前后不一致的，除专用条款另有规定外，按照下列规定修正：</w:t>
      </w:r>
    </w:p>
    <w:p w14:paraId="4686BDB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34.1投标文件中开标一览表投标报价内容与投标文件中投标报价相应内容不一致的，以开标一览表为准；</w:t>
      </w:r>
    </w:p>
    <w:p w14:paraId="7EE7DA9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34.2大写金额和小写金额不一致的，以大写金额为准；</w:t>
      </w:r>
    </w:p>
    <w:p w14:paraId="01E3357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34.3单价金额小数点或者百分比有明显错位，以开标一览表的总价为准，并修改单价；</w:t>
      </w:r>
    </w:p>
    <w:p w14:paraId="51E650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34.4总价金额与按单价汇总金额不一致的，以单价金额计算结果为准。</w:t>
      </w:r>
    </w:p>
    <w:p w14:paraId="702405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34.5同时出现两种以上不一致的，按照前款规定的顺序修正</w:t>
      </w:r>
      <w:r>
        <w:rPr>
          <w:rFonts w:hint="eastAsia" w:ascii="宋体" w:hAnsi="宋体"/>
          <w:snapToGrid w:val="0"/>
          <w:kern w:val="0"/>
        </w:rPr>
        <w:t>（次序排先者优先）</w:t>
      </w:r>
      <w:r>
        <w:rPr>
          <w:rFonts w:hint="eastAsia" w:asciiTheme="majorEastAsia" w:hAnsiTheme="majorEastAsia" w:eastAsiaTheme="majorEastAsia"/>
          <w:szCs w:val="21"/>
        </w:rPr>
        <w:t>。修正后的报价按照本通用条款33条的规定，经投标人确认后产生约束力，投标人不确认的，其投标无效。</w:t>
      </w:r>
    </w:p>
    <w:p w14:paraId="7524456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35．投标文件的比较与评价</w:t>
      </w:r>
    </w:p>
    <w:p w14:paraId="1F5564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477BA15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评审委员会成员对需要共同认定的事项存在争议的，应当按照少数服从多数的原则作出结论。持不同意见的评审委员会成员应当书面作出说明，否则视为无异议。</w:t>
      </w:r>
    </w:p>
    <w:p w14:paraId="3661F0D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36. 实地考察或资料查验</w:t>
      </w:r>
    </w:p>
    <w:p w14:paraId="2344C4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36.1在评审过程中，评审委员会有权决定是否对本项目投标人进行实地考察或资料查验（原件）。投标人应随时做好接受实地考察或资料查验的准备。</w:t>
      </w:r>
    </w:p>
    <w:p w14:paraId="123701D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37．评审方法</w:t>
      </w:r>
    </w:p>
    <w:p w14:paraId="4C21C357">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37.1.1最低价法</w:t>
      </w:r>
    </w:p>
    <w:p w14:paraId="19B240B7">
      <w:pPr>
        <w:spacing w:line="360" w:lineRule="auto"/>
        <w:ind w:firstLine="411" w:firstLineChars="196"/>
        <w:rPr>
          <w:rFonts w:asciiTheme="majorEastAsia" w:hAnsiTheme="majorEastAsia" w:eastAsiaTheme="majorEastAsia"/>
          <w:szCs w:val="21"/>
        </w:rPr>
      </w:pPr>
      <w:bookmarkStart w:id="49" w:name="_Hlk72438142"/>
      <w:r>
        <w:rPr>
          <w:rFonts w:asciiTheme="majorEastAsia" w:hAnsiTheme="majorEastAsia" w:eastAsiaTheme="majorEastAsia"/>
          <w:szCs w:val="21"/>
        </w:rPr>
        <w:t>最低价法，是指</w:t>
      </w:r>
      <w:r>
        <w:rPr>
          <w:rFonts w:hint="eastAsia" w:asciiTheme="majorEastAsia" w:hAnsiTheme="majorEastAsia" w:eastAsiaTheme="majorEastAsia"/>
          <w:szCs w:val="21"/>
        </w:rPr>
        <w:t>完全</w:t>
      </w:r>
      <w:r>
        <w:rPr>
          <w:rFonts w:asciiTheme="majorEastAsia" w:hAnsiTheme="majorEastAsia" w:eastAsiaTheme="majorEastAsia"/>
          <w:szCs w:val="21"/>
        </w:rPr>
        <w:t>满足招标文件实质性要求，</w:t>
      </w:r>
      <w:r>
        <w:rPr>
          <w:rFonts w:hint="eastAsia" w:asciiTheme="majorEastAsia" w:hAnsiTheme="majorEastAsia" w:eastAsiaTheme="majorEastAsia"/>
          <w:szCs w:val="21"/>
        </w:rPr>
        <w:t>按照报价由低到高的顺序，依据招标文件中规定的数量或者比例推荐候选中标供应商。</w:t>
      </w:r>
    </w:p>
    <w:p w14:paraId="31D899FA">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37.1.2综合评分法</w:t>
      </w:r>
    </w:p>
    <w:p w14:paraId="3A368B02">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综合评分法，是指</w:t>
      </w:r>
      <w:r>
        <w:rPr>
          <w:rFonts w:hint="eastAsia" w:asciiTheme="majorEastAsia" w:hAnsiTheme="majorEastAsia" w:eastAsiaTheme="majorEastAsia"/>
          <w:szCs w:val="21"/>
        </w:rPr>
        <w:t>在</w:t>
      </w:r>
      <w:r>
        <w:rPr>
          <w:rFonts w:asciiTheme="majorEastAsia" w:hAnsiTheme="majorEastAsia" w:eastAsiaTheme="majorEastAsia"/>
          <w:szCs w:val="21"/>
        </w:rPr>
        <w:t>满足招标文件全部实质性要求</w:t>
      </w:r>
      <w:r>
        <w:rPr>
          <w:rFonts w:hint="eastAsia" w:asciiTheme="majorEastAsia" w:hAnsiTheme="majorEastAsia" w:eastAsiaTheme="majorEastAsia"/>
          <w:szCs w:val="21"/>
        </w:rPr>
        <w:t>的前提下</w:t>
      </w:r>
      <w:r>
        <w:rPr>
          <w:rFonts w:asciiTheme="majorEastAsia" w:hAnsiTheme="majorEastAsia" w:eastAsiaTheme="majorEastAsia"/>
          <w:szCs w:val="21"/>
        </w:rPr>
        <w:t>，</w:t>
      </w:r>
      <w:r>
        <w:rPr>
          <w:rFonts w:hint="eastAsia" w:asciiTheme="majorEastAsia" w:hAnsiTheme="majorEastAsia" w:eastAsiaTheme="majorEastAsia"/>
          <w:szCs w:val="21"/>
        </w:rPr>
        <w:t>按照招标文件中规定的各项因素进行综合评审，评审总得分排名前列的投标人，作为推荐的候选中标供应商。</w:t>
      </w:r>
      <w:bookmarkEnd w:id="49"/>
    </w:p>
    <w:p w14:paraId="6B25CD42">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37.2 本项目采用的评审方法见本项目招标文件第一册“专用条款”的相关内容。</w:t>
      </w:r>
    </w:p>
    <w:p w14:paraId="793C03EC">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37.3重新评审的情形</w:t>
      </w:r>
    </w:p>
    <w:p w14:paraId="26E8D8AE">
      <w:pPr>
        <w:spacing w:line="360" w:lineRule="auto"/>
        <w:ind w:firstLine="411" w:firstLineChars="196"/>
        <w:rPr>
          <w:rFonts w:asciiTheme="majorEastAsia" w:hAnsiTheme="majorEastAsia" w:eastAsiaTheme="majorEastAsia"/>
          <w:b/>
          <w:bCs/>
          <w:szCs w:val="21"/>
        </w:rPr>
      </w:pPr>
      <w:r>
        <w:rPr>
          <w:rFonts w:hint="eastAsia" w:cs="宋体" w:asciiTheme="majorEastAsia" w:hAnsiTheme="majorEastAsia" w:eastAsiaTheme="majorEastAsia"/>
          <w:szCs w:val="21"/>
        </w:rPr>
        <w:t>评审结果汇总完成后，除下列情形外，任何人不得修改评审结果：</w:t>
      </w:r>
    </w:p>
    <w:p w14:paraId="38B1EE83">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37.3.1分值汇总计算错误的；</w:t>
      </w:r>
    </w:p>
    <w:p w14:paraId="7B5A662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37.3.2分项评分超出评分标准范围的；</w:t>
      </w:r>
    </w:p>
    <w:p w14:paraId="6DB042A8">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37.3.3评审委员会成员对客观评审因素评分不一致的；</w:t>
      </w:r>
    </w:p>
    <w:p w14:paraId="78AD04B9">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37.3.4经评审委员会认定评分畸高、畸低的。</w:t>
      </w:r>
    </w:p>
    <w:p w14:paraId="6B8128F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04080A6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投标人对本条第一款情形提出质疑的，采购人或者采购代理机构可以组织原评审委员会进行重新评审，重新评审改变评审结果的，应当书面报告本级财政部门。</w:t>
      </w:r>
    </w:p>
    <w:p w14:paraId="0810CD9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 xml:space="preserve"> 37.4重新组建评审委员会的情形</w:t>
      </w:r>
    </w:p>
    <w:p w14:paraId="0B0AB2E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评审委员会或者其成员存在下列情形导致评审结果无效的，重新组建评审委员会进行评标，并书面报告本级财政部门：</w:t>
      </w:r>
    </w:p>
    <w:p w14:paraId="71E5198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37.4.1评审委员会组成不符合《政府采购货物和服务招标投标管理办法》规定的；</w:t>
      </w:r>
    </w:p>
    <w:p w14:paraId="2FC06A2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37.4.2有《政府采购货物和服务招标投标管理办法》第六十二条第一至五项情形的；</w:t>
      </w:r>
    </w:p>
    <w:p w14:paraId="2E54793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37.4.3评审委员会及其成员独立评标受到非法干预的；</w:t>
      </w:r>
    </w:p>
    <w:p w14:paraId="22C3D22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37.4.4有政府采购法实施条例第七十五条规定的违法行为的。</w:t>
      </w:r>
    </w:p>
    <w:p w14:paraId="03949EC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有违法违规行为的原评审委员会成员不得参加重新组建的评审委员会。</w:t>
      </w:r>
    </w:p>
    <w:p w14:paraId="454E87D3">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定标及公示</w:t>
      </w:r>
    </w:p>
    <w:p w14:paraId="0D62BD3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38．定标方法</w:t>
      </w:r>
    </w:p>
    <w:p w14:paraId="5B8BE8D2">
      <w:pPr>
        <w:spacing w:line="360" w:lineRule="auto"/>
        <w:ind w:firstLine="411" w:firstLineChars="196"/>
        <w:rPr>
          <w:rFonts w:asciiTheme="majorEastAsia" w:hAnsiTheme="majorEastAsia" w:eastAsiaTheme="majorEastAsia"/>
          <w:szCs w:val="21"/>
        </w:rPr>
      </w:pPr>
      <w:bookmarkStart w:id="50" w:name="_Hlk73782795"/>
      <w:r>
        <w:rPr>
          <w:rFonts w:hint="eastAsia" w:asciiTheme="majorEastAsia" w:hAnsiTheme="majorEastAsia" w:eastAsiaTheme="majorEastAsia"/>
          <w:szCs w:val="21"/>
        </w:rPr>
        <w:t>38.1非评定分离项目定标方法</w:t>
      </w:r>
    </w:p>
    <w:p w14:paraId="061ED38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1.1评审委员会依据本项目招标文件所约定的评审方法进行评审和比较，向采购代理机构提交书面评审报告，并根据评审方法比较评价结果从优到劣进行排序，确定候选中标供应商。</w:t>
      </w:r>
    </w:p>
    <w:p w14:paraId="57D96AB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1.2</w:t>
      </w:r>
      <w:r>
        <w:rPr>
          <w:rFonts w:asciiTheme="majorEastAsia" w:hAnsiTheme="majorEastAsia" w:eastAsiaTheme="majorEastAsia"/>
          <w:szCs w:val="21"/>
        </w:rPr>
        <w:t>采用最低价法的，评</w:t>
      </w:r>
      <w:r>
        <w:rPr>
          <w:rFonts w:hint="eastAsia" w:asciiTheme="majorEastAsia" w:hAnsiTheme="majorEastAsia" w:eastAsiaTheme="majorEastAsia"/>
          <w:szCs w:val="21"/>
        </w:rPr>
        <w:t>审</w:t>
      </w:r>
      <w:r>
        <w:rPr>
          <w:rFonts w:asciiTheme="majorEastAsia" w:hAnsiTheme="majorEastAsia" w:eastAsiaTheme="majorEastAsia"/>
          <w:szCs w:val="21"/>
        </w:rPr>
        <w:t>结果按投标报价由低到高顺序排列。投标报价相同的并列。投标文件满足招标文件全部实质性要求且投标报价最低的</w:t>
      </w:r>
      <w:r>
        <w:rPr>
          <w:rFonts w:hint="eastAsia" w:asciiTheme="majorEastAsia" w:hAnsiTheme="majorEastAsia" w:eastAsiaTheme="majorEastAsia"/>
          <w:szCs w:val="21"/>
        </w:rPr>
        <w:t>投标人为</w:t>
      </w:r>
      <w:bookmarkStart w:id="51" w:name="_Hlk73821177"/>
      <w:r>
        <w:rPr>
          <w:rFonts w:hint="eastAsia" w:asciiTheme="majorEastAsia" w:hAnsiTheme="majorEastAsia" w:eastAsiaTheme="majorEastAsia"/>
          <w:szCs w:val="21"/>
        </w:rPr>
        <w:t>中标供应商</w:t>
      </w:r>
      <w:r>
        <w:rPr>
          <w:rFonts w:asciiTheme="majorEastAsia" w:hAnsiTheme="majorEastAsia" w:eastAsiaTheme="majorEastAsia"/>
          <w:szCs w:val="21"/>
        </w:rPr>
        <w:t>（</w:t>
      </w:r>
      <w:r>
        <w:rPr>
          <w:rFonts w:hint="eastAsia" w:asciiTheme="majorEastAsia" w:hAnsiTheme="majorEastAsia" w:eastAsiaTheme="majorEastAsia"/>
          <w:szCs w:val="21"/>
        </w:rPr>
        <w:t>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bookmarkEnd w:id="51"/>
      <w:r>
        <w:rPr>
          <w:rFonts w:asciiTheme="majorEastAsia" w:hAnsiTheme="majorEastAsia" w:eastAsiaTheme="majorEastAsia"/>
          <w:szCs w:val="21"/>
        </w:rPr>
        <w:t>）。</w:t>
      </w:r>
    </w:p>
    <w:p w14:paraId="4FB3C95B">
      <w:pPr>
        <w:spacing w:line="360" w:lineRule="auto"/>
        <w:ind w:firstLine="411" w:firstLineChars="196"/>
        <w:rPr>
          <w:rFonts w:hint="eastAsia"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1.3</w:t>
      </w:r>
      <w:r>
        <w:rPr>
          <w:rFonts w:asciiTheme="majorEastAsia" w:hAnsiTheme="majorEastAsia" w:eastAsiaTheme="major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Theme="majorEastAsia" w:hAnsiTheme="majorEastAsia" w:eastAsiaTheme="majorEastAsia"/>
          <w:szCs w:val="21"/>
        </w:rPr>
        <w:t>为中标供应商</w:t>
      </w:r>
      <w:r>
        <w:rPr>
          <w:rFonts w:asciiTheme="majorEastAsia" w:hAnsiTheme="majorEastAsia" w:eastAsiaTheme="majorEastAsia"/>
          <w:szCs w:val="21"/>
        </w:rPr>
        <w:t>（</w:t>
      </w:r>
      <w:r>
        <w:rPr>
          <w:rFonts w:hint="eastAsia" w:asciiTheme="majorEastAsia" w:hAnsiTheme="majorEastAsia" w:eastAsiaTheme="majorEastAsia"/>
          <w:szCs w:val="21"/>
        </w:rPr>
        <w:t>中标候选人如不止一名，则推选排名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r>
        <w:rPr>
          <w:rFonts w:asciiTheme="majorEastAsia" w:hAnsiTheme="majorEastAsia" w:eastAsiaTheme="majorEastAsia"/>
          <w:szCs w:val="21"/>
        </w:rPr>
        <w:t>）。</w:t>
      </w:r>
      <w:r>
        <w:rPr>
          <w:rFonts w:hint="eastAsia" w:asciiTheme="majorEastAsia" w:hAnsiTheme="majorEastAsia" w:eastAsiaTheme="majorEastAsia"/>
          <w:szCs w:val="21"/>
        </w:rPr>
        <w:t>出现</w:t>
      </w:r>
      <w:r>
        <w:rPr>
          <w:rFonts w:asciiTheme="majorEastAsia" w:hAnsiTheme="majorEastAsia" w:eastAsiaTheme="majorEastAsia"/>
          <w:szCs w:val="21"/>
        </w:rPr>
        <w:t>得分且投标报价相同的并列</w:t>
      </w:r>
      <w:r>
        <w:rPr>
          <w:rFonts w:hint="eastAsia" w:asciiTheme="majorEastAsia" w:hAnsiTheme="majorEastAsia" w:eastAsiaTheme="majorEastAsia"/>
          <w:szCs w:val="21"/>
        </w:rPr>
        <w:t>情况时，采取随机抽取的方式确定，具体操作办法及流程由评审委员会确定（因落实政府采购政策进行价格调整的，以调整后的价格计算投标报价）。</w:t>
      </w:r>
    </w:p>
    <w:p w14:paraId="200E28D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38.2评定分离项目定标方法</w:t>
      </w:r>
    </w:p>
    <w:p w14:paraId="012BB62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65BB654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 xml:space="preserve">38.2.2 </w:t>
      </w:r>
      <w:bookmarkStart w:id="52" w:name="_Hlk71469733"/>
      <w:r>
        <w:rPr>
          <w:rFonts w:asciiTheme="majorEastAsia" w:hAnsiTheme="majorEastAsia" w:eastAsiaTheme="majorEastAsia"/>
          <w:szCs w:val="21"/>
        </w:rPr>
        <w:t>适用评定分离的政府采购项目，采用综合评分法评</w:t>
      </w:r>
      <w:r>
        <w:rPr>
          <w:rFonts w:hint="eastAsia" w:asciiTheme="majorEastAsia" w:hAnsiTheme="majorEastAsia" w:eastAsiaTheme="majorEastAsia"/>
          <w:szCs w:val="21"/>
        </w:rPr>
        <w:t>审。评审委员会按照评审结果，推荐</w:t>
      </w:r>
      <w:r>
        <w:rPr>
          <w:rFonts w:asciiTheme="majorEastAsia" w:hAnsiTheme="majorEastAsia" w:eastAsiaTheme="majorEastAsia"/>
          <w:szCs w:val="21"/>
        </w:rPr>
        <w:t>三个合格的候选中标供应商</w:t>
      </w:r>
      <w:r>
        <w:rPr>
          <w:rFonts w:hint="eastAsia" w:asciiTheme="majorEastAsia" w:hAnsiTheme="majorEastAsia" w:eastAsiaTheme="majorEastAsia"/>
          <w:szCs w:val="21"/>
          <w:lang w:eastAsia="zh-CN"/>
        </w:rPr>
        <w:t>，推荐候选中标供应商不进行排名</w:t>
      </w:r>
      <w:r>
        <w:rPr>
          <w:rFonts w:asciiTheme="majorEastAsia" w:hAnsiTheme="majorEastAsia" w:eastAsiaTheme="majorEastAsia"/>
          <w:szCs w:val="21"/>
        </w:rPr>
        <w:t>。</w:t>
      </w:r>
    </w:p>
    <w:p w14:paraId="46385A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38.2.3</w:t>
      </w:r>
      <w:bookmarkStart w:id="53" w:name="_Hlk71469688"/>
      <w:r>
        <w:rPr>
          <w:rFonts w:asciiTheme="majorEastAsia" w:hAnsiTheme="majorEastAsia" w:eastAsiaTheme="majorEastAsia"/>
          <w:szCs w:val="21"/>
        </w:rPr>
        <w:t>适用评定分离的政府采购项目，</w:t>
      </w:r>
      <w:r>
        <w:rPr>
          <w:rFonts w:hint="eastAsia" w:asciiTheme="majorEastAsia" w:hAnsiTheme="majorEastAsia" w:eastAsiaTheme="majorEastAsia"/>
          <w:szCs w:val="21"/>
        </w:rPr>
        <w:t>按照自定法确定中标供应商：自定法是指采购人组织定标委员会，由定标委员会在三家候选中标供应商中确定中标供应商。</w:t>
      </w:r>
      <w:bookmarkEnd w:id="52"/>
      <w:bookmarkEnd w:id="53"/>
    </w:p>
    <w:p w14:paraId="58CD53A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38.2.4</w:t>
      </w:r>
      <w:r>
        <w:rPr>
          <w:rFonts w:hint="eastAsia" w:asciiTheme="majorEastAsia" w:hAnsiTheme="majorEastAsia" w:eastAsiaTheme="majorEastAsia"/>
          <w:szCs w:val="21"/>
        </w:rPr>
        <w:t>采购代理机构</w:t>
      </w:r>
      <w:r>
        <w:rPr>
          <w:rFonts w:asciiTheme="majorEastAsia" w:hAnsiTheme="majorEastAsia" w:eastAsiaTheme="majorEastAsia"/>
          <w:szCs w:val="21"/>
        </w:rPr>
        <w:t>应当自评审结束之日起两个工作日内将候选中标供应商名单及其投标文件、评审报告送交采购人</w:t>
      </w:r>
      <w:r>
        <w:rPr>
          <w:rFonts w:hint="eastAsia" w:asciiTheme="majorEastAsia" w:hAnsiTheme="majorEastAsia" w:eastAsiaTheme="majorEastAsia"/>
          <w:szCs w:val="21"/>
        </w:rPr>
        <w:t>。</w:t>
      </w:r>
      <w:r>
        <w:rPr>
          <w:rFonts w:asciiTheme="majorEastAsia" w:hAnsiTheme="majorEastAsia" w:eastAsiaTheme="majorEastAsia"/>
          <w:szCs w:val="21"/>
        </w:rPr>
        <w:t>采购人应当安排专人对定标过程进行书面记录，形成定标报告，作为采购文件的组成部分存档，并及时将定标结果反馈</w:t>
      </w:r>
      <w:r>
        <w:rPr>
          <w:rFonts w:hint="eastAsia" w:asciiTheme="majorEastAsia" w:hAnsiTheme="majorEastAsia" w:eastAsiaTheme="majorEastAsia"/>
          <w:szCs w:val="21"/>
        </w:rPr>
        <w:t>采购代理机构。具体定标程序及相关要求以按照《</w:t>
      </w:r>
      <w:r>
        <w:rPr>
          <w:rFonts w:asciiTheme="majorEastAsia" w:hAnsiTheme="majorEastAsia" w:eastAsiaTheme="majorEastAsia"/>
          <w:szCs w:val="21"/>
        </w:rPr>
        <w:t>深圳市财政局关于印发</w:t>
      </w:r>
      <w:r>
        <w:rPr>
          <w:rFonts w:hint="eastAsia" w:asciiTheme="majorEastAsia" w:hAnsiTheme="majorEastAsia" w:eastAsiaTheme="majorEastAsia"/>
          <w:szCs w:val="21"/>
        </w:rPr>
        <w:t>〈</w:t>
      </w:r>
      <w:r>
        <w:rPr>
          <w:rFonts w:asciiTheme="majorEastAsia" w:hAnsiTheme="majorEastAsia" w:eastAsiaTheme="majorEastAsia"/>
          <w:szCs w:val="21"/>
        </w:rPr>
        <w:t>深圳市政府采购评标定标分离管理办法</w:t>
      </w:r>
      <w:r>
        <w:rPr>
          <w:rFonts w:hint="eastAsia" w:asciiTheme="majorEastAsia" w:hAnsiTheme="majorEastAsia" w:eastAsiaTheme="majorEastAsia"/>
          <w:szCs w:val="21"/>
        </w:rPr>
        <w:t>〉</w:t>
      </w:r>
      <w:r>
        <w:rPr>
          <w:rFonts w:asciiTheme="majorEastAsia" w:hAnsiTheme="majorEastAsia" w:eastAsiaTheme="majorEastAsia"/>
          <w:szCs w:val="21"/>
        </w:rPr>
        <w:t>的通知</w:t>
      </w:r>
      <w:r>
        <w:rPr>
          <w:rFonts w:hint="eastAsia" w:asciiTheme="majorEastAsia" w:hAnsiTheme="majorEastAsia" w:eastAsiaTheme="majorEastAsia"/>
          <w:szCs w:val="21"/>
        </w:rPr>
        <w:t>》（深财规【2</w:t>
      </w:r>
      <w:r>
        <w:rPr>
          <w:rFonts w:asciiTheme="majorEastAsia" w:hAnsiTheme="majorEastAsia" w:eastAsiaTheme="majorEastAsia"/>
          <w:szCs w:val="21"/>
        </w:rPr>
        <w:t>020</w:t>
      </w:r>
      <w:r>
        <w:rPr>
          <w:rFonts w:hint="eastAsia" w:asciiTheme="majorEastAsia" w:hAnsiTheme="majorEastAsia" w:eastAsiaTheme="majorEastAsia"/>
          <w:szCs w:val="21"/>
        </w:rPr>
        <w:t>】1号）执行。</w:t>
      </w:r>
    </w:p>
    <w:p w14:paraId="7A1CF9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说明：采购人及投标供应商应按照上述方法提前做好相关准备。</w:t>
      </w:r>
    </w:p>
    <w:p w14:paraId="07959F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38.3专用条款另有规定的，按专用条款相关要求定标。</w:t>
      </w:r>
      <w:bookmarkEnd w:id="50"/>
    </w:p>
    <w:p w14:paraId="578C728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39．编写评审报告</w:t>
      </w:r>
    </w:p>
    <w:p w14:paraId="5C227F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799AF51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40．中标公告</w:t>
      </w:r>
    </w:p>
    <w:p w14:paraId="2FF97D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40.1</w:t>
      </w:r>
      <w:bookmarkStart w:id="54" w:name="_Hlk72438709"/>
      <w:r>
        <w:rPr>
          <w:rFonts w:hint="eastAsia" w:asciiTheme="majorEastAsia" w:hAnsiTheme="majorEastAsia" w:eastAsiaTheme="majorEastAsia"/>
          <w:szCs w:val="21"/>
        </w:rPr>
        <w:t>为体现“公开、公平、公正”的原则，评审结束后经采购人确认（确定）评审结果，采购代理机构将在“深圳政府采购智慧平台（http://zfcg.szggzy.com/）”上发布中标结果公告。</w:t>
      </w:r>
      <w:bookmarkEnd w:id="54"/>
      <w:bookmarkStart w:id="55" w:name="_Hlk72438751"/>
      <w:r>
        <w:rPr>
          <w:rFonts w:hint="eastAsia" w:asciiTheme="majorEastAsia" w:hAnsiTheme="majorEastAsia" w:eastAsiaTheme="majorEastAsia"/>
          <w:szCs w:val="21"/>
        </w:rPr>
        <w:t>供应商如对评审结果有异议，</w:t>
      </w:r>
      <w:r>
        <w:rPr>
          <w:rFonts w:asciiTheme="majorEastAsia" w:hAnsiTheme="majorEastAsia" w:eastAsiaTheme="majorEastAsia"/>
          <w:szCs w:val="21"/>
        </w:rPr>
        <w:t>可在发布公示日期起</w:t>
      </w:r>
      <w:r>
        <w:rPr>
          <w:rFonts w:hint="eastAsia" w:asciiTheme="majorEastAsia" w:hAnsiTheme="majorEastAsia" w:eastAsiaTheme="majorEastAsia"/>
          <w:szCs w:val="21"/>
        </w:rPr>
        <w:t>七</w:t>
      </w:r>
      <w:r>
        <w:rPr>
          <w:rFonts w:asciiTheme="majorEastAsia" w:hAnsiTheme="majorEastAsia" w:eastAsiaTheme="majorEastAsia"/>
          <w:szCs w:val="21"/>
        </w:rPr>
        <w:t>个工作日内向</w:t>
      </w:r>
      <w:r>
        <w:rPr>
          <w:rFonts w:hint="eastAsia" w:asciiTheme="majorEastAsia" w:hAnsiTheme="majorEastAsia" w:eastAsiaTheme="majorEastAsia"/>
          <w:szCs w:val="21"/>
        </w:rPr>
        <w:t>采购代理机构</w:t>
      </w:r>
      <w:r>
        <w:rPr>
          <w:rFonts w:asciiTheme="majorEastAsia" w:hAnsiTheme="majorEastAsia" w:eastAsiaTheme="majorEastAsia"/>
          <w:szCs w:val="21"/>
        </w:rPr>
        <w:t>提出。 监督电话：0755-83948143。</w:t>
      </w:r>
      <w:r>
        <w:rPr>
          <w:rFonts w:hint="eastAsia" w:asciiTheme="majorEastAsia" w:hAnsiTheme="majorEastAsia" w:eastAsiaTheme="majorEastAsia"/>
          <w:szCs w:val="21"/>
        </w:rPr>
        <w:t>若在公示期内未提出质疑，则视为认同该评审结果。</w:t>
      </w:r>
    </w:p>
    <w:bookmarkEnd w:id="55"/>
    <w:p w14:paraId="6037794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40.2质疑、投诉供应商应保证质疑、投诉内容的真实性和可靠性，并承担相应的法律责任。</w:t>
      </w:r>
    </w:p>
    <w:p w14:paraId="2E85B22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41．中标通知书</w:t>
      </w:r>
    </w:p>
    <w:p w14:paraId="71CF2D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w:t>
      </w:r>
      <w:r>
        <w:rPr>
          <w:rFonts w:hint="eastAsia" w:asciiTheme="majorEastAsia" w:hAnsiTheme="majorEastAsia" w:eastAsiaTheme="majorEastAsia"/>
          <w:szCs w:val="21"/>
        </w:rPr>
        <w:t>1</w:t>
      </w:r>
      <w:bookmarkStart w:id="56" w:name="_Hlk72438863"/>
      <w:r>
        <w:rPr>
          <w:rFonts w:hint="eastAsia" w:asciiTheme="majorEastAsia" w:hAnsiTheme="majorEastAsia" w:eastAsiaTheme="majorEastAsia"/>
          <w:szCs w:val="21"/>
        </w:rPr>
        <w:t>中标公告公布以后无异常的情况下,采购代理机构将向中标供应商和采购人发出中标通知书。</w:t>
      </w:r>
      <w:bookmarkEnd w:id="56"/>
    </w:p>
    <w:p w14:paraId="40CBE6A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.2</w:t>
      </w:r>
      <w:r>
        <w:rPr>
          <w:rFonts w:hint="eastAsia" w:asciiTheme="majorEastAsia" w:hAnsiTheme="majorEastAsia" w:eastAsiaTheme="majorEastAsia"/>
          <w:szCs w:val="21"/>
        </w:rPr>
        <w:t>中标通知书是合同的重要组成部分。</w:t>
      </w:r>
    </w:p>
    <w:p w14:paraId="4273479C">
      <w:pPr>
        <w:spacing w:line="360" w:lineRule="auto"/>
        <w:ind w:firstLine="411" w:firstLineChars="196"/>
        <w:rPr>
          <w:rFonts w:asciiTheme="majorEastAsia" w:hAnsiTheme="majorEastAsia" w:eastAsiaTheme="majorEastAsia"/>
          <w:szCs w:val="21"/>
        </w:rPr>
      </w:pPr>
      <w:bookmarkStart w:id="57" w:name="_Hlk71407340"/>
      <w:r>
        <w:rPr>
          <w:rFonts w:hint="eastAsia" w:asciiTheme="majorEastAsia" w:hAnsiTheme="majorEastAsia" w:eastAsiaTheme="majorEastAsia"/>
          <w:szCs w:val="21"/>
        </w:rPr>
        <w:t>41.3因质疑投诉或其它原因导致项目结果变更或采购终止的，采购代理机构有权吊销中标通知书。</w:t>
      </w:r>
    </w:p>
    <w:p w14:paraId="44EABEBC">
      <w:pPr>
        <w:spacing w:line="360" w:lineRule="auto"/>
        <w:ind w:firstLine="411" w:firstLineChars="196"/>
        <w:rPr>
          <w:rFonts w:hint="eastAsia" w:asciiTheme="majorEastAsia" w:hAnsiTheme="majorEastAsia" w:eastAsiaTheme="majorEastAsia"/>
          <w:szCs w:val="21"/>
          <w:lang w:eastAsia="zh-CN"/>
        </w:rPr>
      </w:pPr>
      <w:r>
        <w:rPr>
          <w:rFonts w:hint="eastAsia" w:asciiTheme="majorEastAsia" w:hAnsiTheme="majorEastAsia" w:eastAsiaTheme="majorEastAsia"/>
          <w:szCs w:val="21"/>
        </w:rPr>
        <w:t>41.4</w:t>
      </w:r>
      <w:r>
        <w:rPr>
          <w:rFonts w:hint="eastAsia" w:asciiTheme="majorEastAsia" w:hAnsiTheme="majorEastAsia" w:eastAsiaTheme="majorEastAsia"/>
          <w:szCs w:val="21"/>
          <w:lang w:eastAsia="zh-CN"/>
        </w:rPr>
        <w:t>代理服务费</w:t>
      </w:r>
    </w:p>
    <w:p w14:paraId="6CF695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中标人须在中标公告公示期结束后，向采购代理机构缴纳</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4660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08538546">
            <w:pPr>
              <w:spacing w:line="360" w:lineRule="auto"/>
              <w:ind w:firstLine="1629" w:firstLineChars="776"/>
              <w:rPr>
                <w:rFonts w:asciiTheme="majorEastAsia" w:hAnsiTheme="majorEastAsia" w:eastAsiaTheme="majorEastAsia"/>
                <w:b/>
                <w:szCs w:val="21"/>
              </w:rPr>
            </w:pPr>
            <w:r>
              <w:rPr>
                <w:rFonts w:asciiTheme="majorEastAsia" w:hAnsiTheme="majorEastAsia" w:eastAsiaTheme="majorEastAsia"/>
                <w:szCs w:val="21"/>
              </w:rPr>
              <w:pict>
                <v:line id="_x0000_s2052" o:spid="_x0000_s2052" o:spt="20" style="position:absolute;left:0pt;flip:x y;margin-left:-1.5pt;margin-top:34.35pt;height:31.05pt;width:136.5pt;z-index:251661312;mso-width-relative:page;mso-height-relative:page;"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lQLG1AAAAAkBAAAPAAAAAAAAAAEAIAAAACIAAABkcnMvZG93&#10;bnJldi54bWxQSwECFAAUAAAACACHTuJA5DiR7gQCAAD/AwAADgAAAAAAAAABACAAAAAjAQAAZHJz&#10;L2Uyb0RvYy54bWxQSwUGAAAAAAYABgBZAQAAmQUAAAAA&#10;">
                  <v:path arrowok="t"/>
                  <v:fill focussize="0,0"/>
                  <v:stroke/>
                  <v:imagedata o:title=""/>
                  <o:lock v:ext="edit"/>
                </v:line>
              </w:pict>
            </w:r>
            <w:r>
              <w:rPr>
                <w:rFonts w:asciiTheme="majorEastAsia" w:hAnsiTheme="majorEastAsia" w:eastAsiaTheme="majorEastAsia"/>
                <w:szCs w:val="21"/>
              </w:rPr>
              <w:pict>
                <v:line id="_x0000_s2051" o:spid="_x0000_s2051" o:spt="20" style="position:absolute;left:0pt;flip:x y;margin-left:30.9pt;margin-top:2.5pt;height:62.9pt;width:104.1pt;z-index:251660288;mso-width-relative:page;mso-height-relative:page;"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tdP1dMAAAAIAQAADwAAAAAAAAABACAAAAAiAAAAZHJzL2Rvd25yZXYu&#10;eG1sUEsBAhQAFAAAAAgAh07iQPjl/UYAAgAA/wMAAA4AAAAAAAAAAQAgAAAAIgEAAGRycy9lMm9E&#10;b2MueG1sUEsFBgAAAAAGAAYAWQEAAJQFAAAAAA==&#10;">
                  <v:path arrowok="t"/>
                  <v:fill focussize="0,0"/>
                  <v:stroke/>
                  <v:imagedata o:title=""/>
                  <o:lock v:ext="edit"/>
                </v:line>
              </w:pict>
            </w:r>
            <w:r>
              <w:rPr>
                <w:rFonts w:asciiTheme="majorEastAsia" w:hAnsiTheme="majorEastAsia" w:eastAsiaTheme="majorEastAsia"/>
                <w:szCs w:val="21"/>
              </w:rPr>
              <w:pict>
                <v:line id="_x0000_s2050" o:spid="_x0000_s2050" o:spt="20" style="position:absolute;left:0pt;margin-left:-9pt;margin-top:-0.5pt;height:0pt;width:0.05pt;z-index:251662336;mso-width-relative:page;mso-height-relative:page;"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R037V&#10;AAAACQEAAA8AAAAAAAAAAQAgAAAAIgAAAGRycy9kb3ducmV2LnhtbFBLAQIUABQAAAAIAIdO4kCU&#10;Y33D6gEAAOADAAAOAAAAAAAAAAEAIAAAACQBAABkcnMvZTJvRG9jLnhtbFBLBQYAAAAABgAGAFkB&#10;AACABQAAAAA=&#10;">
                  <v:path arrowok="t"/>
                  <v:fill focussize="0,0"/>
                  <v:stroke/>
                  <v:imagedata o:title=""/>
                  <o:lock v:ext="edit"/>
                </v:line>
              </w:pict>
            </w:r>
            <w:r>
              <w:rPr>
                <w:rFonts w:hint="eastAsia" w:asciiTheme="majorEastAsia" w:hAnsiTheme="majorEastAsia" w:eastAsiaTheme="majorEastAsia"/>
                <w:b/>
                <w:szCs w:val="21"/>
              </w:rPr>
              <w:t>服务类型</w:t>
            </w:r>
          </w:p>
          <w:p w14:paraId="0A9B9151">
            <w:pPr>
              <w:spacing w:line="360" w:lineRule="auto"/>
              <w:ind w:firstLine="637" w:firstLineChars="302"/>
              <w:rPr>
                <w:rFonts w:asciiTheme="majorEastAsia" w:hAnsiTheme="majorEastAsia" w:eastAsiaTheme="majorEastAsia"/>
                <w:b/>
                <w:szCs w:val="21"/>
              </w:rPr>
            </w:pPr>
            <w:r>
              <w:rPr>
                <w:rFonts w:hint="eastAsia" w:asciiTheme="majorEastAsia" w:hAnsiTheme="majorEastAsia" w:eastAsiaTheme="majorEastAsia"/>
                <w:b/>
                <w:szCs w:val="21"/>
              </w:rPr>
              <w:t>费率　　　　　</w:t>
            </w:r>
          </w:p>
          <w:p w14:paraId="680DD8E7">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中标金额（万元）</w:t>
            </w:r>
          </w:p>
        </w:tc>
        <w:tc>
          <w:tcPr>
            <w:tcW w:w="2027" w:type="dxa"/>
            <w:vAlign w:val="center"/>
          </w:tcPr>
          <w:p w14:paraId="29CD1A3B">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货物招标</w:t>
            </w:r>
          </w:p>
        </w:tc>
        <w:tc>
          <w:tcPr>
            <w:tcW w:w="2158" w:type="dxa"/>
            <w:vAlign w:val="center"/>
          </w:tcPr>
          <w:p w14:paraId="2E1BF4D3">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服务招标</w:t>
            </w:r>
          </w:p>
        </w:tc>
        <w:tc>
          <w:tcPr>
            <w:tcW w:w="2158" w:type="dxa"/>
            <w:vAlign w:val="center"/>
          </w:tcPr>
          <w:p w14:paraId="18A9A2D6">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工程招标</w:t>
            </w:r>
          </w:p>
        </w:tc>
      </w:tr>
      <w:tr w14:paraId="78BC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F6DEA7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以下</w:t>
            </w:r>
          </w:p>
        </w:tc>
        <w:tc>
          <w:tcPr>
            <w:tcW w:w="2027" w:type="dxa"/>
            <w:vAlign w:val="center"/>
          </w:tcPr>
          <w:p w14:paraId="52BC5359">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31F16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0FD7DD21">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1.000%</w:t>
            </w:r>
          </w:p>
        </w:tc>
      </w:tr>
      <w:tr w14:paraId="6E93D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C492C1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w:t>
            </w:r>
            <w:r>
              <w:rPr>
                <w:rFonts w:asciiTheme="majorEastAsia" w:hAnsiTheme="majorEastAsia" w:eastAsiaTheme="majorEastAsia"/>
                <w:szCs w:val="21"/>
              </w:rPr>
              <w:t>500</w:t>
            </w:r>
          </w:p>
        </w:tc>
        <w:tc>
          <w:tcPr>
            <w:tcW w:w="2027" w:type="dxa"/>
            <w:vAlign w:val="center"/>
          </w:tcPr>
          <w:p w14:paraId="666B6C3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1.100%</w:t>
            </w:r>
          </w:p>
        </w:tc>
        <w:tc>
          <w:tcPr>
            <w:tcW w:w="2158" w:type="dxa"/>
            <w:vAlign w:val="center"/>
          </w:tcPr>
          <w:p w14:paraId="01CAF80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1724444E">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0.700%</w:t>
            </w:r>
          </w:p>
        </w:tc>
      </w:tr>
      <w:tr w14:paraId="37FE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B89556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000</w:t>
            </w:r>
          </w:p>
        </w:tc>
        <w:tc>
          <w:tcPr>
            <w:tcW w:w="2027" w:type="dxa"/>
            <w:vAlign w:val="center"/>
          </w:tcPr>
          <w:p w14:paraId="66E4AE7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15B23B9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0.450%</w:t>
            </w:r>
          </w:p>
        </w:tc>
        <w:tc>
          <w:tcPr>
            <w:tcW w:w="2158" w:type="dxa"/>
            <w:vAlign w:val="center"/>
          </w:tcPr>
          <w:p w14:paraId="076FCE90">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0.550%</w:t>
            </w:r>
          </w:p>
        </w:tc>
      </w:tr>
      <w:tr w14:paraId="5482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6C7BCD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w:t>
            </w:r>
            <w:r>
              <w:rPr>
                <w:rFonts w:asciiTheme="majorEastAsia" w:hAnsiTheme="majorEastAsia" w:eastAsiaTheme="majorEastAsia"/>
                <w:szCs w:val="21"/>
              </w:rPr>
              <w:t>5</w:t>
            </w:r>
            <w:r>
              <w:rPr>
                <w:rFonts w:hint="eastAsia" w:asciiTheme="majorEastAsia" w:hAnsiTheme="majorEastAsia" w:eastAsiaTheme="majorEastAsia"/>
                <w:szCs w:val="21"/>
              </w:rPr>
              <w:t>000</w:t>
            </w:r>
          </w:p>
        </w:tc>
        <w:tc>
          <w:tcPr>
            <w:tcW w:w="2027" w:type="dxa"/>
            <w:vAlign w:val="center"/>
          </w:tcPr>
          <w:p w14:paraId="67F515B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0.500%</w:t>
            </w:r>
          </w:p>
        </w:tc>
        <w:tc>
          <w:tcPr>
            <w:tcW w:w="2158" w:type="dxa"/>
            <w:vAlign w:val="center"/>
          </w:tcPr>
          <w:p w14:paraId="5FA529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61FE2B2E">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0.350%</w:t>
            </w:r>
          </w:p>
        </w:tc>
      </w:tr>
      <w:tr w14:paraId="5E8F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0C7D672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w:t>
            </w:r>
            <w:r>
              <w:rPr>
                <w:rFonts w:asciiTheme="majorEastAsia" w:hAnsiTheme="majorEastAsia" w:eastAsiaTheme="majorEastAsia"/>
                <w:szCs w:val="21"/>
              </w:rPr>
              <w:t>1</w:t>
            </w:r>
            <w:r>
              <w:rPr>
                <w:rFonts w:hint="eastAsia" w:asciiTheme="majorEastAsia" w:hAnsiTheme="majorEastAsia" w:eastAsiaTheme="majorEastAsia"/>
                <w:szCs w:val="21"/>
              </w:rPr>
              <w:t>0000</w:t>
            </w:r>
          </w:p>
        </w:tc>
        <w:tc>
          <w:tcPr>
            <w:tcW w:w="2027" w:type="dxa"/>
            <w:vAlign w:val="center"/>
          </w:tcPr>
          <w:p w14:paraId="3E8097B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719ECE5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0.100%</w:t>
            </w:r>
          </w:p>
        </w:tc>
        <w:tc>
          <w:tcPr>
            <w:tcW w:w="2158" w:type="dxa"/>
            <w:vAlign w:val="center"/>
          </w:tcPr>
          <w:p w14:paraId="3F15E06B">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0.200%</w:t>
            </w:r>
          </w:p>
        </w:tc>
      </w:tr>
      <w:tr w14:paraId="46126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30FED40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0000～</w:t>
            </w:r>
            <w:r>
              <w:rPr>
                <w:rFonts w:asciiTheme="majorEastAsia" w:hAnsiTheme="majorEastAsia" w:eastAsiaTheme="majorEastAsia"/>
                <w:szCs w:val="21"/>
              </w:rPr>
              <w:t>5</w:t>
            </w:r>
            <w:r>
              <w:rPr>
                <w:rFonts w:hint="eastAsia" w:asciiTheme="majorEastAsia" w:hAnsiTheme="majorEastAsia" w:eastAsiaTheme="majorEastAsia"/>
                <w:szCs w:val="21"/>
              </w:rPr>
              <w:t>0000</w:t>
            </w:r>
          </w:p>
        </w:tc>
        <w:tc>
          <w:tcPr>
            <w:tcW w:w="2027" w:type="dxa"/>
            <w:vAlign w:val="center"/>
          </w:tcPr>
          <w:p w14:paraId="532C111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662C293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780E35DA">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0.050%</w:t>
            </w:r>
          </w:p>
        </w:tc>
      </w:tr>
      <w:tr w14:paraId="24EE4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959DF7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0000～</w:t>
            </w:r>
            <w:r>
              <w:rPr>
                <w:rFonts w:asciiTheme="majorEastAsia" w:hAnsiTheme="majorEastAsia" w:eastAsiaTheme="majorEastAsia"/>
                <w:szCs w:val="21"/>
              </w:rPr>
              <w:t>10</w:t>
            </w:r>
            <w:r>
              <w:rPr>
                <w:rFonts w:hint="eastAsia" w:asciiTheme="majorEastAsia" w:hAnsiTheme="majorEastAsia" w:eastAsiaTheme="majorEastAsia"/>
                <w:szCs w:val="21"/>
              </w:rPr>
              <w:t>0000</w:t>
            </w:r>
          </w:p>
        </w:tc>
        <w:tc>
          <w:tcPr>
            <w:tcW w:w="2027" w:type="dxa"/>
            <w:vAlign w:val="center"/>
          </w:tcPr>
          <w:p w14:paraId="65F021D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397C7B5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5BCBC7AF">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0.035%</w:t>
            </w:r>
          </w:p>
        </w:tc>
      </w:tr>
      <w:tr w14:paraId="3FC4D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45DB01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0000～</w:t>
            </w:r>
            <w:r>
              <w:rPr>
                <w:rFonts w:asciiTheme="majorEastAsia" w:hAnsiTheme="majorEastAsia" w:eastAsiaTheme="majorEastAsia"/>
                <w:szCs w:val="21"/>
              </w:rPr>
              <w:t>50</w:t>
            </w:r>
            <w:r>
              <w:rPr>
                <w:rFonts w:hint="eastAsia" w:asciiTheme="majorEastAsia" w:hAnsiTheme="majorEastAsia" w:eastAsiaTheme="majorEastAsia"/>
                <w:szCs w:val="21"/>
              </w:rPr>
              <w:t>0000</w:t>
            </w:r>
          </w:p>
        </w:tc>
        <w:tc>
          <w:tcPr>
            <w:tcW w:w="2027" w:type="dxa"/>
            <w:vAlign w:val="center"/>
          </w:tcPr>
          <w:p w14:paraId="247AC84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78774BF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1C411D0D">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0.008%</w:t>
            </w:r>
          </w:p>
        </w:tc>
      </w:tr>
      <w:tr w14:paraId="2C12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710D9E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w:t>
            </w:r>
            <w:r>
              <w:rPr>
                <w:rFonts w:hint="eastAsia" w:asciiTheme="majorEastAsia" w:hAnsiTheme="majorEastAsia" w:eastAsiaTheme="majorEastAsia"/>
                <w:szCs w:val="21"/>
              </w:rPr>
              <w:t>0000～</w:t>
            </w:r>
            <w:r>
              <w:rPr>
                <w:rFonts w:asciiTheme="majorEastAsia" w:hAnsiTheme="majorEastAsia" w:eastAsiaTheme="majorEastAsia"/>
                <w:szCs w:val="21"/>
              </w:rPr>
              <w:t>100</w:t>
            </w:r>
            <w:r>
              <w:rPr>
                <w:rFonts w:hint="eastAsia" w:asciiTheme="majorEastAsia" w:hAnsiTheme="majorEastAsia" w:eastAsiaTheme="majorEastAsia"/>
                <w:szCs w:val="21"/>
              </w:rPr>
              <w:t>0000</w:t>
            </w:r>
          </w:p>
        </w:tc>
        <w:tc>
          <w:tcPr>
            <w:tcW w:w="2027" w:type="dxa"/>
            <w:vAlign w:val="center"/>
          </w:tcPr>
          <w:p w14:paraId="778D081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25234B1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04D3D749">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0.006%</w:t>
            </w:r>
          </w:p>
        </w:tc>
      </w:tr>
      <w:tr w14:paraId="5525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2C21AE6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0000以上</w:t>
            </w:r>
          </w:p>
        </w:tc>
        <w:tc>
          <w:tcPr>
            <w:tcW w:w="2027" w:type="dxa"/>
            <w:vAlign w:val="center"/>
          </w:tcPr>
          <w:p w14:paraId="6A8E694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7D99CD4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1D0E3284">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0.004%</w:t>
            </w:r>
          </w:p>
        </w:tc>
      </w:tr>
    </w:tbl>
    <w:p w14:paraId="5D4DD295">
      <w:pPr>
        <w:spacing w:line="360" w:lineRule="auto"/>
        <w:ind w:firstLine="411" w:firstLineChars="196"/>
        <w:rPr>
          <w:rFonts w:asciiTheme="majorEastAsia" w:hAnsiTheme="majorEastAsia" w:eastAsiaTheme="majorEastAsia"/>
          <w:szCs w:val="21"/>
        </w:rPr>
      </w:pPr>
    </w:p>
    <w:bookmarkEnd w:id="57"/>
    <w:p w14:paraId="3561AD6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公开招标失败的后续处理</w:t>
      </w:r>
    </w:p>
    <w:p w14:paraId="0968AF9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42．公开招标失败的处理</w:t>
      </w:r>
    </w:p>
    <w:p w14:paraId="4BC1858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42.1本项目公开招标过程中若由于投标截止后实际递交</w:t>
      </w:r>
      <w:r>
        <w:rPr>
          <w:rFonts w:asciiTheme="majorEastAsia" w:hAnsiTheme="majorEastAsia" w:eastAsiaTheme="majorEastAsia"/>
          <w:szCs w:val="21"/>
        </w:rPr>
        <w:t>投标</w:t>
      </w:r>
      <w:r>
        <w:rPr>
          <w:rFonts w:hint="eastAsia" w:asciiTheme="majorEastAsia" w:hAnsiTheme="majorEastAsia" w:eastAsiaTheme="majorEastAsia"/>
          <w:szCs w:val="21"/>
        </w:rPr>
        <w:t>文件的供应商数量不足、经评审委员会评审对招标文件作实质响应的供应商不足等原因造成公开招标失败，可由</w:t>
      </w:r>
      <w:r>
        <w:rPr>
          <w:rFonts w:hint="eastAsia" w:cs="宋体" w:asciiTheme="majorEastAsia" w:hAnsiTheme="majorEastAsia" w:eastAsiaTheme="majorEastAsia"/>
          <w:szCs w:val="21"/>
        </w:rPr>
        <w:t>采购代理机构</w:t>
      </w:r>
      <w:r>
        <w:rPr>
          <w:rFonts w:hint="eastAsia" w:asciiTheme="majorEastAsia" w:hAnsiTheme="majorEastAsia" w:eastAsiaTheme="majorEastAsia"/>
          <w:szCs w:val="21"/>
        </w:rPr>
        <w:t>重新组织采购。</w:t>
      </w:r>
    </w:p>
    <w:p w14:paraId="433C664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42.2对公开招标失败的项目，评审委员会在出具该项目招标失败结论的同时，可以提出重新采购组织形式的建议，以及进一步完善招标文件的资格、技术、商务要求的修改建议。</w:t>
      </w:r>
    </w:p>
    <w:p w14:paraId="13F9C1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42.3重新组织采购有以下两种组织形式：</w:t>
      </w:r>
    </w:p>
    <w:p w14:paraId="2CAF271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（1）由采购代理机构重新组织公开招标；</w:t>
      </w:r>
    </w:p>
    <w:p w14:paraId="026A852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（2）根据实际情况需要向同级财政部门提出非公开招标方式申请的，经同级财政部门批准，公开招标失败采购项目可转为竞争性谈判或单一来源谈判方式采购。</w:t>
      </w:r>
    </w:p>
    <w:p w14:paraId="0483912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42.4公开招标失败的采购项目重新组织公开招标，由采购代理机构重新按公开招标流程组织采购活动。</w:t>
      </w:r>
    </w:p>
    <w:p w14:paraId="7FB0ACA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42.5公开招标失败的采购项目经同级财政部门批准转为竞争性谈判或单一来源谈判方式采购的，按规定要求组织政府采购工作。</w:t>
      </w:r>
    </w:p>
    <w:p w14:paraId="0CB78C21">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58" w:name="_Hlk72439043"/>
      <w:r>
        <w:rPr>
          <w:rFonts w:hint="eastAsia" w:asciiTheme="majorEastAsia" w:hAnsiTheme="majorEastAsia" w:eastAsiaTheme="majorEastAsia"/>
          <w:b/>
          <w:bCs/>
          <w:kern w:val="0"/>
          <w:sz w:val="28"/>
          <w:szCs w:val="28"/>
        </w:rPr>
        <w:t>合同的授予与备案</w:t>
      </w:r>
      <w:bookmarkEnd w:id="58"/>
    </w:p>
    <w:p w14:paraId="154D94C9">
      <w:pPr>
        <w:spacing w:line="360" w:lineRule="auto"/>
        <w:rPr>
          <w:rFonts w:asciiTheme="majorEastAsia" w:hAnsiTheme="majorEastAsia" w:eastAsiaTheme="majorEastAsia"/>
          <w:b/>
          <w:bCs/>
          <w:szCs w:val="21"/>
        </w:rPr>
      </w:pPr>
      <w:bookmarkStart w:id="59" w:name="_Toc73518157"/>
      <w:bookmarkStart w:id="60" w:name="_Toc73521586"/>
      <w:bookmarkStart w:id="61" w:name="_Toc73517679"/>
      <w:bookmarkStart w:id="62" w:name="_Toc73521674"/>
      <w:bookmarkStart w:id="63" w:name="_Toc100052408"/>
      <w:bookmarkStart w:id="64" w:name="_Hlk72439088"/>
      <w:r>
        <w:rPr>
          <w:rFonts w:hint="eastAsia" w:asciiTheme="majorEastAsia" w:hAnsiTheme="majorEastAsia" w:eastAsiaTheme="majorEastAsia"/>
          <w:b/>
          <w:bCs/>
          <w:szCs w:val="21"/>
        </w:rPr>
        <w:t>43．合同授予标准</w:t>
      </w:r>
      <w:bookmarkEnd w:id="59"/>
      <w:bookmarkEnd w:id="60"/>
      <w:bookmarkEnd w:id="61"/>
      <w:bookmarkEnd w:id="62"/>
      <w:bookmarkEnd w:id="63"/>
    </w:p>
    <w:p w14:paraId="6F5893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本项目的合同将授予经本招标文件规定评审确定的中标供应商。</w:t>
      </w:r>
    </w:p>
    <w:p w14:paraId="195BD9AC">
      <w:pPr>
        <w:spacing w:line="360" w:lineRule="auto"/>
        <w:rPr>
          <w:rFonts w:asciiTheme="majorEastAsia" w:hAnsiTheme="majorEastAsia" w:eastAsiaTheme="majorEastAsia"/>
          <w:b/>
          <w:bCs/>
          <w:szCs w:val="21"/>
        </w:rPr>
      </w:pPr>
      <w:bookmarkStart w:id="65" w:name="_Toc73521675"/>
      <w:bookmarkStart w:id="66" w:name="_Toc73521587"/>
      <w:bookmarkStart w:id="67" w:name="_Toc73518158"/>
      <w:bookmarkStart w:id="68" w:name="_Toc73517680"/>
      <w:bookmarkStart w:id="69" w:name="_Toc100052409"/>
      <w:r>
        <w:rPr>
          <w:rFonts w:hint="eastAsia" w:asciiTheme="majorEastAsia" w:hAnsiTheme="majorEastAsia" w:eastAsiaTheme="majorEastAsia"/>
          <w:b/>
          <w:bCs/>
          <w:szCs w:val="21"/>
        </w:rPr>
        <w:t>44．</w:t>
      </w:r>
      <w:bookmarkEnd w:id="65"/>
      <w:bookmarkEnd w:id="66"/>
      <w:bookmarkEnd w:id="67"/>
      <w:bookmarkEnd w:id="68"/>
      <w:bookmarkEnd w:id="69"/>
      <w:r>
        <w:rPr>
          <w:rFonts w:hint="eastAsia" w:asciiTheme="majorEastAsia" w:hAnsiTheme="majorEastAsia" w:eastAsiaTheme="majorEastAsia"/>
          <w:b/>
          <w:bCs/>
          <w:szCs w:val="21"/>
        </w:rPr>
        <w:t>接受和拒绝任何或所有投标的权力</w:t>
      </w:r>
    </w:p>
    <w:p w14:paraId="3093427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73536E03">
      <w:pPr>
        <w:spacing w:line="360" w:lineRule="auto"/>
        <w:rPr>
          <w:rFonts w:asciiTheme="majorEastAsia" w:hAnsiTheme="majorEastAsia" w:eastAsiaTheme="majorEastAsia"/>
          <w:b/>
          <w:bCs/>
          <w:szCs w:val="21"/>
        </w:rPr>
      </w:pPr>
      <w:bookmarkStart w:id="70" w:name="_Toc73521677"/>
      <w:bookmarkStart w:id="71" w:name="_Toc73517682"/>
      <w:bookmarkStart w:id="72" w:name="_Toc73518160"/>
      <w:bookmarkStart w:id="73" w:name="_Toc73521589"/>
      <w:bookmarkStart w:id="74" w:name="_Toc100052410"/>
      <w:r>
        <w:rPr>
          <w:rFonts w:hint="eastAsia" w:asciiTheme="majorEastAsia" w:hAnsiTheme="majorEastAsia" w:eastAsiaTheme="majorEastAsia"/>
          <w:b/>
          <w:bCs/>
          <w:szCs w:val="21"/>
        </w:rPr>
        <w:t>45．合同的签订</w:t>
      </w:r>
      <w:bookmarkEnd w:id="70"/>
      <w:bookmarkEnd w:id="71"/>
      <w:bookmarkEnd w:id="72"/>
      <w:bookmarkEnd w:id="73"/>
      <w:bookmarkEnd w:id="74"/>
    </w:p>
    <w:p w14:paraId="5772B92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45.1中标人将于中标通知书发出之日起十个工作日内，按照采购文件（招标文件和投标文件等）内容与采购人签订政府采购合同；合同的实质性内容应当符合招标文件的规定；</w:t>
      </w:r>
    </w:p>
    <w:p w14:paraId="45122A8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45.2中标人如不按本通用条款第45</w:t>
      </w:r>
      <w:r>
        <w:rPr>
          <w:rFonts w:asciiTheme="majorEastAsia" w:hAnsiTheme="majorEastAsia" w:eastAsiaTheme="majorEastAsia"/>
          <w:szCs w:val="21"/>
        </w:rPr>
        <w:t>.1</w:t>
      </w:r>
      <w:r>
        <w:rPr>
          <w:rFonts w:hint="eastAsia" w:asciiTheme="majorEastAsia" w:hAnsiTheme="majorEastAsia" w:eastAsiaTheme="majorEastAsia"/>
          <w:szCs w:val="21"/>
        </w:rPr>
        <w:t>款的规定与采购人签订合同，</w:t>
      </w:r>
      <w:r>
        <w:rPr>
          <w:rFonts w:cs="宋体" w:asciiTheme="majorEastAsia" w:hAnsiTheme="majorEastAsia" w:eastAsiaTheme="majorEastAsia"/>
          <w:szCs w:val="21"/>
        </w:rPr>
        <w:t>情节严重的，由</w:t>
      </w:r>
      <w:r>
        <w:rPr>
          <w:rFonts w:hint="eastAsia" w:cs="宋体" w:asciiTheme="majorEastAsia" w:hAnsiTheme="majorEastAsia" w:eastAsiaTheme="majorEastAsia"/>
          <w:szCs w:val="21"/>
        </w:rPr>
        <w:t>同级财政</w:t>
      </w:r>
      <w:r>
        <w:rPr>
          <w:rFonts w:cs="宋体" w:asciiTheme="majorEastAsia" w:hAnsiTheme="majorEastAsia" w:eastAsiaTheme="majorEastAsia"/>
          <w:szCs w:val="21"/>
        </w:rPr>
        <w:t>部门记入供应商诚信档案，予以通报</w:t>
      </w:r>
      <w:r>
        <w:rPr>
          <w:rFonts w:hint="eastAsia" w:asciiTheme="majorEastAsia" w:hAnsiTheme="majorEastAsia" w:eastAsiaTheme="majorEastAsia"/>
          <w:szCs w:val="21"/>
        </w:rPr>
        <w:t>；</w:t>
      </w:r>
    </w:p>
    <w:p w14:paraId="7FAB160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45.3中标人应当按照合同约定履行义务，完成中标项目，不得将中标项目转让（转包）给他人。</w:t>
      </w:r>
    </w:p>
    <w:p w14:paraId="447E5DC8">
      <w:pPr>
        <w:spacing w:line="360" w:lineRule="auto"/>
        <w:rPr>
          <w:rFonts w:asciiTheme="majorEastAsia" w:hAnsiTheme="majorEastAsia" w:eastAsiaTheme="majorEastAsia"/>
          <w:b/>
          <w:bCs/>
          <w:szCs w:val="21"/>
        </w:rPr>
      </w:pPr>
      <w:bookmarkStart w:id="75" w:name="_Toc100052411"/>
      <w:bookmarkStart w:id="76" w:name="_Toc73521678"/>
      <w:bookmarkStart w:id="77" w:name="_Toc73521590"/>
      <w:bookmarkStart w:id="78" w:name="_Toc73517683"/>
      <w:bookmarkStart w:id="79" w:name="_Toc73518161"/>
      <w:r>
        <w:rPr>
          <w:rFonts w:hint="eastAsia" w:asciiTheme="majorEastAsia" w:hAnsiTheme="majorEastAsia" w:eastAsiaTheme="majorEastAsia"/>
          <w:b/>
          <w:bCs/>
          <w:szCs w:val="21"/>
        </w:rPr>
        <w:t>46．履约担保</w:t>
      </w:r>
      <w:bookmarkEnd w:id="75"/>
      <w:bookmarkEnd w:id="76"/>
      <w:bookmarkEnd w:id="77"/>
      <w:bookmarkEnd w:id="78"/>
      <w:bookmarkEnd w:id="79"/>
    </w:p>
    <w:p w14:paraId="6FFA05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46.1在签订项目合同的同时，中标人应按“对通用条款的补充内容”中规定的金额向采购人提交履约担保；</w:t>
      </w:r>
    </w:p>
    <w:p w14:paraId="086809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46.2，允许供应商自主选择以支票、汇票、本票、保函等非现金方式提交履约担保；</w:t>
      </w:r>
      <w:r>
        <w:rPr>
          <w:rFonts w:asciiTheme="majorEastAsia" w:hAnsiTheme="majorEastAsia" w:eastAsiaTheme="majorEastAsia"/>
          <w:szCs w:val="21"/>
        </w:rPr>
        <w:t>中标</w:t>
      </w:r>
      <w:r>
        <w:rPr>
          <w:rFonts w:hint="eastAsia" w:asciiTheme="majorEastAsia" w:hAnsiTheme="majorEastAsia" w:eastAsiaTheme="majorEastAsia"/>
          <w:szCs w:val="21"/>
        </w:rPr>
        <w:t>人</w:t>
      </w:r>
      <w:r>
        <w:rPr>
          <w:rFonts w:asciiTheme="majorEastAsia" w:hAnsiTheme="majorEastAsia" w:eastAsiaTheme="majorEastAsia"/>
          <w:szCs w:val="21"/>
        </w:rPr>
        <w:t>提交履约</w:t>
      </w:r>
      <w:r>
        <w:rPr>
          <w:rFonts w:hint="eastAsia" w:asciiTheme="majorEastAsia" w:hAnsiTheme="majorEastAsia" w:eastAsiaTheme="majorEastAsia"/>
          <w:szCs w:val="21"/>
        </w:rPr>
        <w:t>担保不是</w:t>
      </w:r>
      <w:r>
        <w:rPr>
          <w:rFonts w:asciiTheme="majorEastAsia" w:hAnsiTheme="majorEastAsia" w:eastAsiaTheme="majorEastAsia"/>
          <w:szCs w:val="21"/>
        </w:rPr>
        <w:t>合同签订的</w:t>
      </w:r>
      <w:r>
        <w:rPr>
          <w:rFonts w:hint="eastAsia" w:asciiTheme="majorEastAsia" w:hAnsiTheme="majorEastAsia" w:eastAsiaTheme="majorEastAsia"/>
          <w:szCs w:val="21"/>
        </w:rPr>
        <w:t>前提</w:t>
      </w:r>
      <w:r>
        <w:rPr>
          <w:rFonts w:asciiTheme="majorEastAsia" w:hAnsiTheme="majorEastAsia" w:eastAsiaTheme="majorEastAsia"/>
          <w:szCs w:val="21"/>
        </w:rPr>
        <w:t>条件，不要求中标</w:t>
      </w:r>
      <w:r>
        <w:rPr>
          <w:rFonts w:hint="eastAsia" w:asciiTheme="majorEastAsia" w:hAnsiTheme="majorEastAsia" w:eastAsiaTheme="majorEastAsia"/>
          <w:szCs w:val="21"/>
        </w:rPr>
        <w:t>人</w:t>
      </w:r>
      <w:r>
        <w:rPr>
          <w:rFonts w:asciiTheme="majorEastAsia" w:hAnsiTheme="majorEastAsia" w:eastAsiaTheme="majorEastAsia"/>
          <w:szCs w:val="21"/>
        </w:rPr>
        <w:t>提供除法律、法规明确规定外的其他担保</w:t>
      </w:r>
      <w:r>
        <w:rPr>
          <w:rFonts w:hint="eastAsia" w:asciiTheme="majorEastAsia" w:hAnsiTheme="majorEastAsia" w:eastAsiaTheme="majorEastAsia"/>
          <w:szCs w:val="21"/>
        </w:rPr>
        <w:t>。</w:t>
      </w:r>
    </w:p>
    <w:p w14:paraId="78E87E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47. 合同备案</w:t>
      </w:r>
    </w:p>
    <w:p w14:paraId="6718E4C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采购人与中标人应于合同签订之日起十日内，由采购人或委托中标人将采购合同副本抄送合同备案工作实施机构备案。</w:t>
      </w:r>
    </w:p>
    <w:p w14:paraId="7C4F071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48. 合同变更</w:t>
      </w:r>
    </w:p>
    <w:p w14:paraId="2F51F3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合同变更事宜按《深圳市财政局 深圳市政府采购中心关于进一步加强市本级政府采购合同备案管理工作的通知》（深财购〔2019〕43号）相关规定执行。</w:t>
      </w:r>
    </w:p>
    <w:p w14:paraId="7F7A1DD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49. 项目验收</w:t>
      </w:r>
    </w:p>
    <w:p w14:paraId="74A8280F">
      <w:pPr>
        <w:spacing w:line="360" w:lineRule="auto"/>
        <w:ind w:right="176" w:firstLine="420"/>
        <w:rPr>
          <w:rFonts w:asciiTheme="majorEastAsia" w:hAnsiTheme="majorEastAsia" w:eastAsiaTheme="majorEastAsia"/>
          <w:szCs w:val="21"/>
        </w:rPr>
      </w:pPr>
      <w:r>
        <w:rPr>
          <w:rFonts w:hint="eastAsia" w:asciiTheme="majorEastAsia" w:hAnsiTheme="majorEastAsia" w:eastAsiaTheme="majorEastAsia"/>
          <w:szCs w:val="21"/>
        </w:rPr>
        <w:t>49.1采购人应当按照招标文件和合同规定的标准和方法，及时组织验收。</w:t>
      </w:r>
    </w:p>
    <w:p w14:paraId="5C38CCD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50. 宣传</w:t>
      </w:r>
    </w:p>
    <w:p w14:paraId="03A0E4D2">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凡与政府采购活动有关的宣传或广告，若当中提及政府采购，</w:t>
      </w:r>
      <w:r>
        <w:rPr>
          <w:rFonts w:asciiTheme="majorEastAsia" w:hAnsiTheme="majorEastAsia" w:eastAsiaTheme="majorEastAsia"/>
          <w:szCs w:val="21"/>
        </w:rPr>
        <w:t>必须事先将具体对外宣传方案报</w:t>
      </w:r>
      <w:r>
        <w:rPr>
          <w:rFonts w:hint="eastAsia" w:asciiTheme="majorEastAsia" w:hAnsiTheme="majorEastAsia" w:eastAsiaTheme="majorEastAsia"/>
          <w:szCs w:val="21"/>
        </w:rPr>
        <w:t>同级财政部门</w:t>
      </w:r>
      <w:r>
        <w:rPr>
          <w:rFonts w:asciiTheme="majorEastAsia" w:hAnsiTheme="majorEastAsia" w:eastAsiaTheme="majorEastAsia"/>
          <w:szCs w:val="21"/>
        </w:rPr>
        <w:t>和</w:t>
      </w:r>
      <w:r>
        <w:rPr>
          <w:rFonts w:hint="eastAsia" w:asciiTheme="majorEastAsia" w:hAnsiTheme="majorEastAsia" w:eastAsiaTheme="majorEastAsia"/>
          <w:szCs w:val="21"/>
        </w:rPr>
        <w:t>采购代理机构</w:t>
      </w:r>
      <w:r>
        <w:rPr>
          <w:rFonts w:asciiTheme="majorEastAsia" w:hAnsiTheme="majorEastAsia" w:eastAsiaTheme="majorEastAsia"/>
          <w:szCs w:val="21"/>
        </w:rPr>
        <w:t>，并征得其同意。对外市场宣传包括但不限于以下形式：</w:t>
      </w:r>
    </w:p>
    <w:p w14:paraId="0898222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a.名片、宣传册、广告标语等；</w:t>
      </w:r>
    </w:p>
    <w:p w14:paraId="59435A1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b.案例介绍、推广等；</w:t>
      </w:r>
    </w:p>
    <w:p w14:paraId="1B752F1A">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c.工作</w:t>
      </w:r>
      <w:r>
        <w:rPr>
          <w:rFonts w:asciiTheme="majorEastAsia" w:hAnsiTheme="majorEastAsia" w:eastAsiaTheme="majorEastAsia"/>
          <w:szCs w:val="21"/>
        </w:rPr>
        <w:t>人员向其他消费群体宣传。</w:t>
      </w:r>
    </w:p>
    <w:p w14:paraId="5EF367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51. 供应商违法责任</w:t>
      </w:r>
    </w:p>
    <w:p w14:paraId="2A6C0FE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1.1</w:t>
      </w:r>
      <w:r>
        <w:rPr>
          <w:rFonts w:hint="eastAsia" w:asciiTheme="majorEastAsia" w:hAnsiTheme="majorEastAsia" w:eastAsiaTheme="major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3EA16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（1）在采购活动中应当回避而未回避的；</w:t>
      </w:r>
    </w:p>
    <w:p w14:paraId="09D3013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（2）未按本条例规定签订、履行采购合同，造成严重后果的；</w:t>
      </w:r>
    </w:p>
    <w:p w14:paraId="331E40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（3）隐瞒真实情况，提供虚假资料的；</w:t>
      </w:r>
    </w:p>
    <w:p w14:paraId="1BC6210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（4）以非法手段排斥其他供应商参与竞争的；</w:t>
      </w:r>
    </w:p>
    <w:p w14:paraId="07CBBD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（5）与其他采购参加人串通投标的；</w:t>
      </w:r>
    </w:p>
    <w:p w14:paraId="4910C6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（6）恶意投诉的；</w:t>
      </w:r>
    </w:p>
    <w:p w14:paraId="5C61E7A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（7）向采购项目相关人行贿或者提供其他不当利益的；</w:t>
      </w:r>
    </w:p>
    <w:p w14:paraId="18F13BC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（8）阻碍、抗拒主管部门监督检查的；</w:t>
      </w:r>
    </w:p>
    <w:p w14:paraId="20F19E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（9）其他违反本条例规定的行为。</w:t>
      </w:r>
    </w:p>
    <w:p w14:paraId="702C80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 xml:space="preserve">1.2 </w:t>
      </w:r>
      <w:r>
        <w:rPr>
          <w:rFonts w:hint="eastAsia" w:asciiTheme="majorEastAsia" w:hAnsiTheme="majorEastAsia" w:eastAsiaTheme="majorEastAsia"/>
          <w:szCs w:val="21"/>
        </w:rPr>
        <w:t>根据《深圳市财政局关于明确政府采购保证金管理工作的通知》（深财购[2019]42号）的要求，供应商在政府采购活动中出现《深圳经济特区政府采购条例实施细则》第八十四条所列情形的，</w:t>
      </w:r>
      <w:bookmarkStart w:id="80" w:name="_Hlk72440769"/>
      <w:r>
        <w:rPr>
          <w:rFonts w:hint="eastAsia" w:asciiTheme="majorEastAsia" w:hAnsiTheme="majorEastAsia" w:eastAsiaTheme="majorEastAsia"/>
          <w:szCs w:val="21"/>
        </w:rPr>
        <w:t>采购人或采购代理机构</w:t>
      </w:r>
      <w:bookmarkEnd w:id="80"/>
      <w:r>
        <w:rPr>
          <w:rFonts w:hint="eastAsia" w:asciiTheme="majorEastAsia" w:hAnsiTheme="majorEastAsia" w:eastAsiaTheme="majorEastAsia"/>
          <w:szCs w:val="21"/>
        </w:rPr>
        <w:t>可将有关情况报同级财政部门，由财政部门根据实际情况记入供应商诚信档案，予以通报：</w:t>
      </w:r>
    </w:p>
    <w:p w14:paraId="738308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）投标截止后，撤销投标的；</w:t>
      </w:r>
    </w:p>
    <w:p w14:paraId="67057DE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）中标后无正当理由未在规定期限内签订合同的；</w:t>
      </w:r>
    </w:p>
    <w:p w14:paraId="33AD450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3</w:t>
      </w:r>
      <w:r>
        <w:rPr>
          <w:rFonts w:asciiTheme="majorEastAsia" w:hAnsiTheme="majorEastAsia" w:eastAsiaTheme="majorEastAsia"/>
          <w:szCs w:val="21"/>
        </w:rPr>
        <w:t>）将中标项目转让给他人、或者在投标文件中未说明且未经采购人、采购招标机构同意，将中标项目分包给他人的；</w:t>
      </w:r>
    </w:p>
    <w:p w14:paraId="5A27B2C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4</w:t>
      </w:r>
      <w:r>
        <w:rPr>
          <w:rFonts w:asciiTheme="majorEastAsia" w:hAnsiTheme="majorEastAsia" w:eastAsiaTheme="majorEastAsia"/>
          <w:szCs w:val="21"/>
        </w:rPr>
        <w:t>）拒绝履行合同义务的</w:t>
      </w:r>
      <w:r>
        <w:rPr>
          <w:rFonts w:hint="eastAsia" w:asciiTheme="majorEastAsia" w:hAnsiTheme="majorEastAsia" w:eastAsiaTheme="majorEastAsia"/>
          <w:szCs w:val="21"/>
        </w:rPr>
        <w:t>。</w:t>
      </w:r>
    </w:p>
    <w:bookmarkEnd w:id="64"/>
    <w:p w14:paraId="6C2818F2">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质疑处理</w:t>
      </w:r>
    </w:p>
    <w:p w14:paraId="6ED6547F">
      <w:pPr>
        <w:spacing w:line="360" w:lineRule="auto"/>
        <w:rPr>
          <w:rFonts w:asciiTheme="majorEastAsia" w:hAnsiTheme="majorEastAsia" w:eastAsiaTheme="majorEastAsia"/>
          <w:b/>
          <w:bCs/>
          <w:szCs w:val="21"/>
        </w:rPr>
      </w:pPr>
      <w:bookmarkStart w:id="81" w:name="_Hlk72439706"/>
      <w:r>
        <w:rPr>
          <w:rFonts w:hint="eastAsia" w:asciiTheme="majorEastAsia" w:hAnsiTheme="majorEastAsia" w:eastAsiaTheme="majorEastAsia"/>
          <w:b/>
          <w:bCs/>
          <w:szCs w:val="21"/>
        </w:rPr>
        <w:t>52.质疑提出与答复</w:t>
      </w:r>
    </w:p>
    <w:p w14:paraId="23EDB0A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52.1提出质疑</w:t>
      </w:r>
    </w:p>
    <w:p w14:paraId="5EA7F73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7325266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52.2</w:t>
      </w:r>
      <w:r>
        <w:rPr>
          <w:rFonts w:asciiTheme="majorEastAsia" w:hAnsiTheme="majorEastAsia" w:eastAsiaTheme="majorEastAsia"/>
          <w:szCs w:val="21"/>
        </w:rPr>
        <w:t>法律依据</w:t>
      </w:r>
    </w:p>
    <w:p w14:paraId="6975576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66F96A0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52.3质疑条件</w:t>
      </w:r>
    </w:p>
    <w:p w14:paraId="13567D1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52.3.1提出质疑的供应商应当是参与所质疑项目采购活动的供应商；</w:t>
      </w:r>
      <w:bookmarkStart w:id="82" w:name="_Hlk75374941"/>
      <w:r>
        <w:rPr>
          <w:rFonts w:hint="eastAsia" w:asciiTheme="majorEastAsia" w:hAnsiTheme="majorEastAsia" w:eastAsiaTheme="majorEastAsia"/>
          <w:szCs w:val="21"/>
        </w:rPr>
        <w:t>以联合体形式参与的，质疑应当由组成联合体的所有成员共同提出</w:t>
      </w:r>
      <w:bookmarkEnd w:id="82"/>
      <w:r>
        <w:rPr>
          <w:rFonts w:hint="eastAsia" w:asciiTheme="majorEastAsia" w:hAnsiTheme="majorEastAsia" w:eastAsiaTheme="majorEastAsia"/>
          <w:szCs w:val="21"/>
        </w:rPr>
        <w:t>；</w:t>
      </w:r>
    </w:p>
    <w:p w14:paraId="247EF8E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4C013D59">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52.3.3应提交书面质疑函，质疑函应当包括以下内容：</w:t>
      </w:r>
    </w:p>
    <w:p w14:paraId="73EEC25B">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（1）供应商的名称（或者姓名）、地址、邮编、邮箱、联系人及联系电话；</w:t>
      </w:r>
    </w:p>
    <w:p w14:paraId="7EA9C98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96E8E1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64ACF2E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6C8BB53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5A95592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3EF6537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4EA6D1A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0FBA7B4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52.4提交</w:t>
      </w:r>
      <w:r>
        <w:rPr>
          <w:rFonts w:asciiTheme="majorEastAsia" w:hAnsiTheme="majorEastAsia" w:eastAsiaTheme="majorEastAsia"/>
          <w:szCs w:val="21"/>
        </w:rPr>
        <w:t>材料</w:t>
      </w:r>
    </w:p>
    <w:p w14:paraId="7C3AB03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21283F7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3EB6386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52.5提交方式</w:t>
      </w:r>
    </w:p>
    <w:p w14:paraId="5B562D15">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2.5.1</w:t>
      </w:r>
      <w:r>
        <w:rPr>
          <w:rFonts w:hint="eastAsia" w:asciiTheme="majorEastAsia" w:hAnsiTheme="majorEastAsia" w:eastAsiaTheme="majorEastAsia"/>
          <w:szCs w:val="21"/>
        </w:rPr>
        <w:t>供应商登录“深圳政府采购智慧平台用户网上办事子系统（http://zfcg.szggzy.com/TPBidder/memberLogin）”，在“【我的项目】→【项目流程】→【质疑】”中提出质疑。</w:t>
      </w:r>
    </w:p>
    <w:p w14:paraId="72574F5B">
      <w:pPr>
        <w:spacing w:line="360" w:lineRule="auto"/>
        <w:ind w:firstLine="420" w:firstLineChars="200"/>
        <w:rPr>
          <w:rFonts w:asciiTheme="majorEastAsia" w:hAnsiTheme="majorEastAsia" w:eastAsiaTheme="majorEastAsia"/>
          <w:b/>
          <w:bCs/>
          <w:szCs w:val="21"/>
        </w:rPr>
      </w:pPr>
      <w:r>
        <w:rPr>
          <w:rFonts w:hint="eastAsia" w:asciiTheme="majorEastAsia" w:hAnsiTheme="majorEastAsia" w:eastAsiaTheme="majorEastAsia"/>
          <w:szCs w:val="21"/>
        </w:rPr>
        <w:t>5</w:t>
      </w:r>
      <w:r>
        <w:rPr>
          <w:rFonts w:asciiTheme="majorEastAsia" w:hAnsiTheme="majorEastAsia" w:eastAsiaTheme="majorEastAsia"/>
          <w:szCs w:val="21"/>
        </w:rPr>
        <w:t>2.5.2</w:t>
      </w:r>
      <w:r>
        <w:rPr>
          <w:rFonts w:hint="eastAsia" w:asciiTheme="majorEastAsia" w:hAnsiTheme="majorEastAsia" w:eastAsiaTheme="majorEastAsia"/>
          <w:szCs w:val="21"/>
        </w:rPr>
        <w:t>同时，请质疑供应商根据深圳政府采购智慧平台（http://zfcg.szggzy.com/）所发布的质疑指引、质疑函模板填写质疑函并提交质疑材料。</w:t>
      </w:r>
      <w:r>
        <w:rPr>
          <w:rFonts w:hint="eastAsia" w:asciiTheme="majorEastAsia" w:hAnsiTheme="majorEastAsia" w:eastAsiaTheme="majorEastAsia"/>
          <w:bCs/>
          <w:szCs w:val="21"/>
        </w:rPr>
        <w:t>地址：深圳市中正招标有限公司（深圳市福田区民田路171号新华保险大厦903），质疑咨询电话：0755-83026699。</w:t>
      </w:r>
    </w:p>
    <w:p w14:paraId="7682383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52.6收文办理</w:t>
      </w:r>
      <w:r>
        <w:rPr>
          <w:rFonts w:asciiTheme="majorEastAsia" w:hAnsiTheme="majorEastAsia" w:eastAsiaTheme="majorEastAsia"/>
          <w:szCs w:val="21"/>
        </w:rPr>
        <w:t>程序</w:t>
      </w:r>
    </w:p>
    <w:p w14:paraId="48A81AF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0FD6776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52.6.2供应商提交的质疑材料不符合质疑条件的，视情况处理：</w:t>
      </w:r>
    </w:p>
    <w:p w14:paraId="346AEF4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1D2D2AD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42946B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6FBD7E8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5BECD44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390721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3B14097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7894837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3D597A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52.7质疑答复时限</w:t>
      </w:r>
    </w:p>
    <w:p w14:paraId="695EF90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02AC351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52.8投诉</w:t>
      </w:r>
    </w:p>
    <w:p w14:paraId="2D21F9B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81"/>
    </w:p>
    <w:p w14:paraId="04100A33">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40001" w:csb1="00000000"/>
  </w:font>
  <w:font w:name="ˎ̥">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汉仪细等线简">
    <w:altName w:val="宋体"/>
    <w:panose1 w:val="00020600040101010101"/>
    <w:charset w:val="86"/>
    <w:family w:val="modern"/>
    <w:pitch w:val="default"/>
    <w:sig w:usb0="00000000" w:usb1="00000000" w:usb2="00000012" w:usb3="00000000" w:csb0="0004009F" w:csb1="DFD7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8497"/>
    </w:sdtPr>
    <w:sdtContent>
      <w:p w14:paraId="744C42B3">
        <w:pPr>
          <w:pStyle w:val="27"/>
          <w:jc w:val="center"/>
        </w:pPr>
        <w:r>
          <w:fldChar w:fldCharType="begin"/>
        </w:r>
        <w:r>
          <w:instrText xml:space="preserve"> PAGE   \* MERGEFORMAT </w:instrText>
        </w:r>
        <w:r>
          <w:fldChar w:fldCharType="separate"/>
        </w:r>
        <w:r>
          <w:rPr>
            <w:lang w:val="zh-CN"/>
          </w:rPr>
          <w:t>32</w:t>
        </w:r>
        <w:r>
          <w:rPr>
            <w:lang w:val="zh-CN"/>
          </w:rPr>
          <w:fldChar w:fldCharType="end"/>
        </w:r>
      </w:p>
    </w:sdtContent>
  </w:sdt>
  <w:p w14:paraId="4AADD906">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53208E"/>
    <w:multiLevelType w:val="multilevel"/>
    <w:tmpl w:val="0053208E"/>
    <w:lvl w:ilvl="0" w:tentative="0">
      <w:start w:val="1"/>
      <w:numFmt w:val="japaneseCounting"/>
      <w:lvlText w:val="第%1条"/>
      <w:lvlJc w:val="left"/>
      <w:pPr>
        <w:tabs>
          <w:tab w:val="left" w:pos="0"/>
        </w:tabs>
        <w:ind w:left="885" w:hanging="885"/>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s>
  <w:rsids>
    <w:rsidRoot w:val="00103A86"/>
    <w:rsid w:val="00000F5F"/>
    <w:rsid w:val="00001526"/>
    <w:rsid w:val="00002B3E"/>
    <w:rsid w:val="000051FB"/>
    <w:rsid w:val="00010CD3"/>
    <w:rsid w:val="00010EAF"/>
    <w:rsid w:val="00013C6F"/>
    <w:rsid w:val="00013F11"/>
    <w:rsid w:val="00017B27"/>
    <w:rsid w:val="00017EF4"/>
    <w:rsid w:val="00020580"/>
    <w:rsid w:val="000210AC"/>
    <w:rsid w:val="000212B9"/>
    <w:rsid w:val="00026D62"/>
    <w:rsid w:val="0002760A"/>
    <w:rsid w:val="00031553"/>
    <w:rsid w:val="00033434"/>
    <w:rsid w:val="00035488"/>
    <w:rsid w:val="00041BD3"/>
    <w:rsid w:val="00043C69"/>
    <w:rsid w:val="00045D06"/>
    <w:rsid w:val="00047456"/>
    <w:rsid w:val="0005288D"/>
    <w:rsid w:val="00052AA5"/>
    <w:rsid w:val="00053282"/>
    <w:rsid w:val="00053E42"/>
    <w:rsid w:val="00054E39"/>
    <w:rsid w:val="00055F35"/>
    <w:rsid w:val="00056152"/>
    <w:rsid w:val="00057148"/>
    <w:rsid w:val="00072314"/>
    <w:rsid w:val="00072877"/>
    <w:rsid w:val="00076F21"/>
    <w:rsid w:val="00081E93"/>
    <w:rsid w:val="00084FFC"/>
    <w:rsid w:val="000878B9"/>
    <w:rsid w:val="00091185"/>
    <w:rsid w:val="00093911"/>
    <w:rsid w:val="00094626"/>
    <w:rsid w:val="0009519F"/>
    <w:rsid w:val="00097123"/>
    <w:rsid w:val="000A0AE2"/>
    <w:rsid w:val="000A1CCC"/>
    <w:rsid w:val="000A2349"/>
    <w:rsid w:val="000A2EEF"/>
    <w:rsid w:val="000B1F98"/>
    <w:rsid w:val="000B3600"/>
    <w:rsid w:val="000B4026"/>
    <w:rsid w:val="000B4402"/>
    <w:rsid w:val="000B4536"/>
    <w:rsid w:val="000B5D6F"/>
    <w:rsid w:val="000B7AEC"/>
    <w:rsid w:val="000B7D39"/>
    <w:rsid w:val="000C1237"/>
    <w:rsid w:val="000C2DF7"/>
    <w:rsid w:val="000C3C3C"/>
    <w:rsid w:val="000C6F22"/>
    <w:rsid w:val="000D1E66"/>
    <w:rsid w:val="000D2659"/>
    <w:rsid w:val="000D2792"/>
    <w:rsid w:val="000D3A8C"/>
    <w:rsid w:val="000D63EA"/>
    <w:rsid w:val="000D7062"/>
    <w:rsid w:val="000D7BB3"/>
    <w:rsid w:val="000E0B80"/>
    <w:rsid w:val="000E0FC1"/>
    <w:rsid w:val="000E1A4A"/>
    <w:rsid w:val="000F345B"/>
    <w:rsid w:val="000F37FF"/>
    <w:rsid w:val="000F3E6E"/>
    <w:rsid w:val="000F4129"/>
    <w:rsid w:val="000F5B06"/>
    <w:rsid w:val="000F5ECB"/>
    <w:rsid w:val="000F6BC0"/>
    <w:rsid w:val="000F74E0"/>
    <w:rsid w:val="000F7A75"/>
    <w:rsid w:val="000F7F8C"/>
    <w:rsid w:val="00100E4E"/>
    <w:rsid w:val="00101F69"/>
    <w:rsid w:val="00101F8B"/>
    <w:rsid w:val="00103A86"/>
    <w:rsid w:val="00105734"/>
    <w:rsid w:val="001069FB"/>
    <w:rsid w:val="00112114"/>
    <w:rsid w:val="001207E9"/>
    <w:rsid w:val="00123879"/>
    <w:rsid w:val="00123D47"/>
    <w:rsid w:val="00124153"/>
    <w:rsid w:val="00127F85"/>
    <w:rsid w:val="00132093"/>
    <w:rsid w:val="00135F8D"/>
    <w:rsid w:val="00136086"/>
    <w:rsid w:val="0013643E"/>
    <w:rsid w:val="00136A99"/>
    <w:rsid w:val="0013763C"/>
    <w:rsid w:val="0014134B"/>
    <w:rsid w:val="001429E4"/>
    <w:rsid w:val="001434C4"/>
    <w:rsid w:val="00144AF1"/>
    <w:rsid w:val="00144C0F"/>
    <w:rsid w:val="00146B6B"/>
    <w:rsid w:val="00154E01"/>
    <w:rsid w:val="0016001B"/>
    <w:rsid w:val="00161B46"/>
    <w:rsid w:val="00162A02"/>
    <w:rsid w:val="0016401E"/>
    <w:rsid w:val="00164645"/>
    <w:rsid w:val="00165097"/>
    <w:rsid w:val="001663AA"/>
    <w:rsid w:val="00166DC3"/>
    <w:rsid w:val="00172186"/>
    <w:rsid w:val="00173FA7"/>
    <w:rsid w:val="00176757"/>
    <w:rsid w:val="001774EA"/>
    <w:rsid w:val="001779CB"/>
    <w:rsid w:val="00177D78"/>
    <w:rsid w:val="001829DD"/>
    <w:rsid w:val="00182C14"/>
    <w:rsid w:val="00182F93"/>
    <w:rsid w:val="00183E48"/>
    <w:rsid w:val="0018445D"/>
    <w:rsid w:val="00186C13"/>
    <w:rsid w:val="0019098F"/>
    <w:rsid w:val="00190E39"/>
    <w:rsid w:val="00192FA2"/>
    <w:rsid w:val="00195091"/>
    <w:rsid w:val="001A4688"/>
    <w:rsid w:val="001A6235"/>
    <w:rsid w:val="001A7B97"/>
    <w:rsid w:val="001A7E9F"/>
    <w:rsid w:val="001B0736"/>
    <w:rsid w:val="001B182A"/>
    <w:rsid w:val="001B23DF"/>
    <w:rsid w:val="001B3E1A"/>
    <w:rsid w:val="001B78B8"/>
    <w:rsid w:val="001B792B"/>
    <w:rsid w:val="001C2A95"/>
    <w:rsid w:val="001C3BC1"/>
    <w:rsid w:val="001D297A"/>
    <w:rsid w:val="001D532C"/>
    <w:rsid w:val="001E021F"/>
    <w:rsid w:val="001E5166"/>
    <w:rsid w:val="001E63A6"/>
    <w:rsid w:val="001E670C"/>
    <w:rsid w:val="001E7EC4"/>
    <w:rsid w:val="001F2756"/>
    <w:rsid w:val="001F5DBD"/>
    <w:rsid w:val="001F646F"/>
    <w:rsid w:val="001F7F91"/>
    <w:rsid w:val="00200342"/>
    <w:rsid w:val="00201237"/>
    <w:rsid w:val="00202335"/>
    <w:rsid w:val="00202D92"/>
    <w:rsid w:val="002034C2"/>
    <w:rsid w:val="00203AC5"/>
    <w:rsid w:val="00206F1A"/>
    <w:rsid w:val="002074CD"/>
    <w:rsid w:val="002108E8"/>
    <w:rsid w:val="002135F8"/>
    <w:rsid w:val="00217A36"/>
    <w:rsid w:val="00217B3F"/>
    <w:rsid w:val="00220C5E"/>
    <w:rsid w:val="00222612"/>
    <w:rsid w:val="002300CF"/>
    <w:rsid w:val="00231DCF"/>
    <w:rsid w:val="00231E94"/>
    <w:rsid w:val="00231FB6"/>
    <w:rsid w:val="00234A66"/>
    <w:rsid w:val="002354A2"/>
    <w:rsid w:val="002418AD"/>
    <w:rsid w:val="00241C2F"/>
    <w:rsid w:val="00243E8A"/>
    <w:rsid w:val="0024433A"/>
    <w:rsid w:val="002446DC"/>
    <w:rsid w:val="002452F6"/>
    <w:rsid w:val="002477F6"/>
    <w:rsid w:val="00247934"/>
    <w:rsid w:val="00252837"/>
    <w:rsid w:val="002531A5"/>
    <w:rsid w:val="00254756"/>
    <w:rsid w:val="002606E7"/>
    <w:rsid w:val="00260C60"/>
    <w:rsid w:val="002629C0"/>
    <w:rsid w:val="002652B4"/>
    <w:rsid w:val="00265F79"/>
    <w:rsid w:val="00267FC8"/>
    <w:rsid w:val="00270871"/>
    <w:rsid w:val="0027121B"/>
    <w:rsid w:val="0027312A"/>
    <w:rsid w:val="00273D6B"/>
    <w:rsid w:val="002753A8"/>
    <w:rsid w:val="0028241E"/>
    <w:rsid w:val="002867E0"/>
    <w:rsid w:val="00287E9E"/>
    <w:rsid w:val="00287F91"/>
    <w:rsid w:val="0029138D"/>
    <w:rsid w:val="00291B1B"/>
    <w:rsid w:val="00291D1C"/>
    <w:rsid w:val="00292956"/>
    <w:rsid w:val="002934B9"/>
    <w:rsid w:val="00293AB2"/>
    <w:rsid w:val="00294F5F"/>
    <w:rsid w:val="002952BC"/>
    <w:rsid w:val="0029679A"/>
    <w:rsid w:val="002968EA"/>
    <w:rsid w:val="002A19D6"/>
    <w:rsid w:val="002A1C9A"/>
    <w:rsid w:val="002A6A8D"/>
    <w:rsid w:val="002A73B4"/>
    <w:rsid w:val="002A7F40"/>
    <w:rsid w:val="002B1E2D"/>
    <w:rsid w:val="002B4848"/>
    <w:rsid w:val="002B73FC"/>
    <w:rsid w:val="002B763E"/>
    <w:rsid w:val="002C2B90"/>
    <w:rsid w:val="002C317D"/>
    <w:rsid w:val="002C3CEF"/>
    <w:rsid w:val="002C76FC"/>
    <w:rsid w:val="002D0555"/>
    <w:rsid w:val="002D175A"/>
    <w:rsid w:val="002D34A5"/>
    <w:rsid w:val="002D35C6"/>
    <w:rsid w:val="002D3FE3"/>
    <w:rsid w:val="002D5B4D"/>
    <w:rsid w:val="002D5F35"/>
    <w:rsid w:val="002E0E9F"/>
    <w:rsid w:val="002E2CA0"/>
    <w:rsid w:val="002E2D89"/>
    <w:rsid w:val="002E3119"/>
    <w:rsid w:val="002E424C"/>
    <w:rsid w:val="002E665D"/>
    <w:rsid w:val="002E6858"/>
    <w:rsid w:val="002E6BA0"/>
    <w:rsid w:val="002E737B"/>
    <w:rsid w:val="002F01F4"/>
    <w:rsid w:val="002F4F2E"/>
    <w:rsid w:val="002F6879"/>
    <w:rsid w:val="002F7C97"/>
    <w:rsid w:val="003006BF"/>
    <w:rsid w:val="003008B6"/>
    <w:rsid w:val="00300B8A"/>
    <w:rsid w:val="0030199B"/>
    <w:rsid w:val="00304669"/>
    <w:rsid w:val="003134D0"/>
    <w:rsid w:val="0031455C"/>
    <w:rsid w:val="00315CA6"/>
    <w:rsid w:val="0031688D"/>
    <w:rsid w:val="0032060F"/>
    <w:rsid w:val="0032136F"/>
    <w:rsid w:val="0032158E"/>
    <w:rsid w:val="00321C26"/>
    <w:rsid w:val="00321D49"/>
    <w:rsid w:val="00323BF8"/>
    <w:rsid w:val="003274C9"/>
    <w:rsid w:val="00334DFC"/>
    <w:rsid w:val="00335B69"/>
    <w:rsid w:val="00335E1F"/>
    <w:rsid w:val="00340269"/>
    <w:rsid w:val="00341462"/>
    <w:rsid w:val="00343947"/>
    <w:rsid w:val="00343D25"/>
    <w:rsid w:val="0034602D"/>
    <w:rsid w:val="0034731C"/>
    <w:rsid w:val="00350D9C"/>
    <w:rsid w:val="00352073"/>
    <w:rsid w:val="003520D2"/>
    <w:rsid w:val="00353324"/>
    <w:rsid w:val="0035334F"/>
    <w:rsid w:val="00353C2B"/>
    <w:rsid w:val="003541EA"/>
    <w:rsid w:val="00355255"/>
    <w:rsid w:val="0035786E"/>
    <w:rsid w:val="003604E6"/>
    <w:rsid w:val="00362824"/>
    <w:rsid w:val="00364E19"/>
    <w:rsid w:val="0036526C"/>
    <w:rsid w:val="00366D19"/>
    <w:rsid w:val="00366E70"/>
    <w:rsid w:val="00381E45"/>
    <w:rsid w:val="00383F0B"/>
    <w:rsid w:val="00385398"/>
    <w:rsid w:val="003861CD"/>
    <w:rsid w:val="00386BE2"/>
    <w:rsid w:val="003909B8"/>
    <w:rsid w:val="00391C88"/>
    <w:rsid w:val="00395A00"/>
    <w:rsid w:val="0039674E"/>
    <w:rsid w:val="003A2F53"/>
    <w:rsid w:val="003A61C9"/>
    <w:rsid w:val="003A7BDB"/>
    <w:rsid w:val="003B1518"/>
    <w:rsid w:val="003B477B"/>
    <w:rsid w:val="003B5360"/>
    <w:rsid w:val="003C1A26"/>
    <w:rsid w:val="003C2295"/>
    <w:rsid w:val="003C3E40"/>
    <w:rsid w:val="003C5B3E"/>
    <w:rsid w:val="003D1B12"/>
    <w:rsid w:val="003D2340"/>
    <w:rsid w:val="003D23B8"/>
    <w:rsid w:val="003D2828"/>
    <w:rsid w:val="003D2EFA"/>
    <w:rsid w:val="003D3346"/>
    <w:rsid w:val="003D408D"/>
    <w:rsid w:val="003D6CD3"/>
    <w:rsid w:val="003E3B27"/>
    <w:rsid w:val="003E51D5"/>
    <w:rsid w:val="003E77F1"/>
    <w:rsid w:val="003E7AB6"/>
    <w:rsid w:val="003F1407"/>
    <w:rsid w:val="003F41FE"/>
    <w:rsid w:val="003F5834"/>
    <w:rsid w:val="003F5E4A"/>
    <w:rsid w:val="003F7201"/>
    <w:rsid w:val="003F7FB5"/>
    <w:rsid w:val="00401E20"/>
    <w:rsid w:val="0040345C"/>
    <w:rsid w:val="00406FB6"/>
    <w:rsid w:val="0041065D"/>
    <w:rsid w:val="004107D9"/>
    <w:rsid w:val="00411AFE"/>
    <w:rsid w:val="00412446"/>
    <w:rsid w:val="00415BBF"/>
    <w:rsid w:val="00415C66"/>
    <w:rsid w:val="00415D20"/>
    <w:rsid w:val="00416664"/>
    <w:rsid w:val="00422275"/>
    <w:rsid w:val="004235A4"/>
    <w:rsid w:val="004268C7"/>
    <w:rsid w:val="00436747"/>
    <w:rsid w:val="00436823"/>
    <w:rsid w:val="00436D0E"/>
    <w:rsid w:val="0043714D"/>
    <w:rsid w:val="0044288C"/>
    <w:rsid w:val="0044387F"/>
    <w:rsid w:val="00444F45"/>
    <w:rsid w:val="00452496"/>
    <w:rsid w:val="00457241"/>
    <w:rsid w:val="00457969"/>
    <w:rsid w:val="00470214"/>
    <w:rsid w:val="004702A4"/>
    <w:rsid w:val="00470AC3"/>
    <w:rsid w:val="00470DDE"/>
    <w:rsid w:val="00473BFB"/>
    <w:rsid w:val="00476ABF"/>
    <w:rsid w:val="00481615"/>
    <w:rsid w:val="0048258B"/>
    <w:rsid w:val="004836AC"/>
    <w:rsid w:val="00484215"/>
    <w:rsid w:val="00484D26"/>
    <w:rsid w:val="00484DBE"/>
    <w:rsid w:val="004858C0"/>
    <w:rsid w:val="004861CC"/>
    <w:rsid w:val="004867C3"/>
    <w:rsid w:val="00490CC8"/>
    <w:rsid w:val="0049604C"/>
    <w:rsid w:val="00496A0A"/>
    <w:rsid w:val="004972E7"/>
    <w:rsid w:val="004A2765"/>
    <w:rsid w:val="004A4F5D"/>
    <w:rsid w:val="004A5C8C"/>
    <w:rsid w:val="004A60AC"/>
    <w:rsid w:val="004A667C"/>
    <w:rsid w:val="004A6E9C"/>
    <w:rsid w:val="004B3843"/>
    <w:rsid w:val="004B3A3A"/>
    <w:rsid w:val="004B60AE"/>
    <w:rsid w:val="004B6178"/>
    <w:rsid w:val="004B757E"/>
    <w:rsid w:val="004B7C51"/>
    <w:rsid w:val="004C1ACC"/>
    <w:rsid w:val="004C31CC"/>
    <w:rsid w:val="004C40D7"/>
    <w:rsid w:val="004C5625"/>
    <w:rsid w:val="004C5ED6"/>
    <w:rsid w:val="004D02D0"/>
    <w:rsid w:val="004D04CE"/>
    <w:rsid w:val="004D08F6"/>
    <w:rsid w:val="004D536D"/>
    <w:rsid w:val="004D5953"/>
    <w:rsid w:val="004E0C6E"/>
    <w:rsid w:val="004E3678"/>
    <w:rsid w:val="004E39F1"/>
    <w:rsid w:val="004E48A7"/>
    <w:rsid w:val="004F18FA"/>
    <w:rsid w:val="004F3B85"/>
    <w:rsid w:val="004F5425"/>
    <w:rsid w:val="004F5B29"/>
    <w:rsid w:val="004F7FD4"/>
    <w:rsid w:val="00502B0E"/>
    <w:rsid w:val="00502F84"/>
    <w:rsid w:val="00505EE2"/>
    <w:rsid w:val="00507DFF"/>
    <w:rsid w:val="0051248B"/>
    <w:rsid w:val="005168DE"/>
    <w:rsid w:val="00521293"/>
    <w:rsid w:val="00523ABC"/>
    <w:rsid w:val="00523BC1"/>
    <w:rsid w:val="005244EE"/>
    <w:rsid w:val="00524C0B"/>
    <w:rsid w:val="005275BC"/>
    <w:rsid w:val="005276AA"/>
    <w:rsid w:val="00530F6C"/>
    <w:rsid w:val="00531FE5"/>
    <w:rsid w:val="00532F7C"/>
    <w:rsid w:val="00535553"/>
    <w:rsid w:val="0053625D"/>
    <w:rsid w:val="0053628E"/>
    <w:rsid w:val="00536989"/>
    <w:rsid w:val="00537D2D"/>
    <w:rsid w:val="00540E25"/>
    <w:rsid w:val="00541552"/>
    <w:rsid w:val="00545707"/>
    <w:rsid w:val="005473DF"/>
    <w:rsid w:val="00547E43"/>
    <w:rsid w:val="0055051A"/>
    <w:rsid w:val="00550D1C"/>
    <w:rsid w:val="005567C6"/>
    <w:rsid w:val="00556EB7"/>
    <w:rsid w:val="0055768A"/>
    <w:rsid w:val="00560F57"/>
    <w:rsid w:val="005620A7"/>
    <w:rsid w:val="005625D5"/>
    <w:rsid w:val="0056570D"/>
    <w:rsid w:val="00565ED8"/>
    <w:rsid w:val="00566BD4"/>
    <w:rsid w:val="00570797"/>
    <w:rsid w:val="00572443"/>
    <w:rsid w:val="0057724E"/>
    <w:rsid w:val="0058063A"/>
    <w:rsid w:val="005808E0"/>
    <w:rsid w:val="0058149B"/>
    <w:rsid w:val="0058192B"/>
    <w:rsid w:val="00581E11"/>
    <w:rsid w:val="00582367"/>
    <w:rsid w:val="00584A24"/>
    <w:rsid w:val="00585EC1"/>
    <w:rsid w:val="00586704"/>
    <w:rsid w:val="0059128B"/>
    <w:rsid w:val="005946C7"/>
    <w:rsid w:val="00595CFA"/>
    <w:rsid w:val="005A46D8"/>
    <w:rsid w:val="005A51D2"/>
    <w:rsid w:val="005A7BB6"/>
    <w:rsid w:val="005B62D6"/>
    <w:rsid w:val="005D3725"/>
    <w:rsid w:val="005D4FDB"/>
    <w:rsid w:val="005D6295"/>
    <w:rsid w:val="005D6659"/>
    <w:rsid w:val="005D7AF6"/>
    <w:rsid w:val="005E2FAA"/>
    <w:rsid w:val="005E3D64"/>
    <w:rsid w:val="005E45FD"/>
    <w:rsid w:val="005E5D0E"/>
    <w:rsid w:val="005E6167"/>
    <w:rsid w:val="005F1472"/>
    <w:rsid w:val="005F1B11"/>
    <w:rsid w:val="005F22E2"/>
    <w:rsid w:val="005F2EDA"/>
    <w:rsid w:val="005F318E"/>
    <w:rsid w:val="005F6695"/>
    <w:rsid w:val="006049A0"/>
    <w:rsid w:val="00606E3B"/>
    <w:rsid w:val="00607E8A"/>
    <w:rsid w:val="0061141D"/>
    <w:rsid w:val="006137C4"/>
    <w:rsid w:val="00615160"/>
    <w:rsid w:val="006154A6"/>
    <w:rsid w:val="00615993"/>
    <w:rsid w:val="00615BEC"/>
    <w:rsid w:val="00616062"/>
    <w:rsid w:val="00620A11"/>
    <w:rsid w:val="00624B9B"/>
    <w:rsid w:val="0062508B"/>
    <w:rsid w:val="00625CB7"/>
    <w:rsid w:val="00630B07"/>
    <w:rsid w:val="0063464A"/>
    <w:rsid w:val="00636B52"/>
    <w:rsid w:val="00641F0A"/>
    <w:rsid w:val="006421A8"/>
    <w:rsid w:val="00642BA7"/>
    <w:rsid w:val="00643C1D"/>
    <w:rsid w:val="00643E89"/>
    <w:rsid w:val="00645D4B"/>
    <w:rsid w:val="00646407"/>
    <w:rsid w:val="00651051"/>
    <w:rsid w:val="0065448C"/>
    <w:rsid w:val="0066244E"/>
    <w:rsid w:val="00665DD7"/>
    <w:rsid w:val="006662BB"/>
    <w:rsid w:val="00667476"/>
    <w:rsid w:val="00670CB9"/>
    <w:rsid w:val="006737C8"/>
    <w:rsid w:val="00675289"/>
    <w:rsid w:val="00675810"/>
    <w:rsid w:val="00677A79"/>
    <w:rsid w:val="00681216"/>
    <w:rsid w:val="006835C3"/>
    <w:rsid w:val="00685854"/>
    <w:rsid w:val="00685E9E"/>
    <w:rsid w:val="00686EE7"/>
    <w:rsid w:val="00687212"/>
    <w:rsid w:val="00690397"/>
    <w:rsid w:val="00692281"/>
    <w:rsid w:val="00693711"/>
    <w:rsid w:val="00694D5D"/>
    <w:rsid w:val="006951CF"/>
    <w:rsid w:val="006958C0"/>
    <w:rsid w:val="00696A4E"/>
    <w:rsid w:val="006971BC"/>
    <w:rsid w:val="006A0193"/>
    <w:rsid w:val="006A13AC"/>
    <w:rsid w:val="006A5182"/>
    <w:rsid w:val="006A5DC8"/>
    <w:rsid w:val="006A65A7"/>
    <w:rsid w:val="006A664E"/>
    <w:rsid w:val="006B098C"/>
    <w:rsid w:val="006B2978"/>
    <w:rsid w:val="006B311A"/>
    <w:rsid w:val="006B315C"/>
    <w:rsid w:val="006B3FF4"/>
    <w:rsid w:val="006C1B57"/>
    <w:rsid w:val="006C1F3B"/>
    <w:rsid w:val="006C2072"/>
    <w:rsid w:val="006C23B9"/>
    <w:rsid w:val="006C3731"/>
    <w:rsid w:val="006D0CCD"/>
    <w:rsid w:val="006D1972"/>
    <w:rsid w:val="006D1F18"/>
    <w:rsid w:val="006D25B3"/>
    <w:rsid w:val="006D4071"/>
    <w:rsid w:val="006D6578"/>
    <w:rsid w:val="006E168A"/>
    <w:rsid w:val="006E38C9"/>
    <w:rsid w:val="006E459D"/>
    <w:rsid w:val="006E5EAA"/>
    <w:rsid w:val="006E699A"/>
    <w:rsid w:val="006E74F5"/>
    <w:rsid w:val="006E78BD"/>
    <w:rsid w:val="006E791B"/>
    <w:rsid w:val="006F03E1"/>
    <w:rsid w:val="006F1766"/>
    <w:rsid w:val="006F6C4C"/>
    <w:rsid w:val="0070084E"/>
    <w:rsid w:val="0070351A"/>
    <w:rsid w:val="007103FD"/>
    <w:rsid w:val="00710F8C"/>
    <w:rsid w:val="00711729"/>
    <w:rsid w:val="00712A61"/>
    <w:rsid w:val="0071385C"/>
    <w:rsid w:val="007204DB"/>
    <w:rsid w:val="007207C9"/>
    <w:rsid w:val="0072168E"/>
    <w:rsid w:val="00722FBA"/>
    <w:rsid w:val="007241B3"/>
    <w:rsid w:val="007248F4"/>
    <w:rsid w:val="00724CB4"/>
    <w:rsid w:val="007263ED"/>
    <w:rsid w:val="00726A25"/>
    <w:rsid w:val="00727DFE"/>
    <w:rsid w:val="0073340D"/>
    <w:rsid w:val="007338AF"/>
    <w:rsid w:val="00737FB5"/>
    <w:rsid w:val="007403FC"/>
    <w:rsid w:val="00742F00"/>
    <w:rsid w:val="00750911"/>
    <w:rsid w:val="00751F91"/>
    <w:rsid w:val="00757318"/>
    <w:rsid w:val="00760BD7"/>
    <w:rsid w:val="007613A2"/>
    <w:rsid w:val="00761C29"/>
    <w:rsid w:val="00763C5A"/>
    <w:rsid w:val="0076737B"/>
    <w:rsid w:val="00767F62"/>
    <w:rsid w:val="007722E5"/>
    <w:rsid w:val="00772474"/>
    <w:rsid w:val="0077351D"/>
    <w:rsid w:val="007746D6"/>
    <w:rsid w:val="00774778"/>
    <w:rsid w:val="0077772B"/>
    <w:rsid w:val="00777A80"/>
    <w:rsid w:val="00781154"/>
    <w:rsid w:val="00784499"/>
    <w:rsid w:val="00785645"/>
    <w:rsid w:val="0078577D"/>
    <w:rsid w:val="0078579D"/>
    <w:rsid w:val="007868DA"/>
    <w:rsid w:val="00787860"/>
    <w:rsid w:val="00792740"/>
    <w:rsid w:val="007957D3"/>
    <w:rsid w:val="00795CB4"/>
    <w:rsid w:val="007A2C8D"/>
    <w:rsid w:val="007A3488"/>
    <w:rsid w:val="007A46F2"/>
    <w:rsid w:val="007A511E"/>
    <w:rsid w:val="007A6441"/>
    <w:rsid w:val="007B0C04"/>
    <w:rsid w:val="007B16E8"/>
    <w:rsid w:val="007B1B17"/>
    <w:rsid w:val="007B2FB1"/>
    <w:rsid w:val="007B536E"/>
    <w:rsid w:val="007B57D9"/>
    <w:rsid w:val="007B6E38"/>
    <w:rsid w:val="007B7801"/>
    <w:rsid w:val="007C0B15"/>
    <w:rsid w:val="007C0FCA"/>
    <w:rsid w:val="007C2928"/>
    <w:rsid w:val="007C2C9B"/>
    <w:rsid w:val="007C4BFF"/>
    <w:rsid w:val="007C65F9"/>
    <w:rsid w:val="007C6CEB"/>
    <w:rsid w:val="007D1AB6"/>
    <w:rsid w:val="007D3423"/>
    <w:rsid w:val="007D35D5"/>
    <w:rsid w:val="007D5EFB"/>
    <w:rsid w:val="007E0D64"/>
    <w:rsid w:val="007E1313"/>
    <w:rsid w:val="007E3305"/>
    <w:rsid w:val="007E360C"/>
    <w:rsid w:val="007E41F2"/>
    <w:rsid w:val="007E45EA"/>
    <w:rsid w:val="007E4FA0"/>
    <w:rsid w:val="007E4FC3"/>
    <w:rsid w:val="007E6F50"/>
    <w:rsid w:val="007E79DF"/>
    <w:rsid w:val="007F3D14"/>
    <w:rsid w:val="007F46C5"/>
    <w:rsid w:val="007F6FC7"/>
    <w:rsid w:val="008031DA"/>
    <w:rsid w:val="00803DCC"/>
    <w:rsid w:val="00805099"/>
    <w:rsid w:val="00805780"/>
    <w:rsid w:val="00810F1A"/>
    <w:rsid w:val="00813E8D"/>
    <w:rsid w:val="00815984"/>
    <w:rsid w:val="00816D32"/>
    <w:rsid w:val="00817229"/>
    <w:rsid w:val="008201D8"/>
    <w:rsid w:val="00823940"/>
    <w:rsid w:val="00824CF8"/>
    <w:rsid w:val="00825A27"/>
    <w:rsid w:val="00826371"/>
    <w:rsid w:val="0083068F"/>
    <w:rsid w:val="00830D96"/>
    <w:rsid w:val="00835502"/>
    <w:rsid w:val="008401C6"/>
    <w:rsid w:val="00842565"/>
    <w:rsid w:val="00844024"/>
    <w:rsid w:val="0084498D"/>
    <w:rsid w:val="00850637"/>
    <w:rsid w:val="00852FDF"/>
    <w:rsid w:val="00853528"/>
    <w:rsid w:val="008554F3"/>
    <w:rsid w:val="0086173E"/>
    <w:rsid w:val="00861A6D"/>
    <w:rsid w:val="00864900"/>
    <w:rsid w:val="008650CC"/>
    <w:rsid w:val="00871284"/>
    <w:rsid w:val="00871A7E"/>
    <w:rsid w:val="00874608"/>
    <w:rsid w:val="008757E7"/>
    <w:rsid w:val="008758EA"/>
    <w:rsid w:val="0087603B"/>
    <w:rsid w:val="0087661F"/>
    <w:rsid w:val="00876C1D"/>
    <w:rsid w:val="008806FF"/>
    <w:rsid w:val="00880868"/>
    <w:rsid w:val="008852FB"/>
    <w:rsid w:val="00885781"/>
    <w:rsid w:val="008905B7"/>
    <w:rsid w:val="00894190"/>
    <w:rsid w:val="008952AD"/>
    <w:rsid w:val="008968CE"/>
    <w:rsid w:val="00896E4B"/>
    <w:rsid w:val="00897C06"/>
    <w:rsid w:val="008A18E2"/>
    <w:rsid w:val="008A245F"/>
    <w:rsid w:val="008A4CD7"/>
    <w:rsid w:val="008A6376"/>
    <w:rsid w:val="008A6815"/>
    <w:rsid w:val="008A6A96"/>
    <w:rsid w:val="008B0FE3"/>
    <w:rsid w:val="008B2A24"/>
    <w:rsid w:val="008B313A"/>
    <w:rsid w:val="008B412C"/>
    <w:rsid w:val="008B4C51"/>
    <w:rsid w:val="008B702D"/>
    <w:rsid w:val="008B7AC3"/>
    <w:rsid w:val="008C23F3"/>
    <w:rsid w:val="008C34E9"/>
    <w:rsid w:val="008C463B"/>
    <w:rsid w:val="008C6DFC"/>
    <w:rsid w:val="008C70E8"/>
    <w:rsid w:val="008C795C"/>
    <w:rsid w:val="008D03C4"/>
    <w:rsid w:val="008D2228"/>
    <w:rsid w:val="008D33E3"/>
    <w:rsid w:val="008D3709"/>
    <w:rsid w:val="008D59DB"/>
    <w:rsid w:val="008D5E13"/>
    <w:rsid w:val="008E461E"/>
    <w:rsid w:val="008E514D"/>
    <w:rsid w:val="008E5A20"/>
    <w:rsid w:val="008E5ABA"/>
    <w:rsid w:val="008E6C98"/>
    <w:rsid w:val="008E784D"/>
    <w:rsid w:val="008E7A67"/>
    <w:rsid w:val="008E7C1B"/>
    <w:rsid w:val="008F0E38"/>
    <w:rsid w:val="008F1CB5"/>
    <w:rsid w:val="008F26F6"/>
    <w:rsid w:val="008F4025"/>
    <w:rsid w:val="008F48EA"/>
    <w:rsid w:val="008F6908"/>
    <w:rsid w:val="00911492"/>
    <w:rsid w:val="00911682"/>
    <w:rsid w:val="00911DA3"/>
    <w:rsid w:val="009148F9"/>
    <w:rsid w:val="009154BF"/>
    <w:rsid w:val="009164A3"/>
    <w:rsid w:val="009164D4"/>
    <w:rsid w:val="00921D32"/>
    <w:rsid w:val="00924D9E"/>
    <w:rsid w:val="00927D9D"/>
    <w:rsid w:val="0093398E"/>
    <w:rsid w:val="0093468D"/>
    <w:rsid w:val="0093724D"/>
    <w:rsid w:val="00942B7F"/>
    <w:rsid w:val="00942D0C"/>
    <w:rsid w:val="00945B5C"/>
    <w:rsid w:val="00946FC2"/>
    <w:rsid w:val="00951232"/>
    <w:rsid w:val="00951278"/>
    <w:rsid w:val="0095651E"/>
    <w:rsid w:val="00956A14"/>
    <w:rsid w:val="00961CE9"/>
    <w:rsid w:val="0096217D"/>
    <w:rsid w:val="009625A5"/>
    <w:rsid w:val="0096260A"/>
    <w:rsid w:val="00962B14"/>
    <w:rsid w:val="00962E16"/>
    <w:rsid w:val="009645EB"/>
    <w:rsid w:val="009646FC"/>
    <w:rsid w:val="00964F3E"/>
    <w:rsid w:val="00965D54"/>
    <w:rsid w:val="00970451"/>
    <w:rsid w:val="00971A14"/>
    <w:rsid w:val="00971B37"/>
    <w:rsid w:val="00974DB1"/>
    <w:rsid w:val="00975251"/>
    <w:rsid w:val="00975F55"/>
    <w:rsid w:val="0097677D"/>
    <w:rsid w:val="009767FD"/>
    <w:rsid w:val="00976FD1"/>
    <w:rsid w:val="009823CC"/>
    <w:rsid w:val="009824C2"/>
    <w:rsid w:val="009829EA"/>
    <w:rsid w:val="00984F4C"/>
    <w:rsid w:val="0098594E"/>
    <w:rsid w:val="009862D5"/>
    <w:rsid w:val="00987F57"/>
    <w:rsid w:val="00991492"/>
    <w:rsid w:val="00993BA7"/>
    <w:rsid w:val="00993F6B"/>
    <w:rsid w:val="00994092"/>
    <w:rsid w:val="009945C9"/>
    <w:rsid w:val="009A1A18"/>
    <w:rsid w:val="009A2405"/>
    <w:rsid w:val="009A4A1B"/>
    <w:rsid w:val="009A5506"/>
    <w:rsid w:val="009A575C"/>
    <w:rsid w:val="009A5C84"/>
    <w:rsid w:val="009A5DBB"/>
    <w:rsid w:val="009A7347"/>
    <w:rsid w:val="009B20DA"/>
    <w:rsid w:val="009B2C44"/>
    <w:rsid w:val="009B2E95"/>
    <w:rsid w:val="009B31DF"/>
    <w:rsid w:val="009B3BCB"/>
    <w:rsid w:val="009B3F58"/>
    <w:rsid w:val="009B44D9"/>
    <w:rsid w:val="009B6C5A"/>
    <w:rsid w:val="009B75D4"/>
    <w:rsid w:val="009B796A"/>
    <w:rsid w:val="009C47A8"/>
    <w:rsid w:val="009C5A01"/>
    <w:rsid w:val="009C6BEE"/>
    <w:rsid w:val="009D008F"/>
    <w:rsid w:val="009E1E90"/>
    <w:rsid w:val="009E4659"/>
    <w:rsid w:val="009E524D"/>
    <w:rsid w:val="009E5E7B"/>
    <w:rsid w:val="009F50AA"/>
    <w:rsid w:val="009F6192"/>
    <w:rsid w:val="009F61F2"/>
    <w:rsid w:val="00A046B8"/>
    <w:rsid w:val="00A06315"/>
    <w:rsid w:val="00A135C4"/>
    <w:rsid w:val="00A15F48"/>
    <w:rsid w:val="00A165CA"/>
    <w:rsid w:val="00A16CD2"/>
    <w:rsid w:val="00A179C9"/>
    <w:rsid w:val="00A2298A"/>
    <w:rsid w:val="00A23112"/>
    <w:rsid w:val="00A24E5D"/>
    <w:rsid w:val="00A30926"/>
    <w:rsid w:val="00A31C76"/>
    <w:rsid w:val="00A3623B"/>
    <w:rsid w:val="00A363A7"/>
    <w:rsid w:val="00A36CE5"/>
    <w:rsid w:val="00A40E23"/>
    <w:rsid w:val="00A414F5"/>
    <w:rsid w:val="00A41F98"/>
    <w:rsid w:val="00A466B9"/>
    <w:rsid w:val="00A46E0F"/>
    <w:rsid w:val="00A47E53"/>
    <w:rsid w:val="00A5057C"/>
    <w:rsid w:val="00A51A77"/>
    <w:rsid w:val="00A55AA5"/>
    <w:rsid w:val="00A613D3"/>
    <w:rsid w:val="00A61FD0"/>
    <w:rsid w:val="00A62D92"/>
    <w:rsid w:val="00A650F4"/>
    <w:rsid w:val="00A71542"/>
    <w:rsid w:val="00A715B4"/>
    <w:rsid w:val="00A71CF1"/>
    <w:rsid w:val="00A72B3B"/>
    <w:rsid w:val="00A72C03"/>
    <w:rsid w:val="00A737AF"/>
    <w:rsid w:val="00A76EDB"/>
    <w:rsid w:val="00A77F8F"/>
    <w:rsid w:val="00A80814"/>
    <w:rsid w:val="00A820E0"/>
    <w:rsid w:val="00A828E5"/>
    <w:rsid w:val="00A83E8C"/>
    <w:rsid w:val="00A845EF"/>
    <w:rsid w:val="00A84D4E"/>
    <w:rsid w:val="00A86931"/>
    <w:rsid w:val="00A90FA1"/>
    <w:rsid w:val="00A9242B"/>
    <w:rsid w:val="00A930DF"/>
    <w:rsid w:val="00A9362A"/>
    <w:rsid w:val="00A93712"/>
    <w:rsid w:val="00A96317"/>
    <w:rsid w:val="00AA05B1"/>
    <w:rsid w:val="00AA20B5"/>
    <w:rsid w:val="00AA2512"/>
    <w:rsid w:val="00AA4713"/>
    <w:rsid w:val="00AA71F7"/>
    <w:rsid w:val="00AA7419"/>
    <w:rsid w:val="00AB07B7"/>
    <w:rsid w:val="00AB0A6B"/>
    <w:rsid w:val="00AB0BB7"/>
    <w:rsid w:val="00AB1E4D"/>
    <w:rsid w:val="00AB3121"/>
    <w:rsid w:val="00AB3792"/>
    <w:rsid w:val="00AB5B89"/>
    <w:rsid w:val="00AB797B"/>
    <w:rsid w:val="00AC1E2C"/>
    <w:rsid w:val="00AC52C7"/>
    <w:rsid w:val="00AC570F"/>
    <w:rsid w:val="00AC77B1"/>
    <w:rsid w:val="00AD3124"/>
    <w:rsid w:val="00AD3630"/>
    <w:rsid w:val="00AD3A5A"/>
    <w:rsid w:val="00AD3C25"/>
    <w:rsid w:val="00AD6E58"/>
    <w:rsid w:val="00AE0A28"/>
    <w:rsid w:val="00AE49D4"/>
    <w:rsid w:val="00AE540F"/>
    <w:rsid w:val="00AE6484"/>
    <w:rsid w:val="00AE6968"/>
    <w:rsid w:val="00AF022E"/>
    <w:rsid w:val="00AF09B0"/>
    <w:rsid w:val="00AF43BC"/>
    <w:rsid w:val="00AF53A7"/>
    <w:rsid w:val="00AF54ED"/>
    <w:rsid w:val="00AF55B9"/>
    <w:rsid w:val="00AF5C48"/>
    <w:rsid w:val="00AF65F4"/>
    <w:rsid w:val="00B00A16"/>
    <w:rsid w:val="00B03275"/>
    <w:rsid w:val="00B03545"/>
    <w:rsid w:val="00B04A54"/>
    <w:rsid w:val="00B04CBE"/>
    <w:rsid w:val="00B07B88"/>
    <w:rsid w:val="00B12748"/>
    <w:rsid w:val="00B14CC3"/>
    <w:rsid w:val="00B16A32"/>
    <w:rsid w:val="00B16C43"/>
    <w:rsid w:val="00B2009D"/>
    <w:rsid w:val="00B214B6"/>
    <w:rsid w:val="00B2209E"/>
    <w:rsid w:val="00B229DE"/>
    <w:rsid w:val="00B22D54"/>
    <w:rsid w:val="00B23BB3"/>
    <w:rsid w:val="00B23EF9"/>
    <w:rsid w:val="00B25288"/>
    <w:rsid w:val="00B25D8A"/>
    <w:rsid w:val="00B25E6A"/>
    <w:rsid w:val="00B322B8"/>
    <w:rsid w:val="00B33FAA"/>
    <w:rsid w:val="00B35561"/>
    <w:rsid w:val="00B3679B"/>
    <w:rsid w:val="00B37C6A"/>
    <w:rsid w:val="00B412C9"/>
    <w:rsid w:val="00B452AF"/>
    <w:rsid w:val="00B4786E"/>
    <w:rsid w:val="00B5054B"/>
    <w:rsid w:val="00B51BEA"/>
    <w:rsid w:val="00B5286A"/>
    <w:rsid w:val="00B541FC"/>
    <w:rsid w:val="00B54B06"/>
    <w:rsid w:val="00B55F22"/>
    <w:rsid w:val="00B604E9"/>
    <w:rsid w:val="00B62507"/>
    <w:rsid w:val="00B62607"/>
    <w:rsid w:val="00B6481E"/>
    <w:rsid w:val="00B665C6"/>
    <w:rsid w:val="00B73168"/>
    <w:rsid w:val="00B76200"/>
    <w:rsid w:val="00B766AC"/>
    <w:rsid w:val="00B82DDF"/>
    <w:rsid w:val="00B85675"/>
    <w:rsid w:val="00B8687B"/>
    <w:rsid w:val="00B86EC6"/>
    <w:rsid w:val="00B90675"/>
    <w:rsid w:val="00B95C50"/>
    <w:rsid w:val="00B97F02"/>
    <w:rsid w:val="00BA0296"/>
    <w:rsid w:val="00BA1D47"/>
    <w:rsid w:val="00BA2D8B"/>
    <w:rsid w:val="00BA4FAC"/>
    <w:rsid w:val="00BA5078"/>
    <w:rsid w:val="00BA5264"/>
    <w:rsid w:val="00BA583B"/>
    <w:rsid w:val="00BA6294"/>
    <w:rsid w:val="00BA67B9"/>
    <w:rsid w:val="00BA6C73"/>
    <w:rsid w:val="00BB081F"/>
    <w:rsid w:val="00BB3E50"/>
    <w:rsid w:val="00BB6660"/>
    <w:rsid w:val="00BB7087"/>
    <w:rsid w:val="00BC094F"/>
    <w:rsid w:val="00BC0D39"/>
    <w:rsid w:val="00BC460E"/>
    <w:rsid w:val="00BC4F92"/>
    <w:rsid w:val="00BC5F98"/>
    <w:rsid w:val="00BC5FB4"/>
    <w:rsid w:val="00BC63F6"/>
    <w:rsid w:val="00BC708E"/>
    <w:rsid w:val="00BC79E7"/>
    <w:rsid w:val="00BD1E2D"/>
    <w:rsid w:val="00BD3721"/>
    <w:rsid w:val="00BE0AE2"/>
    <w:rsid w:val="00BE1825"/>
    <w:rsid w:val="00BE32D8"/>
    <w:rsid w:val="00BE49A5"/>
    <w:rsid w:val="00BE642B"/>
    <w:rsid w:val="00BE6BB9"/>
    <w:rsid w:val="00BE7EEF"/>
    <w:rsid w:val="00BF2899"/>
    <w:rsid w:val="00BF4933"/>
    <w:rsid w:val="00BF4D62"/>
    <w:rsid w:val="00BF5375"/>
    <w:rsid w:val="00BF650E"/>
    <w:rsid w:val="00BF6E15"/>
    <w:rsid w:val="00BF6F52"/>
    <w:rsid w:val="00BF76E3"/>
    <w:rsid w:val="00BF786F"/>
    <w:rsid w:val="00BF7D83"/>
    <w:rsid w:val="00C0099B"/>
    <w:rsid w:val="00C02D8B"/>
    <w:rsid w:val="00C04BCD"/>
    <w:rsid w:val="00C04E54"/>
    <w:rsid w:val="00C06291"/>
    <w:rsid w:val="00C07DF5"/>
    <w:rsid w:val="00C1004A"/>
    <w:rsid w:val="00C1178D"/>
    <w:rsid w:val="00C11CE1"/>
    <w:rsid w:val="00C12E40"/>
    <w:rsid w:val="00C15783"/>
    <w:rsid w:val="00C15C78"/>
    <w:rsid w:val="00C2349D"/>
    <w:rsid w:val="00C26ABB"/>
    <w:rsid w:val="00C36BBA"/>
    <w:rsid w:val="00C3761C"/>
    <w:rsid w:val="00C418E7"/>
    <w:rsid w:val="00C44968"/>
    <w:rsid w:val="00C46497"/>
    <w:rsid w:val="00C500EF"/>
    <w:rsid w:val="00C50373"/>
    <w:rsid w:val="00C5069F"/>
    <w:rsid w:val="00C50FC5"/>
    <w:rsid w:val="00C539DA"/>
    <w:rsid w:val="00C541A0"/>
    <w:rsid w:val="00C55CAC"/>
    <w:rsid w:val="00C56A8D"/>
    <w:rsid w:val="00C62E9D"/>
    <w:rsid w:val="00C6461C"/>
    <w:rsid w:val="00C655B8"/>
    <w:rsid w:val="00C669A6"/>
    <w:rsid w:val="00C70540"/>
    <w:rsid w:val="00C749E4"/>
    <w:rsid w:val="00C7552E"/>
    <w:rsid w:val="00C77E2F"/>
    <w:rsid w:val="00C87988"/>
    <w:rsid w:val="00C911D8"/>
    <w:rsid w:val="00C91DAE"/>
    <w:rsid w:val="00C92A58"/>
    <w:rsid w:val="00C93549"/>
    <w:rsid w:val="00C938C2"/>
    <w:rsid w:val="00C93A1E"/>
    <w:rsid w:val="00C93CEA"/>
    <w:rsid w:val="00C9482E"/>
    <w:rsid w:val="00C95C20"/>
    <w:rsid w:val="00C96FDD"/>
    <w:rsid w:val="00CA0F0E"/>
    <w:rsid w:val="00CA23FA"/>
    <w:rsid w:val="00CA3125"/>
    <w:rsid w:val="00CA3A3D"/>
    <w:rsid w:val="00CA59D5"/>
    <w:rsid w:val="00CA663E"/>
    <w:rsid w:val="00CA7130"/>
    <w:rsid w:val="00CB2144"/>
    <w:rsid w:val="00CB3613"/>
    <w:rsid w:val="00CB728F"/>
    <w:rsid w:val="00CC1984"/>
    <w:rsid w:val="00CC1BBB"/>
    <w:rsid w:val="00CC4F91"/>
    <w:rsid w:val="00CC5BD3"/>
    <w:rsid w:val="00CC627C"/>
    <w:rsid w:val="00CD0241"/>
    <w:rsid w:val="00CD0600"/>
    <w:rsid w:val="00CD51D1"/>
    <w:rsid w:val="00CD5452"/>
    <w:rsid w:val="00CE01CD"/>
    <w:rsid w:val="00CE36C6"/>
    <w:rsid w:val="00CE42E0"/>
    <w:rsid w:val="00CE6446"/>
    <w:rsid w:val="00CF07DB"/>
    <w:rsid w:val="00CF2164"/>
    <w:rsid w:val="00CF2BE5"/>
    <w:rsid w:val="00CF4887"/>
    <w:rsid w:val="00CF4979"/>
    <w:rsid w:val="00CF6D33"/>
    <w:rsid w:val="00CF7C49"/>
    <w:rsid w:val="00D02196"/>
    <w:rsid w:val="00D0333C"/>
    <w:rsid w:val="00D1055E"/>
    <w:rsid w:val="00D11A79"/>
    <w:rsid w:val="00D11AA0"/>
    <w:rsid w:val="00D20419"/>
    <w:rsid w:val="00D2066F"/>
    <w:rsid w:val="00D23845"/>
    <w:rsid w:val="00D24994"/>
    <w:rsid w:val="00D24ECB"/>
    <w:rsid w:val="00D275E9"/>
    <w:rsid w:val="00D3000A"/>
    <w:rsid w:val="00D30AF4"/>
    <w:rsid w:val="00D30B0B"/>
    <w:rsid w:val="00D30BCE"/>
    <w:rsid w:val="00D34028"/>
    <w:rsid w:val="00D34E6F"/>
    <w:rsid w:val="00D36869"/>
    <w:rsid w:val="00D4033E"/>
    <w:rsid w:val="00D411C3"/>
    <w:rsid w:val="00D45BDF"/>
    <w:rsid w:val="00D5043B"/>
    <w:rsid w:val="00D52A10"/>
    <w:rsid w:val="00D535BD"/>
    <w:rsid w:val="00D578D1"/>
    <w:rsid w:val="00D602E0"/>
    <w:rsid w:val="00D633C4"/>
    <w:rsid w:val="00D63404"/>
    <w:rsid w:val="00D660FF"/>
    <w:rsid w:val="00D67DCB"/>
    <w:rsid w:val="00D72BD9"/>
    <w:rsid w:val="00D77779"/>
    <w:rsid w:val="00D779AB"/>
    <w:rsid w:val="00D81481"/>
    <w:rsid w:val="00D81C45"/>
    <w:rsid w:val="00D83917"/>
    <w:rsid w:val="00D87C98"/>
    <w:rsid w:val="00D91551"/>
    <w:rsid w:val="00D91F2F"/>
    <w:rsid w:val="00D92A71"/>
    <w:rsid w:val="00D92E31"/>
    <w:rsid w:val="00D95C5E"/>
    <w:rsid w:val="00D974DF"/>
    <w:rsid w:val="00D977F5"/>
    <w:rsid w:val="00D97A4B"/>
    <w:rsid w:val="00DA1602"/>
    <w:rsid w:val="00DA244B"/>
    <w:rsid w:val="00DA339C"/>
    <w:rsid w:val="00DA573F"/>
    <w:rsid w:val="00DA6C95"/>
    <w:rsid w:val="00DB07EB"/>
    <w:rsid w:val="00DB090B"/>
    <w:rsid w:val="00DB393F"/>
    <w:rsid w:val="00DB4041"/>
    <w:rsid w:val="00DC2E80"/>
    <w:rsid w:val="00DC48F5"/>
    <w:rsid w:val="00DC5C73"/>
    <w:rsid w:val="00DC76A1"/>
    <w:rsid w:val="00DD5437"/>
    <w:rsid w:val="00DD7C3A"/>
    <w:rsid w:val="00DE0A5D"/>
    <w:rsid w:val="00DE2C87"/>
    <w:rsid w:val="00DE31EA"/>
    <w:rsid w:val="00DF061E"/>
    <w:rsid w:val="00DF0D87"/>
    <w:rsid w:val="00DF16DA"/>
    <w:rsid w:val="00DF43A3"/>
    <w:rsid w:val="00DF4A16"/>
    <w:rsid w:val="00DF53EF"/>
    <w:rsid w:val="00DF5A89"/>
    <w:rsid w:val="00DF685B"/>
    <w:rsid w:val="00E011DA"/>
    <w:rsid w:val="00E03289"/>
    <w:rsid w:val="00E03798"/>
    <w:rsid w:val="00E038AB"/>
    <w:rsid w:val="00E05710"/>
    <w:rsid w:val="00E114C9"/>
    <w:rsid w:val="00E12647"/>
    <w:rsid w:val="00E1274C"/>
    <w:rsid w:val="00E12A76"/>
    <w:rsid w:val="00E12C38"/>
    <w:rsid w:val="00E140A3"/>
    <w:rsid w:val="00E206F6"/>
    <w:rsid w:val="00E210AF"/>
    <w:rsid w:val="00E26064"/>
    <w:rsid w:val="00E266E8"/>
    <w:rsid w:val="00E27106"/>
    <w:rsid w:val="00E30699"/>
    <w:rsid w:val="00E32CEA"/>
    <w:rsid w:val="00E33A27"/>
    <w:rsid w:val="00E35582"/>
    <w:rsid w:val="00E36633"/>
    <w:rsid w:val="00E373D4"/>
    <w:rsid w:val="00E41540"/>
    <w:rsid w:val="00E50FC5"/>
    <w:rsid w:val="00E52BB8"/>
    <w:rsid w:val="00E52EE3"/>
    <w:rsid w:val="00E54BF8"/>
    <w:rsid w:val="00E55878"/>
    <w:rsid w:val="00E55B0E"/>
    <w:rsid w:val="00E55F63"/>
    <w:rsid w:val="00E56403"/>
    <w:rsid w:val="00E62DBC"/>
    <w:rsid w:val="00E630D2"/>
    <w:rsid w:val="00E65C58"/>
    <w:rsid w:val="00E6661B"/>
    <w:rsid w:val="00E667B9"/>
    <w:rsid w:val="00E67D62"/>
    <w:rsid w:val="00E67EC6"/>
    <w:rsid w:val="00E67ECD"/>
    <w:rsid w:val="00E729DB"/>
    <w:rsid w:val="00E73248"/>
    <w:rsid w:val="00E73610"/>
    <w:rsid w:val="00E777B3"/>
    <w:rsid w:val="00E77D81"/>
    <w:rsid w:val="00E81033"/>
    <w:rsid w:val="00E810C3"/>
    <w:rsid w:val="00E848E7"/>
    <w:rsid w:val="00E84EC5"/>
    <w:rsid w:val="00E859C4"/>
    <w:rsid w:val="00E93577"/>
    <w:rsid w:val="00E94837"/>
    <w:rsid w:val="00E95C79"/>
    <w:rsid w:val="00E9650A"/>
    <w:rsid w:val="00E965BF"/>
    <w:rsid w:val="00E97B57"/>
    <w:rsid w:val="00EA1E6F"/>
    <w:rsid w:val="00EA3258"/>
    <w:rsid w:val="00EA444E"/>
    <w:rsid w:val="00EA490A"/>
    <w:rsid w:val="00EA6107"/>
    <w:rsid w:val="00EB1011"/>
    <w:rsid w:val="00EB1AF5"/>
    <w:rsid w:val="00EB2D35"/>
    <w:rsid w:val="00EB4CB2"/>
    <w:rsid w:val="00EB5E48"/>
    <w:rsid w:val="00EC1475"/>
    <w:rsid w:val="00ED1F14"/>
    <w:rsid w:val="00ED52C1"/>
    <w:rsid w:val="00EE05A2"/>
    <w:rsid w:val="00EE102F"/>
    <w:rsid w:val="00EE2F37"/>
    <w:rsid w:val="00EE3297"/>
    <w:rsid w:val="00EE35D5"/>
    <w:rsid w:val="00EE4FEC"/>
    <w:rsid w:val="00EE57BE"/>
    <w:rsid w:val="00EE6875"/>
    <w:rsid w:val="00EF0218"/>
    <w:rsid w:val="00EF06AA"/>
    <w:rsid w:val="00EF0D9C"/>
    <w:rsid w:val="00EF19A3"/>
    <w:rsid w:val="00EF1FC5"/>
    <w:rsid w:val="00EF22CD"/>
    <w:rsid w:val="00EF2D43"/>
    <w:rsid w:val="00EF4691"/>
    <w:rsid w:val="00EF676C"/>
    <w:rsid w:val="00EF6CF5"/>
    <w:rsid w:val="00F00C53"/>
    <w:rsid w:val="00F07CA5"/>
    <w:rsid w:val="00F14FCA"/>
    <w:rsid w:val="00F16538"/>
    <w:rsid w:val="00F1653A"/>
    <w:rsid w:val="00F168A7"/>
    <w:rsid w:val="00F16DE1"/>
    <w:rsid w:val="00F170F2"/>
    <w:rsid w:val="00F20CB6"/>
    <w:rsid w:val="00F2155C"/>
    <w:rsid w:val="00F220BE"/>
    <w:rsid w:val="00F232DC"/>
    <w:rsid w:val="00F23802"/>
    <w:rsid w:val="00F307C5"/>
    <w:rsid w:val="00F31D56"/>
    <w:rsid w:val="00F352CC"/>
    <w:rsid w:val="00F36B62"/>
    <w:rsid w:val="00F4009A"/>
    <w:rsid w:val="00F406DC"/>
    <w:rsid w:val="00F40A44"/>
    <w:rsid w:val="00F435F7"/>
    <w:rsid w:val="00F44025"/>
    <w:rsid w:val="00F460DA"/>
    <w:rsid w:val="00F46629"/>
    <w:rsid w:val="00F5091F"/>
    <w:rsid w:val="00F5403D"/>
    <w:rsid w:val="00F54041"/>
    <w:rsid w:val="00F57424"/>
    <w:rsid w:val="00F57718"/>
    <w:rsid w:val="00F57C81"/>
    <w:rsid w:val="00F609C5"/>
    <w:rsid w:val="00F6269E"/>
    <w:rsid w:val="00F6379D"/>
    <w:rsid w:val="00F65248"/>
    <w:rsid w:val="00F710DD"/>
    <w:rsid w:val="00F73136"/>
    <w:rsid w:val="00F7354A"/>
    <w:rsid w:val="00F756B5"/>
    <w:rsid w:val="00F75DA8"/>
    <w:rsid w:val="00F75F6B"/>
    <w:rsid w:val="00F76760"/>
    <w:rsid w:val="00F76E63"/>
    <w:rsid w:val="00F80340"/>
    <w:rsid w:val="00F80564"/>
    <w:rsid w:val="00F80FD5"/>
    <w:rsid w:val="00F81E38"/>
    <w:rsid w:val="00F81FFA"/>
    <w:rsid w:val="00F86A3D"/>
    <w:rsid w:val="00F86B0D"/>
    <w:rsid w:val="00F86C46"/>
    <w:rsid w:val="00F917C0"/>
    <w:rsid w:val="00F95BC8"/>
    <w:rsid w:val="00F963FF"/>
    <w:rsid w:val="00F9763B"/>
    <w:rsid w:val="00FA5C09"/>
    <w:rsid w:val="00FB4952"/>
    <w:rsid w:val="00FB57CC"/>
    <w:rsid w:val="00FB599C"/>
    <w:rsid w:val="00FB7C69"/>
    <w:rsid w:val="00FC12CC"/>
    <w:rsid w:val="00FC1C17"/>
    <w:rsid w:val="00FC37AC"/>
    <w:rsid w:val="00FC40F2"/>
    <w:rsid w:val="00FC423F"/>
    <w:rsid w:val="00FC5FAA"/>
    <w:rsid w:val="00FC6AD5"/>
    <w:rsid w:val="00FD187E"/>
    <w:rsid w:val="00FD18FB"/>
    <w:rsid w:val="00FD192E"/>
    <w:rsid w:val="00FD2708"/>
    <w:rsid w:val="00FD4B1D"/>
    <w:rsid w:val="00FD7CD0"/>
    <w:rsid w:val="00FE1A3A"/>
    <w:rsid w:val="00FE2706"/>
    <w:rsid w:val="00FE39F6"/>
    <w:rsid w:val="00FE7934"/>
    <w:rsid w:val="00FE7FE7"/>
    <w:rsid w:val="00FF2EA8"/>
    <w:rsid w:val="00FF37F6"/>
    <w:rsid w:val="00FF3CDB"/>
    <w:rsid w:val="00FF4ADD"/>
    <w:rsid w:val="010C243E"/>
    <w:rsid w:val="0177451A"/>
    <w:rsid w:val="01D8237F"/>
    <w:rsid w:val="029429C0"/>
    <w:rsid w:val="02B9088F"/>
    <w:rsid w:val="03983C97"/>
    <w:rsid w:val="03BE44B1"/>
    <w:rsid w:val="03D114A6"/>
    <w:rsid w:val="053A4512"/>
    <w:rsid w:val="056472A7"/>
    <w:rsid w:val="0594536B"/>
    <w:rsid w:val="05D30962"/>
    <w:rsid w:val="060F23F6"/>
    <w:rsid w:val="062E5C80"/>
    <w:rsid w:val="064E2EED"/>
    <w:rsid w:val="06D05598"/>
    <w:rsid w:val="073A5A0B"/>
    <w:rsid w:val="08293F3F"/>
    <w:rsid w:val="08A8171F"/>
    <w:rsid w:val="0A146488"/>
    <w:rsid w:val="0C0C7F03"/>
    <w:rsid w:val="0C810017"/>
    <w:rsid w:val="0D7A2203"/>
    <w:rsid w:val="0DB22432"/>
    <w:rsid w:val="0E100F06"/>
    <w:rsid w:val="0F7B27FD"/>
    <w:rsid w:val="0FCE162A"/>
    <w:rsid w:val="0FEA7549"/>
    <w:rsid w:val="100D3381"/>
    <w:rsid w:val="10394D25"/>
    <w:rsid w:val="10CD0C76"/>
    <w:rsid w:val="10D26947"/>
    <w:rsid w:val="125D09C4"/>
    <w:rsid w:val="13ED39A0"/>
    <w:rsid w:val="143A62A9"/>
    <w:rsid w:val="15893913"/>
    <w:rsid w:val="15D419A2"/>
    <w:rsid w:val="17FC3582"/>
    <w:rsid w:val="18452C77"/>
    <w:rsid w:val="18631508"/>
    <w:rsid w:val="18D37C2C"/>
    <w:rsid w:val="190F22AF"/>
    <w:rsid w:val="1AA61AEA"/>
    <w:rsid w:val="1AC20DB1"/>
    <w:rsid w:val="1BDD2C67"/>
    <w:rsid w:val="1C145B71"/>
    <w:rsid w:val="1C650765"/>
    <w:rsid w:val="1CC51319"/>
    <w:rsid w:val="1CF8608C"/>
    <w:rsid w:val="1D7D6133"/>
    <w:rsid w:val="1D970DA9"/>
    <w:rsid w:val="1E457626"/>
    <w:rsid w:val="1E851D92"/>
    <w:rsid w:val="1EDF470C"/>
    <w:rsid w:val="1EFD6E6C"/>
    <w:rsid w:val="1F3A5DE3"/>
    <w:rsid w:val="1F3E3506"/>
    <w:rsid w:val="1F3E7B44"/>
    <w:rsid w:val="21554126"/>
    <w:rsid w:val="21BF459F"/>
    <w:rsid w:val="221262E7"/>
    <w:rsid w:val="224E4BB7"/>
    <w:rsid w:val="22794E74"/>
    <w:rsid w:val="22C43E51"/>
    <w:rsid w:val="231F3C6E"/>
    <w:rsid w:val="23553B73"/>
    <w:rsid w:val="24FE227B"/>
    <w:rsid w:val="259B2C26"/>
    <w:rsid w:val="259C54CD"/>
    <w:rsid w:val="25E04236"/>
    <w:rsid w:val="25E06F6D"/>
    <w:rsid w:val="270677F6"/>
    <w:rsid w:val="28611E55"/>
    <w:rsid w:val="28640D08"/>
    <w:rsid w:val="2867552D"/>
    <w:rsid w:val="296C7298"/>
    <w:rsid w:val="2A1533F1"/>
    <w:rsid w:val="2AF9163E"/>
    <w:rsid w:val="2B603563"/>
    <w:rsid w:val="2C1A1476"/>
    <w:rsid w:val="2CAC016D"/>
    <w:rsid w:val="2E540FF5"/>
    <w:rsid w:val="2F303A50"/>
    <w:rsid w:val="2FE500E7"/>
    <w:rsid w:val="2FF26266"/>
    <w:rsid w:val="2FF4615F"/>
    <w:rsid w:val="30017D16"/>
    <w:rsid w:val="31375031"/>
    <w:rsid w:val="313E6B35"/>
    <w:rsid w:val="31406246"/>
    <w:rsid w:val="31D75713"/>
    <w:rsid w:val="32ED37E3"/>
    <w:rsid w:val="33307726"/>
    <w:rsid w:val="33B259C6"/>
    <w:rsid w:val="34012DD3"/>
    <w:rsid w:val="3421711A"/>
    <w:rsid w:val="344C5DDD"/>
    <w:rsid w:val="34F53693"/>
    <w:rsid w:val="34FF7FF6"/>
    <w:rsid w:val="35183D0B"/>
    <w:rsid w:val="35D17A24"/>
    <w:rsid w:val="365C25BF"/>
    <w:rsid w:val="36716344"/>
    <w:rsid w:val="375570E7"/>
    <w:rsid w:val="3763257B"/>
    <w:rsid w:val="37B242A6"/>
    <w:rsid w:val="38534909"/>
    <w:rsid w:val="39327D9D"/>
    <w:rsid w:val="3CA232BF"/>
    <w:rsid w:val="3CF116DA"/>
    <w:rsid w:val="3DA617F4"/>
    <w:rsid w:val="3EB9732A"/>
    <w:rsid w:val="3EF458F2"/>
    <w:rsid w:val="3F1475D7"/>
    <w:rsid w:val="3FEC39BC"/>
    <w:rsid w:val="4079274E"/>
    <w:rsid w:val="41BB6572"/>
    <w:rsid w:val="41F67E38"/>
    <w:rsid w:val="42995385"/>
    <w:rsid w:val="42A46A55"/>
    <w:rsid w:val="42EB676C"/>
    <w:rsid w:val="430A40F5"/>
    <w:rsid w:val="434A3F97"/>
    <w:rsid w:val="43E60433"/>
    <w:rsid w:val="442806E9"/>
    <w:rsid w:val="445A4E7E"/>
    <w:rsid w:val="456F4189"/>
    <w:rsid w:val="458510FA"/>
    <w:rsid w:val="475F73CA"/>
    <w:rsid w:val="47D76015"/>
    <w:rsid w:val="482C2C53"/>
    <w:rsid w:val="48AA5067"/>
    <w:rsid w:val="48C71777"/>
    <w:rsid w:val="48CE6029"/>
    <w:rsid w:val="493A31F1"/>
    <w:rsid w:val="4A633E34"/>
    <w:rsid w:val="4A7C7E25"/>
    <w:rsid w:val="4AAE5753"/>
    <w:rsid w:val="4B645E12"/>
    <w:rsid w:val="4B86701D"/>
    <w:rsid w:val="4B9F2122"/>
    <w:rsid w:val="4BE20DB5"/>
    <w:rsid w:val="4C3812BE"/>
    <w:rsid w:val="4C437568"/>
    <w:rsid w:val="4CB71AC3"/>
    <w:rsid w:val="4D362CF9"/>
    <w:rsid w:val="4D407FCA"/>
    <w:rsid w:val="4D917D90"/>
    <w:rsid w:val="4D965452"/>
    <w:rsid w:val="4DE42A76"/>
    <w:rsid w:val="4E414071"/>
    <w:rsid w:val="4ED232B7"/>
    <w:rsid w:val="4F654D29"/>
    <w:rsid w:val="4F935FCE"/>
    <w:rsid w:val="4F9D5515"/>
    <w:rsid w:val="4FBC6ABC"/>
    <w:rsid w:val="50152DF9"/>
    <w:rsid w:val="502538CC"/>
    <w:rsid w:val="50265D8C"/>
    <w:rsid w:val="506B4AF8"/>
    <w:rsid w:val="50AD2765"/>
    <w:rsid w:val="50EB2332"/>
    <w:rsid w:val="512B337B"/>
    <w:rsid w:val="51A90A23"/>
    <w:rsid w:val="51D02D3D"/>
    <w:rsid w:val="53136342"/>
    <w:rsid w:val="543010E1"/>
    <w:rsid w:val="54CD6E6D"/>
    <w:rsid w:val="54E7352F"/>
    <w:rsid w:val="551E1174"/>
    <w:rsid w:val="552D350C"/>
    <w:rsid w:val="563923A0"/>
    <w:rsid w:val="56D039D4"/>
    <w:rsid w:val="570F4F7D"/>
    <w:rsid w:val="59456006"/>
    <w:rsid w:val="59526FF3"/>
    <w:rsid w:val="598A50F9"/>
    <w:rsid w:val="5AAB1367"/>
    <w:rsid w:val="5B51560B"/>
    <w:rsid w:val="5C414D69"/>
    <w:rsid w:val="5C5E284E"/>
    <w:rsid w:val="5C8F26A2"/>
    <w:rsid w:val="5CD31049"/>
    <w:rsid w:val="5D173F2E"/>
    <w:rsid w:val="5DC310BE"/>
    <w:rsid w:val="5DC91399"/>
    <w:rsid w:val="5EB43C37"/>
    <w:rsid w:val="5EF673A8"/>
    <w:rsid w:val="5F042B44"/>
    <w:rsid w:val="5F223242"/>
    <w:rsid w:val="5F8A7A45"/>
    <w:rsid w:val="5FD77BF8"/>
    <w:rsid w:val="5FE07D05"/>
    <w:rsid w:val="60FE2C3A"/>
    <w:rsid w:val="611F03B9"/>
    <w:rsid w:val="619D5782"/>
    <w:rsid w:val="62AF0875"/>
    <w:rsid w:val="62D86491"/>
    <w:rsid w:val="631452EA"/>
    <w:rsid w:val="635E3973"/>
    <w:rsid w:val="63F7561D"/>
    <w:rsid w:val="64152AEC"/>
    <w:rsid w:val="647C424F"/>
    <w:rsid w:val="647E7AED"/>
    <w:rsid w:val="656D3B1C"/>
    <w:rsid w:val="65C1309B"/>
    <w:rsid w:val="66255F81"/>
    <w:rsid w:val="664C049A"/>
    <w:rsid w:val="675F6813"/>
    <w:rsid w:val="678251B1"/>
    <w:rsid w:val="678D59CD"/>
    <w:rsid w:val="67920941"/>
    <w:rsid w:val="68464DC5"/>
    <w:rsid w:val="687A5294"/>
    <w:rsid w:val="68C862B7"/>
    <w:rsid w:val="69E91A52"/>
    <w:rsid w:val="6A3363C3"/>
    <w:rsid w:val="6B362ECF"/>
    <w:rsid w:val="6BBB1626"/>
    <w:rsid w:val="6C613771"/>
    <w:rsid w:val="6E155029"/>
    <w:rsid w:val="6F5114F1"/>
    <w:rsid w:val="70651EF6"/>
    <w:rsid w:val="70691444"/>
    <w:rsid w:val="70CD3B09"/>
    <w:rsid w:val="71BB1EC8"/>
    <w:rsid w:val="71C34CA5"/>
    <w:rsid w:val="71CB65BC"/>
    <w:rsid w:val="721B79E1"/>
    <w:rsid w:val="725536BF"/>
    <w:rsid w:val="72AC107D"/>
    <w:rsid w:val="72B268A1"/>
    <w:rsid w:val="73FB1084"/>
    <w:rsid w:val="74951C65"/>
    <w:rsid w:val="74DF3FD1"/>
    <w:rsid w:val="7631344D"/>
    <w:rsid w:val="77031C9E"/>
    <w:rsid w:val="773B2661"/>
    <w:rsid w:val="77AF220D"/>
    <w:rsid w:val="78941D08"/>
    <w:rsid w:val="78A711B8"/>
    <w:rsid w:val="7A5B43C0"/>
    <w:rsid w:val="7A7F4508"/>
    <w:rsid w:val="7A8C53DE"/>
    <w:rsid w:val="7A8F3141"/>
    <w:rsid w:val="7AC24A5E"/>
    <w:rsid w:val="7B044DCC"/>
    <w:rsid w:val="7B22521E"/>
    <w:rsid w:val="7B3E32A1"/>
    <w:rsid w:val="7C7A248E"/>
    <w:rsid w:val="7D086252"/>
    <w:rsid w:val="7DF95408"/>
    <w:rsid w:val="7FBF56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54"/>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55"/>
    <w:qFormat/>
    <w:uiPriority w:val="0"/>
    <w:pPr>
      <w:adjustRightInd w:val="0"/>
      <w:jc w:val="center"/>
      <w:textAlignment w:val="baseline"/>
      <w:outlineLvl w:val="1"/>
    </w:pPr>
    <w:rPr>
      <w:sz w:val="24"/>
      <w:szCs w:val="20"/>
    </w:rPr>
  </w:style>
  <w:style w:type="paragraph" w:styleId="3">
    <w:name w:val="heading 3"/>
    <w:basedOn w:val="4"/>
    <w:next w:val="1"/>
    <w:link w:val="63"/>
    <w:qFormat/>
    <w:uiPriority w:val="9"/>
    <w:pPr>
      <w:spacing w:before="260" w:after="260" w:line="240" w:lineRule="auto"/>
      <w:outlineLvl w:val="2"/>
    </w:pPr>
    <w:rPr>
      <w:rFonts w:ascii="宋体" w:hAnsi="宋体" w:eastAsia="宋体"/>
      <w:szCs w:val="32"/>
    </w:rPr>
  </w:style>
  <w:style w:type="paragraph" w:styleId="4">
    <w:name w:val="heading 4"/>
    <w:basedOn w:val="1"/>
    <w:next w:val="1"/>
    <w:link w:val="57"/>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58"/>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59"/>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0"/>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1"/>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62"/>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75"/>
    <w:qFormat/>
    <w:uiPriority w:val="0"/>
    <w:pPr>
      <w:ind w:firstLine="420"/>
    </w:pPr>
    <w:rPr>
      <w:rFonts w:ascii="Times New Roman" w:hAnsi="Times New Roman"/>
      <w:kern w:val="0"/>
      <w:sz w:val="20"/>
      <w:szCs w:val="20"/>
    </w:rPr>
  </w:style>
  <w:style w:type="paragraph" w:styleId="12">
    <w:name w:val="toc 7"/>
    <w:basedOn w:val="1"/>
    <w:next w:val="1"/>
    <w:semiHidden/>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15"/>
    <w:semiHidden/>
    <w:qFormat/>
    <w:uiPriority w:val="0"/>
    <w:pPr>
      <w:shd w:val="clear" w:color="auto" w:fill="000080"/>
    </w:pPr>
    <w:rPr>
      <w:rFonts w:ascii="Times New Roman" w:hAnsi="Times New Roman"/>
      <w:kern w:val="0"/>
      <w:sz w:val="20"/>
      <w:szCs w:val="24"/>
    </w:rPr>
  </w:style>
  <w:style w:type="paragraph" w:styleId="16">
    <w:name w:val="annotation text"/>
    <w:basedOn w:val="1"/>
    <w:link w:val="119"/>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13"/>
    <w:qFormat/>
    <w:uiPriority w:val="0"/>
    <w:pPr>
      <w:spacing w:after="120"/>
    </w:pPr>
    <w:rPr>
      <w:rFonts w:ascii="Times New Roman" w:hAnsi="Times New Roman"/>
      <w:kern w:val="0"/>
      <w:sz w:val="16"/>
      <w:szCs w:val="16"/>
    </w:rPr>
  </w:style>
  <w:style w:type="paragraph" w:styleId="18">
    <w:name w:val="Body Text"/>
    <w:basedOn w:val="1"/>
    <w:link w:val="117"/>
    <w:qFormat/>
    <w:uiPriority w:val="0"/>
    <w:pPr>
      <w:spacing w:line="360" w:lineRule="auto"/>
    </w:pPr>
    <w:rPr>
      <w:rFonts w:ascii="Times New Roman" w:hAnsi="Times New Roman"/>
      <w:b/>
      <w:bCs/>
      <w:kern w:val="0"/>
      <w:sz w:val="24"/>
      <w:szCs w:val="24"/>
    </w:rPr>
  </w:style>
  <w:style w:type="paragraph" w:styleId="19">
    <w:name w:val="Body Text Indent"/>
    <w:basedOn w:val="1"/>
    <w:link w:val="118"/>
    <w:qFormat/>
    <w:uiPriority w:val="0"/>
    <w:pPr>
      <w:spacing w:line="360" w:lineRule="auto"/>
      <w:ind w:firstLine="420" w:firstLineChars="200"/>
    </w:pPr>
    <w:rPr>
      <w:rFonts w:ascii="Times New Roman" w:hAnsi="Times New Roman"/>
      <w:kern w:val="0"/>
      <w:sz w:val="20"/>
      <w:szCs w:val="24"/>
    </w:rPr>
  </w:style>
  <w:style w:type="paragraph" w:styleId="20">
    <w:name w:val="toc 5"/>
    <w:basedOn w:val="1"/>
    <w:next w:val="1"/>
    <w:semiHidden/>
    <w:qFormat/>
    <w:uiPriority w:val="0"/>
    <w:pPr>
      <w:ind w:left="840"/>
      <w:jc w:val="left"/>
    </w:pPr>
    <w:rPr>
      <w:rFonts w:ascii="Times New Roman" w:hAnsi="Times New Roman"/>
      <w:szCs w:val="21"/>
    </w:rPr>
  </w:style>
  <w:style w:type="paragraph" w:styleId="21">
    <w:name w:val="toc 3"/>
    <w:basedOn w:val="1"/>
    <w:next w:val="1"/>
    <w:semiHidden/>
    <w:qFormat/>
    <w:uiPriority w:val="0"/>
    <w:pPr>
      <w:ind w:left="420"/>
      <w:jc w:val="left"/>
    </w:pPr>
    <w:rPr>
      <w:rFonts w:ascii="Times New Roman" w:hAnsi="Times New Roman"/>
      <w:i/>
      <w:iCs/>
      <w:szCs w:val="24"/>
    </w:rPr>
  </w:style>
  <w:style w:type="paragraph" w:styleId="22">
    <w:name w:val="Plain Text"/>
    <w:basedOn w:val="1"/>
    <w:link w:val="114"/>
    <w:qFormat/>
    <w:uiPriority w:val="0"/>
    <w:rPr>
      <w:rFonts w:ascii="宋体" w:hAnsi="Courier New"/>
      <w:kern w:val="0"/>
      <w:sz w:val="20"/>
      <w:szCs w:val="20"/>
    </w:rPr>
  </w:style>
  <w:style w:type="paragraph" w:styleId="23">
    <w:name w:val="toc 8"/>
    <w:basedOn w:val="1"/>
    <w:next w:val="1"/>
    <w:semiHidden/>
    <w:qFormat/>
    <w:uiPriority w:val="0"/>
    <w:pPr>
      <w:ind w:left="1470"/>
      <w:jc w:val="left"/>
    </w:pPr>
    <w:rPr>
      <w:rFonts w:ascii="Times New Roman" w:hAnsi="Times New Roman"/>
      <w:szCs w:val="21"/>
    </w:rPr>
  </w:style>
  <w:style w:type="paragraph" w:styleId="24">
    <w:name w:val="Date"/>
    <w:basedOn w:val="1"/>
    <w:next w:val="1"/>
    <w:link w:val="116"/>
    <w:qFormat/>
    <w:uiPriority w:val="0"/>
    <w:rPr>
      <w:rFonts w:ascii="宋体" w:hAnsi="Courier New"/>
      <w:kern w:val="0"/>
      <w:sz w:val="32"/>
      <w:szCs w:val="20"/>
    </w:rPr>
  </w:style>
  <w:style w:type="paragraph" w:styleId="25">
    <w:name w:val="Body Text Indent 2"/>
    <w:basedOn w:val="1"/>
    <w:link w:val="121"/>
    <w:qFormat/>
    <w:uiPriority w:val="0"/>
    <w:pPr>
      <w:spacing w:beforeLines="50" w:afterLines="50" w:line="120" w:lineRule="auto"/>
      <w:ind w:firstLine="840" w:firstLineChars="400"/>
      <w:jc w:val="left"/>
    </w:pPr>
    <w:rPr>
      <w:rFonts w:ascii="宋体" w:hAnsi="宋体"/>
      <w:kern w:val="0"/>
      <w:sz w:val="20"/>
      <w:szCs w:val="24"/>
    </w:rPr>
  </w:style>
  <w:style w:type="paragraph" w:styleId="26">
    <w:name w:val="Balloon Text"/>
    <w:basedOn w:val="1"/>
    <w:link w:val="123"/>
    <w:qFormat/>
    <w:uiPriority w:val="99"/>
    <w:rPr>
      <w:rFonts w:ascii="Times New Roman" w:hAnsi="Times New Roman"/>
      <w:kern w:val="0"/>
      <w:sz w:val="18"/>
      <w:szCs w:val="18"/>
    </w:rPr>
  </w:style>
  <w:style w:type="paragraph" w:styleId="27">
    <w:name w:val="footer"/>
    <w:basedOn w:val="1"/>
    <w:link w:val="53"/>
    <w:unhideWhenUsed/>
    <w:qFormat/>
    <w:uiPriority w:val="99"/>
    <w:pPr>
      <w:tabs>
        <w:tab w:val="center" w:pos="4153"/>
        <w:tab w:val="right" w:pos="8306"/>
      </w:tabs>
      <w:snapToGrid w:val="0"/>
      <w:jc w:val="left"/>
    </w:pPr>
    <w:rPr>
      <w:sz w:val="18"/>
      <w:szCs w:val="18"/>
    </w:rPr>
  </w:style>
  <w:style w:type="paragraph" w:styleId="2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rFonts w:ascii="Times New Roman" w:hAnsi="Times New Roman"/>
      <w:b/>
      <w:bCs/>
      <w:caps/>
      <w:szCs w:val="24"/>
    </w:rPr>
  </w:style>
  <w:style w:type="paragraph" w:styleId="30">
    <w:name w:val="toc 4"/>
    <w:basedOn w:val="1"/>
    <w:next w:val="1"/>
    <w:semiHidden/>
    <w:qFormat/>
    <w:uiPriority w:val="0"/>
    <w:pPr>
      <w:ind w:left="630"/>
      <w:jc w:val="left"/>
    </w:pPr>
    <w:rPr>
      <w:rFonts w:ascii="Times New Roman" w:hAnsi="Times New Roman"/>
      <w:szCs w:val="21"/>
    </w:rPr>
  </w:style>
  <w:style w:type="paragraph" w:styleId="31">
    <w:name w:val="toc 6"/>
    <w:basedOn w:val="1"/>
    <w:next w:val="1"/>
    <w:semiHidden/>
    <w:qFormat/>
    <w:uiPriority w:val="0"/>
    <w:pPr>
      <w:ind w:left="1050"/>
      <w:jc w:val="left"/>
    </w:pPr>
    <w:rPr>
      <w:rFonts w:ascii="Times New Roman" w:hAnsi="Times New Roman"/>
      <w:szCs w:val="21"/>
    </w:rPr>
  </w:style>
  <w:style w:type="paragraph" w:styleId="32">
    <w:name w:val="Body Text Indent 3"/>
    <w:basedOn w:val="1"/>
    <w:link w:val="124"/>
    <w:qFormat/>
    <w:uiPriority w:val="0"/>
    <w:pPr>
      <w:spacing w:line="360" w:lineRule="auto"/>
      <w:ind w:firstLine="482" w:firstLineChars="200"/>
    </w:pPr>
    <w:rPr>
      <w:rFonts w:ascii="宋体" w:hAnsi="Times New Roman"/>
      <w:b/>
      <w:bCs/>
      <w:kern w:val="0"/>
      <w:sz w:val="24"/>
      <w:szCs w:val="24"/>
    </w:rPr>
  </w:style>
  <w:style w:type="paragraph" w:styleId="33">
    <w:name w:val="toc 2"/>
    <w:basedOn w:val="1"/>
    <w:next w:val="1"/>
    <w:qFormat/>
    <w:uiPriority w:val="0"/>
    <w:pPr>
      <w:tabs>
        <w:tab w:val="right" w:leader="dot" w:pos="8296"/>
      </w:tabs>
      <w:ind w:left="210"/>
      <w:jc w:val="left"/>
    </w:pPr>
    <w:rPr>
      <w:rFonts w:ascii="Times New Roman" w:hAnsi="Times New Roman"/>
      <w:smallCaps/>
      <w:szCs w:val="24"/>
    </w:rPr>
  </w:style>
  <w:style w:type="paragraph" w:styleId="34">
    <w:name w:val="toc 9"/>
    <w:basedOn w:val="1"/>
    <w:next w:val="1"/>
    <w:semiHidden/>
    <w:qFormat/>
    <w:uiPriority w:val="0"/>
    <w:pPr>
      <w:ind w:left="1680"/>
      <w:jc w:val="left"/>
    </w:pPr>
    <w:rPr>
      <w:rFonts w:ascii="Times New Roman" w:hAnsi="Times New Roman"/>
      <w:szCs w:val="21"/>
    </w:rPr>
  </w:style>
  <w:style w:type="paragraph" w:styleId="35">
    <w:name w:val="Body Text 2"/>
    <w:basedOn w:val="1"/>
    <w:link w:val="122"/>
    <w:qFormat/>
    <w:uiPriority w:val="0"/>
    <w:pPr>
      <w:spacing w:line="360" w:lineRule="auto"/>
    </w:pPr>
    <w:rPr>
      <w:rFonts w:ascii="Times New Roman" w:hAnsi="Times New Roman"/>
      <w:kern w:val="0"/>
      <w:sz w:val="24"/>
      <w:szCs w:val="24"/>
    </w:rPr>
  </w:style>
  <w:style w:type="paragraph" w:styleId="36">
    <w:name w:val="HTML Preformatted"/>
    <w:basedOn w:val="1"/>
    <w:link w:val="1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link w:val="125"/>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26"/>
    <w:qFormat/>
    <w:uiPriority w:val="99"/>
    <w:pPr>
      <w:autoSpaceDE/>
      <w:autoSpaceDN/>
      <w:adjustRightInd/>
      <w:textAlignment w:val="auto"/>
    </w:pPr>
    <w:rPr>
      <w:rFonts w:ascii="Times New Roman"/>
      <w:b/>
      <w:bCs/>
      <w:szCs w:val="24"/>
    </w:rPr>
  </w:style>
  <w:style w:type="paragraph" w:styleId="41">
    <w:name w:val="Body Text First Indent"/>
    <w:basedOn w:val="18"/>
    <w:link w:val="127"/>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unhideWhenUsed/>
    <w:qFormat/>
    <w:uiPriority w:val="99"/>
    <w:rPr>
      <w:color w:val="800080"/>
      <w:u w:val="single"/>
    </w:rPr>
  </w:style>
  <w:style w:type="character" w:styleId="48">
    <w:name w:val="Emphasis"/>
    <w:basedOn w:val="44"/>
    <w:qFormat/>
    <w:uiPriority w:val="0"/>
    <w:rPr>
      <w:i/>
    </w:rPr>
  </w:style>
  <w:style w:type="character" w:styleId="49">
    <w:name w:val="Hyperlink"/>
    <w:basedOn w:val="44"/>
    <w:qFormat/>
    <w:uiPriority w:val="0"/>
    <w:rPr>
      <w:color w:val="0000FF"/>
      <w:u w:val="single"/>
    </w:rPr>
  </w:style>
  <w:style w:type="character" w:styleId="50">
    <w:name w:val="annotation reference"/>
    <w:qFormat/>
    <w:uiPriority w:val="0"/>
    <w:rPr>
      <w:sz w:val="21"/>
      <w:szCs w:val="21"/>
    </w:rPr>
  </w:style>
  <w:style w:type="paragraph" w:styleId="51">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2">
    <w:name w:val="页眉 Char"/>
    <w:basedOn w:val="44"/>
    <w:link w:val="28"/>
    <w:qFormat/>
    <w:uiPriority w:val="99"/>
    <w:rPr>
      <w:sz w:val="18"/>
      <w:szCs w:val="18"/>
    </w:rPr>
  </w:style>
  <w:style w:type="character" w:customStyle="1" w:styleId="53">
    <w:name w:val="页脚 Char"/>
    <w:basedOn w:val="44"/>
    <w:link w:val="27"/>
    <w:qFormat/>
    <w:uiPriority w:val="99"/>
    <w:rPr>
      <w:sz w:val="18"/>
      <w:szCs w:val="18"/>
    </w:rPr>
  </w:style>
  <w:style w:type="character" w:customStyle="1" w:styleId="54">
    <w:name w:val="标题 1 Char"/>
    <w:basedOn w:val="44"/>
    <w:link w:val="2"/>
    <w:qFormat/>
    <w:uiPriority w:val="9"/>
    <w:rPr>
      <w:rFonts w:ascii="宋体" w:hAnsi="宋体" w:eastAsia="黑体" w:cs="Times New Roman"/>
      <w:b/>
      <w:bCs/>
      <w:kern w:val="44"/>
      <w:sz w:val="28"/>
      <w:szCs w:val="44"/>
    </w:rPr>
  </w:style>
  <w:style w:type="character" w:customStyle="1" w:styleId="55">
    <w:name w:val="标题 2 Char"/>
    <w:basedOn w:val="44"/>
    <w:link w:val="5"/>
    <w:qFormat/>
    <w:uiPriority w:val="0"/>
    <w:rPr>
      <w:rFonts w:ascii="宋体" w:hAnsi="宋体" w:eastAsia="宋体" w:cs="Times New Roman"/>
      <w:b/>
      <w:bCs/>
      <w:kern w:val="0"/>
      <w:sz w:val="24"/>
      <w:szCs w:val="20"/>
    </w:rPr>
  </w:style>
  <w:style w:type="character" w:customStyle="1" w:styleId="56">
    <w:name w:val="标题 3 Char"/>
    <w:basedOn w:val="44"/>
    <w:link w:val="3"/>
    <w:qFormat/>
    <w:uiPriority w:val="9"/>
    <w:rPr>
      <w:rFonts w:ascii="Calibri" w:hAnsi="Calibri" w:eastAsia="宋体" w:cs="Times New Roman"/>
      <w:b/>
      <w:bCs/>
      <w:sz w:val="32"/>
      <w:szCs w:val="32"/>
    </w:rPr>
  </w:style>
  <w:style w:type="character" w:customStyle="1" w:styleId="57">
    <w:name w:val="标题 4 Char"/>
    <w:basedOn w:val="44"/>
    <w:link w:val="4"/>
    <w:qFormat/>
    <w:uiPriority w:val="0"/>
    <w:rPr>
      <w:rFonts w:ascii="Arial" w:hAnsi="Arial" w:eastAsia="黑体" w:cs="Times New Roman"/>
      <w:b/>
      <w:bCs/>
      <w:kern w:val="0"/>
      <w:sz w:val="28"/>
      <w:szCs w:val="28"/>
    </w:rPr>
  </w:style>
  <w:style w:type="character" w:customStyle="1" w:styleId="58">
    <w:name w:val="标题 5 Char"/>
    <w:basedOn w:val="44"/>
    <w:link w:val="6"/>
    <w:qFormat/>
    <w:uiPriority w:val="0"/>
    <w:rPr>
      <w:rFonts w:ascii="Times New Roman" w:hAnsi="Times New Roman" w:eastAsia="宋体" w:cs="Times New Roman"/>
      <w:b/>
      <w:kern w:val="0"/>
      <w:sz w:val="28"/>
      <w:szCs w:val="20"/>
    </w:rPr>
  </w:style>
  <w:style w:type="character" w:customStyle="1" w:styleId="59">
    <w:name w:val="标题 6 Char"/>
    <w:basedOn w:val="44"/>
    <w:link w:val="8"/>
    <w:qFormat/>
    <w:uiPriority w:val="0"/>
    <w:rPr>
      <w:rFonts w:ascii="Arial" w:hAnsi="Arial" w:eastAsia="黑体" w:cs="Times New Roman"/>
      <w:b/>
      <w:kern w:val="0"/>
      <w:sz w:val="24"/>
      <w:szCs w:val="20"/>
    </w:rPr>
  </w:style>
  <w:style w:type="character" w:customStyle="1" w:styleId="60">
    <w:name w:val="标题 7 Char"/>
    <w:basedOn w:val="44"/>
    <w:link w:val="9"/>
    <w:qFormat/>
    <w:uiPriority w:val="0"/>
    <w:rPr>
      <w:rFonts w:ascii="Times New Roman" w:hAnsi="Times New Roman" w:eastAsia="宋体" w:cs="Times New Roman"/>
      <w:b/>
      <w:kern w:val="0"/>
      <w:sz w:val="24"/>
      <w:szCs w:val="20"/>
    </w:rPr>
  </w:style>
  <w:style w:type="character" w:customStyle="1" w:styleId="61">
    <w:name w:val="标题 8 Char"/>
    <w:basedOn w:val="44"/>
    <w:link w:val="10"/>
    <w:qFormat/>
    <w:uiPriority w:val="0"/>
    <w:rPr>
      <w:rFonts w:ascii="Arial" w:hAnsi="Arial" w:eastAsia="黑体" w:cs="Times New Roman"/>
      <w:kern w:val="0"/>
      <w:sz w:val="24"/>
      <w:szCs w:val="20"/>
    </w:rPr>
  </w:style>
  <w:style w:type="character" w:customStyle="1" w:styleId="62">
    <w:name w:val="标题 9 Char"/>
    <w:basedOn w:val="44"/>
    <w:link w:val="11"/>
    <w:qFormat/>
    <w:uiPriority w:val="0"/>
    <w:rPr>
      <w:rFonts w:ascii="Arial" w:hAnsi="Arial" w:eastAsia="黑体" w:cs="Times New Roman"/>
      <w:kern w:val="0"/>
      <w:sz w:val="20"/>
      <w:szCs w:val="20"/>
    </w:rPr>
  </w:style>
  <w:style w:type="character" w:customStyle="1" w:styleId="63">
    <w:name w:val="标题 3 Char1"/>
    <w:link w:val="3"/>
    <w:qFormat/>
    <w:uiPriority w:val="0"/>
    <w:rPr>
      <w:rFonts w:ascii="宋体" w:hAnsi="宋体" w:eastAsia="宋体" w:cs="Times New Roman"/>
      <w:b/>
      <w:bCs/>
      <w:kern w:val="0"/>
      <w:sz w:val="28"/>
      <w:szCs w:val="32"/>
    </w:rPr>
  </w:style>
  <w:style w:type="character" w:customStyle="1" w:styleId="64">
    <w:name w:val="--规划正文 Char Char"/>
    <w:qFormat/>
    <w:uiPriority w:val="0"/>
    <w:rPr>
      <w:rFonts w:eastAsia="宋体"/>
      <w:kern w:val="2"/>
      <w:sz w:val="24"/>
      <w:szCs w:val="24"/>
      <w:lang w:val="en-US" w:eastAsia="zh-CN" w:bidi="ar-SA"/>
    </w:rPr>
  </w:style>
  <w:style w:type="character" w:customStyle="1" w:styleId="65">
    <w:name w:val="grame"/>
    <w:basedOn w:val="44"/>
    <w:qFormat/>
    <w:uiPriority w:val="0"/>
  </w:style>
  <w:style w:type="character" w:customStyle="1" w:styleId="66">
    <w:name w:val="font"/>
    <w:basedOn w:val="44"/>
    <w:qFormat/>
    <w:uiPriority w:val="0"/>
  </w:style>
  <w:style w:type="character" w:customStyle="1" w:styleId="67">
    <w:name w:val="font2"/>
    <w:basedOn w:val="44"/>
    <w:qFormat/>
    <w:uiPriority w:val="0"/>
  </w:style>
  <w:style w:type="character" w:customStyle="1" w:styleId="68">
    <w:name w:val="unnamed4"/>
    <w:basedOn w:val="44"/>
    <w:qFormat/>
    <w:uiPriority w:val="0"/>
  </w:style>
  <w:style w:type="character" w:customStyle="1" w:styleId="69">
    <w:name w:val="样式 小三 加粗"/>
    <w:qFormat/>
    <w:uiPriority w:val="0"/>
    <w:rPr>
      <w:rFonts w:eastAsia="宋体"/>
      <w:b/>
      <w:bCs/>
      <w:sz w:val="32"/>
    </w:rPr>
  </w:style>
  <w:style w:type="character" w:customStyle="1" w:styleId="70">
    <w:name w:val="z-窗体顶端 Char"/>
    <w:basedOn w:val="44"/>
    <w:qFormat/>
    <w:uiPriority w:val="0"/>
    <w:rPr>
      <w:rFonts w:ascii="Arial" w:hAnsi="Arial" w:eastAsia="宋体" w:cs="Times New Roman"/>
      <w:vanish/>
      <w:kern w:val="0"/>
      <w:sz w:val="16"/>
      <w:szCs w:val="16"/>
      <w:lang w:val="en-US" w:eastAsia="zh-CN"/>
    </w:rPr>
  </w:style>
  <w:style w:type="paragraph" w:customStyle="1" w:styleId="71">
    <w:name w:val="z-窗体顶端1"/>
    <w:basedOn w:val="1"/>
    <w:next w:val="1"/>
    <w:link w:val="181"/>
    <w:qFormat/>
    <w:uiPriority w:val="0"/>
    <w:pPr>
      <w:widowControl/>
      <w:pBdr>
        <w:bottom w:val="single" w:color="auto" w:sz="6" w:space="1"/>
      </w:pBdr>
      <w:jc w:val="center"/>
    </w:pPr>
    <w:rPr>
      <w:rFonts w:ascii="Arial" w:hAnsi="Arial"/>
      <w:vanish/>
      <w:kern w:val="0"/>
      <w:sz w:val="16"/>
      <w:szCs w:val="16"/>
    </w:rPr>
  </w:style>
  <w:style w:type="character" w:customStyle="1" w:styleId="72">
    <w:name w:val="批注文字 Char"/>
    <w:basedOn w:val="44"/>
    <w:link w:val="16"/>
    <w:qFormat/>
    <w:uiPriority w:val="0"/>
    <w:rPr>
      <w:rFonts w:ascii="宋体" w:hAnsi="Times New Roman" w:eastAsia="宋体" w:cs="Times New Roman"/>
      <w:kern w:val="0"/>
      <w:sz w:val="34"/>
      <w:szCs w:val="20"/>
    </w:rPr>
  </w:style>
  <w:style w:type="character" w:customStyle="1" w:styleId="73">
    <w:name w:val="标题 Char"/>
    <w:basedOn w:val="44"/>
    <w:link w:val="39"/>
    <w:qFormat/>
    <w:uiPriority w:val="0"/>
    <w:rPr>
      <w:rFonts w:ascii="Arial" w:hAnsi="Arial" w:eastAsia="隶书" w:cs="Times New Roman"/>
      <w:b/>
      <w:bCs/>
      <w:kern w:val="0"/>
      <w:sz w:val="32"/>
      <w:szCs w:val="32"/>
    </w:rPr>
  </w:style>
  <w:style w:type="character" w:customStyle="1" w:styleId="74">
    <w:name w:val="正文文本 Char"/>
    <w:basedOn w:val="44"/>
    <w:semiHidden/>
    <w:qFormat/>
    <w:uiPriority w:val="99"/>
    <w:rPr>
      <w:rFonts w:ascii="Calibri" w:hAnsi="Calibri" w:eastAsia="宋体" w:cs="Times New Roman"/>
    </w:rPr>
  </w:style>
  <w:style w:type="character" w:customStyle="1" w:styleId="75">
    <w:name w:val="正文缩进 Char"/>
    <w:link w:val="7"/>
    <w:qFormat/>
    <w:uiPriority w:val="0"/>
    <w:rPr>
      <w:rFonts w:ascii="Times New Roman" w:hAnsi="Times New Roman" w:eastAsia="宋体" w:cs="Times New Roman"/>
      <w:kern w:val="0"/>
      <w:sz w:val="20"/>
      <w:szCs w:val="20"/>
    </w:rPr>
  </w:style>
  <w:style w:type="character" w:customStyle="1" w:styleId="76">
    <w:name w:val="日期 Char"/>
    <w:basedOn w:val="44"/>
    <w:link w:val="24"/>
    <w:qFormat/>
    <w:uiPriority w:val="0"/>
    <w:rPr>
      <w:rFonts w:ascii="宋体" w:hAnsi="Courier New" w:eastAsia="宋体" w:cs="Times New Roman"/>
      <w:kern w:val="0"/>
      <w:sz w:val="32"/>
      <w:szCs w:val="20"/>
    </w:rPr>
  </w:style>
  <w:style w:type="character" w:customStyle="1" w:styleId="77">
    <w:name w:val="正文文字首行缩进 Char"/>
    <w:qFormat/>
    <w:uiPriority w:val="0"/>
    <w:rPr>
      <w:kern w:val="2"/>
      <w:sz w:val="21"/>
      <w:szCs w:val="24"/>
    </w:rPr>
  </w:style>
  <w:style w:type="character" w:customStyle="1" w:styleId="78">
    <w:name w:val="unnamed3"/>
    <w:basedOn w:val="44"/>
    <w:qFormat/>
    <w:uiPriority w:val="0"/>
  </w:style>
  <w:style w:type="character" w:customStyle="1" w:styleId="79">
    <w:name w:val="批注主题 Char"/>
    <w:basedOn w:val="72"/>
    <w:link w:val="40"/>
    <w:qFormat/>
    <w:uiPriority w:val="99"/>
    <w:rPr>
      <w:rFonts w:ascii="Times New Roman"/>
      <w:b/>
      <w:bCs/>
      <w:szCs w:val="24"/>
    </w:rPr>
  </w:style>
  <w:style w:type="character" w:customStyle="1" w:styleId="80">
    <w:name w:val="gray6"/>
    <w:basedOn w:val="44"/>
    <w:qFormat/>
    <w:uiPriority w:val="0"/>
  </w:style>
  <w:style w:type="character" w:customStyle="1" w:styleId="81">
    <w:name w:val="纯文本 Char"/>
    <w:basedOn w:val="44"/>
    <w:link w:val="22"/>
    <w:qFormat/>
    <w:uiPriority w:val="0"/>
    <w:rPr>
      <w:rFonts w:ascii="宋体" w:hAnsi="Courier New" w:eastAsia="宋体" w:cs="Times New Roman"/>
      <w:kern w:val="0"/>
      <w:sz w:val="20"/>
      <w:szCs w:val="20"/>
    </w:rPr>
  </w:style>
  <w:style w:type="character" w:customStyle="1" w:styleId="82">
    <w:name w:val="正文文本缩进 Char"/>
    <w:basedOn w:val="44"/>
    <w:link w:val="19"/>
    <w:qFormat/>
    <w:uiPriority w:val="0"/>
    <w:rPr>
      <w:rFonts w:ascii="Times New Roman" w:hAnsi="Times New Roman" w:eastAsia="宋体" w:cs="Times New Roman"/>
      <w:kern w:val="0"/>
      <w:sz w:val="20"/>
      <w:szCs w:val="24"/>
    </w:rPr>
  </w:style>
  <w:style w:type="character" w:customStyle="1" w:styleId="83">
    <w:name w:val="正文文本 2 Char"/>
    <w:basedOn w:val="44"/>
    <w:link w:val="35"/>
    <w:qFormat/>
    <w:uiPriority w:val="0"/>
    <w:rPr>
      <w:rFonts w:ascii="Times New Roman" w:hAnsi="Times New Roman" w:eastAsia="宋体" w:cs="Times New Roman"/>
      <w:kern w:val="0"/>
      <w:sz w:val="24"/>
      <w:szCs w:val="24"/>
    </w:rPr>
  </w:style>
  <w:style w:type="character" w:customStyle="1" w:styleId="84">
    <w:name w:val="标题 3 Char Char"/>
    <w:qFormat/>
    <w:uiPriority w:val="0"/>
    <w:rPr>
      <w:rFonts w:eastAsia="宋体"/>
      <w:b/>
      <w:bCs/>
      <w:kern w:val="2"/>
      <w:sz w:val="32"/>
      <w:szCs w:val="32"/>
      <w:lang w:val="en-US" w:eastAsia="zh-CN" w:bidi="ar-SA"/>
    </w:rPr>
  </w:style>
  <w:style w:type="character" w:customStyle="1" w:styleId="85">
    <w:name w:val="--规划正文 Char1"/>
    <w:qFormat/>
    <w:uiPriority w:val="0"/>
    <w:rPr>
      <w:rFonts w:eastAsia="宋体"/>
      <w:kern w:val="2"/>
      <w:sz w:val="21"/>
      <w:lang w:val="en-US" w:eastAsia="zh-CN" w:bidi="ar-SA"/>
    </w:rPr>
  </w:style>
  <w:style w:type="character" w:customStyle="1" w:styleId="86">
    <w:name w:val="正文首行缩进 Char"/>
    <w:basedOn w:val="74"/>
    <w:link w:val="41"/>
    <w:qFormat/>
    <w:uiPriority w:val="0"/>
    <w:rPr>
      <w:rFonts w:ascii="Times New Roman" w:hAnsi="Times New Roman"/>
      <w:b/>
      <w:bCs/>
      <w:kern w:val="0"/>
      <w:sz w:val="20"/>
      <w:szCs w:val="24"/>
      <w:lang w:val="en-US" w:eastAsia="zh-CN"/>
    </w:rPr>
  </w:style>
  <w:style w:type="character" w:customStyle="1" w:styleId="87">
    <w:name w:val="z-窗体底端 Char"/>
    <w:basedOn w:val="44"/>
    <w:qFormat/>
    <w:uiPriority w:val="0"/>
    <w:rPr>
      <w:rFonts w:ascii="Arial" w:hAnsi="Arial" w:eastAsia="宋体" w:cs="Times New Roman"/>
      <w:vanish/>
      <w:kern w:val="0"/>
      <w:sz w:val="16"/>
      <w:szCs w:val="16"/>
      <w:lang w:val="en-US" w:eastAsia="zh-CN"/>
    </w:rPr>
  </w:style>
  <w:style w:type="paragraph" w:customStyle="1" w:styleId="88">
    <w:name w:val="z-窗体底端1"/>
    <w:basedOn w:val="1"/>
    <w:next w:val="1"/>
    <w:link w:val="201"/>
    <w:qFormat/>
    <w:uiPriority w:val="0"/>
    <w:pPr>
      <w:widowControl/>
      <w:pBdr>
        <w:top w:val="single" w:color="auto" w:sz="6" w:space="1"/>
      </w:pBdr>
      <w:jc w:val="center"/>
    </w:pPr>
    <w:rPr>
      <w:rFonts w:ascii="Arial" w:hAnsi="Arial"/>
      <w:vanish/>
      <w:kern w:val="0"/>
      <w:sz w:val="16"/>
      <w:szCs w:val="16"/>
    </w:rPr>
  </w:style>
  <w:style w:type="character" w:customStyle="1" w:styleId="89">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0">
    <w:name w:val="H4 Char2"/>
    <w:qFormat/>
    <w:uiPriority w:val="0"/>
    <w:rPr>
      <w:rFonts w:ascii="Arial" w:hAnsi="Arial" w:eastAsia="黑体"/>
      <w:b/>
      <w:bCs/>
      <w:kern w:val="2"/>
      <w:sz w:val="28"/>
      <w:szCs w:val="28"/>
      <w:lang w:val="en-US" w:eastAsia="zh-CN" w:bidi="ar-SA"/>
    </w:rPr>
  </w:style>
  <w:style w:type="character" w:customStyle="1" w:styleId="91">
    <w:name w:val="正文文本 Char1"/>
    <w:link w:val="18"/>
    <w:qFormat/>
    <w:uiPriority w:val="0"/>
    <w:rPr>
      <w:rFonts w:ascii="Times New Roman" w:hAnsi="Times New Roman" w:eastAsia="宋体" w:cs="Times New Roman"/>
      <w:b/>
      <w:bCs/>
      <w:kern w:val="0"/>
      <w:sz w:val="24"/>
      <w:szCs w:val="24"/>
    </w:rPr>
  </w:style>
  <w:style w:type="character" w:customStyle="1" w:styleId="92">
    <w:name w:val="body text Char1"/>
    <w:qFormat/>
    <w:uiPriority w:val="0"/>
    <w:rPr>
      <w:rFonts w:eastAsia="宋体"/>
      <w:kern w:val="2"/>
      <w:sz w:val="21"/>
      <w:lang w:val="en-US" w:eastAsia="zh-CN" w:bidi="ar-SA"/>
    </w:rPr>
  </w:style>
  <w:style w:type="character" w:customStyle="1" w:styleId="93">
    <w:name w:val="文档结构图 Char"/>
    <w:basedOn w:val="44"/>
    <w:link w:val="15"/>
    <w:semiHidden/>
    <w:qFormat/>
    <w:uiPriority w:val="0"/>
    <w:rPr>
      <w:rFonts w:ascii="Times New Roman" w:hAnsi="Times New Roman" w:eastAsia="宋体" w:cs="Times New Roman"/>
      <w:kern w:val="0"/>
      <w:sz w:val="20"/>
      <w:szCs w:val="24"/>
      <w:shd w:val="clear" w:color="auto" w:fill="000080"/>
    </w:rPr>
  </w:style>
  <w:style w:type="character" w:customStyle="1" w:styleId="94">
    <w:name w:val="正文文本 3 Char"/>
    <w:basedOn w:val="44"/>
    <w:link w:val="17"/>
    <w:qFormat/>
    <w:uiPriority w:val="0"/>
    <w:rPr>
      <w:rFonts w:ascii="Times New Roman" w:hAnsi="Times New Roman" w:eastAsia="宋体" w:cs="Times New Roman"/>
      <w:kern w:val="0"/>
      <w:sz w:val="16"/>
      <w:szCs w:val="16"/>
    </w:rPr>
  </w:style>
  <w:style w:type="character" w:customStyle="1" w:styleId="95">
    <w:name w:val="blue"/>
    <w:basedOn w:val="44"/>
    <w:qFormat/>
    <w:uiPriority w:val="0"/>
  </w:style>
  <w:style w:type="character" w:customStyle="1" w:styleId="96">
    <w:name w:val="proddescription"/>
    <w:basedOn w:val="44"/>
    <w:qFormat/>
    <w:uiPriority w:val="0"/>
  </w:style>
  <w:style w:type="character" w:customStyle="1" w:styleId="97">
    <w:name w:val="缩进正文 Char"/>
    <w:link w:val="98"/>
    <w:qFormat/>
    <w:uiPriority w:val="0"/>
    <w:rPr>
      <w:rFonts w:ascii="Times New Roman" w:hAnsi="Times New Roman" w:eastAsia="仿宋_GB2312" w:cs="Times New Roman"/>
      <w:kern w:val="0"/>
      <w:sz w:val="28"/>
      <w:szCs w:val="20"/>
    </w:rPr>
  </w:style>
  <w:style w:type="paragraph" w:customStyle="1" w:styleId="98">
    <w:name w:val="缩进正文"/>
    <w:basedOn w:val="1"/>
    <w:link w:val="97"/>
    <w:qFormat/>
    <w:uiPriority w:val="0"/>
    <w:pPr>
      <w:ind w:firstLine="560" w:firstLineChars="200"/>
    </w:pPr>
    <w:rPr>
      <w:rFonts w:ascii="Times New Roman" w:hAnsi="Times New Roman" w:eastAsia="仿宋_GB2312"/>
      <w:kern w:val="0"/>
      <w:sz w:val="28"/>
      <w:szCs w:val="20"/>
    </w:rPr>
  </w:style>
  <w:style w:type="character" w:customStyle="1" w:styleId="99">
    <w:name w:val="style9"/>
    <w:basedOn w:val="44"/>
    <w:qFormat/>
    <w:uiPriority w:val="0"/>
  </w:style>
  <w:style w:type="character" w:customStyle="1" w:styleId="100">
    <w:name w:val="prodheadlines"/>
    <w:basedOn w:val="44"/>
    <w:qFormat/>
    <w:uiPriority w:val="0"/>
  </w:style>
  <w:style w:type="character" w:customStyle="1" w:styleId="101">
    <w:name w:val="content1"/>
    <w:qFormat/>
    <w:uiPriority w:val="0"/>
    <w:rPr>
      <w:rFonts w:hint="default" w:ascii="??" w:hAnsi="??"/>
      <w:sz w:val="16"/>
      <w:szCs w:val="16"/>
      <w:u w:val="none"/>
    </w:rPr>
  </w:style>
  <w:style w:type="character" w:customStyle="1" w:styleId="102">
    <w:name w:val="正文文本缩进 3 Char"/>
    <w:basedOn w:val="44"/>
    <w:link w:val="32"/>
    <w:qFormat/>
    <w:uiPriority w:val="0"/>
    <w:rPr>
      <w:rFonts w:ascii="宋体" w:hAnsi="Times New Roman" w:eastAsia="宋体" w:cs="Times New Roman"/>
      <w:b/>
      <w:bCs/>
      <w:kern w:val="0"/>
      <w:sz w:val="24"/>
      <w:szCs w:val="24"/>
    </w:rPr>
  </w:style>
  <w:style w:type="character" w:customStyle="1" w:styleId="103">
    <w:name w:val="章标题1 Char"/>
    <w:qFormat/>
    <w:uiPriority w:val="0"/>
    <w:rPr>
      <w:rFonts w:eastAsia="宋体"/>
      <w:b/>
      <w:bCs/>
      <w:kern w:val="2"/>
      <w:sz w:val="32"/>
      <w:szCs w:val="32"/>
      <w:lang w:val="en-US" w:eastAsia="zh-CN" w:bidi="ar-SA"/>
    </w:rPr>
  </w:style>
  <w:style w:type="character" w:customStyle="1" w:styleId="104">
    <w:name w:val="font41"/>
    <w:qFormat/>
    <w:uiPriority w:val="0"/>
    <w:rPr>
      <w:color w:val="000000"/>
      <w:spacing w:val="260"/>
      <w:sz w:val="18"/>
      <w:szCs w:val="18"/>
      <w:u w:val="none"/>
    </w:rPr>
  </w:style>
  <w:style w:type="character" w:customStyle="1" w:styleId="105">
    <w:name w:val="alt-edited1"/>
    <w:qFormat/>
    <w:uiPriority w:val="0"/>
    <w:rPr>
      <w:color w:val="4D90F0"/>
    </w:rPr>
  </w:style>
  <w:style w:type="character" w:customStyle="1" w:styleId="106">
    <w:name w:val="info4"/>
    <w:basedOn w:val="44"/>
    <w:qFormat/>
    <w:uiPriority w:val="0"/>
  </w:style>
  <w:style w:type="character" w:customStyle="1" w:styleId="107">
    <w:name w:val="第*章 Char"/>
    <w:qFormat/>
    <w:uiPriority w:val="0"/>
    <w:rPr>
      <w:rFonts w:ascii="Arial" w:hAnsi="Arial" w:eastAsia="黑体"/>
      <w:b/>
      <w:bCs/>
      <w:kern w:val="2"/>
      <w:sz w:val="32"/>
      <w:szCs w:val="32"/>
    </w:rPr>
  </w:style>
  <w:style w:type="character" w:customStyle="1" w:styleId="108">
    <w:name w:val="text"/>
    <w:basedOn w:val="44"/>
    <w:qFormat/>
    <w:uiPriority w:val="0"/>
  </w:style>
  <w:style w:type="character" w:customStyle="1" w:styleId="109">
    <w:name w:val="正文文本缩进 2 Char"/>
    <w:basedOn w:val="44"/>
    <w:link w:val="25"/>
    <w:qFormat/>
    <w:uiPriority w:val="0"/>
    <w:rPr>
      <w:rFonts w:ascii="宋体" w:hAnsi="宋体" w:eastAsia="宋体" w:cs="Times New Roman"/>
      <w:kern w:val="0"/>
      <w:sz w:val="20"/>
      <w:szCs w:val="24"/>
    </w:rPr>
  </w:style>
  <w:style w:type="character" w:customStyle="1" w:styleId="110">
    <w:name w:val="font11"/>
    <w:qFormat/>
    <w:uiPriority w:val="0"/>
    <w:rPr>
      <w:rFonts w:hint="default" w:ascii="ˎ̥" w:hAnsi="ˎ̥"/>
    </w:rPr>
  </w:style>
  <w:style w:type="character" w:customStyle="1" w:styleId="111">
    <w:name w:val="批注框文本 Char"/>
    <w:basedOn w:val="44"/>
    <w:link w:val="26"/>
    <w:qFormat/>
    <w:uiPriority w:val="99"/>
    <w:rPr>
      <w:rFonts w:ascii="Times New Roman" w:hAnsi="Times New Roman" w:eastAsia="宋体" w:cs="Times New Roman"/>
      <w:kern w:val="0"/>
      <w:sz w:val="18"/>
      <w:szCs w:val="18"/>
    </w:rPr>
  </w:style>
  <w:style w:type="character" w:customStyle="1" w:styleId="112">
    <w:name w:val="mode"/>
    <w:basedOn w:val="44"/>
    <w:qFormat/>
    <w:uiPriority w:val="0"/>
  </w:style>
  <w:style w:type="character" w:customStyle="1" w:styleId="113">
    <w:name w:val="正文文本 3 Char1"/>
    <w:basedOn w:val="44"/>
    <w:link w:val="17"/>
    <w:semiHidden/>
    <w:qFormat/>
    <w:uiPriority w:val="99"/>
    <w:rPr>
      <w:rFonts w:ascii="Calibri" w:hAnsi="Calibri" w:eastAsia="宋体" w:cs="Times New Roman"/>
      <w:sz w:val="16"/>
      <w:szCs w:val="16"/>
    </w:rPr>
  </w:style>
  <w:style w:type="character" w:customStyle="1" w:styleId="114">
    <w:name w:val="纯文本 Char1"/>
    <w:basedOn w:val="44"/>
    <w:link w:val="22"/>
    <w:semiHidden/>
    <w:qFormat/>
    <w:uiPriority w:val="99"/>
    <w:rPr>
      <w:rFonts w:ascii="宋体" w:hAnsi="Courier New" w:eastAsia="宋体" w:cs="Courier New"/>
      <w:szCs w:val="21"/>
    </w:rPr>
  </w:style>
  <w:style w:type="character" w:customStyle="1" w:styleId="115">
    <w:name w:val="文档结构图 Char1"/>
    <w:basedOn w:val="44"/>
    <w:link w:val="15"/>
    <w:semiHidden/>
    <w:qFormat/>
    <w:uiPriority w:val="99"/>
    <w:rPr>
      <w:rFonts w:ascii="宋体" w:hAnsi="Calibri" w:eastAsia="宋体" w:cs="Times New Roman"/>
      <w:sz w:val="18"/>
      <w:szCs w:val="18"/>
    </w:rPr>
  </w:style>
  <w:style w:type="character" w:customStyle="1" w:styleId="116">
    <w:name w:val="日期 Char1"/>
    <w:basedOn w:val="44"/>
    <w:link w:val="24"/>
    <w:semiHidden/>
    <w:qFormat/>
    <w:uiPriority w:val="99"/>
    <w:rPr>
      <w:rFonts w:ascii="Calibri" w:hAnsi="Calibri" w:eastAsia="宋体" w:cs="Times New Roman"/>
    </w:rPr>
  </w:style>
  <w:style w:type="character" w:customStyle="1" w:styleId="117">
    <w:name w:val="正文文本 Char2"/>
    <w:basedOn w:val="44"/>
    <w:link w:val="18"/>
    <w:semiHidden/>
    <w:qFormat/>
    <w:uiPriority w:val="99"/>
    <w:rPr>
      <w:rFonts w:ascii="Calibri" w:hAnsi="Calibri" w:eastAsia="宋体" w:cs="Times New Roman"/>
    </w:rPr>
  </w:style>
  <w:style w:type="character" w:customStyle="1" w:styleId="118">
    <w:name w:val="正文文本缩进 Char1"/>
    <w:basedOn w:val="44"/>
    <w:link w:val="19"/>
    <w:semiHidden/>
    <w:qFormat/>
    <w:uiPriority w:val="99"/>
    <w:rPr>
      <w:rFonts w:ascii="Calibri" w:hAnsi="Calibri" w:eastAsia="宋体" w:cs="Times New Roman"/>
    </w:rPr>
  </w:style>
  <w:style w:type="character" w:customStyle="1" w:styleId="119">
    <w:name w:val="批注文字 Char1"/>
    <w:basedOn w:val="44"/>
    <w:link w:val="16"/>
    <w:semiHidden/>
    <w:qFormat/>
    <w:uiPriority w:val="99"/>
    <w:rPr>
      <w:rFonts w:ascii="Calibri" w:hAnsi="Calibri" w:eastAsia="宋体" w:cs="Times New Roman"/>
    </w:rPr>
  </w:style>
  <w:style w:type="character" w:customStyle="1" w:styleId="120">
    <w:name w:val="HTML 预设格式 Char1"/>
    <w:basedOn w:val="44"/>
    <w:link w:val="36"/>
    <w:semiHidden/>
    <w:qFormat/>
    <w:uiPriority w:val="99"/>
    <w:rPr>
      <w:rFonts w:ascii="Courier New" w:hAnsi="Courier New" w:eastAsia="宋体" w:cs="Courier New"/>
      <w:sz w:val="20"/>
      <w:szCs w:val="20"/>
    </w:rPr>
  </w:style>
  <w:style w:type="character" w:customStyle="1" w:styleId="121">
    <w:name w:val="正文文本缩进 2 Char1"/>
    <w:basedOn w:val="44"/>
    <w:link w:val="25"/>
    <w:semiHidden/>
    <w:qFormat/>
    <w:uiPriority w:val="99"/>
    <w:rPr>
      <w:rFonts w:ascii="Calibri" w:hAnsi="Calibri" w:eastAsia="宋体" w:cs="Times New Roman"/>
    </w:rPr>
  </w:style>
  <w:style w:type="character" w:customStyle="1" w:styleId="122">
    <w:name w:val="正文文本 2 Char1"/>
    <w:basedOn w:val="44"/>
    <w:link w:val="35"/>
    <w:semiHidden/>
    <w:qFormat/>
    <w:uiPriority w:val="99"/>
    <w:rPr>
      <w:rFonts w:ascii="Calibri" w:hAnsi="Calibri" w:eastAsia="宋体" w:cs="Times New Roman"/>
    </w:rPr>
  </w:style>
  <w:style w:type="character" w:customStyle="1" w:styleId="123">
    <w:name w:val="批注框文本 Char1"/>
    <w:basedOn w:val="44"/>
    <w:link w:val="26"/>
    <w:semiHidden/>
    <w:qFormat/>
    <w:uiPriority w:val="99"/>
    <w:rPr>
      <w:rFonts w:ascii="Calibri" w:hAnsi="Calibri" w:eastAsia="宋体" w:cs="Times New Roman"/>
      <w:sz w:val="18"/>
      <w:szCs w:val="18"/>
    </w:rPr>
  </w:style>
  <w:style w:type="character" w:customStyle="1" w:styleId="124">
    <w:name w:val="正文文本缩进 3 Char1"/>
    <w:basedOn w:val="44"/>
    <w:link w:val="32"/>
    <w:semiHidden/>
    <w:qFormat/>
    <w:uiPriority w:val="99"/>
    <w:rPr>
      <w:rFonts w:ascii="Calibri" w:hAnsi="Calibri" w:eastAsia="宋体" w:cs="Times New Roman"/>
      <w:sz w:val="16"/>
      <w:szCs w:val="16"/>
    </w:rPr>
  </w:style>
  <w:style w:type="character" w:customStyle="1" w:styleId="125">
    <w:name w:val="标题 Char1"/>
    <w:basedOn w:val="44"/>
    <w:link w:val="39"/>
    <w:qFormat/>
    <w:uiPriority w:val="10"/>
    <w:rPr>
      <w:rFonts w:eastAsia="宋体" w:asciiTheme="majorHAnsi" w:hAnsiTheme="majorHAnsi" w:cstheme="majorBidi"/>
      <w:b/>
      <w:bCs/>
      <w:sz w:val="32"/>
      <w:szCs w:val="32"/>
    </w:rPr>
  </w:style>
  <w:style w:type="character" w:customStyle="1" w:styleId="126">
    <w:name w:val="批注主题 Char1"/>
    <w:basedOn w:val="119"/>
    <w:link w:val="40"/>
    <w:semiHidden/>
    <w:qFormat/>
    <w:uiPriority w:val="99"/>
    <w:rPr>
      <w:b/>
      <w:bCs/>
    </w:rPr>
  </w:style>
  <w:style w:type="character" w:customStyle="1" w:styleId="127">
    <w:name w:val="正文首行缩进 Char1"/>
    <w:basedOn w:val="117"/>
    <w:link w:val="41"/>
    <w:semiHidden/>
    <w:qFormat/>
    <w:uiPriority w:val="99"/>
  </w:style>
  <w:style w:type="paragraph" w:customStyle="1" w:styleId="128">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29">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0">
    <w:name w:val="--规划正文"/>
    <w:basedOn w:val="1"/>
    <w:qFormat/>
    <w:uiPriority w:val="0"/>
    <w:pPr>
      <w:spacing w:line="360" w:lineRule="auto"/>
      <w:ind w:firstLine="200" w:firstLineChars="200"/>
    </w:pPr>
    <w:rPr>
      <w:rFonts w:ascii="Times New Roman" w:hAnsi="Times New Roman"/>
      <w:szCs w:val="20"/>
    </w:rPr>
  </w:style>
  <w:style w:type="paragraph" w:customStyle="1" w:styleId="131">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3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3">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4">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35">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36">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37">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9">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0">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1">
    <w:name w:val="列出段落1"/>
    <w:basedOn w:val="1"/>
    <w:link w:val="214"/>
    <w:qFormat/>
    <w:uiPriority w:val="0"/>
    <w:pPr>
      <w:ind w:firstLine="420" w:firstLineChars="200"/>
    </w:pPr>
    <w:rPr>
      <w:rFonts w:cs="Calibri"/>
      <w:szCs w:val="21"/>
    </w:rPr>
  </w:style>
  <w:style w:type="paragraph" w:customStyle="1" w:styleId="142">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43">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styleId="145">
    <w:name w:val="List Paragraph"/>
    <w:basedOn w:val="1"/>
    <w:qFormat/>
    <w:uiPriority w:val="34"/>
    <w:pPr>
      <w:ind w:firstLine="420" w:firstLineChars="200"/>
    </w:pPr>
  </w:style>
  <w:style w:type="paragraph" w:customStyle="1" w:styleId="146">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规划-小标题"/>
    <w:basedOn w:val="1"/>
    <w:next w:val="130"/>
    <w:qFormat/>
    <w:uiPriority w:val="0"/>
    <w:pPr>
      <w:keepNext/>
      <w:keepLines/>
      <w:spacing w:line="360" w:lineRule="auto"/>
      <w:outlineLvl w:val="4"/>
    </w:pPr>
    <w:rPr>
      <w:rFonts w:ascii="Times New Roman" w:hAnsi="Times New Roman" w:eastAsia="黑体"/>
      <w:szCs w:val="24"/>
    </w:rPr>
  </w:style>
  <w:style w:type="paragraph" w:customStyle="1" w:styleId="148">
    <w:name w:val="自定义正文"/>
    <w:basedOn w:val="1"/>
    <w:qFormat/>
    <w:uiPriority w:val="0"/>
    <w:pPr>
      <w:spacing w:afterLines="50"/>
      <w:ind w:left="600" w:leftChars="600"/>
    </w:pPr>
    <w:rPr>
      <w:rFonts w:ascii="Times New Roman" w:hAnsi="Times New Roman"/>
      <w:szCs w:val="24"/>
    </w:rPr>
  </w:style>
  <w:style w:type="paragraph" w:customStyle="1" w:styleId="149">
    <w:name w:val="段落正文"/>
    <w:basedOn w:val="22"/>
    <w:qFormat/>
    <w:uiPriority w:val="0"/>
    <w:pPr>
      <w:ind w:firstLine="560" w:firstLineChars="200"/>
    </w:pPr>
    <w:rPr>
      <w:sz w:val="28"/>
    </w:rPr>
  </w:style>
  <w:style w:type="paragraph" w:customStyle="1" w:styleId="150">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1">
    <w:name w:val="--规划-表格-居中"/>
    <w:basedOn w:val="130"/>
    <w:qFormat/>
    <w:uiPriority w:val="0"/>
    <w:pPr>
      <w:spacing w:line="240" w:lineRule="auto"/>
      <w:ind w:firstLine="0" w:firstLineChars="0"/>
      <w:jc w:val="center"/>
    </w:pPr>
    <w:rPr>
      <w:sz w:val="20"/>
    </w:rPr>
  </w:style>
  <w:style w:type="paragraph" w:customStyle="1" w:styleId="15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3">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54">
    <w:name w:val="正文文字缩进项目"/>
    <w:basedOn w:val="19"/>
    <w:qFormat/>
    <w:uiPriority w:val="0"/>
    <w:pPr>
      <w:tabs>
        <w:tab w:val="left" w:pos="840"/>
      </w:tabs>
      <w:spacing w:after="120" w:line="240" w:lineRule="auto"/>
      <w:ind w:left="840" w:firstLine="0" w:firstLineChars="0"/>
    </w:pPr>
    <w:rPr>
      <w:rFonts w:ascii="Tahoma" w:hAnsi="Tahoma"/>
      <w:sz w:val="22"/>
      <w:szCs w:val="20"/>
    </w:rPr>
  </w:style>
  <w:style w:type="paragraph" w:customStyle="1" w:styleId="155">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56">
    <w:name w:val="样式2"/>
    <w:basedOn w:val="39"/>
    <w:next w:val="157"/>
    <w:qFormat/>
    <w:uiPriority w:val="0"/>
    <w:pPr>
      <w:spacing w:before="120" w:after="120"/>
    </w:pPr>
    <w:rPr>
      <w:rFonts w:eastAsia="黑体"/>
      <w:b w:val="0"/>
      <w:sz w:val="30"/>
      <w:szCs w:val="30"/>
    </w:rPr>
  </w:style>
  <w:style w:type="paragraph" w:customStyle="1" w:styleId="157">
    <w:name w:val="样式1"/>
    <w:basedOn w:val="39"/>
    <w:qFormat/>
    <w:uiPriority w:val="0"/>
    <w:pPr>
      <w:spacing w:before="120" w:after="120"/>
    </w:pPr>
    <w:rPr>
      <w:rFonts w:eastAsia="黑体"/>
      <w:b w:val="0"/>
      <w:sz w:val="30"/>
      <w:szCs w:val="21"/>
    </w:rPr>
  </w:style>
  <w:style w:type="paragraph" w:customStyle="1" w:styleId="158">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59">
    <w:name w:val="Char Char"/>
    <w:basedOn w:val="1"/>
    <w:qFormat/>
    <w:uiPriority w:val="0"/>
    <w:rPr>
      <w:rFonts w:ascii="Tahoma" w:hAnsi="Tahoma"/>
      <w:sz w:val="24"/>
      <w:szCs w:val="20"/>
    </w:rPr>
  </w:style>
  <w:style w:type="paragraph" w:customStyle="1" w:styleId="16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1">
    <w:name w:val="Char Char Char"/>
    <w:basedOn w:val="1"/>
    <w:qFormat/>
    <w:uiPriority w:val="0"/>
    <w:rPr>
      <w:rFonts w:ascii="Tahoma" w:hAnsi="Tahoma"/>
      <w:sz w:val="24"/>
      <w:szCs w:val="20"/>
    </w:rPr>
  </w:style>
  <w:style w:type="paragraph" w:customStyle="1" w:styleId="162">
    <w:name w:val="Char Char Char Char Char"/>
    <w:basedOn w:val="1"/>
    <w:qFormat/>
    <w:uiPriority w:val="0"/>
    <w:rPr>
      <w:rFonts w:ascii="Tahoma" w:hAnsi="Tahoma"/>
      <w:sz w:val="24"/>
      <w:szCs w:val="20"/>
    </w:rPr>
  </w:style>
  <w:style w:type="paragraph" w:customStyle="1" w:styleId="163">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64">
    <w:name w:val="USE 1"/>
    <w:basedOn w:val="1"/>
    <w:qFormat/>
    <w:uiPriority w:val="0"/>
    <w:pPr>
      <w:spacing w:line="200" w:lineRule="atLeast"/>
      <w:jc w:val="left"/>
    </w:pPr>
    <w:rPr>
      <w:rFonts w:ascii="宋体" w:hAnsi="宋体"/>
      <w:b/>
      <w:sz w:val="24"/>
      <w:szCs w:val="28"/>
    </w:rPr>
  </w:style>
  <w:style w:type="paragraph" w:customStyle="1" w:styleId="165">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66">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67">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68">
    <w:name w:val="6"/>
    <w:basedOn w:val="142"/>
    <w:qFormat/>
    <w:uiPriority w:val="0"/>
    <w:pPr>
      <w:spacing w:line="270" w:lineRule="atLeast"/>
      <w:jc w:val="both"/>
    </w:pPr>
    <w:rPr>
      <w:b w:val="0"/>
      <w:bCs w:val="0"/>
    </w:rPr>
  </w:style>
  <w:style w:type="paragraph" w:customStyle="1" w:styleId="16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0">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1">
    <w:name w:val="--规划-表格-居左"/>
    <w:basedOn w:val="130"/>
    <w:qFormat/>
    <w:uiPriority w:val="0"/>
    <w:pPr>
      <w:spacing w:line="240" w:lineRule="auto"/>
      <w:ind w:firstLine="0" w:firstLineChars="0"/>
    </w:pPr>
    <w:rPr>
      <w:sz w:val="20"/>
    </w:rPr>
  </w:style>
  <w:style w:type="paragraph" w:customStyle="1" w:styleId="172">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3">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74">
    <w:name w:val="--规划-图和表"/>
    <w:next w:val="130"/>
    <w:qFormat/>
    <w:uiPriority w:val="0"/>
    <w:pPr>
      <w:jc w:val="center"/>
    </w:pPr>
    <w:rPr>
      <w:rFonts w:ascii="Times New Roman" w:hAnsi="Times New Roman" w:eastAsia="宋体" w:cs="Times New Roman"/>
      <w:kern w:val="2"/>
      <w:sz w:val="21"/>
      <w:lang w:val="en-US" w:eastAsia="zh-CN" w:bidi="ar-SA"/>
    </w:rPr>
  </w:style>
  <w:style w:type="paragraph" w:customStyle="1" w:styleId="175">
    <w:name w:val="Char1"/>
    <w:basedOn w:val="1"/>
    <w:qFormat/>
    <w:uiPriority w:val="0"/>
    <w:pPr>
      <w:jc w:val="left"/>
    </w:pPr>
    <w:rPr>
      <w:rFonts w:ascii="Tahoma" w:hAnsi="Tahoma"/>
      <w:sz w:val="24"/>
      <w:szCs w:val="20"/>
    </w:rPr>
  </w:style>
  <w:style w:type="paragraph" w:customStyle="1" w:styleId="17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77">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78">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79">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0">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1">
    <w:name w:val="z-窗体顶端 Char1"/>
    <w:basedOn w:val="44"/>
    <w:link w:val="71"/>
    <w:semiHidden/>
    <w:qFormat/>
    <w:uiPriority w:val="99"/>
    <w:rPr>
      <w:rFonts w:ascii="Arial" w:hAnsi="Arial" w:eastAsia="宋体" w:cs="Arial"/>
      <w:vanish/>
      <w:sz w:val="16"/>
      <w:szCs w:val="16"/>
    </w:rPr>
  </w:style>
  <w:style w:type="paragraph" w:customStyle="1" w:styleId="182">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83">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8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5">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86">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8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88">
    <w:name w:val="--规划-题注"/>
    <w:basedOn w:val="1"/>
    <w:next w:val="130"/>
    <w:qFormat/>
    <w:uiPriority w:val="0"/>
    <w:pPr>
      <w:spacing w:line="360" w:lineRule="auto"/>
      <w:jc w:val="center"/>
    </w:pPr>
    <w:rPr>
      <w:rFonts w:ascii="Times New Roman" w:hAnsi="Times New Roman" w:eastAsia="黑体"/>
      <w:szCs w:val="24"/>
    </w:rPr>
  </w:style>
  <w:style w:type="paragraph" w:customStyle="1" w:styleId="189">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0">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1">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192">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19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94">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95">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196">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97">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98">
    <w:name w:val="8"/>
    <w:basedOn w:val="1"/>
    <w:next w:val="19"/>
    <w:qFormat/>
    <w:uiPriority w:val="0"/>
    <w:pPr>
      <w:spacing w:after="120"/>
      <w:ind w:left="420" w:leftChars="200"/>
    </w:pPr>
    <w:rPr>
      <w:rFonts w:ascii="Times New Roman" w:hAnsi="Times New Roman"/>
      <w:szCs w:val="24"/>
    </w:rPr>
  </w:style>
  <w:style w:type="paragraph" w:customStyle="1" w:styleId="199">
    <w:name w:val="姜文清定义的正文"/>
    <w:basedOn w:val="1"/>
    <w:qFormat/>
    <w:uiPriority w:val="0"/>
    <w:pPr>
      <w:spacing w:line="240" w:lineRule="atLeast"/>
      <w:ind w:firstLine="567"/>
    </w:pPr>
    <w:rPr>
      <w:rFonts w:ascii="Times New Roman" w:hAnsi="Times New Roman"/>
      <w:szCs w:val="20"/>
    </w:rPr>
  </w:style>
  <w:style w:type="paragraph" w:customStyle="1" w:styleId="200">
    <w:name w:val="CM2"/>
    <w:basedOn w:val="180"/>
    <w:next w:val="180"/>
    <w:qFormat/>
    <w:uiPriority w:val="0"/>
    <w:pPr>
      <w:spacing w:line="200" w:lineRule="atLeast"/>
    </w:pPr>
    <w:rPr>
      <w:rFonts w:ascii="Arial" w:hAnsi="Arial" w:eastAsia="宋体" w:cs="Times New Roman"/>
      <w:color w:val="auto"/>
    </w:rPr>
  </w:style>
  <w:style w:type="character" w:customStyle="1" w:styleId="201">
    <w:name w:val="z-窗体底端 Char1"/>
    <w:basedOn w:val="44"/>
    <w:link w:val="88"/>
    <w:semiHidden/>
    <w:qFormat/>
    <w:uiPriority w:val="99"/>
    <w:rPr>
      <w:rFonts w:ascii="Arial" w:hAnsi="Arial" w:eastAsia="宋体" w:cs="Arial"/>
      <w:vanish/>
      <w:sz w:val="16"/>
      <w:szCs w:val="16"/>
    </w:rPr>
  </w:style>
  <w:style w:type="paragraph" w:customStyle="1" w:styleId="202">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03">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05">
    <w:name w:val="表格字"/>
    <w:basedOn w:val="1"/>
    <w:qFormat/>
    <w:uiPriority w:val="0"/>
    <w:pPr>
      <w:adjustRightInd w:val="0"/>
      <w:jc w:val="center"/>
    </w:pPr>
    <w:rPr>
      <w:rFonts w:ascii="宋体" w:hAnsi="Times New Roman"/>
      <w:sz w:val="24"/>
      <w:szCs w:val="20"/>
    </w:rPr>
  </w:style>
  <w:style w:type="paragraph" w:customStyle="1" w:styleId="206">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07">
    <w:name w:val="评价"/>
    <w:basedOn w:val="1"/>
    <w:qFormat/>
    <w:uiPriority w:val="0"/>
    <w:pPr>
      <w:spacing w:afterLines="20"/>
      <w:ind w:firstLine="1446" w:firstLineChars="200"/>
    </w:pPr>
    <w:rPr>
      <w:sz w:val="24"/>
      <w:szCs w:val="24"/>
    </w:rPr>
  </w:style>
  <w:style w:type="paragraph" w:customStyle="1" w:styleId="208">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9">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0">
    <w:name w:val="封面标题"/>
    <w:basedOn w:val="1"/>
    <w:qFormat/>
    <w:uiPriority w:val="0"/>
    <w:pPr>
      <w:spacing w:line="360" w:lineRule="auto"/>
      <w:jc w:val="center"/>
    </w:pPr>
    <w:rPr>
      <w:rFonts w:ascii="Times New Roman" w:hAnsi="Times New Roman" w:eastAsia="黑体"/>
      <w:sz w:val="48"/>
      <w:szCs w:val="20"/>
    </w:rPr>
  </w:style>
  <w:style w:type="paragraph" w:customStyle="1" w:styleId="211">
    <w:name w:val="列出段落2"/>
    <w:basedOn w:val="1"/>
    <w:qFormat/>
    <w:uiPriority w:val="0"/>
    <w:pPr>
      <w:ind w:firstLine="420" w:firstLineChars="200"/>
    </w:pPr>
    <w:rPr>
      <w:szCs w:val="20"/>
    </w:rPr>
  </w:style>
  <w:style w:type="character" w:customStyle="1" w:styleId="212">
    <w:name w:val="font31"/>
    <w:basedOn w:val="44"/>
    <w:qFormat/>
    <w:uiPriority w:val="0"/>
    <w:rPr>
      <w:rFonts w:hint="default" w:ascii="Times New Roman" w:hAnsi="Times New Roman" w:cs="Times New Roman"/>
      <w:color w:val="000000"/>
      <w:sz w:val="21"/>
      <w:szCs w:val="21"/>
      <w:u w:val="none"/>
    </w:rPr>
  </w:style>
  <w:style w:type="character" w:customStyle="1" w:styleId="213">
    <w:name w:val="正文缩进 Char1"/>
    <w:qFormat/>
    <w:uiPriority w:val="0"/>
    <w:rPr>
      <w:rFonts w:eastAsia="宋体"/>
      <w:kern w:val="2"/>
      <w:sz w:val="21"/>
      <w:lang w:val="en-US" w:eastAsia="zh-CN" w:bidi="ar-SA"/>
    </w:rPr>
  </w:style>
  <w:style w:type="character" w:customStyle="1" w:styleId="214">
    <w:name w:val="列表段落 字符"/>
    <w:link w:val="141"/>
    <w:qFormat/>
    <w:uiPriority w:val="0"/>
    <w:rPr>
      <w:rFonts w:ascii="Calibri" w:hAnsi="Calibri" w:eastAsia="宋体" w:cs="Calibri"/>
      <w:szCs w:val="21"/>
    </w:rPr>
  </w:style>
  <w:style w:type="paragraph" w:customStyle="1" w:styleId="215">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16">
    <w:name w:val=".正文"/>
    <w:basedOn w:val="1"/>
    <w:qFormat/>
    <w:uiPriority w:val="0"/>
    <w:pPr>
      <w:spacing w:beforeLines="50"/>
      <w:ind w:firstLine="200" w:firstLineChars="200"/>
    </w:pPr>
    <w:rPr>
      <w:rFonts w:eastAsia="华文仿宋"/>
    </w:rPr>
  </w:style>
  <w:style w:type="paragraph" w:customStyle="1" w:styleId="217">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paragraph" w:customStyle="1" w:styleId="218">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219">
    <w:name w:val="Table Normal"/>
    <w:semiHidden/>
    <w:unhideWhenUsed/>
    <w:qFormat/>
    <w:uiPriority w:val="0"/>
    <w:tblPr>
      <w:tblCellMar>
        <w:top w:w="0" w:type="dxa"/>
        <w:left w:w="0" w:type="dxa"/>
        <w:bottom w:w="0" w:type="dxa"/>
        <w:right w:w="0" w:type="dxa"/>
      </w:tblCellMar>
    </w:tblPr>
  </w:style>
  <w:style w:type="table" w:customStyle="1" w:styleId="220">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1">
    <w:name w:val="No Spacing1"/>
    <w:basedOn w:val="1"/>
    <w:qFormat/>
    <w:uiPriority w:val="0"/>
    <w:rPr>
      <w:rFonts w:ascii="Calibri" w:hAnsi="Calibri" w:eastAsia="宋体"/>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105</Pages>
  <Words>3521</Words>
  <Characters>3589</Characters>
  <Lines>448</Lines>
  <Paragraphs>126</Paragraphs>
  <TotalTime>0</TotalTime>
  <ScaleCrop>false</ScaleCrop>
  <LinksUpToDate>false</LinksUpToDate>
  <CharactersWithSpaces>3616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2020-09-24T06:11:00Z</dcterms:created>
  <dc:creator>Administrator</dc:creator>
  <cp:lastModifiedBy>中正--穗绮</cp:lastModifiedBy>
  <cp:lastPrinted>2019-10-21T08:50:00Z</cp:lastPrinted>
  <dcterms:modified xsi:type="dcterms:W3CDTF">2026-05-15T12:49:25Z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9BF0787322D74AA6B720B0E510CF0198</vt:lpwstr>
  </property>
  <property fmtid="{D5CDD505-2E9C-101B-9397-08002B2CF9AE}" pid="4" name="KSOTemplateDocerSaveRecord">
    <vt:lpwstr>eyJoZGlkIjoiY2Y5OTA2MGI3MGFmOGU0NTE2YWU2ZGI5ZDJmMmNkMGUiLCJ1c2VySWQiOiI3MDgxMTIyMzEifQ==</vt:lpwstr>
  </property>
</Properties>
</file>