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D包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D</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61</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0277348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362378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投标文件中实施方案内容应包括但不限于：</w:t>
            </w:r>
          </w:p>
          <w:p w14:paraId="11E1BB04">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1.项目总体设计思路（包括但不限于项目概况分析、总体思路等）</w:t>
            </w:r>
            <w:r>
              <w:rPr>
                <w:rFonts w:hint="eastAsia" w:asciiTheme="minorEastAsia" w:hAnsiTheme="minorEastAsia" w:eastAsiaTheme="minorEastAsia"/>
                <w:szCs w:val="21"/>
                <w:lang w:eastAsia="zh-CN"/>
              </w:rPr>
              <w:t>；</w:t>
            </w:r>
          </w:p>
          <w:p w14:paraId="6D18655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2.实施流程（包括但不限于依据文件、实施步骤、工作纪律、保障机制等）</w:t>
            </w:r>
            <w:r>
              <w:rPr>
                <w:rFonts w:hint="eastAsia" w:asciiTheme="minorEastAsia" w:hAnsiTheme="minorEastAsia" w:eastAsiaTheme="minorEastAsia"/>
                <w:szCs w:val="21"/>
                <w:lang w:val="en-US" w:eastAsia="zh-CN"/>
              </w:rPr>
              <w:t xml:space="preserve"> ； </w:t>
            </w:r>
          </w:p>
          <w:p w14:paraId="24701406">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3.实施方法及内容</w:t>
            </w:r>
            <w:r>
              <w:rPr>
                <w:rFonts w:hint="eastAsia" w:asciiTheme="minorEastAsia" w:hAnsiTheme="minorEastAsia" w:eastAsiaTheme="minorEastAsia"/>
                <w:szCs w:val="21"/>
                <w:lang w:eastAsia="zh-CN"/>
              </w:rPr>
              <w:t>；</w:t>
            </w:r>
          </w:p>
          <w:p w14:paraId="1C2C607E">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4.工作进度及节点安排（制定详细时间安排）</w:t>
            </w:r>
            <w:r>
              <w:rPr>
                <w:rFonts w:hint="eastAsia" w:asciiTheme="minorEastAsia" w:hAnsiTheme="minorEastAsia" w:eastAsiaTheme="minorEastAsia"/>
                <w:szCs w:val="21"/>
                <w:lang w:eastAsia="zh-CN"/>
              </w:rPr>
              <w:t>。</w:t>
            </w:r>
          </w:p>
          <w:p w14:paraId="65E98CB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5.项目成果交付。</w:t>
            </w:r>
          </w:p>
          <w:p w14:paraId="0364838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44769B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满足上述5点得7</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分；满足上述任意4点得5</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分；满足上述任意3点得4</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分；满足以上任意2点得2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分，满足以上任意1点得10分；其他情况不得分。</w:t>
            </w:r>
          </w:p>
          <w:p w14:paraId="079D9A7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47FC09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1.评审为优：实施方案内容具体、针对性强、科学合理、可操作性强且提出实施方法不少于4项的，加</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rPr>
              <w:t>分；</w:t>
            </w:r>
          </w:p>
          <w:p w14:paraId="68B9B1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2.评审为良：实施方案内容较具体、针对性较强、较科学合理、可操作性较强且提出实施方法不少于3项的，加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3F98FCC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3.评审为中：实施方案内容具体性一般、针对性一般、科学合理性一般、可操作性一般且提出实施方法不少于2项的，加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70C39FC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4.评审为差：实施方案思路清晰性差、内容具体性差、科学合理性差、针对性及可操作性差或提出实施方法少于2项的，不加分。评审为差的，专家须书面说明理由，并记录在档。</w:t>
            </w:r>
          </w:p>
          <w:p w14:paraId="707E89C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未提供实施方案的不得分。</w:t>
            </w:r>
          </w:p>
          <w:p w14:paraId="7CC4F50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0E18263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282FFA8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1.投标人应结合其工作经历及项目需求进行重点难点分析并提出合理化建议，内容包括但不限于:</w:t>
            </w:r>
          </w:p>
          <w:p w14:paraId="0A05F72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（1）针对本项目的重点难点分析（包括但不限于对项目实施相关的政策文件的准确性把握、沟通协调、组织活动、数据整理等）；</w:t>
            </w:r>
          </w:p>
          <w:p w14:paraId="17BC387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（2）针对性提出的应对措施（针对现有“圳品”评价制度的建设运行及取得的成效进行分析，制定相应的工作规划及应对措施）；</w:t>
            </w:r>
          </w:p>
          <w:p w14:paraId="56212BA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（3）解决方案和合理化建议（对“圳品”在护航食品安全、促进东西协作、乡村振兴、引领产业发展等方面提出具有针对性的指导和建议）。</w:t>
            </w:r>
          </w:p>
          <w:p w14:paraId="54BB0E5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p>
          <w:p w14:paraId="575A7EB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485A846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评审依据1：</w:t>
            </w:r>
          </w:p>
          <w:p w14:paraId="21F4ECB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满足上述三项的，得40分；满足上述任意两项的，得30分；满足上述任意一项的，得20分；其他情况不得分。</w:t>
            </w:r>
          </w:p>
          <w:p w14:paraId="198B0F2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在此基础上，根据重难点分析实际内容进一步评审：</w:t>
            </w:r>
          </w:p>
          <w:p w14:paraId="28BF36A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1.评审为优：项目重难点分析内容具体、针对性强；项目重点难点应对措施科学合理、可操作性强，且相关的合理化建议（对后续工作的开展具有针对性的指导和建议）不少于3项的，加10分；</w:t>
            </w:r>
          </w:p>
          <w:p w14:paraId="587C38E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2.评审为良：项目重难点分析内容较具体、针对性较强，项目重点难点应对措施合理性、可操作性较强，且相关的合理化建议（对后续工作的开展具有针对性的指导和建议）不少于2项的，加5分；</w:t>
            </w:r>
          </w:p>
          <w:p w14:paraId="400BCE5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3.评审为中：项目重难点分析内容具体性一般、针对性一般、项目重点难点应对措施合理性一般、可操作性一般，且相关的合理化建议（对后续工作的开展具有针对性的指导和建议）不少于1项的，加2分；</w:t>
            </w:r>
          </w:p>
          <w:p w14:paraId="28D89CB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4.评审为差：项目重难点分析内容具体性差、针对性差、项目重点难点应对措施合理性差、可操作性差，相关的合理化建议（对后续工作的开展具有针对性的指导和建议）不少于1项的，不加分。</w:t>
            </w:r>
          </w:p>
          <w:p w14:paraId="7598AE6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评审为差的，专家须书面说明理由，并记录在档。</w:t>
            </w:r>
          </w:p>
          <w:p w14:paraId="66EAF35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评审依据2：</w:t>
            </w:r>
          </w:p>
          <w:p w14:paraId="1687E26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对本项目产品生产关键控制点及风险点的理解程度，提供产品风险、设施风险、产品检测风险、虫害风险、储存及运输风险等相关链条环节的风险点分析及控制措施。每提供1个风险点分析及控制措施的，得8分，本项最高得40分。在此基础上，根据风险点分析实际内容进一步评审：</w:t>
            </w:r>
          </w:p>
          <w:p w14:paraId="7518927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1.评审为优：风险点分析内容具体、针对性强、科学合理、控制措施可操作性强的，得10分；</w:t>
            </w:r>
          </w:p>
          <w:p w14:paraId="27B9BE7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2.评审为良：风险点分析内容较具体、针对性较强、较科学合理、控制措施可操作性较强的，得5分；</w:t>
            </w:r>
          </w:p>
          <w:p w14:paraId="5B411C7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3.评审为中：风险点分析内容具体性一般、针对性一般、科学合理性一般、控制措施可操作性一般的，得2分；</w:t>
            </w:r>
          </w:p>
          <w:p w14:paraId="1932684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4.评审为差：风险点分析内容具体性差、针对性差、科学合理性差、控制措施可操作性差的，不得分；</w:t>
            </w:r>
          </w:p>
          <w:p w14:paraId="5EE1CB8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未提供或提供内容与本项目无关的，不得分。评审为差的，专家须书面说明理由，并记录在档。</w:t>
            </w:r>
          </w:p>
          <w:p w14:paraId="0DF96C1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评审内容1、2项合计最高得100分。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69C472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04B8E6E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投标人应结合其工作经历及项目需求进行质量保障措施及方案，内容包括但不限于：</w:t>
            </w:r>
          </w:p>
          <w:p w14:paraId="358DE80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1.保障项目质量的人力资源方案;</w:t>
            </w:r>
          </w:p>
          <w:p w14:paraId="5F2DFCF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2.保障项目质量的设备、技术等资源方案；</w:t>
            </w:r>
          </w:p>
          <w:p w14:paraId="57F1DD3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3.保障项目质量的内部监督工作方案；</w:t>
            </w:r>
          </w:p>
          <w:p w14:paraId="4B78C2E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4.保障项目质量的紧急资源调配以及应急响应工作方案；</w:t>
            </w:r>
          </w:p>
          <w:p w14:paraId="054061B2">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5.保障项目质量的安全措施（包括但不限于舆情处置、突发情况处理、数据安全、操作安全等内容）。</w:t>
            </w:r>
          </w:p>
          <w:p w14:paraId="7F8FB5D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36C302E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满足以上五项要求得70分，满足以上任意四项要求得50分，满足以上任意三项要求得30分，其他情况不得分。</w:t>
            </w:r>
          </w:p>
          <w:p w14:paraId="437AE4D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在此基础上，根据保障措施及方案实际内容进一步评审：</w:t>
            </w:r>
          </w:p>
          <w:p w14:paraId="36C2814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1.评审为优：质量保障措施内容具体、针对性强、科学合理、可操作性强的加30分；</w:t>
            </w:r>
          </w:p>
          <w:p w14:paraId="508ED67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2.评审为良：质量保障措施内容较具体、针对性较强、较科学合理、可操作性较强加20分；</w:t>
            </w:r>
          </w:p>
          <w:p w14:paraId="7126357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3.评审为中：质量保障措施内容具体性一般、针对性一般、科学合理性一般、可操作性一般的加10分；</w:t>
            </w:r>
          </w:p>
          <w:p w14:paraId="30F4805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4.评审为差：质量保障措施内容具体性差、针对性差、科学合理性差、可操作性差的不加分；</w:t>
            </w:r>
          </w:p>
          <w:p w14:paraId="7D1A2EE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评审为差的，专家须书面说明理由，并记录在档。</w:t>
            </w:r>
          </w:p>
          <w:p w14:paraId="3571ABE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未提供质量保障措施及方案的不得分。</w:t>
            </w:r>
          </w:p>
          <w:p w14:paraId="6C94119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 w:eastAsia="zh-CN"/>
              </w:rPr>
              <w:t>本项最高得</w:t>
            </w:r>
            <w:r>
              <w:rPr>
                <w:rFonts w:hint="eastAsia" w:asciiTheme="minorEastAsia" w:hAnsiTheme="minorEastAsia" w:eastAsiaTheme="minorEastAsia"/>
                <w:szCs w:val="21"/>
                <w:lang w:val="en-US" w:eastAsia="zh-CN"/>
              </w:rPr>
              <w:t>100分。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autoSpaceDE w:val="0"/>
              <w:snapToGrid w:val="0"/>
              <w:spacing w:line="360" w:lineRule="exact"/>
              <w:jc w:val="center"/>
              <w:rPr>
                <w:rFonts w:cs="宋体" w:asciiTheme="minorEastAsia" w:hAnsiTheme="minorEastAsia" w:eastAsiaTheme="minorEastAsia"/>
                <w:szCs w:val="21"/>
              </w:rPr>
            </w:pPr>
            <w:r>
              <w:rPr>
                <w:rFonts w:hint="eastAsia" w:ascii="宋体" w:hAnsi="宋体" w:cs="宋体"/>
                <w:szCs w:val="21"/>
                <w:lang w:bidi="ar"/>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autoSpaceDE w:val="0"/>
              <w:snapToGrid w:val="0"/>
              <w:spacing w:line="360" w:lineRule="exact"/>
              <w:jc w:val="center"/>
              <w:rPr>
                <w:rFonts w:cs="宋体" w:asciiTheme="minorEastAsia" w:hAnsiTheme="minorEastAsia" w:eastAsiaTheme="minorEastAsia"/>
                <w:szCs w:val="21"/>
              </w:rPr>
            </w:pPr>
            <w:r>
              <w:rPr>
                <w:rFonts w:hint="eastAsia" w:ascii="宋体" w:hAnsi="宋体" w:cs="宋体"/>
                <w:szCs w:val="21"/>
                <w:lang w:bidi="ar"/>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675FE60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162241D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投标人承诺以下全部两项的得100分，否则不得分。</w:t>
            </w:r>
          </w:p>
          <w:p w14:paraId="7111C1A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1.服务期满后主动离岗；</w:t>
            </w:r>
          </w:p>
          <w:p w14:paraId="3CCE2DE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2.与后续服务公司进行交接，未完成交接前提供过渡期保障服务。</w:t>
            </w:r>
          </w:p>
          <w:p w14:paraId="1377A90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10FF244B">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lang w:bidi="ar"/>
              </w:rPr>
              <w:t>项目完成（服务期满）后的服务承诺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autoSpaceDE w:val="0"/>
              <w:snapToGrid w:val="0"/>
              <w:spacing w:line="360" w:lineRule="exact"/>
              <w:jc w:val="center"/>
              <w:rPr>
                <w:rFonts w:hint="eastAsia" w:ascii="宋体" w:hAnsi="宋体" w:cs="宋体"/>
                <w:szCs w:val="21"/>
              </w:rPr>
            </w:pPr>
            <w:r>
              <w:rPr>
                <w:rFonts w:hint="eastAsia" w:ascii="宋体" w:hAnsi="宋体" w:cs="宋体"/>
                <w:szCs w:val="21"/>
                <w:lang w:bidi="ar"/>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autoSpaceDE w:val="0"/>
              <w:snapToGrid w:val="0"/>
              <w:spacing w:line="360" w:lineRule="exact"/>
              <w:jc w:val="center"/>
              <w:rPr>
                <w:rFonts w:hint="eastAsia" w:ascii="宋体" w:hAnsi="宋体" w:cs="宋体"/>
                <w:szCs w:val="21"/>
              </w:rPr>
            </w:pPr>
            <w:r>
              <w:rPr>
                <w:rFonts w:hint="eastAsia" w:ascii="宋体" w:hAnsi="宋体" w:cs="宋体"/>
                <w:szCs w:val="21"/>
                <w:lang w:bidi="ar"/>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2606FE7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7E8988B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投标人承诺以下全部三项的得100分，否则不得分。</w:t>
            </w:r>
          </w:p>
          <w:p w14:paraId="79D35FE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1.人员严格按照招标文件及投标承诺配置；</w:t>
            </w:r>
          </w:p>
          <w:p w14:paraId="3558EDA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2.服务质量达到招标文件要求；</w:t>
            </w:r>
          </w:p>
          <w:p w14:paraId="2B97B23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3.对未能达到的管理要求承担管理责任。</w:t>
            </w:r>
          </w:p>
          <w:p w14:paraId="158109B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0F7FB14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lang w:bidi="ar"/>
              </w:rPr>
              <w:t>违约承诺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pacing w:line="360" w:lineRule="exact"/>
              <w:jc w:val="center"/>
              <w:rPr>
                <w:rFonts w:hint="eastAsia" w:ascii="宋体" w:hAnsi="宋体" w:cs="宋体"/>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8BEA5C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63D2E3E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拟安排的项目负责人（仅限1人）需为投标人自有员工，否则本项不得分。在此基础上：</w:t>
            </w:r>
          </w:p>
          <w:p w14:paraId="36BEB76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1.项目负责人具有食品或化学或生物或微生物学或农学或食品检验相关专业学历，硕士（含）以上学位或研究生学历的，得20分，本科学历得10分，本小项最高得20分。</w:t>
            </w:r>
          </w:p>
          <w:p w14:paraId="107116E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2.项目负责人具有食品或农学或标准化或质量相关专业职称：高级（正高）职称的，得30分；高级（副高）职称的，得20分；中级职称的，得10分。本小项最高得30分。</w:t>
            </w:r>
          </w:p>
          <w:p w14:paraId="0C5F7BF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3.2021年1月1日至本项目投标截止之日（以合同签订时间为准）参与完成的食品及食用农产品的区域品牌建设类项目，每提供1个得10分，本小项最高得50分。</w:t>
            </w:r>
          </w:p>
          <w:p w14:paraId="5BFEEFC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605A629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23DFFA4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第1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12CDF6E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3.第2项评分：要求提供职称证书。</w:t>
            </w:r>
          </w:p>
          <w:p w14:paraId="5D3094C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第3项评分：如涉及考察人员工作经验，要求提供项目合同关键信息（包含但不限于合同签订时间、服务时间、服务内容、服务人员信息、双方盖章页等）作为得分依据，通过合同关键信息无法判断是否得分的，还须同时提供合同甲方出具的证明文件。</w:t>
            </w:r>
          </w:p>
          <w:p w14:paraId="3617CE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5.以上资料均要求提供扫描件，如涉及网站截图或照片等证明材料,需提供清晰图片。评分中出现无证明资料或专家无法凭所提供资料判断是否得分的情况，一律作不得分处理。</w:t>
            </w:r>
          </w:p>
        </w:tc>
      </w:tr>
      <w:tr w14:paraId="4EFA1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8660F0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6B4DC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190799C">
            <w:pPr>
              <w:spacing w:line="36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081629BD">
            <w:pPr>
              <w:spacing w:line="360" w:lineRule="exact"/>
              <w:jc w:val="center"/>
              <w:rPr>
                <w:rFonts w:hint="eastAsia" w:ascii="宋体" w:hAnsi="宋体" w:cs="宋体"/>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799F732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评审内容：拟安排的项目主要团队成员（主要技术人员）情况（项目负责人除外）需为投标人自有员工，否则本项不得分。在此基础上：</w:t>
            </w:r>
          </w:p>
          <w:p w14:paraId="68DB816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有食品检验或质量或质量管理或化学或生物或微生物学或农学相关专业的职称：每提供1人具备高级（正高）职称的，得20分；每提供1人具备高级（副高）职称的，得10分；每提供1人具备中级职称的，得5分。同一人员满足不同得分条件的，只按照最高得分条件计分1次。此小项最高得60分。</w:t>
            </w:r>
          </w:p>
          <w:p w14:paraId="73695B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2.具有食品或化学或生物或微生物学或农学或食品检验相关专业</w:t>
            </w:r>
            <w:r>
              <w:rPr>
                <w:rFonts w:hint="eastAsia" w:asciiTheme="minorEastAsia" w:hAnsiTheme="minorEastAsia" w:eastAsiaTheme="minorEastAsia"/>
                <w:szCs w:val="21"/>
                <w:lang w:val="en-US" w:eastAsia="zh-CN"/>
              </w:rPr>
              <w:t>学历</w:t>
            </w:r>
            <w:r>
              <w:rPr>
                <w:rFonts w:hint="eastAsia" w:asciiTheme="minorEastAsia" w:hAnsiTheme="minorEastAsia" w:eastAsiaTheme="minorEastAsia"/>
                <w:szCs w:val="21"/>
              </w:rPr>
              <w:t>，本科（含）以上学历或学士（含）以上学位的，每提供1人得2分，此项最高得40分。</w:t>
            </w:r>
          </w:p>
          <w:p w14:paraId="449A477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如一人同时满足以上要求（审核员资质、职称、学历）可重复计分，以上三项累计得分，本项最高得100分。</w:t>
            </w:r>
          </w:p>
          <w:p w14:paraId="528E49B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524632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项目团队人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6DDA2E2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2.第1项评分：要求提供职称证书。</w:t>
            </w:r>
          </w:p>
          <w:p w14:paraId="22ECC2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63FAF6F">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4.以上资料均要求提供扫描件，如涉及网站截图或照片等证明材料,需提供清晰图片。评分中出现无证明资料或专家无法凭所提供资料判断是否得分的情况，一律作不得分处理</w:t>
            </w:r>
            <w:r>
              <w:rPr>
                <w:rFonts w:hint="eastAsia" w:asciiTheme="minorEastAsia" w:hAnsiTheme="minorEastAsia" w:eastAsiaTheme="minorEastAsia"/>
                <w:szCs w:val="21"/>
                <w:lang w:eastAsia="zh-CN"/>
              </w:rPr>
              <w:t>。</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26</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pacing w:line="36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5323223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2AF5A9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1.投标人具有质量管理体系认证证书或质量管理体系认证机构认可证书，且认可范围涵盖食品和食用农产品相关得100分。其余证书不得分。</w:t>
            </w:r>
          </w:p>
          <w:p w14:paraId="134ACE6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如存在与上述认证证书名称有所差异，但属于同类证书，符合同种证书要求的，也可得分。</w:t>
            </w:r>
          </w:p>
          <w:p w14:paraId="1FE501C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D1BA7C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有效认证证书（如认证证书注明年审要求的，必须按规定年审且证书在有效期内的方为有效；如未注明年审要求的，证书必须在有效期内的方为有效）；如存在与上述认证证书名称有所差异，但属于同类证书，符合同种证书要求的，也可得分。</w:t>
            </w:r>
          </w:p>
          <w:p w14:paraId="1094B23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2.提供证书官网或权威机构【如：全国认证认可信息公共服务平台（</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"https://cx.cnca.cn"</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cx.cnca.cn</w:t>
            </w:r>
            <w:r>
              <w:rPr>
                <w:rFonts w:hint="eastAsia" w:asciiTheme="minorEastAsia" w:hAnsiTheme="minorEastAsia" w:eastAsiaTheme="minorEastAsia"/>
                <w:szCs w:val="21"/>
              </w:rPr>
              <w:fldChar w:fldCharType="end"/>
            </w:r>
            <w:r>
              <w:rPr>
                <w:rFonts w:hint="eastAsia" w:asciiTheme="minorEastAsia" w:hAnsiTheme="minorEastAsia" w:eastAsiaTheme="minorEastAsia"/>
                <w:szCs w:val="21"/>
              </w:rPr>
              <w:t>）】认证信息查询截图（截图需显示证书状态为有效）。相关证书在公开渠道无法查询的，投标人需提供颁发部门或者监管机构的证明材料，证明证书真实有效且为合法机构颁发。</w:t>
            </w:r>
          </w:p>
          <w:p w14:paraId="79D8A1C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3.证书由行业协会颁发的，需提供该行业协会在“中国社会组织政务服务平台”（网址：</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"https://chinanpo.mca.gov.cn/）查询的已合法登记且状态正常截图，否则不予认可，视为无效证书。"</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https://chinanpo.mca.gov.cn/）查询的已合法登记且状态正常截图，否则不予认可，视为无效证书。</w:t>
            </w:r>
            <w:r>
              <w:rPr>
                <w:rFonts w:hint="eastAsia" w:asciiTheme="minorEastAsia" w:hAnsiTheme="minorEastAsia" w:eastAsiaTheme="minorEastAsia"/>
                <w:szCs w:val="21"/>
              </w:rPr>
              <w:fldChar w:fldCharType="end"/>
            </w:r>
          </w:p>
          <w:p w14:paraId="14F6171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4.如投标人为新成立企业且成立时间不足以申请认证或未达到认证申请试运行期限的，提供情况说明，</w:t>
            </w:r>
            <w:r>
              <w:rPr>
                <w:rFonts w:hint="eastAsia" w:asciiTheme="minorEastAsia" w:hAnsiTheme="minorEastAsia" w:eastAsiaTheme="minorEastAsia"/>
                <w:szCs w:val="21"/>
                <w:lang w:val="zh-CN"/>
              </w:rPr>
              <w:t>亦视为满足评分要求</w:t>
            </w:r>
            <w:r>
              <w:rPr>
                <w:rFonts w:hint="eastAsia" w:asciiTheme="minorEastAsia" w:hAnsiTheme="minorEastAsia" w:eastAsiaTheme="minorEastAsia"/>
                <w:szCs w:val="21"/>
              </w:rPr>
              <w:t>。</w:t>
            </w:r>
          </w:p>
          <w:p w14:paraId="2185C330">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5.提供以上证明文件扫描件，如涉及网站截图或照片等证明材料，需提供清晰图片。</w:t>
            </w:r>
            <w:r>
              <w:rPr>
                <w:rFonts w:hint="eastAsia" w:asciiTheme="minorEastAsia" w:hAnsiTheme="minorEastAsia" w:eastAsiaTheme="minorEastAsia"/>
                <w:szCs w:val="21"/>
                <w:lang w:val="zh-CN"/>
              </w:rPr>
              <w:t>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36B972E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B129FE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投标人自2021年1月1日起至本项目投标截止之日（以合同签订时间为准）同类项目业绩情况：承担过政府部门或事业单位委托的食品或食用农产品方面体系认证或现场审核或品牌建设同类项目业绩的，</w:t>
            </w:r>
            <w:r>
              <w:rPr>
                <w:rFonts w:hint="default" w:asciiTheme="minorEastAsia" w:hAnsiTheme="minorEastAsia" w:eastAsiaTheme="minorEastAsia"/>
                <w:szCs w:val="21"/>
                <w:lang w:val="en-US"/>
              </w:rPr>
              <w:t>按以下标准计分：</w:t>
            </w:r>
            <w:r>
              <w:rPr>
                <w:rFonts w:hint="eastAsia" w:asciiTheme="minorEastAsia" w:hAnsiTheme="minorEastAsia" w:eastAsiaTheme="minorEastAsia"/>
                <w:szCs w:val="21"/>
              </w:rPr>
              <w:t>承担国家级项目的，每提供1个得40分；承担省级（含副省级）项目的，每提供1个得30分；承担市级项目的，每提供1个得20分；承担区县级项目的，每提供1个得10分。</w:t>
            </w:r>
          </w:p>
          <w:p w14:paraId="592C028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以上四项可累加计分，本项累计最高得100分。</w:t>
            </w:r>
          </w:p>
          <w:p w14:paraId="746812F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7E3828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1.要求提供合同或协议关键信息（包含但不限于合同签订时间、服务时间、服务内容、服务人员信息、双方盖章页等）</w:t>
            </w:r>
          </w:p>
          <w:p w14:paraId="467AEC4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2.通过合同关键信息无法判断是否得分的，还须同时提供能证明得分的其它证明资料，如项目报告或合同甲方出具的证明文件等。</w:t>
            </w:r>
          </w:p>
          <w:p w14:paraId="27B65FE3">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3.以上资料均要求提供扫描件。评分中出现无证明资料或专家无法凭所提供资料判断是否得分的情况，一律作不得分处理。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pacing w:line="360" w:lineRule="exact"/>
              <w:jc w:val="center"/>
              <w:rPr>
                <w:rFonts w:hint="eastAsia" w:ascii="宋体" w:hAnsi="宋体" w:cs="宋体"/>
                <w:szCs w:val="21"/>
              </w:rPr>
            </w:pPr>
            <w:r>
              <w:rPr>
                <w:rFonts w:hint="eastAsia" w:ascii="宋体" w:hAnsi="宋体" w:cs="宋体"/>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41426E2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3F096A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投标人自2021年1月1日起至本项目投标截止之日（以获奖时间或证明此奖项的材料落款时间为准）获得的食品或食用农产品相关的荣誉或获奖情况：</w:t>
            </w:r>
          </w:p>
          <w:p w14:paraId="3E9B40B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每获得1个省级（含副省级）及以上荣誉或奖项的得50分，每获得1个市级荣誉或奖项的得25分，每获得1个区县级荣誉或奖项的得10分，以上累计加分，最高得100分。</w:t>
            </w:r>
          </w:p>
          <w:p w14:paraId="7FCDB16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F36BEC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政府官网截图或获奖（荣誉）证书等证明材料作为得分依据。以上资料均要求提供扫描件。</w:t>
            </w:r>
          </w:p>
          <w:p w14:paraId="1FE7FD5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及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3D04E42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3.以上资料均要求提供扫描件。如涉及网站截图或照片等证明材料，需提供清晰图片</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评分中出现无证明资料或专家无法凭所提供资料判断是否得分的情况，一律作不得分处理。</w:t>
            </w:r>
          </w:p>
          <w:p w14:paraId="62C942A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4.奖项颁发单位为协会、学会、网络平台、报刊杂志等单位的不得分。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autoSpaceDE w:val="0"/>
              <w:spacing w:line="400" w:lineRule="exact"/>
              <w:jc w:val="center"/>
              <w:rPr>
                <w:rFonts w:hint="eastAsia" w:ascii="宋体" w:hAnsi="宋体" w:cs="宋体"/>
                <w:szCs w:val="21"/>
              </w:rPr>
            </w:pPr>
            <w:r>
              <w:rPr>
                <w:rFonts w:hint="eastAsia" w:ascii="宋体" w:hAnsi="宋体" w:cs="宋体"/>
                <w:szCs w:val="21"/>
                <w:lang w:bidi="ar"/>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autoSpaceDE w:val="0"/>
              <w:spacing w:line="400" w:lineRule="exact"/>
              <w:jc w:val="center"/>
              <w:rPr>
                <w:rFonts w:hint="eastAsia" w:ascii="宋体" w:hAnsi="宋体" w:cs="宋体"/>
                <w:szCs w:val="21"/>
              </w:rPr>
            </w:pPr>
            <w:r>
              <w:rPr>
                <w:rFonts w:hint="eastAsia" w:ascii="宋体" w:hAnsi="宋体" w:cs="宋体"/>
                <w:szCs w:val="21"/>
                <w:lang w:bidi="ar"/>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78337A0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4F4CF5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1.投标人参与制定或修订食品或食用农产品类国家、行业、地方标准</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每提供1项得15分，本小项最高得60分。</w:t>
            </w:r>
          </w:p>
          <w:p w14:paraId="0594068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2.投标人具有企业管理或质量或标准化或合格评定或食品安全或绿色低碳的软件著作权的，每提供1项得10分，本小项最高得40分。</w:t>
            </w:r>
          </w:p>
          <w:p w14:paraId="09ACC0A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以上二项实行累计加分，本项总分最高得100分。</w:t>
            </w:r>
          </w:p>
          <w:p w14:paraId="2A9FB28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919C9E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3587F19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40369BC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需提供软件著作权登记证书扫描件（如为投标人自有软件，著作权人需为投标人；如为投标人通过购买或租赁等形式获得软件使用权的，需同时提供著作权人与投标人签订的相关合同或协议或购买发票扫描件）。</w:t>
            </w:r>
          </w:p>
          <w:p w14:paraId="0651D8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4.以上资料均需提供扫描件</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如涉及网站截图或照片等证明材料，需提供清晰图片</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评分时如未提供相关证明资料，或专家依据所提供资料无法判定是否符合得分条件的，一律不予计分。</w:t>
            </w:r>
          </w:p>
        </w:tc>
      </w:tr>
      <w:tr w14:paraId="3FD92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A8044A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4AD7F5">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752EC3F7">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全国性服务支撑能力</w:t>
            </w:r>
          </w:p>
        </w:tc>
        <w:tc>
          <w:tcPr>
            <w:tcW w:w="820" w:type="dxa"/>
            <w:tcBorders>
              <w:top w:val="single" w:color="000000" w:sz="8" w:space="0"/>
              <w:left w:val="single" w:color="000000" w:sz="8" w:space="0"/>
              <w:bottom w:val="single" w:color="000000" w:sz="8" w:space="0"/>
              <w:right w:val="single" w:color="000000" w:sz="8" w:space="0"/>
            </w:tcBorders>
            <w:vAlign w:val="center"/>
          </w:tcPr>
          <w:p w14:paraId="52B996B4">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43664E6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C0BCD5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投标人承诺中标后能满足以下全部两项的内容得100分，否则不得分。</w:t>
            </w:r>
          </w:p>
          <w:p w14:paraId="1E0218A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备多层次协同保障资源和能力，包括但不限于从事本项目的服务网点布局（投标人所投资的公司或分支机构或实验室或办事处或合作公司（单位）等）、技术人员资源的储备等。根据项目需求真实提供以及及时调配能够覆盖全国范围的服务保障，包括新疆、西藏、内蒙古等边疆地区，并能够快速响应不同地区的多元化服务需求，实现区域联动协同保障。</w:t>
            </w:r>
          </w:p>
          <w:p w14:paraId="24B6E5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2.具备重点时段的保障服务能力。能够针对满足不同地区在季节性采收及生产加工高峰期的相关需求，做好及时响应和服务保障。同时，能够对圳品工作的各类临时性重要需求做到快速响应。</w:t>
            </w:r>
          </w:p>
          <w:p w14:paraId="0F82E8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F74374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lang w:bidi="ar"/>
              </w:rPr>
              <w:t>全国性服务支撑能力</w:t>
            </w:r>
            <w:r>
              <w:rPr>
                <w:rFonts w:hint="eastAsia" w:asciiTheme="minorEastAsia" w:hAnsiTheme="minorEastAsia" w:eastAsiaTheme="minorEastAsia"/>
                <w:szCs w:val="21"/>
              </w:rPr>
              <w:t>承诺函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（格式自定），未提供承诺函或承诺内容不满足要求均不得分。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5A823083"/>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1,920,000.00元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1,920,000.00元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“圳品”申报现场评价技术服务项目（2）</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服务主要内容为组织实施“圳品”申报产品的文件评审及现场评价工作，并出具评价报告；出具“圳品”产品的评价报告不少于200个，其中食用农产品的评价报告不少于110个。</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645B75A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7FB7DE11">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bookmarkStart w:id="82" w:name="_GoBack"/>
      <w:bookmarkEnd w:id="82"/>
    </w:p>
    <w:p w14:paraId="00D4E52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101074876"/>
      <w:bookmarkStart w:id="1" w:name="_Toc60560625"/>
      <w:bookmarkStart w:id="2" w:name="_Toc100052364"/>
      <w:bookmarkStart w:id="3" w:name="_Toc73521547"/>
      <w:bookmarkStart w:id="4" w:name="_Toc60631620"/>
      <w:bookmarkStart w:id="5" w:name="_Toc73521635"/>
      <w:bookmarkStart w:id="6" w:name="_Toc73517639"/>
      <w:bookmarkStart w:id="7" w:name="_Toc7351811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“圳品”申报现场评价技术服务项目（2）</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1,920,000.00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组织实施“圳品”申报产品的文件评审及现场评价工作，并出具评价报告；出具“圳品”产品的评价报告不少于200个，其中食用农产品的评价报告不少于110个。</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5D904C18">
      <w:pPr>
        <w:spacing w:line="360" w:lineRule="auto"/>
        <w:ind w:firstLine="424" w:firstLineChars="202"/>
        <w:rPr>
          <w:rFonts w:hint="eastAsia" w:ascii="宋体" w:hAnsi="宋体"/>
          <w:szCs w:val="21"/>
        </w:rPr>
      </w:pPr>
      <w:r>
        <w:rPr>
          <w:rFonts w:hint="eastAsia" w:ascii="宋体" w:hAnsi="宋体"/>
          <w:szCs w:val="21"/>
        </w:rPr>
        <w:t>①风险研判</w:t>
      </w:r>
    </w:p>
    <w:p w14:paraId="3B3550CD">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及时发现并对“圳品工程”运行过程中产生的问题作出风险研判，并提出合理化建议，同时对评价过程中发现的企业食品安全风险给予评价意见和风险提示。</w:t>
      </w:r>
    </w:p>
    <w:p w14:paraId="746302CD">
      <w:pPr>
        <w:spacing w:line="360" w:lineRule="auto"/>
        <w:ind w:firstLine="424" w:firstLineChars="202"/>
        <w:rPr>
          <w:rFonts w:hint="eastAsia" w:ascii="宋体" w:hAnsi="宋体"/>
          <w:szCs w:val="21"/>
        </w:rPr>
      </w:pPr>
      <w:r>
        <w:rPr>
          <w:rFonts w:hint="eastAsia" w:ascii="宋体" w:hAnsi="宋体"/>
          <w:szCs w:val="21"/>
        </w:rPr>
        <w:t>②企业培训、申报咨询与系统录入辅导</w:t>
      </w:r>
    </w:p>
    <w:p w14:paraId="2EA986A1">
      <w:pPr>
        <w:spacing w:line="360" w:lineRule="auto"/>
        <w:ind w:firstLine="424" w:firstLineChars="202"/>
        <w:rPr>
          <w:rFonts w:hint="eastAsia" w:ascii="宋体" w:hAnsi="宋体"/>
          <w:szCs w:val="21"/>
        </w:rPr>
      </w:pPr>
      <w:r>
        <w:rPr>
          <w:rFonts w:hint="eastAsia" w:ascii="宋体" w:hAnsi="宋体"/>
          <w:szCs w:val="21"/>
        </w:rPr>
        <w:t>接受企业咨询，辅导并协助企业完成申报系统录入。</w:t>
      </w:r>
    </w:p>
    <w:p w14:paraId="0EE5F98F">
      <w:pPr>
        <w:spacing w:line="360" w:lineRule="auto"/>
        <w:ind w:firstLine="424" w:firstLineChars="202"/>
        <w:rPr>
          <w:rFonts w:hint="eastAsia" w:ascii="宋体" w:hAnsi="宋体"/>
          <w:szCs w:val="21"/>
        </w:rPr>
      </w:pPr>
      <w:r>
        <w:rPr>
          <w:rFonts w:hint="eastAsia" w:ascii="宋体" w:hAnsi="宋体"/>
          <w:szCs w:val="21"/>
        </w:rPr>
        <w:t>③对企业申报材料进行获评成功性的评估以及实质性评审</w:t>
      </w:r>
    </w:p>
    <w:p w14:paraId="4C126663">
      <w:pPr>
        <w:spacing w:line="360" w:lineRule="auto"/>
        <w:ind w:firstLine="424" w:firstLineChars="202"/>
        <w:rPr>
          <w:rFonts w:hint="eastAsia" w:ascii="宋体" w:hAnsi="宋体"/>
          <w:szCs w:val="21"/>
        </w:rPr>
      </w:pPr>
      <w:r>
        <w:rPr>
          <w:rFonts w:hint="eastAsia" w:ascii="宋体" w:hAnsi="宋体"/>
          <w:szCs w:val="21"/>
        </w:rPr>
        <w:t>组织实施对产品申报材料的实质性评审，并出具材料评审报告。获评成功的“圳品”评审报告不少于200个，其中，食用农产品的评审报告不少于110个。</w:t>
      </w:r>
    </w:p>
    <w:p w14:paraId="7573DA28">
      <w:pPr>
        <w:spacing w:line="360" w:lineRule="auto"/>
        <w:ind w:firstLine="424" w:firstLineChars="202"/>
        <w:rPr>
          <w:rFonts w:hint="eastAsia" w:ascii="宋体" w:hAnsi="宋体"/>
          <w:szCs w:val="21"/>
        </w:rPr>
      </w:pPr>
      <w:r>
        <w:rPr>
          <w:rFonts w:hint="eastAsia" w:ascii="宋体" w:hAnsi="宋体"/>
          <w:szCs w:val="21"/>
        </w:rPr>
        <w:t>④现场评价策划</w:t>
      </w:r>
    </w:p>
    <w:p w14:paraId="63068393">
      <w:pPr>
        <w:spacing w:line="360" w:lineRule="auto"/>
        <w:ind w:firstLine="424" w:firstLineChars="202"/>
        <w:rPr>
          <w:rFonts w:hint="eastAsia" w:ascii="宋体" w:hAnsi="宋体"/>
          <w:szCs w:val="21"/>
        </w:rPr>
      </w:pPr>
      <w:r>
        <w:rPr>
          <w:rFonts w:hint="eastAsia" w:ascii="宋体" w:hAnsi="宋体"/>
          <w:szCs w:val="21"/>
        </w:rPr>
        <w:t>文件评审通过后，组建现场评价组，筹备所需的评价资源，并制定现场评价计划书。</w:t>
      </w:r>
    </w:p>
    <w:p w14:paraId="76FF5D2F">
      <w:pPr>
        <w:spacing w:line="360" w:lineRule="auto"/>
        <w:ind w:firstLine="424" w:firstLineChars="202"/>
        <w:rPr>
          <w:rFonts w:hint="eastAsia" w:ascii="宋体" w:hAnsi="宋体"/>
          <w:szCs w:val="21"/>
        </w:rPr>
      </w:pPr>
      <w:r>
        <w:rPr>
          <w:rFonts w:hint="eastAsia" w:ascii="宋体" w:hAnsi="宋体"/>
          <w:szCs w:val="21"/>
        </w:rPr>
        <w:t>⑤组织实施“圳品”产品的现场评价</w:t>
      </w:r>
    </w:p>
    <w:p w14:paraId="69688B6E">
      <w:pPr>
        <w:spacing w:line="360" w:lineRule="auto"/>
        <w:ind w:firstLine="424" w:firstLineChars="202"/>
        <w:rPr>
          <w:rFonts w:hint="eastAsia" w:ascii="宋体" w:hAnsi="宋体"/>
          <w:szCs w:val="21"/>
        </w:rPr>
      </w:pPr>
      <w:r>
        <w:rPr>
          <w:rFonts w:hint="eastAsia" w:ascii="宋体" w:hAnsi="宋体"/>
          <w:szCs w:val="21"/>
        </w:rPr>
        <w:t>依据评价工作制度性文件及所制的评价计划，组织实施产品的现场评价，并出具现场评价报告，其中获评成功的“圳品”评价报告不少于200个，且食用农产品的评价报告不少于110个。在现场评价启动前，对申报产品的获评成功率及现场评价实施必要性进行充分评估，提升评价经费的使用质效。现场评价重点包括：企业管理体系、生产基地环境及管理、生产（加工）过程管控、产品包装、贮藏、运输过程管理、产品质量管理、产品追溯等方面。现场评价过程须严格遵循评价计划的任务分工和要求，通过观察、询问、资料查阅等方式，确保评价工作真实、客观、全面。评价记录应真实、清晰、完整、可追溯，确保《“圳品”评价工作规范》所列条款无遗漏。准确记录不符合项和观察项，核验企业整改情况并做好记录。在现场评价过程中，结合实际情况对申报企业开展针对性培训，指导其理解和落实“圳品”标准要求。根据评价结果，编制并提交现场评价报告，作出结论性意见。</w:t>
      </w:r>
    </w:p>
    <w:p w14:paraId="122E1A38">
      <w:pPr>
        <w:spacing w:line="360" w:lineRule="auto"/>
        <w:ind w:firstLine="424" w:firstLineChars="202"/>
        <w:rPr>
          <w:rFonts w:hint="eastAsia" w:ascii="宋体" w:hAnsi="宋体"/>
          <w:szCs w:val="21"/>
        </w:rPr>
      </w:pPr>
      <w:r>
        <w:rPr>
          <w:rFonts w:hint="eastAsia" w:ascii="宋体" w:hAnsi="宋体"/>
          <w:szCs w:val="21"/>
        </w:rPr>
        <w:t>⑥及时、快速、准确完成评价信息录入、数据梳理报送、评价档案整理等工作</w:t>
      </w:r>
    </w:p>
    <w:p w14:paraId="6EC4E270">
      <w:pPr>
        <w:spacing w:line="360" w:lineRule="auto"/>
        <w:ind w:firstLine="424" w:firstLineChars="202"/>
        <w:rPr>
          <w:rFonts w:hint="eastAsia" w:ascii="宋体" w:hAnsi="宋体"/>
          <w:szCs w:val="21"/>
        </w:rPr>
      </w:pPr>
      <w:r>
        <w:rPr>
          <w:rFonts w:hint="eastAsia" w:ascii="宋体" w:hAnsi="宋体"/>
          <w:szCs w:val="21"/>
        </w:rPr>
        <w:t>确保评价全过程的信息完整、真实录入，评价数据收集、梳理，系统梳理、汇总形成完整的电子版和纸质版评价档案，并按要求完成档案的归档和提交，对档案的真实性、准确性和完整性负责。</w:t>
      </w:r>
    </w:p>
    <w:p w14:paraId="709638DA">
      <w:pPr>
        <w:spacing w:line="360" w:lineRule="auto"/>
        <w:ind w:firstLine="424" w:firstLineChars="202"/>
        <w:rPr>
          <w:rFonts w:hint="eastAsia" w:ascii="宋体" w:hAnsi="宋体"/>
          <w:szCs w:val="21"/>
        </w:rPr>
      </w:pPr>
      <w:r>
        <w:rPr>
          <w:rFonts w:hint="eastAsia" w:ascii="宋体" w:hAnsi="宋体"/>
          <w:szCs w:val="21"/>
        </w:rPr>
        <w:t>⑦参与“专家评审会”“供深食品标准工作委员会”的审议工作</w:t>
      </w:r>
    </w:p>
    <w:p w14:paraId="4ACBC5F7">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05A306BD">
      <w:pPr>
        <w:spacing w:line="360" w:lineRule="auto"/>
        <w:ind w:firstLine="424" w:firstLineChars="202"/>
        <w:rPr>
          <w:rFonts w:hint="eastAsia" w:ascii="宋体" w:hAnsi="宋体"/>
          <w:szCs w:val="21"/>
        </w:rPr>
      </w:pPr>
      <w:r>
        <w:rPr>
          <w:rFonts w:hint="eastAsia" w:ascii="宋体" w:hAnsi="宋体"/>
          <w:szCs w:val="21"/>
        </w:rPr>
        <w:t>⑧风险信息核查处理及反馈</w:t>
      </w:r>
    </w:p>
    <w:p w14:paraId="2C9361E6">
      <w:pPr>
        <w:spacing w:line="360" w:lineRule="auto"/>
        <w:ind w:firstLine="424" w:firstLineChars="202"/>
        <w:rPr>
          <w:rFonts w:hint="eastAsia" w:ascii="宋体" w:hAnsi="宋体"/>
          <w:szCs w:val="21"/>
        </w:rPr>
      </w:pPr>
      <w:r>
        <w:rPr>
          <w:rFonts w:hint="eastAsia" w:ascii="宋体" w:hAnsi="宋体"/>
          <w:szCs w:val="21"/>
        </w:rPr>
        <w:t>对申报企业的食品安全情况、“圳品”产品情况进行全流程动态跟踪。对产品风险信息进行核查和处理，及时反馈处理情况。制定应急预案，做好应急响应。</w:t>
      </w:r>
    </w:p>
    <w:p w14:paraId="68F3ABCF">
      <w:pPr>
        <w:spacing w:line="360" w:lineRule="auto"/>
        <w:ind w:firstLine="424" w:firstLineChars="202"/>
        <w:rPr>
          <w:rFonts w:hint="eastAsia" w:ascii="宋体" w:hAnsi="宋体"/>
          <w:szCs w:val="21"/>
        </w:rPr>
      </w:pPr>
      <w:r>
        <w:rPr>
          <w:rFonts w:hint="eastAsia" w:ascii="宋体" w:hAnsi="宋体"/>
          <w:szCs w:val="21"/>
        </w:rPr>
        <w:t>⑨与“圳品”获评企业沟通互动</w:t>
      </w:r>
    </w:p>
    <w:p w14:paraId="05A6C6B0">
      <w:pPr>
        <w:spacing w:line="360" w:lineRule="auto"/>
        <w:ind w:firstLine="424" w:firstLineChars="202"/>
        <w:rPr>
          <w:rFonts w:hint="eastAsia" w:ascii="宋体" w:hAnsi="宋体"/>
          <w:szCs w:val="21"/>
        </w:rPr>
      </w:pPr>
      <w:r>
        <w:rPr>
          <w:rFonts w:hint="eastAsia" w:ascii="宋体" w:hAnsi="宋体"/>
          <w:szCs w:val="21"/>
        </w:rPr>
        <w:t>对所评价并获评“圳品”的企业建立动态沟通机制，随时响应紧急情况的查询以及确认反馈。</w:t>
      </w:r>
    </w:p>
    <w:p w14:paraId="7F2FE76B">
      <w:pPr>
        <w:spacing w:line="360" w:lineRule="auto"/>
        <w:ind w:firstLine="424" w:firstLineChars="202"/>
        <w:rPr>
          <w:rFonts w:hint="eastAsia" w:ascii="宋体" w:hAnsi="宋体"/>
          <w:szCs w:val="21"/>
          <w:lang w:eastAsia="zh-CN"/>
        </w:rPr>
      </w:pPr>
      <w:r>
        <w:rPr>
          <w:rFonts w:hint="eastAsia" w:ascii="宋体" w:hAnsi="宋体"/>
          <w:szCs w:val="21"/>
        </w:rPr>
        <w:t>⑩‌建立和运行沟通协同工作机制</w:t>
      </w:r>
    </w:p>
    <w:p w14:paraId="4FACBB81">
      <w:pPr>
        <w:spacing w:line="360" w:lineRule="auto"/>
        <w:ind w:firstLine="424" w:firstLineChars="202"/>
        <w:rPr>
          <w:rFonts w:hint="eastAsia" w:ascii="宋体" w:hAnsi="宋体"/>
          <w:szCs w:val="21"/>
        </w:rPr>
      </w:pPr>
      <w:r>
        <w:rPr>
          <w:rFonts w:hint="eastAsia" w:ascii="宋体" w:hAnsi="宋体"/>
          <w:szCs w:val="21"/>
          <w:lang w:eastAsia="zh-CN"/>
        </w:rPr>
        <w:t>建立与负责“圳品”申报产品抽检机构的常态化沟通机制和协同机制，将现场评价中发现的过程性食品安全风险等信息清晰梳理并第一时间反馈至抽检机构，为抽检机构制定抽检计划提供依据，提高抽检的靶向性，确保评价与抽检环节信息互通、协同联动，需要协同的环节和点位不能脱节、不能滞后</w:t>
      </w:r>
      <w:r>
        <w:rPr>
          <w:rFonts w:hint="eastAsia" w:ascii="宋体" w:hAnsi="宋体"/>
          <w:szCs w:val="21"/>
        </w:rPr>
        <w:t>。</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2598AFE2">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②提交不少于200个“圳品”产品的评价报告（其中食用农产品“圳品”产品评价报告不少于110个）。</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266524C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1.项目总体设计思路（包括但不限于项目概况分析、总体思路等）</w:t>
      </w:r>
    </w:p>
    <w:p w14:paraId="2701612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2.实施流程（包括但不限于依据文件、实施步骤、工作纪律、保障机制等）  </w:t>
      </w:r>
    </w:p>
    <w:p w14:paraId="05517DB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3.实施方法及内容</w:t>
      </w:r>
    </w:p>
    <w:p w14:paraId="2497C29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4.工作进度及节点安排（制定详细时间安排）</w:t>
      </w:r>
    </w:p>
    <w:p w14:paraId="448FB8B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5.项目成果交付。</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645CE88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（1）针对本项目的重点难点分析（包括但不限于对项目实施相关的政策文件的准确性把握、沟通协调、组织活动、数据整理等）；</w:t>
      </w:r>
    </w:p>
    <w:p w14:paraId="7AA15AB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（2）针对性提出的应对措施（针对现有“圳品”评价制度的建设运行及取得的成效进行分析，制定相应的工作规划及应对措施）；</w:t>
      </w:r>
    </w:p>
    <w:p w14:paraId="2D472F4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（3）解决方案和合理化建议（对“圳品”在护航食品安全、促进东西协作、乡村振兴、引领产业发展等方面提出具有针对性的指导和建议）。</w:t>
      </w:r>
    </w:p>
    <w:p w14:paraId="3AB4487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3A42C11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20768BE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2930BA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3068CDC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032707D5">
      <w:pPr>
        <w:spacing w:beforeLines="25" w:afterLines="25"/>
        <w:ind w:firstLine="991" w:firstLineChars="472"/>
        <w:rPr>
          <w:rFonts w:hint="eastAsia" w:ascii="宋体" w:hAnsi="宋体" w:cs="宋体"/>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w:t>
      </w:r>
      <w:r>
        <w:rPr>
          <w:rFonts w:hint="eastAsia" w:ascii="宋体" w:hAnsi="宋体" w:cs="宋体"/>
          <w:szCs w:val="21"/>
        </w:rPr>
        <w:t>供应商获奖情况</w:t>
      </w:r>
    </w:p>
    <w:p w14:paraId="4FD17E75">
      <w:pPr>
        <w:spacing w:beforeLines="25" w:afterLines="25"/>
        <w:ind w:firstLine="991" w:firstLineChars="472"/>
        <w:rPr>
          <w:rFonts w:ascii="宋体" w:hAnsi="宋体"/>
          <w:sz w:val="24"/>
          <w:szCs w:val="24"/>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w:t>
      </w:r>
      <w:r>
        <w:rPr>
          <w:rFonts w:hint="eastAsia" w:ascii="宋体" w:hAnsi="宋体" w:cs="宋体"/>
          <w:szCs w:val="21"/>
          <w:lang w:bidi="ar"/>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15</w:t>
      </w:r>
      <w:r>
        <w:rPr>
          <w:rFonts w:hint="eastAsia" w:ascii="宋体" w:hAnsi="宋体" w:cs="宋体"/>
          <w:szCs w:val="21"/>
          <w:lang w:eastAsia="zh-CN"/>
        </w:rPr>
        <w:t>）</w:t>
      </w:r>
      <w:r>
        <w:rPr>
          <w:rFonts w:hint="eastAsia" w:ascii="宋体" w:hAnsi="宋体" w:cs="宋体"/>
          <w:szCs w:val="21"/>
        </w:rPr>
        <w:t>实施方案</w:t>
      </w:r>
    </w:p>
    <w:p w14:paraId="2E1F42DB">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16</w:t>
      </w:r>
      <w:r>
        <w:rPr>
          <w:rFonts w:hint="eastAsia" w:ascii="宋体" w:hAnsi="宋体" w:cs="宋体"/>
          <w:szCs w:val="21"/>
          <w:lang w:eastAsia="zh-CN"/>
        </w:rPr>
        <w:t>）</w:t>
      </w:r>
      <w:r>
        <w:rPr>
          <w:rFonts w:hint="eastAsia" w:ascii="宋体" w:hAnsi="宋体" w:cs="宋体"/>
          <w:szCs w:val="21"/>
        </w:rPr>
        <w:t>项目重点难点分析、应对措施及相关的合理化建议</w:t>
      </w:r>
    </w:p>
    <w:p w14:paraId="3F6B0163">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17</w:t>
      </w:r>
      <w:r>
        <w:rPr>
          <w:rFonts w:hint="eastAsia" w:ascii="宋体" w:hAnsi="宋体" w:cs="宋体"/>
          <w:szCs w:val="21"/>
          <w:lang w:eastAsia="zh-CN"/>
        </w:rPr>
        <w:t>）</w:t>
      </w:r>
      <w:r>
        <w:rPr>
          <w:rFonts w:hint="eastAsia" w:ascii="宋体" w:hAnsi="宋体" w:cs="宋体"/>
          <w:szCs w:val="21"/>
        </w:rPr>
        <w:t>质量（完成时间、安全、环保）保障措施及方案</w:t>
      </w:r>
    </w:p>
    <w:p w14:paraId="561946A4">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szCs w:val="21"/>
          <w:lang w:bidi="ar"/>
        </w:rPr>
        <w:t>项目完成（服务期满）后的服务承诺</w:t>
      </w:r>
    </w:p>
    <w:p w14:paraId="39E57962">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bidi="ar"/>
        </w:rPr>
        <w:t>（</w:t>
      </w:r>
      <w:r>
        <w:rPr>
          <w:rFonts w:hint="eastAsia" w:ascii="宋体" w:hAnsi="宋体" w:cs="宋体"/>
          <w:szCs w:val="21"/>
          <w:lang w:val="en-US" w:eastAsia="zh-CN" w:bidi="ar"/>
        </w:rPr>
        <w:t>19</w:t>
      </w:r>
      <w:r>
        <w:rPr>
          <w:rFonts w:hint="eastAsia" w:ascii="宋体" w:hAnsi="宋体" w:cs="宋体"/>
          <w:szCs w:val="21"/>
          <w:lang w:eastAsia="zh-CN" w:bidi="ar"/>
        </w:rPr>
        <w:t>）</w:t>
      </w:r>
      <w:r>
        <w:rPr>
          <w:rFonts w:hint="eastAsia" w:ascii="宋体" w:hAnsi="宋体" w:cs="宋体"/>
          <w:szCs w:val="21"/>
          <w:lang w:bidi="ar"/>
        </w:rPr>
        <w:t>违约承诺</w:t>
      </w:r>
    </w:p>
    <w:p w14:paraId="5C9BDE24">
      <w:pPr>
        <w:spacing w:beforeLines="25" w:afterLines="25"/>
        <w:ind w:firstLine="991" w:firstLineChars="472"/>
        <w:rPr>
          <w:rFonts w:hint="eastAsia" w:ascii="宋体" w:hAnsi="宋体" w:cs="宋体"/>
          <w:szCs w:val="21"/>
        </w:rPr>
      </w:pPr>
      <w:r>
        <w:rPr>
          <w:rFonts w:hint="eastAsia" w:ascii="宋体" w:hAnsi="宋体" w:cs="宋体"/>
          <w:szCs w:val="21"/>
          <w:lang w:eastAsia="zh-CN" w:bidi="ar"/>
        </w:rPr>
        <w:t>（</w:t>
      </w:r>
      <w:r>
        <w:rPr>
          <w:rFonts w:hint="eastAsia" w:ascii="宋体" w:hAnsi="宋体" w:cs="宋体"/>
          <w:szCs w:val="21"/>
          <w:lang w:val="en-US" w:eastAsia="zh-CN" w:bidi="ar"/>
        </w:rPr>
        <w:t>20</w:t>
      </w:r>
      <w:r>
        <w:rPr>
          <w:rFonts w:hint="eastAsia" w:ascii="宋体" w:hAnsi="宋体" w:cs="宋体"/>
          <w:szCs w:val="21"/>
          <w:lang w:eastAsia="zh-CN" w:bidi="ar"/>
        </w:rPr>
        <w:t>）</w:t>
      </w:r>
      <w:r>
        <w:rPr>
          <w:rFonts w:hint="eastAsia" w:ascii="宋体" w:hAnsi="宋体" w:cs="宋体"/>
          <w:szCs w:val="21"/>
        </w:rPr>
        <w:t>拟安排的项目负责人情况（仅限一人）</w:t>
      </w:r>
    </w:p>
    <w:p w14:paraId="37C434AA">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cs="宋体"/>
          <w:szCs w:val="21"/>
        </w:rPr>
        <w:t>拟安排的项目主要团队成员（主要技术人员）情况（项目负责人除外）</w:t>
      </w:r>
    </w:p>
    <w:p w14:paraId="16B1F28E">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22</w:t>
      </w:r>
      <w:r>
        <w:rPr>
          <w:rFonts w:hint="eastAsia" w:ascii="宋体" w:hAnsi="宋体" w:cs="宋体"/>
          <w:szCs w:val="21"/>
          <w:lang w:eastAsia="zh-CN"/>
        </w:rPr>
        <w:t>）</w:t>
      </w:r>
      <w:r>
        <w:rPr>
          <w:rFonts w:hint="eastAsia" w:ascii="宋体" w:hAnsi="宋体" w:cs="宋体"/>
          <w:szCs w:val="21"/>
        </w:rPr>
        <w:t>供应商同类项目业绩情况</w:t>
      </w:r>
    </w:p>
    <w:p w14:paraId="4FEE34E9">
      <w:pPr>
        <w:spacing w:beforeLines="25" w:afterLines="25"/>
        <w:ind w:firstLine="991" w:firstLineChars="472"/>
        <w:rPr>
          <w:rFonts w:hint="eastAsia" w:ascii="宋体" w:hAnsi="宋体" w:cs="宋体"/>
          <w:szCs w:val="21"/>
          <w:lang w:bidi="ar"/>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hint="eastAsia" w:ascii="宋体" w:hAnsi="宋体" w:cs="宋体"/>
          <w:szCs w:val="21"/>
          <w:lang w:bidi="ar"/>
        </w:rPr>
        <w:t>全国性服务支撑能力</w:t>
      </w:r>
    </w:p>
    <w:p w14:paraId="67AEE608">
      <w:pPr>
        <w:spacing w:beforeLines="25" w:afterLines="25"/>
        <w:ind w:firstLine="991" w:firstLineChars="472"/>
        <w:rPr>
          <w:rFonts w:ascii="宋体" w:hAnsi="宋体"/>
          <w:szCs w:val="21"/>
        </w:rPr>
      </w:pPr>
      <w:r>
        <w:rPr>
          <w:rFonts w:hint="eastAsia" w:ascii="宋体" w:hAnsi="宋体" w:cs="宋体"/>
          <w:szCs w:val="21"/>
          <w:lang w:eastAsia="zh-CN" w:bidi="ar"/>
        </w:rPr>
        <w:t>（</w:t>
      </w:r>
      <w:r>
        <w:rPr>
          <w:rFonts w:hint="eastAsia" w:ascii="宋体" w:hAnsi="宋体" w:cs="宋体"/>
          <w:szCs w:val="21"/>
          <w:lang w:val="en-US" w:eastAsia="zh-CN" w:bidi="ar"/>
        </w:rPr>
        <w:t>24</w:t>
      </w:r>
      <w:r>
        <w:rPr>
          <w:rFonts w:hint="eastAsia" w:ascii="宋体" w:hAnsi="宋体" w:cs="宋体"/>
          <w:szCs w:val="21"/>
          <w:lang w:eastAsia="zh-CN" w:bidi="ar"/>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0052414"/>
      <w:bookmarkStart w:id="12" w:name="_Toc73521592"/>
      <w:bookmarkStart w:id="13" w:name="_Toc73518163"/>
      <w:bookmarkStart w:id="14" w:name="_Toc73517685"/>
      <w:bookmarkStart w:id="15" w:name="_Toc101074886"/>
      <w:bookmarkStart w:id="16" w:name="_Toc84303603"/>
      <w:bookmarkStart w:id="17" w:name="_Toc73521680"/>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D</w:t>
      </w:r>
      <w:r>
        <w:rPr>
          <w:rFonts w:hint="eastAsia" w:ascii="宋体" w:hAnsi="宋体"/>
          <w:b/>
          <w:bCs/>
          <w:sz w:val="36"/>
          <w:szCs w:val="36"/>
          <w:u w:val="single"/>
        </w:rPr>
        <w:t>包）</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D</w:t>
      </w:r>
      <w:r>
        <w:rPr>
          <w:rFonts w:hint="eastAsia" w:ascii="黑体" w:eastAsia="黑体"/>
          <w:sz w:val="28"/>
          <w:szCs w:val="28"/>
          <w:u w:val="single"/>
        </w:rPr>
        <w:t>包）合同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081AED0F">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甲方 ：</w:t>
      </w:r>
      <w:r>
        <w:rPr>
          <w:rFonts w:hint="eastAsia" w:asciiTheme="minorEastAsia" w:hAnsiTheme="minorEastAsia" w:eastAsiaTheme="minorEastAsia" w:cstheme="minorEastAsia"/>
          <w:sz w:val="21"/>
          <w:szCs w:val="21"/>
          <w:u w:val="single"/>
        </w:rPr>
        <w:t xml:space="preserve">                          </w:t>
      </w:r>
    </w:p>
    <w:p w14:paraId="11194FAB">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140F8C2D">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56DD53D0">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016ECFB4">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1344F40B">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05881F53">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1CA0C1C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2482A3D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3F3834E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圳品工程--“圳品”标准体系建设和评价监督推广项目（D包）</w:t>
      </w:r>
    </w:p>
    <w:p w14:paraId="056D6AA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2FDEC74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72B87EBE">
      <w:pPr>
        <w:pStyle w:val="37"/>
        <w:widowControl w:val="0"/>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sz w:val="21"/>
          <w:szCs w:val="21"/>
          <w:u w:val="single"/>
          <w:lang w:eastAsia="zh"/>
        </w:rPr>
      </w:pPr>
      <w:r>
        <w:rPr>
          <w:rFonts w:hint="eastAsia" w:asciiTheme="minorEastAsia" w:hAnsiTheme="minorEastAsia" w:eastAsiaTheme="minorEastAsia" w:cstheme="minorEastAsia"/>
          <w:sz w:val="21"/>
          <w:szCs w:val="21"/>
          <w:u w:val="single"/>
          <w:lang w:val="en" w:eastAsia="zh"/>
        </w:rPr>
        <w:t>乙方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组织实施“圳品”申报产品的文件评审及现场评价工作，并出具评价报告；出具“圳品”产品的评价报告不少于200个，其中食用农产品的评价报告不少于110个。</w:t>
      </w:r>
    </w:p>
    <w:p w14:paraId="37111DA5">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69E586B3">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①风险研判</w:t>
      </w:r>
    </w:p>
    <w:p w14:paraId="4F27B3E5">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及时发现并对“圳品工程”运行过程中产生的问题作出风险研判，并提出合理化建议，同时对评价过程中发现的企业食品安全风险给予评价意见和风险提示。</w:t>
      </w:r>
    </w:p>
    <w:p w14:paraId="08512A1F">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②企业培训、申报咨询与系统录入辅导</w:t>
      </w:r>
    </w:p>
    <w:p w14:paraId="13A20A18">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接受企业咨询，辅导并协助企业完成申报系统录入。</w:t>
      </w:r>
    </w:p>
    <w:p w14:paraId="66928CF7">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③对企业申报材料进行获评成功性的评估以及实质性评审</w:t>
      </w:r>
    </w:p>
    <w:p w14:paraId="37E92440">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组织实施对产品申报材料的实质性评审，并出具材料评审报告。获评成功的“圳品”评审报告不少于200个，其中，食用农产品的评审报告不少于110个。</w:t>
      </w:r>
    </w:p>
    <w:p w14:paraId="4DFCB75C">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④现场评价策划</w:t>
      </w:r>
    </w:p>
    <w:p w14:paraId="077AD795">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文件评审通过后，组建现场评价组，筹备所需的评价资源，并制定现场评价计划书。</w:t>
      </w:r>
    </w:p>
    <w:p w14:paraId="3A9FEFEA">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⑤组织实施“圳品”产品的现场评价</w:t>
      </w:r>
    </w:p>
    <w:p w14:paraId="6E661CC0">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依据评价工作制度性文件及所制的评价计划，组织实施产品的现场评价，并出具现场评价报告，其中获评成功的“圳品”评价报告不少于200个，且食用农产品的评价报告不少于110个。在现场评价启动前，对申报产品的获评成功率及现场评价实施必要性进行充分评估，提升评价经费的使用质效。现场评价重点包括：企业管理体系、生产基地环境及管理、生产（加工）过程管控、产品包装、贮藏、运输过程管理、产品质量管理、产品追溯等方面。现场评价过程须严格遵循评价计划的任务分工和要求，通过观察、询问、资料查阅等方式，确保评价工作真实、客观、全面。评价记录应真实、清晰、完整、可追溯，确保《“圳品”评价工作规范》所列条款无遗漏。准确记录不符合项和观察项，核验企业整改情况并做好记录。在现场评价过程中，结合实际情况对申报企业开展针对性培训，指导其理解和落实“圳品”标准要求。根据评价结果，编制并提交现场评价报告，作出结论性意见。</w:t>
      </w:r>
    </w:p>
    <w:p w14:paraId="70E1D1B3">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⑥及时、快速、准确完成评价信息录入、数据梳理报送、评价档案整理等工作</w:t>
      </w:r>
    </w:p>
    <w:p w14:paraId="6611521C">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确保评价全过程的信息完整、真实录入，评价数据收集、梳理，系统梳理、汇总形成完整的电子版和纸质版评价档案，并按要求完成档案的归档和提交，对档案的真实性、准确性和完整性负责。</w:t>
      </w:r>
    </w:p>
    <w:p w14:paraId="5C6B3350">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⑦参与“专家评审会”“供深食品标准工作委员会”的审议工作</w:t>
      </w:r>
    </w:p>
    <w:p w14:paraId="7A828E4C">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156029A8">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⑧风险信息核查处理及反馈</w:t>
      </w:r>
    </w:p>
    <w:p w14:paraId="64EB9C3C">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对申报企业的食品安全情况、“圳品”产品情况进行全流程动态跟踪。对产品风险信息进行核查和处理，及时反馈处理情况。制定应急预案，做好应急响应。</w:t>
      </w:r>
    </w:p>
    <w:p w14:paraId="138F62D3">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⑨与“圳品”获评企业沟通互动</w:t>
      </w:r>
    </w:p>
    <w:p w14:paraId="24BDF7BA">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kern w:val="2"/>
          <w:sz w:val="21"/>
          <w:szCs w:val="21"/>
          <w:u w:val="single"/>
          <w:lang w:val="en" w:eastAsia="zh"/>
        </w:rPr>
        <w:t>对所评价并获评“圳品”的企业建立动态沟通机制，随时响应紧急情况的查询以及确认反馈。</w:t>
      </w:r>
    </w:p>
    <w:p w14:paraId="7DDEFC88">
      <w:pPr>
        <w:pStyle w:val="37"/>
        <w:autoSpaceDE w:val="0"/>
        <w:snapToGrid w:val="0"/>
        <w:spacing w:before="0" w:beforeAutospacing="0" w:after="0" w:afterAutospacing="0" w:line="560" w:lineRule="exact"/>
        <w:ind w:firstLine="420"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kern w:val="2"/>
          <w:sz w:val="21"/>
          <w:szCs w:val="21"/>
          <w:u w:val="single"/>
          <w:lang w:val="en" w:eastAsia="zh"/>
        </w:rPr>
        <w:t>⑩‌建立和运行沟通协同工作机制</w:t>
      </w:r>
    </w:p>
    <w:p w14:paraId="6378FDB5">
      <w:pPr>
        <w:pStyle w:val="37"/>
        <w:autoSpaceDE w:val="0"/>
        <w:snapToGrid w:val="0"/>
        <w:spacing w:before="0" w:beforeAutospacing="0" w:after="0" w:afterAutospacing="0" w:line="560" w:lineRule="exact"/>
        <w:ind w:firstLine="422" w:firstLineChars="200"/>
        <w:jc w:val="both"/>
        <w:rPr>
          <w:rFonts w:hint="eastAsia" w:asciiTheme="minorEastAsia" w:hAnsiTheme="minorEastAsia" w:eastAsiaTheme="minorEastAsia" w:cstheme="minorEastAsia"/>
          <w:kern w:val="2"/>
          <w:sz w:val="21"/>
          <w:szCs w:val="21"/>
          <w:u w:val="single"/>
          <w:lang w:val="en" w:eastAsia="zh"/>
        </w:rPr>
      </w:pPr>
      <w:r>
        <w:rPr>
          <w:rFonts w:hint="eastAsia" w:asciiTheme="minorEastAsia" w:hAnsiTheme="minorEastAsia" w:eastAsiaTheme="minorEastAsia" w:cstheme="minorEastAsia"/>
          <w:b/>
          <w:bCs/>
          <w:kern w:val="2"/>
          <w:sz w:val="21"/>
          <w:szCs w:val="21"/>
          <w:u w:val="single"/>
          <w:lang w:val="en" w:eastAsia="zh-CN"/>
        </w:rPr>
        <w:t>项目内容：</w:t>
      </w:r>
      <w:r>
        <w:rPr>
          <w:rFonts w:hint="eastAsia" w:asciiTheme="minorEastAsia" w:hAnsiTheme="minorEastAsia" w:eastAsiaTheme="minorEastAsia" w:cstheme="minorEastAsia"/>
          <w:kern w:val="2"/>
          <w:sz w:val="21"/>
          <w:szCs w:val="21"/>
          <w:u w:val="single"/>
          <w:lang w:val="en" w:eastAsia="zh"/>
        </w:rPr>
        <w:t>建立与负责“圳品”申报产品抽检机构的常态化沟通机制和协同机制，将现场评价中发现的过程性食品安全风险等信息清晰梳理并第一时间反馈至抽检机构，为抽检机构制定抽检计划提供依据，提高抽检的靶向性，确保评价与抽检环节信息互通、协同联动，需要协同的环节和点位不能脱节、不能滞后。</w:t>
      </w:r>
    </w:p>
    <w:p w14:paraId="2B0735B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5DE32E06">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2B32181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5C4B38E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4E1CBDB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42862CBD">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20F82D7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7F6C8A6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7B8B8241">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6D4CA1C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6017663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2522F21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4D83849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73703A7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1340476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54383A36">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5D4D7FBF">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11BE1E4F">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0848A932">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05F93950">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6DB2C5BA">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24DB8F4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3793EEF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3AE7364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24FE8C54">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30A139AC">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032D443C">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7876913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0E265E4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49786094">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（1）提交项目完成情况总结报告，电子版1份，纸质版1份；</w:t>
      </w:r>
    </w:p>
    <w:p w14:paraId="537FDB68">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（2）提交不少于200个“圳品”产品的评价报告（其中食用农产品“圳品”产品评价报告不少于110个）。</w:t>
      </w:r>
    </w:p>
    <w:p w14:paraId="6FB1FC8F">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26690B8F">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16059DF1">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67294FC9">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2956CEE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3857D87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79E7128D">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47AA9F4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10A0332D">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3E929EFA">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2B1AC7BB">
      <w:pPr>
        <w:widowControl/>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3AB7B54B">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2C7F5AAE">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15B69E00">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6FF90FE0">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2134B117">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517664DE">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17A929B3">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496AE0B1">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019EDBD0">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69900915">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31F7A00C">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5289A6A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537335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5C510DD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172067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2D706A17">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65F181A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7F764C0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4906B784">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5833BE7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3C9AE49C">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26FEBE8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0D420C69">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0AC6AC4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3BFA60E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02F41DF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4831977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2E40C60B">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6F74ECCA">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703F6F5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3351EBF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737C6AB3">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6472E9C5">
      <w:pPr>
        <w:snapToGrid w:val="0"/>
        <w:spacing w:line="560" w:lineRule="exact"/>
        <w:jc w:val="left"/>
        <w:rPr>
          <w:rFonts w:hint="eastAsia" w:asciiTheme="minorEastAsia" w:hAnsiTheme="minorEastAsia" w:eastAsiaTheme="minorEastAsia" w:cstheme="minorEastAsia"/>
          <w:sz w:val="21"/>
          <w:szCs w:val="21"/>
        </w:rPr>
      </w:pPr>
    </w:p>
    <w:p w14:paraId="4A2190D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0DF2E3D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69A1B6F6">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687347FC">
      <w:pPr>
        <w:snapToGrid w:val="0"/>
        <w:spacing w:line="560" w:lineRule="exact"/>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br w:type="page"/>
      </w:r>
      <w:r>
        <w:rPr>
          <w:rFonts w:hint="eastAsia" w:asciiTheme="minorEastAsia" w:hAnsiTheme="minorEastAsia" w:eastAsiaTheme="minorEastAsia" w:cstheme="minorEastAsia"/>
          <w:b/>
          <w:bCs/>
          <w:sz w:val="21"/>
          <w:szCs w:val="21"/>
        </w:rPr>
        <w:t>附件</w:t>
      </w:r>
    </w:p>
    <w:p w14:paraId="273AEB53">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081"/>
        <w:gridCol w:w="6445"/>
      </w:tblGrid>
      <w:tr w14:paraId="68B91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6ED9CA60">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2081" w:type="dxa"/>
            <w:noWrap w:val="0"/>
            <w:vAlign w:val="center"/>
          </w:tcPr>
          <w:p w14:paraId="35DD64F1">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6445" w:type="dxa"/>
            <w:noWrap w:val="0"/>
            <w:vAlign w:val="center"/>
          </w:tcPr>
          <w:p w14:paraId="1D999C8B">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35B3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03265CB4">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81" w:type="dxa"/>
            <w:noWrap w:val="0"/>
            <w:vAlign w:val="center"/>
          </w:tcPr>
          <w:p w14:paraId="2FC1332D">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风险研判</w:t>
            </w:r>
          </w:p>
        </w:tc>
        <w:tc>
          <w:tcPr>
            <w:tcW w:w="6445" w:type="dxa"/>
            <w:noWrap w:val="0"/>
            <w:vAlign w:val="center"/>
          </w:tcPr>
          <w:p w14:paraId="32EF391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及时发现并对“圳品工程”运行过程中产生的问题作出风险研判，并提出合理化建议，同时对评价过程中发现的企业食品安全风险给予评价意见和风险提示。</w:t>
            </w:r>
          </w:p>
        </w:tc>
      </w:tr>
      <w:tr w14:paraId="35FA2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3FE0B4C7">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81" w:type="dxa"/>
            <w:noWrap w:val="0"/>
            <w:vAlign w:val="center"/>
          </w:tcPr>
          <w:p w14:paraId="5B2C5D01">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企业培训、申报咨询与系统录入辅导</w:t>
            </w:r>
          </w:p>
        </w:tc>
        <w:tc>
          <w:tcPr>
            <w:tcW w:w="6445" w:type="dxa"/>
            <w:noWrap w:val="0"/>
            <w:vAlign w:val="center"/>
          </w:tcPr>
          <w:p w14:paraId="3C37B5EC">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负责建立并实施企业培训机制，确保意向申报企业及已获评企业充分理解“圳品”标准与流程，确保参训人员能够独立、准确地完成后续申报的基础准备工作，提升申报效率与质量。</w:t>
            </w:r>
          </w:p>
          <w:p w14:paraId="5D0F141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接受企业咨询，确保咨询渠道畅通、辅导精准高效，辅导并协助企业完成申报系统录入。</w:t>
            </w:r>
          </w:p>
        </w:tc>
      </w:tr>
      <w:tr w14:paraId="707E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32812AC0">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81" w:type="dxa"/>
            <w:noWrap w:val="0"/>
            <w:vAlign w:val="center"/>
          </w:tcPr>
          <w:p w14:paraId="15705EFC">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对企业申报材料进行获评成功性的评估以及实质性评审</w:t>
            </w:r>
          </w:p>
        </w:tc>
        <w:tc>
          <w:tcPr>
            <w:tcW w:w="6445" w:type="dxa"/>
            <w:noWrap w:val="0"/>
            <w:vAlign w:val="center"/>
          </w:tcPr>
          <w:p w14:paraId="4508CC49">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组织实施对产品申报材料的实质性评审，并出具材料评审报告。</w:t>
            </w:r>
            <w:r>
              <w:rPr>
                <w:rFonts w:hint="eastAsia" w:asciiTheme="minorEastAsia" w:hAnsiTheme="minorEastAsia" w:eastAsiaTheme="minorEastAsia" w:cstheme="minorEastAsia"/>
                <w:sz w:val="21"/>
                <w:szCs w:val="21"/>
              </w:rPr>
              <w:t>获评成功的“圳品”评审报告不少于200个，其中，食用农产品的评审报告不少于110个。</w:t>
            </w:r>
          </w:p>
        </w:tc>
      </w:tr>
      <w:tr w14:paraId="27FC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jc w:val="center"/>
        </w:trPr>
        <w:tc>
          <w:tcPr>
            <w:tcW w:w="1068" w:type="dxa"/>
            <w:noWrap w:val="0"/>
            <w:vAlign w:val="center"/>
          </w:tcPr>
          <w:p w14:paraId="4F15274F">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81" w:type="dxa"/>
            <w:noWrap w:val="0"/>
            <w:vAlign w:val="center"/>
          </w:tcPr>
          <w:p w14:paraId="74410706">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现场评价策划</w:t>
            </w:r>
          </w:p>
        </w:tc>
        <w:tc>
          <w:tcPr>
            <w:tcW w:w="6445" w:type="dxa"/>
            <w:noWrap w:val="0"/>
            <w:vAlign w:val="center"/>
          </w:tcPr>
          <w:p w14:paraId="1F7B36EB">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文件评审通过后，组建现场评价组，筹备所需的评价资源，并制定现场评价计划书。</w:t>
            </w:r>
          </w:p>
        </w:tc>
      </w:tr>
      <w:tr w14:paraId="2805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525DDF42">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081" w:type="dxa"/>
            <w:noWrap w:val="0"/>
            <w:vAlign w:val="center"/>
          </w:tcPr>
          <w:p w14:paraId="78785155">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组织实施不少于200个产品的现场评价</w:t>
            </w:r>
          </w:p>
        </w:tc>
        <w:tc>
          <w:tcPr>
            <w:tcW w:w="6445" w:type="dxa"/>
            <w:noWrap w:val="0"/>
            <w:vAlign w:val="center"/>
          </w:tcPr>
          <w:p w14:paraId="1226379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评价工作制度性文件及所制的评价计划，组织实施不少于200个产品的现场评价，且食用农产品的现场评价不少于110个，在现场评价启动前，对申报产品的获评成功率及现场评价实施必要性进行充分评估，提升评价经费的使用质效。针对申报主体的种养殖基地（包括投入品清单、产地环境、种养殖管理等方面）、加工厂（包括原辅料验收、出入库记录、供应商名录等内容）、生产加工、仓储运输、销售等环节展开现场评价检查。现场评价重点包括：企业管理体系、生产基地环境及管理、生产（加工）过程管控、产品包装、贮藏、运输过程管理、产品质量管理、产品追溯等方面。</w:t>
            </w:r>
          </w:p>
          <w:p w14:paraId="644BFE6A">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现场评价过程须严格遵循评价计划的任务分工和评价要求，通过现场观察、询问、资料查阅等多种方式进行评价，确保评价工作的真实、客观、全面，并做好现场评价记录及资料收集。</w:t>
            </w:r>
          </w:p>
          <w:p w14:paraId="7C79AA7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价记录必须真实、清晰、完整、可追溯、能确认，确保《“圳品”评价工作规范》所列明的评价条款无遗漏。准确记录所有不符合项和观察项，核验企业对不符合项的整改情况并做好记录。对申报主体提交的不符合项整改资料进行验证并关闭后，根据评价结果编制、提交现场评价报告并作出结论性意见。</w:t>
            </w:r>
          </w:p>
        </w:tc>
      </w:tr>
      <w:tr w14:paraId="500A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47ADC4E5">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081" w:type="dxa"/>
            <w:noWrap w:val="0"/>
            <w:vAlign w:val="center"/>
          </w:tcPr>
          <w:p w14:paraId="15240862">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评价信息录入、数据梳理报送、评价档案整理</w:t>
            </w:r>
          </w:p>
        </w:tc>
        <w:tc>
          <w:tcPr>
            <w:tcW w:w="6445" w:type="dxa"/>
            <w:noWrap w:val="0"/>
            <w:vAlign w:val="center"/>
          </w:tcPr>
          <w:p w14:paraId="7E86A68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确保评价全过程的信息完整、真实录入，评价数据收集、梳理，系统梳理、汇总形成完整的电子版和纸质版评价档案，并按要求完成档案的归档和提交，对档案的真实性和完整性负责。</w:t>
            </w:r>
          </w:p>
          <w:p w14:paraId="6CC908B7">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所有现场评价表单整理完成后，需上传至圳品系统，以完成整个系统的评价流程。</w:t>
            </w:r>
          </w:p>
          <w:p w14:paraId="0E29C5A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每次提交档案前，进行线上表格信息登记。以及每次委员会后统一打印现场评价的材料文件，并将这些文件邮寄给标促会，确保其能收到完整的评价材料并顺利存档。</w:t>
            </w:r>
          </w:p>
        </w:tc>
      </w:tr>
      <w:tr w14:paraId="606D3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48AE5EE6">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081" w:type="dxa"/>
            <w:noWrap w:val="0"/>
            <w:vAlign w:val="center"/>
          </w:tcPr>
          <w:p w14:paraId="063B4E8F">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6445" w:type="dxa"/>
            <w:noWrap w:val="0"/>
            <w:vAlign w:val="center"/>
          </w:tcPr>
          <w:p w14:paraId="295E51C4">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指定对上会产品业务熟练的工作人员，</w:t>
            </w:r>
            <w:r>
              <w:rPr>
                <w:rFonts w:hint="eastAsia" w:asciiTheme="minorEastAsia" w:hAnsiTheme="minorEastAsia" w:eastAsiaTheme="minorEastAsia" w:cstheme="minorEastAsia"/>
                <w:sz w:val="21"/>
                <w:szCs w:val="21"/>
              </w:rPr>
              <w:t>参与“圳品”专家评审会及“供深食品标准工作委员会”的</w:t>
            </w:r>
            <w:r>
              <w:rPr>
                <w:rFonts w:hint="eastAsia" w:asciiTheme="minorEastAsia" w:hAnsiTheme="minorEastAsia" w:eastAsiaTheme="minorEastAsia" w:cstheme="minorEastAsia"/>
                <w:color w:val="080F17"/>
                <w:kern w:val="0"/>
                <w:sz w:val="21"/>
                <w:szCs w:val="21"/>
              </w:rPr>
              <w:t>会务准备及</w:t>
            </w:r>
            <w:r>
              <w:rPr>
                <w:rFonts w:hint="eastAsia" w:asciiTheme="minorEastAsia" w:hAnsiTheme="minorEastAsia" w:eastAsiaTheme="minorEastAsia" w:cstheme="minorEastAsia"/>
                <w:sz w:val="21"/>
                <w:szCs w:val="21"/>
              </w:rPr>
              <w:t>审议工作，确保提交会议的材料准确无误、内容详实且符合相关标准。针对专家或委员会成员提出的问题，需能够提供专业的解答，并对所指出的问题进行认真分析和整改。此外，还需负责跟进问题的解决情况，确保所有提出的建议和改进措施得到有效落实，进一步完善相关工作的流程与成果。同时，保持与各方的良好沟通，促进信息的及时传递和反馈，以提升工作效率和质量。</w:t>
            </w:r>
          </w:p>
        </w:tc>
      </w:tr>
      <w:tr w14:paraId="3649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jc w:val="center"/>
        </w:trPr>
        <w:tc>
          <w:tcPr>
            <w:tcW w:w="1068" w:type="dxa"/>
            <w:noWrap w:val="0"/>
            <w:vAlign w:val="center"/>
          </w:tcPr>
          <w:p w14:paraId="712D0E4B">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081" w:type="dxa"/>
            <w:noWrap w:val="0"/>
            <w:vAlign w:val="center"/>
          </w:tcPr>
          <w:p w14:paraId="79108321">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风险信息核查处理及反馈</w:t>
            </w:r>
          </w:p>
        </w:tc>
        <w:tc>
          <w:tcPr>
            <w:tcW w:w="6445" w:type="dxa"/>
            <w:noWrap w:val="0"/>
            <w:vAlign w:val="center"/>
          </w:tcPr>
          <w:p w14:paraId="28D0233A">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对申报企业的食品安全情况、</w:t>
            </w:r>
            <w:r>
              <w:rPr>
                <w:rFonts w:hint="eastAsia" w:asciiTheme="minorEastAsia" w:hAnsiTheme="minorEastAsia" w:eastAsiaTheme="minorEastAsia" w:cstheme="minorEastAsia"/>
                <w:color w:val="080F17"/>
                <w:kern w:val="0"/>
                <w:sz w:val="21"/>
                <w:szCs w:val="21"/>
              </w:rPr>
              <w:t>“圳品”产品情况</w:t>
            </w:r>
            <w:r>
              <w:rPr>
                <w:rFonts w:hint="eastAsia" w:asciiTheme="minorEastAsia" w:hAnsiTheme="minorEastAsia" w:eastAsiaTheme="minorEastAsia" w:cstheme="minorEastAsia"/>
                <w:sz w:val="21"/>
                <w:szCs w:val="21"/>
              </w:rPr>
              <w:t>进行核查。对产品风险信息进行核查和处理，及时反馈处理情况。制定应急预案，做好应急响应。前期文件审核与上会前，对申报企业进行信息信用核查，是否存在食品安全问题以及行政处罚。</w:t>
            </w:r>
          </w:p>
        </w:tc>
      </w:tr>
      <w:tr w14:paraId="4D6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5DC2654D">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081" w:type="dxa"/>
            <w:noWrap w:val="0"/>
            <w:vAlign w:val="center"/>
          </w:tcPr>
          <w:p w14:paraId="1AE68F2F">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与“圳品”获评企业沟通互动</w:t>
            </w:r>
          </w:p>
        </w:tc>
        <w:tc>
          <w:tcPr>
            <w:tcW w:w="6445" w:type="dxa"/>
            <w:noWrap w:val="0"/>
            <w:vAlign w:val="center"/>
          </w:tcPr>
          <w:p w14:paraId="4457BFE3">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建立健全与“圳品”获评企业的长效动态沟通机制，强化获评后的服务与联动，建立紧急情况快速响应流程，做好信息传达与确认反馈，确保沟通闭环，维护“圳品”品牌信誉。</w:t>
            </w:r>
          </w:p>
          <w:p w14:paraId="4FE211E5">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p>
        </w:tc>
      </w:tr>
      <w:tr w14:paraId="41A1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noWrap w:val="0"/>
            <w:vAlign w:val="center"/>
          </w:tcPr>
          <w:p w14:paraId="04D5DF0C">
            <w:pPr>
              <w:wordWrap w:val="0"/>
              <w:snapToGrid w:val="0"/>
              <w:spacing w:line="240" w:lineRule="atLeast"/>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w:t>
            </w:r>
          </w:p>
        </w:tc>
        <w:tc>
          <w:tcPr>
            <w:tcW w:w="2081" w:type="dxa"/>
            <w:noWrap w:val="0"/>
            <w:vAlign w:val="center"/>
          </w:tcPr>
          <w:p w14:paraId="301937CE">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建立圳品全链条沟通推进工作机制</w:t>
            </w:r>
          </w:p>
        </w:tc>
        <w:tc>
          <w:tcPr>
            <w:tcW w:w="6445" w:type="dxa"/>
            <w:noWrap w:val="0"/>
            <w:vAlign w:val="center"/>
          </w:tcPr>
          <w:p w14:paraId="3507E90E">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申报抽样检测机构”须与“申报现场评价机构”建立常态化、即时工作沟通机制，确保申报进程中评价、检测工作一体推进。“申报现场评价机构”收到分派任务后，1个工作日内需与“申报抽样检测机构”全面对接，“申报抽样检测机构”需提前明确企业信息、产品规格、执行标准、评审节点及抽检计划等核心内容，做好抽检前期准备；现场工作中须及时跟进“申报现场评价机构”，依据现场核查问题甄别产品风险，发现抽检不合格、重大风险或突发状况或“申报抽样检测机构”认为有必要及时告知的事项，要在2小时内与“申报现场评价机构”进行通报，并加强处置；双方应确立专职对接人员及信息流转流程，保障文件评审结论、抽检结果等关键信息高效互达，杜绝脱节滞后。</w:t>
            </w:r>
          </w:p>
          <w:p w14:paraId="4B406672">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出现以下几种情况的责任归位：</w:t>
            </w:r>
          </w:p>
          <w:p w14:paraId="4903F8AE">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1.如发生明确信息不对称、工作延误、因“申报现场评价机构”未及时提供完整准确核心资料、未及时告知现场变化及评审进度、未及时反馈评价问题等，导致信息不对称或延误的，由“申报现场评价机构”承担责任；</w:t>
            </w:r>
          </w:p>
          <w:p w14:paraId="1CB3013A">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2.因“申报抽样检测机构”未主动对接确认信息、未同步抽检情况、未按时反馈结果等，导致信息不对称的，由“申报抽样检测机构”承担责任；</w:t>
            </w:r>
          </w:p>
          <w:p w14:paraId="5F760837">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 xml:space="preserve">3.在任务发生后，对双方的情况互达，信息沟通没有按照上述要求完成的，除追究“申报抽样检测机构”和“申报现场评价机构”外，追究“圳品”机构的责任。 </w:t>
            </w:r>
          </w:p>
          <w:p w14:paraId="085A1627">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圳品”运行风险控制与效益评估机构（也就是日常的“圳品”监理机构）对“申报现场评价机构”与“申报抽样检测机构”的一体化推进情况进行全过程跟踪核查。“圳品”运行风险控制与效益评估机构发现“申报现场评价机构”或“申报抽样检测机构”存在合同附件《服务质量要求》所列不合规情形的，应及时督促其整改，发出警示建议书，并在1个工作日内向甲方书面报备。经审核属实的，甲方有权依据合同约定视情节轻重采取要求整改、将相关情况纳入履约评价、扣减当期应付款项、暂停支付后续款项直至问题整改完毕等措施。甲方除对“申报现场评价机构”与“申报抽样检测机构”进行履约责任追究外，对“圳品”运行风险控制与效益评估机构未及时发现问题的情形，亦保留追究其相应责任的权力。</w:t>
            </w:r>
          </w:p>
        </w:tc>
      </w:tr>
    </w:tbl>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8" w:name="_Toc73610162"/>
      <w:bookmarkStart w:id="19" w:name="_Toc73613644"/>
      <w:r>
        <w:rPr>
          <w:rFonts w:hint="eastAsia"/>
        </w:rPr>
        <w:t>一、财政部 工业和信息化部关于印发《政府采购促进中小企业发展管理办法》的通知</w:t>
      </w:r>
      <w:bookmarkEnd w:id="18"/>
      <w:bookmarkEnd w:id="19"/>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0" w:name="_Toc73613645"/>
      <w:bookmarkStart w:id="21" w:name="_Toc73610163"/>
      <w:r>
        <w:rPr>
          <w:rFonts w:hint="eastAsia"/>
        </w:rPr>
        <w:t>二、关于印发中小企业划型标准规定的通知</w:t>
      </w:r>
      <w:bookmarkEnd w:id="20"/>
      <w:bookmarkEnd w:id="21"/>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2" w:name="_Toc73613646"/>
      <w:bookmarkStart w:id="23" w:name="_Toc73610164"/>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4" w:name="_Toc73610165"/>
      <w:bookmarkStart w:id="25" w:name="_Toc73613647"/>
      <w:r>
        <w:rPr>
          <w:rFonts w:hint="eastAsia"/>
        </w:rPr>
        <w:t>四、</w:t>
      </w:r>
      <w:r>
        <w:t>财政部 民政部 中国残疾人联合会关于促进残疾人就业 政府采购政策的通知</w:t>
      </w:r>
      <w:bookmarkEnd w:id="24"/>
      <w:bookmarkEnd w:id="25"/>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5BB8D7BE">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8"/>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39"/>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3" w:name="_Toc73521669"/>
      <w:bookmarkStart w:id="44" w:name="_Toc100052400"/>
      <w:bookmarkStart w:id="45" w:name="_Toc73517673"/>
      <w:bookmarkStart w:id="46" w:name="_Toc73521581"/>
      <w:bookmarkStart w:id="47" w:name="_Toc73518151"/>
      <w:r>
        <w:rPr>
          <w:rFonts w:hint="eastAsia" w:asciiTheme="majorEastAsia" w:hAnsiTheme="majorEastAsia" w:eastAsiaTheme="majorEastAsia"/>
          <w:b/>
          <w:bCs/>
          <w:szCs w:val="21"/>
        </w:rPr>
        <w:t>34．错误的修正</w:t>
      </w:r>
      <w:bookmarkEnd w:id="43"/>
      <w:bookmarkEnd w:id="44"/>
      <w:bookmarkEnd w:id="45"/>
      <w:bookmarkEnd w:id="46"/>
      <w:bookmarkEnd w:id="47"/>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6"/>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54D94C9">
      <w:pPr>
        <w:spacing w:line="360" w:lineRule="auto"/>
        <w:rPr>
          <w:rFonts w:asciiTheme="majorEastAsia" w:hAnsiTheme="majorEastAsia" w:eastAsiaTheme="majorEastAsia"/>
          <w:b/>
          <w:bCs/>
          <w:szCs w:val="21"/>
        </w:rPr>
      </w:pPr>
      <w:bookmarkStart w:id="58" w:name="_Toc73521586"/>
      <w:bookmarkStart w:id="59" w:name="_Toc73521674"/>
      <w:bookmarkStart w:id="60" w:name="_Toc73517679"/>
      <w:bookmarkStart w:id="61" w:name="_Toc100052408"/>
      <w:bookmarkStart w:id="62" w:name="_Toc73518157"/>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4" w:name="_Toc100052409"/>
      <w:bookmarkStart w:id="65" w:name="_Toc73517680"/>
      <w:bookmarkStart w:id="66" w:name="_Toc73521675"/>
      <w:bookmarkStart w:id="67" w:name="_Toc73518158"/>
      <w:bookmarkStart w:id="68" w:name="_Toc73521587"/>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69" w:name="_Toc73521589"/>
      <w:bookmarkStart w:id="70" w:name="_Toc73521677"/>
      <w:bookmarkStart w:id="71" w:name="_Toc73518160"/>
      <w:bookmarkStart w:id="72" w:name="_Toc100052410"/>
      <w:bookmarkStart w:id="73" w:name="_Toc73517682"/>
      <w:r>
        <w:rPr>
          <w:rFonts w:hint="eastAsia" w:asciiTheme="majorEastAsia" w:hAnsiTheme="majorEastAsia" w:eastAsiaTheme="majorEastAsia"/>
          <w:b/>
          <w:bCs/>
          <w:szCs w:val="21"/>
        </w:rPr>
        <w:t>45．合同的签订</w:t>
      </w:r>
      <w:bookmarkEnd w:id="69"/>
      <w:bookmarkEnd w:id="70"/>
      <w:bookmarkEnd w:id="71"/>
      <w:bookmarkEnd w:id="72"/>
      <w:bookmarkEnd w:id="73"/>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4" w:name="_Toc73517683"/>
      <w:bookmarkStart w:id="75" w:name="_Toc73518161"/>
      <w:bookmarkStart w:id="76" w:name="_Toc73521590"/>
      <w:bookmarkStart w:id="77" w:name="_Toc100052411"/>
      <w:bookmarkStart w:id="78" w:name="_Toc73521678"/>
      <w:r>
        <w:rPr>
          <w:rFonts w:hint="eastAsia" w:asciiTheme="majorEastAsia" w:hAnsiTheme="majorEastAsia" w:eastAsiaTheme="majorEastAsia"/>
          <w:b/>
          <w:bCs/>
          <w:szCs w:val="21"/>
        </w:rPr>
        <w:t>46．履约担保</w:t>
      </w:r>
      <w:bookmarkEnd w:id="74"/>
      <w:bookmarkEnd w:id="75"/>
      <w:bookmarkEnd w:id="76"/>
      <w:bookmarkEnd w:id="77"/>
      <w:bookmarkEnd w:id="78"/>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F2A2442"/>
    <w:multiLevelType w:val="multilevel"/>
    <w:tmpl w:val="5F2A2442"/>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983C97"/>
    <w:rsid w:val="03BE44B1"/>
    <w:rsid w:val="03D114A6"/>
    <w:rsid w:val="04E76663"/>
    <w:rsid w:val="053A4512"/>
    <w:rsid w:val="056472A7"/>
    <w:rsid w:val="0594536B"/>
    <w:rsid w:val="05D30962"/>
    <w:rsid w:val="060F23F6"/>
    <w:rsid w:val="062E5C80"/>
    <w:rsid w:val="064E2EED"/>
    <w:rsid w:val="06D05598"/>
    <w:rsid w:val="07180EBD"/>
    <w:rsid w:val="073A5A0B"/>
    <w:rsid w:val="08293F3F"/>
    <w:rsid w:val="08A8171F"/>
    <w:rsid w:val="0A146488"/>
    <w:rsid w:val="0B5B570F"/>
    <w:rsid w:val="0C0C7F03"/>
    <w:rsid w:val="0C810017"/>
    <w:rsid w:val="0CE618DB"/>
    <w:rsid w:val="0D7A2203"/>
    <w:rsid w:val="0DB22432"/>
    <w:rsid w:val="0E100F06"/>
    <w:rsid w:val="0F7B27FD"/>
    <w:rsid w:val="0FCE162A"/>
    <w:rsid w:val="0FEA7549"/>
    <w:rsid w:val="100D3381"/>
    <w:rsid w:val="10394D25"/>
    <w:rsid w:val="10CD0C76"/>
    <w:rsid w:val="1161143A"/>
    <w:rsid w:val="125D09C4"/>
    <w:rsid w:val="13ED39A0"/>
    <w:rsid w:val="143A62A9"/>
    <w:rsid w:val="15893913"/>
    <w:rsid w:val="15D419A2"/>
    <w:rsid w:val="165A7A53"/>
    <w:rsid w:val="16AB20D6"/>
    <w:rsid w:val="17FC3582"/>
    <w:rsid w:val="18631508"/>
    <w:rsid w:val="18D37C2C"/>
    <w:rsid w:val="190F22AF"/>
    <w:rsid w:val="198C31E8"/>
    <w:rsid w:val="1A2C3C7D"/>
    <w:rsid w:val="1AA61AEA"/>
    <w:rsid w:val="1AC20DB1"/>
    <w:rsid w:val="1BDD2C67"/>
    <w:rsid w:val="1C145B71"/>
    <w:rsid w:val="1C650765"/>
    <w:rsid w:val="1CC51319"/>
    <w:rsid w:val="1CF8608C"/>
    <w:rsid w:val="1D7D6133"/>
    <w:rsid w:val="1E457626"/>
    <w:rsid w:val="1E851D92"/>
    <w:rsid w:val="1EC00B82"/>
    <w:rsid w:val="1EDF470C"/>
    <w:rsid w:val="1EFD6E6C"/>
    <w:rsid w:val="1F3A5DE3"/>
    <w:rsid w:val="1F3E3506"/>
    <w:rsid w:val="1F3E7B44"/>
    <w:rsid w:val="21554126"/>
    <w:rsid w:val="221262E7"/>
    <w:rsid w:val="224E4BB7"/>
    <w:rsid w:val="22C43E51"/>
    <w:rsid w:val="231F3C6E"/>
    <w:rsid w:val="23553B73"/>
    <w:rsid w:val="24FD3EAA"/>
    <w:rsid w:val="24FE227B"/>
    <w:rsid w:val="259B2C26"/>
    <w:rsid w:val="259C54CD"/>
    <w:rsid w:val="25E04236"/>
    <w:rsid w:val="25E06F6D"/>
    <w:rsid w:val="26E868DD"/>
    <w:rsid w:val="270677F6"/>
    <w:rsid w:val="28611E55"/>
    <w:rsid w:val="28640D08"/>
    <w:rsid w:val="2867552D"/>
    <w:rsid w:val="296C7298"/>
    <w:rsid w:val="2A1533F1"/>
    <w:rsid w:val="2AF9163E"/>
    <w:rsid w:val="2B603563"/>
    <w:rsid w:val="2C1A1476"/>
    <w:rsid w:val="2C5F7A96"/>
    <w:rsid w:val="2CAC016D"/>
    <w:rsid w:val="2E540FF5"/>
    <w:rsid w:val="2F303A50"/>
    <w:rsid w:val="2FE500E7"/>
    <w:rsid w:val="2FF26266"/>
    <w:rsid w:val="2FF4615F"/>
    <w:rsid w:val="30017D16"/>
    <w:rsid w:val="31375031"/>
    <w:rsid w:val="313E6B35"/>
    <w:rsid w:val="31406246"/>
    <w:rsid w:val="31D75713"/>
    <w:rsid w:val="32ED37E3"/>
    <w:rsid w:val="33307726"/>
    <w:rsid w:val="33B259C6"/>
    <w:rsid w:val="34012DD3"/>
    <w:rsid w:val="3421711A"/>
    <w:rsid w:val="344C5DDD"/>
    <w:rsid w:val="34F53693"/>
    <w:rsid w:val="34FF7FF6"/>
    <w:rsid w:val="35183D0B"/>
    <w:rsid w:val="365C25BF"/>
    <w:rsid w:val="36716344"/>
    <w:rsid w:val="375570E7"/>
    <w:rsid w:val="3763257B"/>
    <w:rsid w:val="37B242A6"/>
    <w:rsid w:val="38534909"/>
    <w:rsid w:val="39327D9D"/>
    <w:rsid w:val="3CA232BF"/>
    <w:rsid w:val="3CF116DA"/>
    <w:rsid w:val="3DA617F4"/>
    <w:rsid w:val="3EB9732A"/>
    <w:rsid w:val="3EF458F2"/>
    <w:rsid w:val="3F1475D7"/>
    <w:rsid w:val="3FEC39BC"/>
    <w:rsid w:val="4079274E"/>
    <w:rsid w:val="41BB6572"/>
    <w:rsid w:val="41F67E38"/>
    <w:rsid w:val="42995385"/>
    <w:rsid w:val="42A46A55"/>
    <w:rsid w:val="42EB676C"/>
    <w:rsid w:val="430A40F5"/>
    <w:rsid w:val="434A3F97"/>
    <w:rsid w:val="43E60433"/>
    <w:rsid w:val="442806E9"/>
    <w:rsid w:val="445A4E7E"/>
    <w:rsid w:val="446C3E8A"/>
    <w:rsid w:val="456F4189"/>
    <w:rsid w:val="475F73CA"/>
    <w:rsid w:val="47D76015"/>
    <w:rsid w:val="482C2C53"/>
    <w:rsid w:val="48AA5067"/>
    <w:rsid w:val="48CE6029"/>
    <w:rsid w:val="493A31F1"/>
    <w:rsid w:val="4A633E34"/>
    <w:rsid w:val="4A7C7E25"/>
    <w:rsid w:val="4AAE5753"/>
    <w:rsid w:val="4B645E12"/>
    <w:rsid w:val="4B86701D"/>
    <w:rsid w:val="4BE20DB5"/>
    <w:rsid w:val="4C437568"/>
    <w:rsid w:val="4CB71AC3"/>
    <w:rsid w:val="4D362CF9"/>
    <w:rsid w:val="4D407FCA"/>
    <w:rsid w:val="4D917D90"/>
    <w:rsid w:val="4D965452"/>
    <w:rsid w:val="4E414071"/>
    <w:rsid w:val="4ECB6FFF"/>
    <w:rsid w:val="4ED232B7"/>
    <w:rsid w:val="4F654D29"/>
    <w:rsid w:val="4F935FCE"/>
    <w:rsid w:val="4F9D5515"/>
    <w:rsid w:val="4FBC6ABC"/>
    <w:rsid w:val="50152DF9"/>
    <w:rsid w:val="50265D8C"/>
    <w:rsid w:val="506B4AF8"/>
    <w:rsid w:val="50AD2765"/>
    <w:rsid w:val="50EB2332"/>
    <w:rsid w:val="512B337B"/>
    <w:rsid w:val="51A90A23"/>
    <w:rsid w:val="51D02D3D"/>
    <w:rsid w:val="53136342"/>
    <w:rsid w:val="543010E1"/>
    <w:rsid w:val="54CD6E6D"/>
    <w:rsid w:val="54E7352F"/>
    <w:rsid w:val="551E1174"/>
    <w:rsid w:val="552D350C"/>
    <w:rsid w:val="5558401C"/>
    <w:rsid w:val="563923A0"/>
    <w:rsid w:val="56D039D4"/>
    <w:rsid w:val="570F4F7D"/>
    <w:rsid w:val="57D47B33"/>
    <w:rsid w:val="59456006"/>
    <w:rsid w:val="59526FF3"/>
    <w:rsid w:val="598A50F9"/>
    <w:rsid w:val="5AAB1367"/>
    <w:rsid w:val="5B51560B"/>
    <w:rsid w:val="5C414D69"/>
    <w:rsid w:val="5C5E284E"/>
    <w:rsid w:val="5C8F26A2"/>
    <w:rsid w:val="5CD31049"/>
    <w:rsid w:val="5DC310BE"/>
    <w:rsid w:val="5DC91399"/>
    <w:rsid w:val="5EB43C37"/>
    <w:rsid w:val="5EEC5F82"/>
    <w:rsid w:val="5EF673A8"/>
    <w:rsid w:val="5F042B44"/>
    <w:rsid w:val="5F223242"/>
    <w:rsid w:val="5F8A7A45"/>
    <w:rsid w:val="5FD77BF8"/>
    <w:rsid w:val="5FE07D05"/>
    <w:rsid w:val="60FE2C3A"/>
    <w:rsid w:val="611F03B9"/>
    <w:rsid w:val="619D5782"/>
    <w:rsid w:val="62AF0875"/>
    <w:rsid w:val="62D86491"/>
    <w:rsid w:val="631452EA"/>
    <w:rsid w:val="635E3973"/>
    <w:rsid w:val="63F7561D"/>
    <w:rsid w:val="64152AEC"/>
    <w:rsid w:val="647C424F"/>
    <w:rsid w:val="647E7AED"/>
    <w:rsid w:val="656D3B1C"/>
    <w:rsid w:val="65C1309B"/>
    <w:rsid w:val="66255F81"/>
    <w:rsid w:val="664C049A"/>
    <w:rsid w:val="675F6813"/>
    <w:rsid w:val="678251B1"/>
    <w:rsid w:val="678D59CD"/>
    <w:rsid w:val="67920941"/>
    <w:rsid w:val="68464DC5"/>
    <w:rsid w:val="687A5294"/>
    <w:rsid w:val="68C862B7"/>
    <w:rsid w:val="6A3363C3"/>
    <w:rsid w:val="6B362ECF"/>
    <w:rsid w:val="6BBB1626"/>
    <w:rsid w:val="6C613771"/>
    <w:rsid w:val="6DE63B74"/>
    <w:rsid w:val="6E155029"/>
    <w:rsid w:val="6F5114F1"/>
    <w:rsid w:val="70651EF6"/>
    <w:rsid w:val="70691444"/>
    <w:rsid w:val="70CD3B09"/>
    <w:rsid w:val="71BB1EC8"/>
    <w:rsid w:val="71C34CA5"/>
    <w:rsid w:val="71CB65BC"/>
    <w:rsid w:val="721B79E1"/>
    <w:rsid w:val="725536BF"/>
    <w:rsid w:val="72AC107D"/>
    <w:rsid w:val="72B268A1"/>
    <w:rsid w:val="73FB1084"/>
    <w:rsid w:val="74951C65"/>
    <w:rsid w:val="7631344D"/>
    <w:rsid w:val="773B2661"/>
    <w:rsid w:val="77AF220D"/>
    <w:rsid w:val="78A711B8"/>
    <w:rsid w:val="7A5B43C0"/>
    <w:rsid w:val="7A8C53DE"/>
    <w:rsid w:val="7A8F3141"/>
    <w:rsid w:val="7AC24A5E"/>
    <w:rsid w:val="7B044DCC"/>
    <w:rsid w:val="7B22521E"/>
    <w:rsid w:val="7B3E32A1"/>
    <w:rsid w:val="7C7A248E"/>
    <w:rsid w:val="7CA255D5"/>
    <w:rsid w:val="7D086252"/>
    <w:rsid w:val="7D380787"/>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102</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2026-05-15T12:49:02Z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