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A605F">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6BBC7B2D">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05D45D6A">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8B100BD">
      <w:pPr>
        <w:adjustRightInd w:val="0"/>
        <w:snapToGrid w:val="0"/>
        <w:spacing w:line="300" w:lineRule="auto"/>
        <w:jc w:val="left"/>
        <w:rPr>
          <w:b/>
          <w:bCs/>
          <w:snapToGrid w:val="0"/>
          <w:kern w:val="0"/>
          <w:sz w:val="28"/>
          <w:szCs w:val="28"/>
        </w:rPr>
      </w:pPr>
    </w:p>
    <w:p w14:paraId="158AAC9C">
      <w:pPr>
        <w:adjustRightInd w:val="0"/>
        <w:snapToGrid w:val="0"/>
        <w:spacing w:line="300" w:lineRule="auto"/>
        <w:jc w:val="left"/>
        <w:rPr>
          <w:b/>
          <w:bCs/>
          <w:snapToGrid w:val="0"/>
          <w:kern w:val="0"/>
          <w:sz w:val="28"/>
          <w:szCs w:val="28"/>
        </w:rPr>
      </w:pPr>
    </w:p>
    <w:p w14:paraId="13439BC7">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圳品工程--“圳品”标准体系建设和评价监督推广项目（</w:t>
      </w:r>
      <w:r>
        <w:rPr>
          <w:rFonts w:hint="eastAsia" w:asciiTheme="minorEastAsia" w:hAnsiTheme="minorEastAsia" w:eastAsiaTheme="minorEastAsia"/>
          <w:b/>
          <w:bCs/>
          <w:snapToGrid w:val="0"/>
          <w:kern w:val="0"/>
          <w:sz w:val="72"/>
          <w:szCs w:val="72"/>
          <w:lang w:val="en-US" w:eastAsia="zh-CN"/>
        </w:rPr>
        <w:t>C包</w:t>
      </w:r>
      <w:r>
        <w:rPr>
          <w:rFonts w:hint="eastAsia" w:asciiTheme="minorEastAsia" w:hAnsiTheme="minorEastAsia" w:eastAsiaTheme="minorEastAsia"/>
          <w:b/>
          <w:bCs/>
          <w:snapToGrid w:val="0"/>
          <w:kern w:val="0"/>
          <w:sz w:val="72"/>
          <w:szCs w:val="72"/>
          <w:lang w:eastAsia="zh-CN"/>
        </w:rPr>
        <w:t>）</w:t>
      </w:r>
    </w:p>
    <w:p w14:paraId="7F9EF994">
      <w:pPr>
        <w:adjustRightInd w:val="0"/>
        <w:snapToGrid w:val="0"/>
        <w:spacing w:line="300" w:lineRule="auto"/>
        <w:jc w:val="center"/>
        <w:rPr>
          <w:rFonts w:asciiTheme="minorEastAsia" w:hAnsiTheme="minorEastAsia" w:eastAsiaTheme="minorEastAsia"/>
          <w:b/>
          <w:snapToGrid w:val="0"/>
          <w:kern w:val="0"/>
          <w:sz w:val="44"/>
          <w:szCs w:val="44"/>
        </w:rPr>
      </w:pPr>
    </w:p>
    <w:p w14:paraId="1DE5DEBA">
      <w:pPr>
        <w:adjustRightInd w:val="0"/>
        <w:snapToGrid w:val="0"/>
        <w:spacing w:line="300" w:lineRule="auto"/>
        <w:jc w:val="center"/>
        <w:rPr>
          <w:rFonts w:asciiTheme="minorEastAsia" w:hAnsiTheme="minorEastAsia" w:eastAsiaTheme="minorEastAsia"/>
          <w:b/>
          <w:snapToGrid w:val="0"/>
          <w:kern w:val="0"/>
          <w:sz w:val="44"/>
          <w:szCs w:val="44"/>
        </w:rPr>
      </w:pPr>
    </w:p>
    <w:p w14:paraId="1E9989D0">
      <w:pPr>
        <w:adjustRightInd w:val="0"/>
        <w:snapToGrid w:val="0"/>
        <w:spacing w:line="300" w:lineRule="auto"/>
        <w:jc w:val="center"/>
        <w:rPr>
          <w:rFonts w:asciiTheme="minorEastAsia" w:hAnsiTheme="minorEastAsia" w:eastAsiaTheme="minorEastAsia"/>
          <w:b/>
          <w:snapToGrid w:val="0"/>
          <w:kern w:val="0"/>
          <w:sz w:val="44"/>
          <w:szCs w:val="44"/>
        </w:rPr>
      </w:pPr>
    </w:p>
    <w:p w14:paraId="39E12D2F">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47ED21A3">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SZDL2026000760</w:t>
      </w:r>
    </w:p>
    <w:p w14:paraId="77DF31E0">
      <w:pPr>
        <w:adjustRightInd w:val="0"/>
        <w:snapToGrid w:val="0"/>
        <w:spacing w:line="300" w:lineRule="auto"/>
        <w:jc w:val="center"/>
        <w:rPr>
          <w:rFonts w:asciiTheme="minorEastAsia" w:hAnsiTheme="minorEastAsia" w:eastAsiaTheme="minorEastAsia"/>
          <w:b/>
          <w:snapToGrid w:val="0"/>
          <w:kern w:val="0"/>
          <w:sz w:val="18"/>
          <w:szCs w:val="18"/>
        </w:rPr>
      </w:pPr>
    </w:p>
    <w:p w14:paraId="65809DE7">
      <w:pPr>
        <w:adjustRightInd w:val="0"/>
        <w:snapToGrid w:val="0"/>
        <w:spacing w:line="300" w:lineRule="auto"/>
        <w:jc w:val="center"/>
        <w:rPr>
          <w:rFonts w:asciiTheme="minorEastAsia" w:hAnsiTheme="minorEastAsia" w:eastAsiaTheme="minorEastAsia"/>
          <w:b/>
          <w:snapToGrid w:val="0"/>
          <w:kern w:val="0"/>
          <w:sz w:val="44"/>
        </w:rPr>
      </w:pPr>
    </w:p>
    <w:p w14:paraId="76DF2933">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1F0F0607">
      <w:pPr>
        <w:pStyle w:val="24"/>
        <w:adjustRightInd w:val="0"/>
        <w:snapToGrid w:val="0"/>
        <w:spacing w:line="300" w:lineRule="auto"/>
        <w:jc w:val="center"/>
        <w:rPr>
          <w:rFonts w:asciiTheme="minorEastAsia" w:hAnsiTheme="minorEastAsia" w:eastAsiaTheme="minorEastAsia"/>
          <w:b/>
          <w:snapToGrid w:val="0"/>
          <w:sz w:val="30"/>
        </w:rPr>
      </w:pPr>
    </w:p>
    <w:p w14:paraId="1D9C4EDA">
      <w:pPr>
        <w:rPr>
          <w:rFonts w:asciiTheme="minorEastAsia" w:hAnsiTheme="minorEastAsia" w:eastAsiaTheme="minorEastAsia"/>
        </w:rPr>
      </w:pPr>
    </w:p>
    <w:p w14:paraId="1F9D48D5">
      <w:pPr>
        <w:rPr>
          <w:rFonts w:asciiTheme="minorEastAsia" w:hAnsiTheme="minorEastAsia" w:eastAsiaTheme="minorEastAsia"/>
        </w:rPr>
      </w:pPr>
    </w:p>
    <w:p w14:paraId="3FD9DC91">
      <w:pPr>
        <w:rPr>
          <w:rFonts w:asciiTheme="minorEastAsia" w:hAnsiTheme="minorEastAsia" w:eastAsiaTheme="minorEastAsia"/>
        </w:rPr>
      </w:pPr>
    </w:p>
    <w:p w14:paraId="09857ACA">
      <w:pPr>
        <w:rPr>
          <w:rFonts w:asciiTheme="minorEastAsia" w:hAnsiTheme="minorEastAsia" w:eastAsiaTheme="minorEastAsia"/>
        </w:rPr>
      </w:pPr>
    </w:p>
    <w:p w14:paraId="56BC3683">
      <w:pPr>
        <w:pStyle w:val="24"/>
        <w:adjustRightInd w:val="0"/>
        <w:snapToGrid w:val="0"/>
        <w:spacing w:line="300" w:lineRule="auto"/>
        <w:jc w:val="center"/>
        <w:rPr>
          <w:sz w:val="40"/>
          <w:szCs w:val="40"/>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03CB1C01">
      <w:pPr>
        <w:jc w:val="center"/>
        <w:rPr>
          <w:rFonts w:ascii="仿宋" w:hAnsi="仿宋" w:eastAsia="仿宋"/>
          <w:sz w:val="24"/>
        </w:rPr>
      </w:pPr>
      <w:r>
        <w:rPr>
          <w:rFonts w:hint="eastAsia" w:asciiTheme="minorEastAsia" w:hAnsiTheme="minorEastAsia" w:eastAsiaTheme="minorEastAsia"/>
          <w:b/>
          <w:bCs/>
          <w:sz w:val="44"/>
          <w:szCs w:val="44"/>
        </w:rPr>
        <w:t>特别警示条款</w:t>
      </w:r>
    </w:p>
    <w:p w14:paraId="5E15A38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6A51DF24">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0BAF0F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294A216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64D788C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94610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2118D25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5556CD5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35EA48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189471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3BBABD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351E4A27">
      <w:pPr>
        <w:widowControl/>
        <w:spacing w:after="120"/>
        <w:jc w:val="left"/>
        <w:rPr>
          <w:rFonts w:ascii="Times New Roman" w:hAnsi="Times New Roman" w:eastAsiaTheme="minorEastAsia"/>
          <w:kern w:val="0"/>
          <w:sz w:val="24"/>
          <w:szCs w:val="24"/>
        </w:rPr>
      </w:pPr>
    </w:p>
    <w:p w14:paraId="5A7696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66B7BB0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2A365839">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738E96C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014A528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418205C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72349AE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56AFE70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124A17EA">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2C3604F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20CBF5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7E01E1D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44C057C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0939EB5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2E16A37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4170EBA2">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624CB054">
      <w:pPr>
        <w:widowControl/>
        <w:spacing w:after="120"/>
        <w:jc w:val="left"/>
        <w:rPr>
          <w:rFonts w:ascii="Times New Roman" w:hAnsi="Times New Roman" w:eastAsiaTheme="minorEastAsia"/>
          <w:kern w:val="0"/>
          <w:sz w:val="24"/>
          <w:szCs w:val="24"/>
        </w:rPr>
      </w:pPr>
    </w:p>
    <w:p w14:paraId="68AACE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34CAF8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3465E2DA">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46C6857F">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1B1B4111">
      <w:pPr>
        <w:widowControl/>
        <w:jc w:val="left"/>
        <w:rPr>
          <w:rFonts w:ascii="宋体" w:hAnsi="宋体" w:cs="宋体"/>
          <w:kern w:val="0"/>
          <w:sz w:val="40"/>
          <w:szCs w:val="40"/>
        </w:rPr>
      </w:pPr>
      <w:r>
        <w:rPr>
          <w:sz w:val="40"/>
          <w:szCs w:val="40"/>
        </w:rPr>
        <w:br w:type="page"/>
      </w:r>
    </w:p>
    <w:p w14:paraId="2D4D52EF">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圳品工程--“圳品”标准体系建设和评价监督推广项目</w:t>
      </w:r>
    </w:p>
    <w:p w14:paraId="58833B0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9634068">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05983414">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0C92543A">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SZDL2026000760</w:t>
            </w:r>
          </w:p>
        </w:tc>
      </w:tr>
      <w:tr w14:paraId="6830196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C9DE1D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631F910E">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圳品工程--“圳品”标准体系建设和评价监督推广项目</w:t>
            </w:r>
          </w:p>
        </w:tc>
      </w:tr>
      <w:tr w14:paraId="079321F1">
        <w:tblPrEx>
          <w:tblCellMar>
            <w:top w:w="45" w:type="dxa"/>
            <w:left w:w="45" w:type="dxa"/>
            <w:bottom w:w="45" w:type="dxa"/>
            <w:right w:w="45" w:type="dxa"/>
          </w:tblCellMar>
        </w:tblPrEx>
        <w:trPr>
          <w:trHeight w:val="737" w:hRule="atLeast"/>
          <w:tblCellSpacing w:w="0" w:type="dxa"/>
          <w:jc w:val="center"/>
        </w:trPr>
        <w:tc>
          <w:tcPr>
            <w:tcW w:w="0" w:type="auto"/>
            <w:vAlign w:val="center"/>
          </w:tcPr>
          <w:p w14:paraId="66E0F42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17D205EF">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val="en-US" w:eastAsia="zh-CN"/>
              </w:rPr>
              <w:t>C</w:t>
            </w:r>
          </w:p>
        </w:tc>
      </w:tr>
      <w:tr w14:paraId="52F0B10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A078EE">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DE22449">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938D41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FDA4DE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207E6E45">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117EEEF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1B22BC">
            <w:pPr>
              <w:jc w:val="right"/>
              <w:rPr>
                <w:rFonts w:ascii="宋体" w:hAnsi="宋体" w:cs="宋体"/>
                <w:sz w:val="30"/>
                <w:szCs w:val="30"/>
              </w:rPr>
            </w:pPr>
            <w:r>
              <w:rPr>
                <w:sz w:val="30"/>
                <w:szCs w:val="30"/>
              </w:rPr>
              <w:t>货币类型：</w:t>
            </w:r>
          </w:p>
        </w:tc>
        <w:tc>
          <w:tcPr>
            <w:tcW w:w="0" w:type="auto"/>
            <w:vAlign w:val="center"/>
          </w:tcPr>
          <w:p w14:paraId="3227442A">
            <w:pPr>
              <w:rPr>
                <w:rFonts w:ascii="宋体" w:hAnsi="宋体" w:cs="宋体"/>
                <w:sz w:val="30"/>
                <w:szCs w:val="30"/>
              </w:rPr>
            </w:pPr>
            <w:r>
              <w:rPr>
                <w:sz w:val="30"/>
                <w:szCs w:val="30"/>
              </w:rPr>
              <w:t>人民币</w:t>
            </w:r>
          </w:p>
        </w:tc>
      </w:tr>
      <w:tr w14:paraId="30E1B99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612645">
            <w:pPr>
              <w:jc w:val="right"/>
              <w:rPr>
                <w:rFonts w:ascii="宋体" w:hAnsi="宋体" w:cs="宋体"/>
                <w:sz w:val="30"/>
                <w:szCs w:val="30"/>
              </w:rPr>
            </w:pPr>
            <w:r>
              <w:rPr>
                <w:sz w:val="30"/>
                <w:szCs w:val="30"/>
              </w:rPr>
              <w:t>评标方法：</w:t>
            </w:r>
          </w:p>
        </w:tc>
        <w:tc>
          <w:tcPr>
            <w:tcW w:w="0" w:type="auto"/>
            <w:vAlign w:val="center"/>
          </w:tcPr>
          <w:p w14:paraId="61392236">
            <w:pPr>
              <w:rPr>
                <w:rFonts w:ascii="宋体" w:hAnsi="宋体" w:cs="宋体"/>
                <w:sz w:val="30"/>
                <w:szCs w:val="30"/>
              </w:rPr>
            </w:pPr>
            <w:r>
              <w:rPr>
                <w:sz w:val="30"/>
                <w:szCs w:val="30"/>
              </w:rPr>
              <w:t>综合评分法（新价格分算法）</w:t>
            </w:r>
          </w:p>
        </w:tc>
      </w:tr>
    </w:tbl>
    <w:p w14:paraId="537582D5">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5CD42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5776932">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6389880B">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EF0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C49B5EE">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71617355">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3F18401D">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4B676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EE1B101">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60F4F1C">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4F06F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7C265A0">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32AEF73">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52A37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D7B4EB8">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7937D497">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5B28F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0F0E7BB">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1D857C02">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3E335B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DA6E6F">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4B284412">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B2FEC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57197A8">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4047ECC7">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3035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27E4F0">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2370F657">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179EA4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ED04F8F">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714B5C52">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0576D5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CD1022A">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5B7F22B0">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419BB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583ABA5">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35A89CAE">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1EA788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68CA2A1">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45CC97AF">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445F0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A8E1E4D">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63C8D61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70B87841">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601F6C92">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5CE7913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0A9D87C">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1BBC7BE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179D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72BBEFD9">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D0915C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28221E49">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D7BC097">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24EECF7F">
      <w:pPr>
        <w:spacing w:line="324" w:lineRule="auto"/>
        <w:ind w:firstLine="420"/>
        <w:rPr>
          <w:rFonts w:hint="eastAsia" w:ascii="Times New Roman" w:hAnsi="Times New Roman"/>
          <w:b/>
          <w:color w:val="FF0000"/>
          <w:szCs w:val="21"/>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9ED182">
      <w:pPr>
        <w:spacing w:line="324" w:lineRule="auto"/>
        <w:ind w:firstLine="420"/>
        <w:rPr>
          <w:rFonts w:asciiTheme="minorEastAsia" w:hAnsiTheme="minorEastAsia" w:eastAsiaTheme="minorEastAsia"/>
          <w:b/>
          <w:color w:val="FF0000"/>
          <w:szCs w:val="21"/>
        </w:rPr>
      </w:pPr>
    </w:p>
    <w:p w14:paraId="0BF6D41C">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61973B73">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7AC905CA">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14BDF8C5">
            <w:pPr>
              <w:jc w:val="right"/>
              <w:rPr>
                <w:rFonts w:ascii="宋体" w:hAnsi="宋体" w:cs="宋体"/>
                <w:b/>
                <w:bCs/>
                <w:sz w:val="24"/>
                <w:szCs w:val="24"/>
              </w:rPr>
            </w:pPr>
          </w:p>
        </w:tc>
      </w:tr>
      <w:tr w14:paraId="57668ECB">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30590C49">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19CF142F">
            <w:pPr>
              <w:pStyle w:val="37"/>
              <w:ind w:firstLine="420"/>
              <w:rPr>
                <w:sz w:val="21"/>
                <w:szCs w:val="21"/>
              </w:rPr>
            </w:pPr>
            <w:r>
              <w:rPr>
                <w:sz w:val="21"/>
                <w:szCs w:val="21"/>
              </w:rPr>
              <w:t>价格分计算方法：</w:t>
            </w:r>
          </w:p>
          <w:p w14:paraId="4E700542">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5654881C">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67E0DC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5C03E3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663CCBF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B655B71">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436C67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2C929EB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055296A2">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089CA04F">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369EB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396B902D">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187E3D5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CE14FEF">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61</w:t>
            </w:r>
          </w:p>
        </w:tc>
      </w:tr>
      <w:tr w14:paraId="3AB8A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F0024C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3DB9AA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4A7B45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42C903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34830D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0A37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3A63EAA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463A213">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FC88F77">
            <w:pPr>
              <w:spacing w:line="36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07289964">
            <w:pPr>
              <w:spacing w:line="360" w:lineRule="exact"/>
              <w:jc w:val="center"/>
              <w:rPr>
                <w:rFonts w:cs="宋体" w:asciiTheme="minorEastAsia" w:hAnsiTheme="minorEastAsia" w:eastAsiaTheme="minorEastAsia"/>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top"/>
          </w:tcPr>
          <w:p w14:paraId="5CE57C0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1AFBFCE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投标文件中实施方案内容应包括但不限于：</w:t>
            </w:r>
          </w:p>
          <w:p w14:paraId="19E10BA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1.项目总体设计思路（包括但不限于项目概况分析、总体思路等）</w:t>
            </w:r>
          </w:p>
          <w:p w14:paraId="1BC732E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2.实施流程（包括但不限于依据文件、实施步骤、工作纪律、保障机制等）3.实施方法及内容</w:t>
            </w:r>
          </w:p>
          <w:p w14:paraId="7DA194E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4.工作进度及节点安排（制定详细时间安排）</w:t>
            </w:r>
          </w:p>
          <w:p w14:paraId="00DC039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5.项目成果交付。</w:t>
            </w:r>
          </w:p>
          <w:p w14:paraId="44F3153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7294746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满足上述5点得7</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分；满足上述任意4点得5</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分；满足上述任意3点得4</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分；满足以上任意2点得2</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分，满足以上任意1点得10分；其他情况不得分。</w:t>
            </w:r>
          </w:p>
          <w:p w14:paraId="4F3556E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在此基础上，评审委员会根据各投标供应商的具体响应内容进一步评审：</w:t>
            </w:r>
          </w:p>
          <w:p w14:paraId="4A501CA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1.评审为优：实施方案内容具体、针对性强、科学合理、可操作性强且提出实施方法不少于4项的，加</w:t>
            </w:r>
            <w:r>
              <w:rPr>
                <w:rFonts w:hint="eastAsia" w:asciiTheme="minorEastAsia" w:hAnsiTheme="minorEastAsia" w:eastAsiaTheme="minorEastAsia"/>
                <w:szCs w:val="21"/>
                <w:lang w:val="en-US" w:eastAsia="zh-CN"/>
              </w:rPr>
              <w:t>25</w:t>
            </w:r>
            <w:r>
              <w:rPr>
                <w:rFonts w:hint="eastAsia" w:asciiTheme="minorEastAsia" w:hAnsiTheme="minorEastAsia" w:eastAsiaTheme="minorEastAsia"/>
                <w:szCs w:val="21"/>
              </w:rPr>
              <w:t>分；</w:t>
            </w:r>
          </w:p>
          <w:p w14:paraId="0D75159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2.评审为良：实施方案内容较具体、针对性较强、较科学合理、可操作性较强且提出实施方法不少于3项的，加</w:t>
            </w:r>
            <w:r>
              <w:rPr>
                <w:rFonts w:hint="eastAsia" w:asciiTheme="minorEastAsia" w:hAnsiTheme="minorEastAsia" w:eastAsiaTheme="minorEastAsia"/>
                <w:szCs w:val="21"/>
                <w:lang w:val="en-US" w:eastAsia="zh-CN"/>
              </w:rPr>
              <w:t>15</w:t>
            </w:r>
            <w:r>
              <w:rPr>
                <w:rFonts w:hint="eastAsia" w:asciiTheme="minorEastAsia" w:hAnsiTheme="minorEastAsia" w:eastAsiaTheme="minorEastAsia"/>
                <w:szCs w:val="21"/>
              </w:rPr>
              <w:t>分；</w:t>
            </w:r>
          </w:p>
          <w:p w14:paraId="769F5BD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3.评审为中：实施方案内容具体性一般、针对性一般、科学合理性一般、可操作性一般且提出实施方法不少于2项的，加</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1C9519C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4.评审为差：实施方案思路清晰性差、内容具体性差、科学合理性差、针对性及可操作性差或提出实施方法少于2项的，不加分。</w:t>
            </w:r>
          </w:p>
          <w:p w14:paraId="5D0DDD7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评审为差的，专家须书面说明理由，并记录在档。</w:t>
            </w:r>
          </w:p>
          <w:p w14:paraId="2D2B4B27">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未提供实施方案的不得分。</w:t>
            </w:r>
            <w:r>
              <w:rPr>
                <w:rFonts w:hint="eastAsia" w:asciiTheme="minorEastAsia" w:hAnsiTheme="minorEastAsia" w:eastAsiaTheme="minorEastAsia"/>
                <w:szCs w:val="21"/>
                <w:lang w:val="en"/>
              </w:rPr>
              <w:t>本项最高得</w:t>
            </w:r>
            <w:r>
              <w:rPr>
                <w:rFonts w:hint="eastAsia" w:asciiTheme="minorEastAsia" w:hAnsiTheme="minorEastAsia" w:eastAsiaTheme="minorEastAsia"/>
                <w:szCs w:val="21"/>
              </w:rPr>
              <w:t>100分。</w:t>
            </w:r>
          </w:p>
        </w:tc>
      </w:tr>
      <w:tr w14:paraId="14D5CC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CAB386E">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364D07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1A03DA5">
            <w:pPr>
              <w:spacing w:line="36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1873C774">
            <w:pPr>
              <w:spacing w:line="360" w:lineRule="exact"/>
              <w:jc w:val="center"/>
              <w:rPr>
                <w:rFonts w:cs="宋体" w:asciiTheme="minorEastAsia" w:hAnsiTheme="minorEastAsia" w:eastAsiaTheme="minorEastAsia"/>
                <w:szCs w:val="21"/>
              </w:rPr>
            </w:pPr>
            <w:r>
              <w:rPr>
                <w:rFonts w:hint="eastAsia" w:ascii="宋体" w:hAnsi="宋体" w:cs="宋体"/>
                <w:szCs w:val="21"/>
              </w:rPr>
              <w:t>14</w:t>
            </w:r>
          </w:p>
        </w:tc>
        <w:tc>
          <w:tcPr>
            <w:tcW w:w="5964" w:type="dxa"/>
            <w:tcBorders>
              <w:top w:val="single" w:color="000000" w:sz="8" w:space="0"/>
              <w:left w:val="single" w:color="000000" w:sz="8" w:space="0"/>
              <w:bottom w:val="single" w:color="000000" w:sz="8" w:space="0"/>
              <w:right w:val="single" w:color="000000" w:sz="8" w:space="0"/>
            </w:tcBorders>
            <w:vAlign w:val="top"/>
          </w:tcPr>
          <w:p w14:paraId="222BE6B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736F01C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1.投标人应结合其工作经历及项目需求进行重点难点分析并提出合理化建议，内容包括但不限于:</w:t>
            </w:r>
          </w:p>
          <w:p w14:paraId="1C1EBF7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（1）针对本项目的重点难点分析（包括但不限于对项目实施相关的政策文件的准确性把握、沟通协调、组织活动、数据整理等）；</w:t>
            </w:r>
          </w:p>
          <w:p w14:paraId="6F02703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（2）针对性提出的应对措施（针对现有“圳品”评价制度的建设运行及取得的成效进行分析，制定相应的工作规划及应对措施）；</w:t>
            </w:r>
          </w:p>
          <w:p w14:paraId="4108BA5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（3）解决方案和合理化建议（对“圳品”在护航食品安全、促进东西协作、乡村振兴、引领产业发展等方面提出具有针对性的指导和建议）。</w:t>
            </w:r>
          </w:p>
          <w:p w14:paraId="442B1CE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对本项目产品生产关键控制点及风险点有充分理解，并提供产品风险、设施风险、产品检测风险、虫害风险、储存及运输风险等相关链条环节可能存在的风险点及风险点控制措施（提供风险点分析及控制措施报告或其他书面材料）</w:t>
            </w:r>
          </w:p>
          <w:p w14:paraId="78CCC74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2B81B99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评审依据1：</w:t>
            </w:r>
          </w:p>
          <w:p w14:paraId="14F7064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满足上述三项的，得</w:t>
            </w:r>
            <w:r>
              <w:rPr>
                <w:rFonts w:hint="eastAsia" w:asciiTheme="minorEastAsia" w:hAnsiTheme="minorEastAsia" w:eastAsiaTheme="minorEastAsia"/>
                <w:szCs w:val="21"/>
                <w:lang w:val="en-US" w:eastAsia="zh-CN"/>
              </w:rPr>
              <w:t>40</w:t>
            </w:r>
            <w:r>
              <w:rPr>
                <w:rFonts w:hint="eastAsia" w:asciiTheme="minorEastAsia" w:hAnsiTheme="minorEastAsia" w:eastAsiaTheme="minorEastAsia"/>
                <w:szCs w:val="21"/>
              </w:rPr>
              <w:t>分；满足上述任意两项的，得</w:t>
            </w:r>
            <w:r>
              <w:rPr>
                <w:rFonts w:hint="eastAsia" w:asciiTheme="minorEastAsia" w:hAnsiTheme="minorEastAsia" w:eastAsiaTheme="minorEastAsia"/>
                <w:szCs w:val="21"/>
                <w:lang w:val="en-US" w:eastAsia="zh-CN"/>
              </w:rPr>
              <w:t>30</w:t>
            </w:r>
            <w:r>
              <w:rPr>
                <w:rFonts w:hint="eastAsia" w:asciiTheme="minorEastAsia" w:hAnsiTheme="minorEastAsia" w:eastAsiaTheme="minorEastAsia"/>
                <w:szCs w:val="21"/>
              </w:rPr>
              <w:t>分；满足上述任意一项的，得</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分；其他情况不得分。</w:t>
            </w:r>
          </w:p>
          <w:p w14:paraId="265A5F4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在此基础上，根据重难点分析实际内容进一步评审：</w:t>
            </w:r>
          </w:p>
          <w:p w14:paraId="1CE9DDA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评审为优：</w:t>
            </w:r>
            <w:r>
              <w:rPr>
                <w:rFonts w:hint="eastAsia" w:asciiTheme="minorEastAsia" w:hAnsiTheme="minorEastAsia" w:eastAsiaTheme="minorEastAsia"/>
                <w:szCs w:val="21"/>
              </w:rPr>
              <w:t>项目重难点分析内容具体、针对性强；项目重点难点应对措施科学合理、可操作性强，且相关的合理化建议（对后续工作的开展具有针对性的指导和建议）不少于3项的，加</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分；</w:t>
            </w:r>
          </w:p>
          <w:p w14:paraId="47FDCF3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评审为良：</w:t>
            </w:r>
            <w:r>
              <w:rPr>
                <w:rFonts w:hint="eastAsia" w:asciiTheme="minorEastAsia" w:hAnsiTheme="minorEastAsia" w:eastAsiaTheme="minorEastAsia"/>
                <w:szCs w:val="21"/>
              </w:rPr>
              <w:t>项目重难点分析内容较具体、针对性较强，项目重点难点应对措施合理性、可操作性较强，且相关的合理化建议（对后续工作的开展具有针对性的指导和建议）不少于2项的，加</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115556F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w:t>
            </w:r>
            <w:r>
              <w:rPr>
                <w:rFonts w:hint="eastAsia" w:asciiTheme="minorEastAsia" w:hAnsiTheme="minorEastAsia" w:eastAsiaTheme="minorEastAsia"/>
                <w:szCs w:val="21"/>
                <w:lang w:val="en-US" w:eastAsia="zh-CN"/>
              </w:rPr>
              <w:t>评审为中：</w:t>
            </w:r>
            <w:r>
              <w:rPr>
                <w:rFonts w:hint="eastAsia" w:asciiTheme="minorEastAsia" w:hAnsiTheme="minorEastAsia" w:eastAsiaTheme="minorEastAsia"/>
                <w:szCs w:val="21"/>
              </w:rPr>
              <w:t>项目重难点分析内容具体性一般、针对性一般、项目重点难点应对措施合理性一般、可操作性一般，且相关的合理化建议（对后续工作的开展具有针对性的指导和建议）不少于1项的，加</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分；</w:t>
            </w:r>
          </w:p>
          <w:p w14:paraId="70AB0FD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w:t>
            </w:r>
            <w:r>
              <w:rPr>
                <w:rFonts w:hint="eastAsia" w:asciiTheme="minorEastAsia" w:hAnsiTheme="minorEastAsia" w:eastAsiaTheme="minorEastAsia"/>
                <w:szCs w:val="21"/>
                <w:lang w:val="en-US" w:eastAsia="zh-CN"/>
              </w:rPr>
              <w:t>评审为差：</w:t>
            </w:r>
            <w:r>
              <w:rPr>
                <w:rFonts w:hint="eastAsia" w:asciiTheme="minorEastAsia" w:hAnsiTheme="minorEastAsia" w:eastAsiaTheme="minorEastAsia"/>
                <w:szCs w:val="21"/>
              </w:rPr>
              <w:t>项目重难点分析内容具体性差、针对性差、项目重点难点应对措施合理性差、可操作性差，相关的合理化建议（对后续工作的开展具有针对性的指导和建议）不少于1项的，不加分；</w:t>
            </w:r>
          </w:p>
          <w:p w14:paraId="454EECE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评审为差的，专家须书面说明理由，并记录在档。</w:t>
            </w:r>
          </w:p>
          <w:p w14:paraId="6E159C7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评审依据2：</w:t>
            </w:r>
          </w:p>
          <w:p w14:paraId="6DA8FE2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投标人对本项目产品生产关键控制点及风险点的理解程度，提供产品风险、设施风险、产品检测风险、虫害风险、储存及运输风险等相关链条环节的风险点分析及控制措施</w:t>
            </w:r>
            <w:r>
              <w:rPr>
                <w:rFonts w:hint="eastAsia" w:asciiTheme="minorEastAsia" w:hAnsiTheme="minorEastAsia" w:eastAsiaTheme="minorEastAsia"/>
                <w:szCs w:val="21"/>
                <w:lang w:eastAsia="zh-CN"/>
              </w:rPr>
              <w:t>。每提供1个风险点分析及控制措施的，得</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lang w:eastAsia="zh-CN"/>
              </w:rPr>
              <w:t>分，本项最高得</w:t>
            </w:r>
            <w:r>
              <w:rPr>
                <w:rFonts w:hint="eastAsia" w:asciiTheme="minorEastAsia" w:hAnsiTheme="minorEastAsia" w:eastAsiaTheme="minorEastAsia"/>
                <w:szCs w:val="21"/>
                <w:lang w:val="en-US" w:eastAsia="zh-CN"/>
              </w:rPr>
              <w:t>40</w:t>
            </w:r>
            <w:r>
              <w:rPr>
                <w:rFonts w:hint="eastAsia" w:asciiTheme="minorEastAsia" w:hAnsiTheme="minorEastAsia" w:eastAsiaTheme="minorEastAsia"/>
                <w:szCs w:val="21"/>
                <w:lang w:eastAsia="zh-CN"/>
              </w:rPr>
              <w:t>分。在此基础上，根据风险点分析实际内容进一步评审：</w:t>
            </w:r>
          </w:p>
          <w:p w14:paraId="0F3C9AA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评审为优：</w:t>
            </w:r>
            <w:r>
              <w:rPr>
                <w:rFonts w:hint="eastAsia" w:asciiTheme="minorEastAsia" w:hAnsiTheme="minorEastAsia" w:eastAsiaTheme="minorEastAsia"/>
                <w:szCs w:val="21"/>
              </w:rPr>
              <w:t>风险点分析内容具体、针对性强、科学合理、控制措施可操作性强的，</w:t>
            </w:r>
            <w:r>
              <w:rPr>
                <w:rFonts w:hint="eastAsia" w:asciiTheme="minorEastAsia" w:hAnsiTheme="minorEastAsia" w:eastAsiaTheme="minorEastAsia"/>
                <w:szCs w:val="21"/>
                <w:lang w:val="en-US" w:eastAsia="zh-CN"/>
              </w:rPr>
              <w:t>加10</w:t>
            </w:r>
            <w:r>
              <w:rPr>
                <w:rFonts w:hint="eastAsia" w:asciiTheme="minorEastAsia" w:hAnsiTheme="minorEastAsia" w:eastAsiaTheme="minorEastAsia"/>
                <w:szCs w:val="21"/>
              </w:rPr>
              <w:t>分；</w:t>
            </w:r>
          </w:p>
          <w:p w14:paraId="68CDEDC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评审为良：</w:t>
            </w:r>
            <w:r>
              <w:rPr>
                <w:rFonts w:hint="eastAsia" w:asciiTheme="minorEastAsia" w:hAnsiTheme="minorEastAsia" w:eastAsiaTheme="minorEastAsia"/>
                <w:szCs w:val="21"/>
              </w:rPr>
              <w:t>风险点分析内容较具体、针对性较强、较科学合理、控制措施可操作性较强的，</w:t>
            </w:r>
            <w:r>
              <w:rPr>
                <w:rFonts w:hint="eastAsia" w:asciiTheme="minorEastAsia" w:hAnsiTheme="minorEastAsia" w:eastAsiaTheme="minorEastAsia"/>
                <w:szCs w:val="21"/>
                <w:lang w:val="en-US" w:eastAsia="zh-CN"/>
              </w:rPr>
              <w:t>加5</w:t>
            </w:r>
            <w:r>
              <w:rPr>
                <w:rFonts w:hint="eastAsia" w:asciiTheme="minorEastAsia" w:hAnsiTheme="minorEastAsia" w:eastAsiaTheme="minorEastAsia"/>
                <w:szCs w:val="21"/>
              </w:rPr>
              <w:t>分；</w:t>
            </w:r>
          </w:p>
          <w:p w14:paraId="5DEA74E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w:t>
            </w:r>
            <w:r>
              <w:rPr>
                <w:rFonts w:hint="eastAsia" w:asciiTheme="minorEastAsia" w:hAnsiTheme="minorEastAsia" w:eastAsiaTheme="minorEastAsia"/>
                <w:szCs w:val="21"/>
                <w:lang w:val="en-US" w:eastAsia="zh-CN"/>
              </w:rPr>
              <w:t>评审为中：</w:t>
            </w:r>
            <w:r>
              <w:rPr>
                <w:rFonts w:hint="eastAsia" w:asciiTheme="minorEastAsia" w:hAnsiTheme="minorEastAsia" w:eastAsiaTheme="minorEastAsia"/>
                <w:szCs w:val="21"/>
              </w:rPr>
              <w:t>风险点分析内容具体性一般、针对性一般、科学合理性一般、控制措施可操作性一般的，</w:t>
            </w:r>
            <w:r>
              <w:rPr>
                <w:rFonts w:hint="eastAsia" w:asciiTheme="minorEastAsia" w:hAnsiTheme="minorEastAsia" w:eastAsiaTheme="minorEastAsia"/>
                <w:szCs w:val="21"/>
                <w:lang w:val="en-US" w:eastAsia="zh-CN"/>
              </w:rPr>
              <w:t>加2</w:t>
            </w:r>
            <w:r>
              <w:rPr>
                <w:rFonts w:hint="eastAsia" w:asciiTheme="minorEastAsia" w:hAnsiTheme="minorEastAsia" w:eastAsiaTheme="minorEastAsia"/>
                <w:szCs w:val="21"/>
              </w:rPr>
              <w:t>分；</w:t>
            </w:r>
          </w:p>
          <w:p w14:paraId="1E6C45F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w:t>
            </w:r>
            <w:r>
              <w:rPr>
                <w:rFonts w:hint="eastAsia" w:asciiTheme="minorEastAsia" w:hAnsiTheme="minorEastAsia" w:eastAsiaTheme="minorEastAsia"/>
                <w:szCs w:val="21"/>
                <w:lang w:val="en-US" w:eastAsia="zh-CN"/>
              </w:rPr>
              <w:t>评审为差：</w:t>
            </w:r>
            <w:r>
              <w:rPr>
                <w:rFonts w:hint="eastAsia" w:asciiTheme="minorEastAsia" w:hAnsiTheme="minorEastAsia" w:eastAsiaTheme="minorEastAsia"/>
                <w:szCs w:val="21"/>
              </w:rPr>
              <w:t>风险点分析内容具体性差、针对性差、科学合理性差、控制措施可操作性差的，</w:t>
            </w:r>
            <w:r>
              <w:rPr>
                <w:rFonts w:hint="eastAsia" w:asciiTheme="minorEastAsia" w:hAnsiTheme="minorEastAsia" w:eastAsiaTheme="minorEastAsia"/>
                <w:szCs w:val="21"/>
                <w:lang w:eastAsia="zh-CN"/>
              </w:rPr>
              <w:t>不</w:t>
            </w:r>
            <w:r>
              <w:rPr>
                <w:rFonts w:hint="eastAsia" w:asciiTheme="minorEastAsia" w:hAnsiTheme="minorEastAsia" w:eastAsiaTheme="minorEastAsia"/>
                <w:szCs w:val="21"/>
                <w:lang w:val="en-US" w:eastAsia="zh-CN"/>
              </w:rPr>
              <w:t>加</w:t>
            </w:r>
            <w:r>
              <w:rPr>
                <w:rFonts w:hint="eastAsia" w:asciiTheme="minorEastAsia" w:hAnsiTheme="minorEastAsia" w:eastAsiaTheme="minorEastAsia"/>
                <w:szCs w:val="21"/>
                <w:lang w:eastAsia="zh-CN"/>
              </w:rPr>
              <w:t>分</w:t>
            </w:r>
            <w:r>
              <w:rPr>
                <w:rFonts w:hint="eastAsia" w:asciiTheme="minorEastAsia" w:hAnsiTheme="minorEastAsia" w:eastAsiaTheme="minorEastAsia"/>
                <w:szCs w:val="21"/>
              </w:rPr>
              <w:t>；</w:t>
            </w:r>
          </w:p>
          <w:p w14:paraId="7348E264">
            <w:pPr>
              <w:spacing w:line="360" w:lineRule="exact"/>
              <w:rPr>
                <w:rFonts w:hint="eastAsia" w:ascii="宋体" w:hAnsi="宋体" w:cs="宋体"/>
                <w:szCs w:val="21"/>
                <w:lang w:bidi="ar"/>
              </w:rPr>
            </w:pPr>
            <w:r>
              <w:rPr>
                <w:rFonts w:hint="eastAsia" w:ascii="宋体" w:hAnsi="宋体" w:cs="宋体"/>
                <w:szCs w:val="21"/>
                <w:lang w:bidi="ar"/>
              </w:rPr>
              <w:t>未提供或提供内容与本项目无关的，不得分。</w:t>
            </w:r>
          </w:p>
          <w:p w14:paraId="1A5D7012">
            <w:pPr>
              <w:spacing w:line="360" w:lineRule="exact"/>
              <w:rPr>
                <w:rFonts w:hint="eastAsia" w:ascii="宋体" w:hAnsi="宋体" w:cs="宋体"/>
                <w:szCs w:val="21"/>
                <w:lang w:bidi="ar"/>
              </w:rPr>
            </w:pPr>
            <w:r>
              <w:rPr>
                <w:rFonts w:hint="eastAsia" w:asciiTheme="minorEastAsia" w:hAnsiTheme="minorEastAsia" w:eastAsiaTheme="minorEastAsia"/>
                <w:szCs w:val="21"/>
              </w:rPr>
              <w:t>评审为差的，专家须书面说明理由，并记录在档。</w:t>
            </w:r>
          </w:p>
          <w:p w14:paraId="4B359ED5">
            <w:pPr>
              <w:autoSpaceDE w:val="0"/>
              <w:snapToGrid w:val="0"/>
              <w:spacing w:line="400" w:lineRule="exact"/>
              <w:rPr>
                <w:rFonts w:hint="eastAsia" w:asciiTheme="minorEastAsia" w:hAnsiTheme="minorEastAsia" w:eastAsiaTheme="minorEastAsia"/>
                <w:szCs w:val="21"/>
              </w:rPr>
            </w:pPr>
            <w:r>
              <w:rPr>
                <w:rFonts w:hint="eastAsia"/>
              </w:rPr>
              <w:t>评审内容1、2项合计最高得</w:t>
            </w:r>
            <w:r>
              <w:rPr>
                <w:rFonts w:hint="eastAsia" w:ascii="宋体" w:hAnsi="宋体" w:cs="宋体"/>
                <w:szCs w:val="21"/>
              </w:rPr>
              <w:t>100分。</w:t>
            </w:r>
          </w:p>
        </w:tc>
      </w:tr>
      <w:tr w14:paraId="268343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491CDB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970B2D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78226297">
            <w:pPr>
              <w:spacing w:line="360" w:lineRule="exact"/>
              <w:jc w:val="center"/>
              <w:rPr>
                <w:rFonts w:cs="宋体" w:asciiTheme="minorEastAsia" w:hAnsiTheme="minorEastAsia" w:eastAsiaTheme="minorEastAsia"/>
                <w:szCs w:val="21"/>
              </w:rPr>
            </w:pPr>
            <w:r>
              <w:rPr>
                <w:rFonts w:hint="eastAsia" w:ascii="宋体" w:hAnsi="宋体" w:cs="宋体"/>
                <w:szCs w:val="21"/>
              </w:rPr>
              <w:t>质量（完成时间、安全、环保）保障措施及方案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5AC86562">
            <w:pPr>
              <w:spacing w:line="360" w:lineRule="exact"/>
              <w:jc w:val="center"/>
              <w:rPr>
                <w:rFonts w:cs="宋体" w:asciiTheme="minorEastAsia" w:hAnsiTheme="minorEastAsia" w:eastAsiaTheme="minorEastAsia"/>
                <w:szCs w:val="21"/>
              </w:rPr>
            </w:pPr>
            <w:r>
              <w:rPr>
                <w:rFonts w:hint="eastAsia" w:ascii="宋体" w:hAnsi="宋体" w:cs="宋体"/>
                <w:szCs w:val="21"/>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4BE8510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12D90D8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投标人应结合其工作经历及项目需求进行质量保障措施及方案，内容包括但不限于：</w:t>
            </w:r>
          </w:p>
          <w:p w14:paraId="77E4A30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1.保障项目质量的人力资源方案;</w:t>
            </w:r>
          </w:p>
          <w:p w14:paraId="44FD85D2">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2.保障项目质量的设备、技术等资源方案；</w:t>
            </w:r>
          </w:p>
          <w:p w14:paraId="06C7953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3.保障项目质量的内部监督工作方案；</w:t>
            </w:r>
          </w:p>
          <w:p w14:paraId="2D9C411A">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4.保障项目质量的紧急资源调配以及应急响应工作方案；</w:t>
            </w:r>
          </w:p>
          <w:p w14:paraId="3592924B">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5.保障项目质量的安全措施（包括但不限于舆情处置、突发情况处理、数据安全、操作安全等内容）。</w:t>
            </w:r>
          </w:p>
          <w:p w14:paraId="4EE4B9A3">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27F9BF4D">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满足以上五项要求得70分，满足以上任意四项要求得50分，满足以上任意三项要求得30分，其他情况不得分。</w:t>
            </w:r>
          </w:p>
          <w:p w14:paraId="6A641AC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在此基础上，根据保障措施及方案实际内容进一步评审：</w:t>
            </w:r>
          </w:p>
          <w:p w14:paraId="4BD13C64">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1.评审为优：质量保障措施内容具体、针对性强、科学合理、可操作性强的加30分；</w:t>
            </w:r>
          </w:p>
          <w:p w14:paraId="2F0EFA96">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2.评审为良：质量保障措施内容较具体、针对性较强、较科学合理、可操作性较强加20分；</w:t>
            </w:r>
          </w:p>
          <w:p w14:paraId="7A36C7AB">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3.评审为中：质量保障措施内容具体性一般、针对性一般、科学合理性一般、可操作性一般的加10分；</w:t>
            </w:r>
          </w:p>
          <w:p w14:paraId="5AFBB627">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4.评审为差：质量保障措施内容具体性差、针对性差、科学合理性差、可操作性差的不加分；</w:t>
            </w:r>
          </w:p>
          <w:p w14:paraId="357D1F0A">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评审为差的，专家须书面说明理由，并记录在档。</w:t>
            </w:r>
          </w:p>
          <w:p w14:paraId="0FDD17A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未提供质量保障措施及方案的不得分。</w:t>
            </w:r>
            <w:r>
              <w:rPr>
                <w:rFonts w:hint="eastAsia" w:asciiTheme="minorEastAsia" w:hAnsiTheme="minorEastAsia" w:eastAsiaTheme="minorEastAsia"/>
                <w:szCs w:val="21"/>
                <w:lang w:val="en" w:eastAsia="zh-CN"/>
              </w:rPr>
              <w:t>本项最高得</w:t>
            </w:r>
            <w:r>
              <w:rPr>
                <w:rFonts w:hint="eastAsia" w:asciiTheme="minorEastAsia" w:hAnsiTheme="minorEastAsia" w:eastAsiaTheme="minorEastAsia"/>
                <w:szCs w:val="21"/>
                <w:lang w:val="en-US" w:eastAsia="zh-CN"/>
              </w:rPr>
              <w:t>100分。</w:t>
            </w:r>
          </w:p>
        </w:tc>
      </w:tr>
      <w:tr w14:paraId="27C9B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BB53AB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0D3D2D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7961511B">
            <w:pPr>
              <w:autoSpaceDE w:val="0"/>
              <w:snapToGrid w:val="0"/>
              <w:spacing w:line="360" w:lineRule="exact"/>
              <w:jc w:val="center"/>
              <w:rPr>
                <w:rFonts w:cs="宋体" w:asciiTheme="minorEastAsia" w:hAnsiTheme="minorEastAsia" w:eastAsiaTheme="minorEastAsia"/>
                <w:szCs w:val="21"/>
              </w:rPr>
            </w:pPr>
            <w:r>
              <w:rPr>
                <w:rFonts w:hint="eastAsia" w:ascii="宋体" w:hAnsi="宋体" w:cs="宋体"/>
                <w:szCs w:val="21"/>
                <w:lang w:bidi="ar"/>
              </w:rPr>
              <w:t>项目完成（服务期满）后的服务承诺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08E11E10">
            <w:pPr>
              <w:autoSpaceDE w:val="0"/>
              <w:snapToGrid w:val="0"/>
              <w:spacing w:line="360" w:lineRule="exact"/>
              <w:jc w:val="center"/>
              <w:rPr>
                <w:rFonts w:cs="宋体" w:asciiTheme="minorEastAsia" w:hAnsiTheme="minorEastAsia" w:eastAsiaTheme="minorEastAsia"/>
                <w:szCs w:val="21"/>
              </w:rPr>
            </w:pPr>
            <w:r>
              <w:rPr>
                <w:rFonts w:hint="eastAsia" w:ascii="宋体" w:hAnsi="宋体" w:cs="宋体"/>
                <w:szCs w:val="21"/>
                <w:lang w:bidi="ar"/>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63E32FD0">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2F117D7A">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投标人承诺以下全部两项的得100分，否则不得分。</w:t>
            </w:r>
          </w:p>
          <w:p w14:paraId="7F55032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1.服务期满后主动离岗；</w:t>
            </w:r>
          </w:p>
          <w:p w14:paraId="74F34B30">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2.与后续服务公司进行交接，未完成交接前提供过渡期保障服务。</w:t>
            </w:r>
          </w:p>
          <w:p w14:paraId="4D4DC483">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7236542C">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lang w:val="en-US" w:eastAsia="zh-CN"/>
              </w:rPr>
              <w:t>要求提供《</w:t>
            </w:r>
            <w:r>
              <w:rPr>
                <w:rFonts w:hint="eastAsia" w:ascii="宋体" w:hAnsi="宋体" w:cs="宋体"/>
                <w:szCs w:val="21"/>
                <w:lang w:bidi="ar"/>
              </w:rPr>
              <w:t>项目完成（服务期满）后的服务承诺</w:t>
            </w:r>
            <w:r>
              <w:rPr>
                <w:rFonts w:hint="eastAsia" w:asciiTheme="minorEastAsia" w:hAnsiTheme="minorEastAsia" w:eastAsiaTheme="minorEastAsia"/>
                <w:szCs w:val="21"/>
                <w:lang w:val="en-US" w:eastAsia="zh-CN"/>
              </w:rPr>
              <w:t>函》（格式自定）作为得分依据，未提供承诺函或承诺内容不满足要求不得分。</w:t>
            </w:r>
          </w:p>
        </w:tc>
      </w:tr>
      <w:tr w14:paraId="30676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4E3CED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245BB79">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0CF80289">
            <w:pPr>
              <w:autoSpaceDE w:val="0"/>
              <w:snapToGrid w:val="0"/>
              <w:spacing w:line="360" w:lineRule="exact"/>
              <w:jc w:val="center"/>
              <w:rPr>
                <w:rFonts w:hint="eastAsia" w:ascii="宋体" w:hAnsi="宋体" w:cs="宋体"/>
                <w:szCs w:val="21"/>
              </w:rPr>
            </w:pPr>
            <w:r>
              <w:rPr>
                <w:rFonts w:hint="eastAsia" w:ascii="宋体" w:hAnsi="宋体" w:cs="宋体"/>
                <w:szCs w:val="21"/>
                <w:lang w:bidi="ar"/>
              </w:rPr>
              <w:t>违约承诺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6B4D5697">
            <w:pPr>
              <w:autoSpaceDE w:val="0"/>
              <w:snapToGrid w:val="0"/>
              <w:spacing w:line="360" w:lineRule="exact"/>
              <w:jc w:val="center"/>
              <w:rPr>
                <w:rFonts w:hint="eastAsia" w:ascii="宋体" w:hAnsi="宋体" w:cs="宋体"/>
                <w:szCs w:val="21"/>
              </w:rPr>
            </w:pPr>
            <w:r>
              <w:rPr>
                <w:rFonts w:hint="eastAsia" w:ascii="宋体" w:hAnsi="宋体" w:cs="宋体"/>
                <w:szCs w:val="21"/>
                <w:lang w:bidi="ar"/>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59EA7783">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34C82B85">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投标人承诺以下全部三项的得100分，否则不得分。</w:t>
            </w:r>
          </w:p>
          <w:p w14:paraId="499AC63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1.人员严格按照招标文件及投标承诺配置；</w:t>
            </w:r>
          </w:p>
          <w:p w14:paraId="6FD0C19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2.服务质量达到招标文件要求；</w:t>
            </w:r>
          </w:p>
          <w:p w14:paraId="7C52E43D">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3.对未能达到的管理要求承担管理责任。</w:t>
            </w:r>
          </w:p>
          <w:p w14:paraId="068E0D33">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23F97BB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要求提供《</w:t>
            </w:r>
            <w:r>
              <w:rPr>
                <w:rFonts w:hint="eastAsia" w:ascii="宋体" w:hAnsi="宋体" w:cs="宋体"/>
                <w:szCs w:val="21"/>
                <w:lang w:bidi="ar"/>
              </w:rPr>
              <w:t>违约承诺</w:t>
            </w:r>
            <w:r>
              <w:rPr>
                <w:rFonts w:hint="eastAsia" w:asciiTheme="minorEastAsia" w:hAnsiTheme="minorEastAsia" w:eastAsiaTheme="minorEastAsia"/>
                <w:szCs w:val="21"/>
                <w:lang w:val="en-US" w:eastAsia="zh-CN"/>
              </w:rPr>
              <w:t>函》（格式自定）作为得分依据，未提供承诺函或承诺内容不满足要求不得分。</w:t>
            </w:r>
          </w:p>
        </w:tc>
      </w:tr>
      <w:tr w14:paraId="7CD8A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26977E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1167DE7">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2A625C69">
            <w:pPr>
              <w:spacing w:line="360" w:lineRule="exact"/>
              <w:jc w:val="center"/>
              <w:rPr>
                <w:rFonts w:hint="eastAsia" w:ascii="宋体" w:hAnsi="宋体" w:cs="宋体"/>
                <w:szCs w:val="21"/>
              </w:rPr>
            </w:pPr>
            <w:r>
              <w:rPr>
                <w:rFonts w:hint="eastAsia" w:ascii="宋体" w:hAnsi="宋体" w:cs="宋体"/>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06ECB8F9">
            <w:pPr>
              <w:spacing w:line="360" w:lineRule="exact"/>
              <w:jc w:val="center"/>
              <w:rPr>
                <w:rFonts w:hint="eastAsia" w:ascii="宋体" w:hAnsi="宋体" w:cs="宋体"/>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5D973885">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（一）评审内容：</w:t>
            </w:r>
          </w:p>
          <w:p w14:paraId="77C8F050">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拟安排的项目负责人（仅限1人）需为投标人自有员工，否则本项不得分。在此基础上：</w:t>
            </w:r>
          </w:p>
          <w:p w14:paraId="04B88A6A">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项目负责人具有食品或化学或生物或微生物学或农学或食品检验相关专业，硕士（含）以上学位或研究生学历的，得20分，本科学历得10分，本小项最高得20分。</w:t>
            </w:r>
          </w:p>
          <w:p w14:paraId="375CAC2D">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2.项目负责人具有食品或农学或标准化或质量相关专业</w:t>
            </w:r>
            <w:r>
              <w:rPr>
                <w:rFonts w:hint="eastAsia" w:asciiTheme="minorEastAsia" w:hAnsiTheme="minorEastAsia" w:eastAsiaTheme="minorEastAsia"/>
                <w:szCs w:val="21"/>
                <w:lang w:val="en-US" w:eastAsia="zh-CN"/>
              </w:rPr>
              <w:t>职称：</w:t>
            </w:r>
            <w:r>
              <w:rPr>
                <w:rFonts w:hint="eastAsia" w:asciiTheme="minorEastAsia" w:hAnsiTheme="minorEastAsia" w:eastAsiaTheme="minorEastAsia"/>
                <w:szCs w:val="21"/>
                <w:lang w:eastAsia="zh-CN"/>
              </w:rPr>
              <w:t>高级（正高）职称的，得30分；高级（副高）职称的，得20分；中级职称的，得10分。本小项最高得30分。</w:t>
            </w:r>
          </w:p>
          <w:p w14:paraId="0225075B">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3.2021年1月1日至本项目投标截止之日（以合同签订时间为准）参与完成的食品及食用农产品的区域品牌建设类项目，每提供1个得10分，本小项最高得50分。</w:t>
            </w:r>
          </w:p>
          <w:p w14:paraId="33768428">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（二）评审依据：</w:t>
            </w:r>
          </w:p>
          <w:p w14:paraId="71AAB506">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1.提供项目负责人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13AEACE0">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2.第1项评分：如涉及考察人员学历或学位及专业，要求提供毕业证书（或学位证书）、学信网查询记录以及教育部发布的《普通高等学校本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52C23EA5">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3.第2项评分：职称证书要求提供职称证书。</w:t>
            </w:r>
          </w:p>
          <w:p w14:paraId="008A041C">
            <w:pPr>
              <w:autoSpaceDE w:val="0"/>
              <w:autoSpaceDN w:val="0"/>
              <w:adjustRightInd w:val="0"/>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4.第3项评分：如涉及考察人员工作经验，要求提供项目合同关键信息（包含但不限于合同签订时间、服务时间、服务内容、服务人员信息、双方盖章页等）作为得分依据，通过合同关键信息无法判断是否得分的，还须同时提供合同甲方出具的证明文件。</w:t>
            </w:r>
          </w:p>
          <w:p w14:paraId="4BE4365F">
            <w:pPr>
              <w:autoSpaceDE w:val="0"/>
              <w:autoSpaceDN w:val="0"/>
              <w:adjustRightInd w:val="0"/>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5.以上资料均要求提供扫描件，如涉及网站截图或照片等证明材料,需提供清晰图片。评分中出现无证明资料或专家无法凭所提供资料判断是否得分的情况，一律作不得分处理。</w:t>
            </w:r>
          </w:p>
        </w:tc>
      </w:tr>
      <w:tr w14:paraId="4EFA10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8660F01">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06B4DC0">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495" w:type="dxa"/>
            <w:tcBorders>
              <w:top w:val="single" w:color="000000" w:sz="8" w:space="0"/>
              <w:left w:val="single" w:color="000000" w:sz="8" w:space="0"/>
              <w:bottom w:val="single" w:color="000000" w:sz="8" w:space="0"/>
              <w:right w:val="single" w:color="000000" w:sz="8" w:space="0"/>
            </w:tcBorders>
            <w:vAlign w:val="center"/>
          </w:tcPr>
          <w:p w14:paraId="5190799C">
            <w:pPr>
              <w:spacing w:line="360" w:lineRule="exact"/>
              <w:jc w:val="center"/>
              <w:rPr>
                <w:rFonts w:hint="eastAsia" w:ascii="宋体" w:hAnsi="宋体" w:cs="宋体"/>
                <w:szCs w:val="21"/>
              </w:rPr>
            </w:pPr>
            <w:r>
              <w:rPr>
                <w:rFonts w:hint="eastAsia" w:ascii="宋体" w:hAnsi="宋体" w:cs="宋体"/>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081629BD">
            <w:pPr>
              <w:spacing w:line="360" w:lineRule="exact"/>
              <w:jc w:val="center"/>
              <w:rPr>
                <w:rFonts w:hint="eastAsia" w:ascii="宋体" w:hAnsi="宋体" w:cs="宋体"/>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top"/>
          </w:tcPr>
          <w:p w14:paraId="287EFF4D">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（一）评审内容：拟安排的项目主要团队成员（主要技术人员）情况（项目负责人除外）需为投标人自有员工，否则本项不得分。在此基础上：</w:t>
            </w:r>
          </w:p>
          <w:p w14:paraId="151A18A7">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1.具有食品检验或质量或质量管理或化学或生物或微生物学或农学相关专业的职称：每提供1人具备高级（正高）职称的，得20分；每提供1人具备高级（副高）职称的，得10分；每提供1人具备中级职称的，得5分。同一人员满足不同得分条件的，只按照最高得分条件计分1次。此小项最高得60分。</w:t>
            </w:r>
          </w:p>
          <w:p w14:paraId="085D01B1">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2.具有食品或化学或生物或微生物学或农学或食品检验相关专业，本科（含）以上学历或学士（含）以上学位的，每提供1人得2分，此项最高得40分。</w:t>
            </w:r>
          </w:p>
          <w:p w14:paraId="53EEB9AA">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如一人同时满足以上要求（审核员资质、职称、学历）可重复计分，以上三项累计得分，本项最高得100分。</w:t>
            </w:r>
          </w:p>
          <w:p w14:paraId="10AE6FEA">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（二）评审依据：</w:t>
            </w:r>
          </w:p>
          <w:p w14:paraId="2F9588A1">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1.提供项目团队人员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77598B76">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2.第1项评分：要求提供职称证书。</w:t>
            </w:r>
          </w:p>
          <w:p w14:paraId="028817F4">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3.第2项评分：如涉及考察人员学历或学位及专业，要求提供毕业证书（或学位证书）、学信网查询记录以及教育部发布的《普通高等学校本科专业目录》《研究生教育学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0A53172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4.以上资料均要求提供扫描件，如涉及网站截图或照片等证明材料,需提供清晰图片。评分中出现无证明资料或专家无法凭所提供资料判断是否得分的情况，一律作不得分处理</w:t>
            </w:r>
          </w:p>
        </w:tc>
      </w:tr>
      <w:tr w14:paraId="14D22E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46A8983E">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0E48E696">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346A444D">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26</w:t>
            </w:r>
          </w:p>
        </w:tc>
      </w:tr>
      <w:tr w14:paraId="178E6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E990306">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5A3D09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C31A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539C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69AA3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378CB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0795868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D4AC3A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6C4DD">
            <w:pPr>
              <w:spacing w:line="360" w:lineRule="exact"/>
              <w:jc w:val="center"/>
              <w:rPr>
                <w:rFonts w:cs="宋体" w:asciiTheme="minorEastAsia" w:hAnsiTheme="minorEastAsia" w:eastAsiaTheme="minorEastAsia"/>
                <w:szCs w:val="21"/>
              </w:rPr>
            </w:pPr>
            <w:r>
              <w:rPr>
                <w:rFonts w:hint="eastAsia" w:ascii="宋体" w:hAnsi="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444EDC54">
            <w:pPr>
              <w:spacing w:line="360" w:lineRule="exact"/>
              <w:jc w:val="center"/>
              <w:rPr>
                <w:rFonts w:cs="宋体" w:asciiTheme="minorEastAsia" w:hAnsiTheme="minorEastAsia" w:eastAsiaTheme="minorEastAsia"/>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5AC29B5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78FE132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1.投标人具有质量管理体系认证证书或质量管理体系认证机构认可证书，且认可范围涵盖食品和食用农产品相关</w:t>
            </w:r>
            <w:r>
              <w:rPr>
                <w:rFonts w:hint="eastAsia" w:asciiTheme="minorEastAsia" w:hAnsiTheme="minorEastAsia" w:eastAsiaTheme="minorEastAsia"/>
                <w:szCs w:val="21"/>
                <w:lang w:val="en-US" w:eastAsia="zh-CN"/>
              </w:rPr>
              <w:t>内容的</w:t>
            </w:r>
            <w:r>
              <w:rPr>
                <w:rFonts w:hint="eastAsia" w:asciiTheme="minorEastAsia" w:hAnsiTheme="minorEastAsia" w:eastAsiaTheme="minorEastAsia"/>
                <w:szCs w:val="21"/>
              </w:rPr>
              <w:t>得100分。其余证书不得分。</w:t>
            </w:r>
          </w:p>
          <w:p w14:paraId="7DBD139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如存在与上述认证证书名称有所差异，但属于同类证书，符合同种证书要求的，也可得分。</w:t>
            </w:r>
          </w:p>
          <w:p w14:paraId="05F569E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3404431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提供有效认证证书（如认证证书注明年审要求的，必须按规定年审且证书在有效期内的方为有效；如未注明年审要求的，证书必须在有效期内的方为有效）；如存在与上述认证证书名称有所差异，但属于同类证书，符合同种证书要求的，也可得分。</w:t>
            </w:r>
          </w:p>
          <w:p w14:paraId="6068789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2.提供证书官网或权威机构【如：全国认证认可信息公共服务平台（</w:t>
            </w:r>
            <w:r>
              <w:rPr>
                <w:rFonts w:hint="eastAsia" w:asciiTheme="minorEastAsia" w:hAnsiTheme="minorEastAsia" w:eastAsiaTheme="minorEastAsia"/>
                <w:szCs w:val="21"/>
              </w:rPr>
              <w:fldChar w:fldCharType="begin"/>
            </w:r>
            <w:r>
              <w:rPr>
                <w:rFonts w:hint="eastAsia" w:asciiTheme="minorEastAsia" w:hAnsiTheme="minorEastAsia" w:eastAsiaTheme="minorEastAsia"/>
                <w:szCs w:val="21"/>
              </w:rPr>
              <w:instrText xml:space="preserve">HYPERLINK "https://cx.cnca.cn"</w:instrText>
            </w:r>
            <w:r>
              <w:rPr>
                <w:rFonts w:hint="eastAsia" w:asciiTheme="minorEastAsia" w:hAnsiTheme="minorEastAsia" w:eastAsiaTheme="minorEastAsia"/>
                <w:szCs w:val="21"/>
              </w:rPr>
              <w:fldChar w:fldCharType="separate"/>
            </w:r>
            <w:r>
              <w:rPr>
                <w:rFonts w:hint="eastAsia" w:asciiTheme="minorEastAsia" w:hAnsiTheme="minorEastAsia" w:eastAsiaTheme="minorEastAsia"/>
                <w:szCs w:val="21"/>
              </w:rPr>
              <w:t>cx.cnca.cn</w:t>
            </w:r>
            <w:r>
              <w:rPr>
                <w:rFonts w:hint="eastAsia" w:asciiTheme="minorEastAsia" w:hAnsiTheme="minorEastAsia" w:eastAsiaTheme="minorEastAsia"/>
                <w:szCs w:val="21"/>
              </w:rPr>
              <w:fldChar w:fldCharType="end"/>
            </w:r>
            <w:r>
              <w:rPr>
                <w:rFonts w:hint="eastAsia" w:asciiTheme="minorEastAsia" w:hAnsiTheme="minorEastAsia" w:eastAsiaTheme="minorEastAsia"/>
                <w:szCs w:val="21"/>
              </w:rPr>
              <w:t>）】认证信息查询截图（截图需显示证书状态为有效）。相关证书在公开渠道无法查询的，投标人需提供颁发部门或者监管机构的证明材料，证明证书真实有效且为合法机构颁发。</w:t>
            </w:r>
          </w:p>
          <w:p w14:paraId="7B8A367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3.证书由行业协会颁发的，需提供该行业协会在“中国社会组织政务服务平台”（网址：</w:t>
            </w:r>
            <w:r>
              <w:rPr>
                <w:rFonts w:hint="eastAsia" w:asciiTheme="minorEastAsia" w:hAnsiTheme="minorEastAsia" w:eastAsiaTheme="minorEastAsia"/>
                <w:szCs w:val="21"/>
              </w:rPr>
              <w:fldChar w:fldCharType="begin"/>
            </w:r>
            <w:r>
              <w:rPr>
                <w:rFonts w:hint="eastAsia" w:asciiTheme="minorEastAsia" w:hAnsiTheme="minorEastAsia" w:eastAsiaTheme="minorEastAsia"/>
                <w:szCs w:val="21"/>
              </w:rPr>
              <w:instrText xml:space="preserve">HYPERLINK "https://chinanpo.mca.gov.cn/）查询的已合法登记且状态正常截图，否则不予认可，视为无效证书。"</w:instrText>
            </w:r>
            <w:r>
              <w:rPr>
                <w:rFonts w:hint="eastAsia" w:asciiTheme="minorEastAsia" w:hAnsiTheme="minorEastAsia" w:eastAsiaTheme="minorEastAsia"/>
                <w:szCs w:val="21"/>
              </w:rPr>
              <w:fldChar w:fldCharType="separate"/>
            </w:r>
            <w:r>
              <w:rPr>
                <w:rFonts w:hint="eastAsia" w:asciiTheme="minorEastAsia" w:hAnsiTheme="minorEastAsia" w:eastAsiaTheme="minorEastAsia"/>
                <w:szCs w:val="21"/>
              </w:rPr>
              <w:t>https://chinanpo.mca.gov.cn/）查询的已合法登记且状态正常截图，否则不予认可，视为无效证书。</w:t>
            </w:r>
            <w:r>
              <w:rPr>
                <w:rFonts w:hint="eastAsia" w:asciiTheme="minorEastAsia" w:hAnsiTheme="minorEastAsia" w:eastAsiaTheme="minorEastAsia"/>
                <w:szCs w:val="21"/>
              </w:rPr>
              <w:fldChar w:fldCharType="end"/>
            </w:r>
          </w:p>
          <w:p w14:paraId="16C26BB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4.如投标人为新成立企业且成立时间不足以申请认证或未达到认证申请试运行期限的，提供情况说明，</w:t>
            </w:r>
            <w:r>
              <w:rPr>
                <w:rFonts w:hint="eastAsia" w:asciiTheme="minorEastAsia" w:hAnsiTheme="minorEastAsia" w:eastAsiaTheme="minorEastAsia"/>
                <w:szCs w:val="21"/>
                <w:lang w:val="zh-CN"/>
              </w:rPr>
              <w:t>亦视为满足评分要求</w:t>
            </w:r>
            <w:r>
              <w:rPr>
                <w:rFonts w:hint="eastAsia" w:asciiTheme="minorEastAsia" w:hAnsiTheme="minorEastAsia" w:eastAsiaTheme="minorEastAsia"/>
                <w:szCs w:val="21"/>
              </w:rPr>
              <w:t>。</w:t>
            </w:r>
          </w:p>
          <w:p w14:paraId="73EF030F">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5.提供以上证明文件扫描件，如涉及网站截图或照片等证明材料，需提供清晰图片。</w:t>
            </w:r>
            <w:r>
              <w:rPr>
                <w:rFonts w:hint="eastAsia" w:asciiTheme="minorEastAsia" w:hAnsiTheme="minorEastAsia" w:eastAsiaTheme="minorEastAsia"/>
                <w:szCs w:val="21"/>
                <w:lang w:val="zh-CN"/>
              </w:rPr>
              <w:t>对于未提供证明文件，未提供查询记录且无其他证明材料的，或者提供不清晰导致评委无法判断的，均作不得分处理。</w:t>
            </w:r>
          </w:p>
        </w:tc>
      </w:tr>
      <w:tr w14:paraId="277016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2C49E3F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2BA8F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E37F0">
            <w:pPr>
              <w:spacing w:line="360" w:lineRule="exact"/>
              <w:jc w:val="center"/>
              <w:rPr>
                <w:rFonts w:cs="宋体" w:asciiTheme="minorEastAsia" w:hAnsiTheme="minorEastAsia" w:eastAsiaTheme="minorEastAsia"/>
                <w:szCs w:val="21"/>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0D8BAC6">
            <w:pPr>
              <w:spacing w:line="360" w:lineRule="exact"/>
              <w:jc w:val="center"/>
              <w:rPr>
                <w:rFonts w:cs="宋体" w:asciiTheme="minorEastAsia" w:hAnsiTheme="minorEastAsia" w:eastAsiaTheme="minorEastAsia"/>
                <w:szCs w:val="21"/>
              </w:rPr>
            </w:pPr>
            <w:r>
              <w:rPr>
                <w:rFonts w:hint="eastAsia" w:ascii="宋体" w:hAnsi="宋体" w:cs="宋体"/>
                <w:szCs w:val="21"/>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7B00270C">
            <w:pPr>
              <w:autoSpaceDE w:val="0"/>
              <w:snapToGrid w:val="0"/>
              <w:spacing w:line="360" w:lineRule="exact"/>
              <w:rPr>
                <w:rFonts w:hint="eastAsia" w:ascii="宋体" w:hAnsi="宋体" w:cs="宋体"/>
                <w:b/>
                <w:bCs/>
                <w:szCs w:val="21"/>
                <w:lang w:bidi="ar"/>
              </w:rPr>
            </w:pPr>
            <w:r>
              <w:rPr>
                <w:rFonts w:hint="eastAsia" w:ascii="宋体" w:hAnsi="宋体" w:cs="宋体"/>
                <w:b/>
                <w:bCs/>
                <w:szCs w:val="21"/>
                <w:lang w:eastAsia="zh-CN" w:bidi="ar"/>
              </w:rPr>
              <w:t>（</w:t>
            </w:r>
            <w:r>
              <w:rPr>
                <w:rFonts w:hint="eastAsia" w:ascii="宋体" w:hAnsi="宋体" w:cs="宋体"/>
                <w:b/>
                <w:bCs/>
                <w:szCs w:val="21"/>
                <w:lang w:bidi="ar"/>
              </w:rPr>
              <w:t>一</w:t>
            </w:r>
            <w:r>
              <w:rPr>
                <w:rFonts w:hint="eastAsia" w:ascii="宋体" w:hAnsi="宋体" w:cs="宋体"/>
                <w:b/>
                <w:bCs/>
                <w:szCs w:val="21"/>
                <w:lang w:eastAsia="zh-CN" w:bidi="ar"/>
              </w:rPr>
              <w:t>）</w:t>
            </w:r>
            <w:r>
              <w:rPr>
                <w:rFonts w:hint="eastAsia" w:ascii="宋体" w:hAnsi="宋体" w:cs="宋体"/>
                <w:b/>
                <w:bCs/>
                <w:szCs w:val="21"/>
                <w:lang w:bidi="ar"/>
              </w:rPr>
              <w:t>评审内容：</w:t>
            </w:r>
          </w:p>
          <w:p w14:paraId="2DFA7D1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投标人自2021年1月1日起至本项目投标截止之日（以合同签订时间为准）同类项目业绩情况：承担过政府部门或事业单位委托的食品或食用农产品方面体系认证或现场审核或品牌建设同类项目业绩的，</w:t>
            </w:r>
            <w:r>
              <w:rPr>
                <w:rFonts w:hint="default" w:asciiTheme="minorEastAsia" w:hAnsiTheme="minorEastAsia" w:eastAsiaTheme="minorEastAsia"/>
                <w:szCs w:val="21"/>
                <w:lang w:val="en-US"/>
              </w:rPr>
              <w:t>按以下标准计分：</w:t>
            </w:r>
            <w:r>
              <w:rPr>
                <w:rFonts w:hint="eastAsia" w:asciiTheme="minorEastAsia" w:hAnsiTheme="minorEastAsia" w:eastAsiaTheme="minorEastAsia"/>
                <w:szCs w:val="21"/>
              </w:rPr>
              <w:t>承担国家级项目的，每提供1个得40分；承担省级（含副省级）项目的，每提供1个得30分；承担市级项目的，每提供1个得20分；承担区县级项目的，每提供1个得10分。</w:t>
            </w:r>
          </w:p>
          <w:p w14:paraId="25947DB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以上四项可累加计分，本项累计最高得100分。</w:t>
            </w:r>
          </w:p>
          <w:p w14:paraId="514788D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4861994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1.要求提供合同或协议关键信息（包含但不限于合同签订时间、服务时间、服务内容、服务人员信息、双方盖章页等）</w:t>
            </w:r>
          </w:p>
          <w:p w14:paraId="76AF63C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2.通过合同关键信息无法判断是否得分的，还须同时提供能证明得分的其它证明资料，如项目报告或合同甲方出具的证明文件等。</w:t>
            </w:r>
          </w:p>
          <w:p w14:paraId="23F07222">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3.以上资料均要求提供扫描件。评分中出现无证明资料或专家无法凭所提供资料判断是否得分的情况，一律作不得分处理。</w:t>
            </w:r>
          </w:p>
        </w:tc>
      </w:tr>
      <w:tr w14:paraId="2C750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157BF81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583E826">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5EA01264">
            <w:pPr>
              <w:spacing w:line="360" w:lineRule="exact"/>
              <w:jc w:val="center"/>
              <w:rPr>
                <w:rFonts w:hint="eastAsia" w:ascii="宋体" w:hAnsi="宋体" w:cs="宋体"/>
                <w:szCs w:val="21"/>
              </w:rPr>
            </w:pPr>
            <w:r>
              <w:rPr>
                <w:rFonts w:hint="eastAsia" w:ascii="宋体" w:hAnsi="宋体" w:cs="宋体"/>
                <w:szCs w:val="21"/>
              </w:rPr>
              <w:t>供应商获奖情况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7A8993C">
            <w:pPr>
              <w:spacing w:line="360" w:lineRule="exact"/>
              <w:jc w:val="center"/>
              <w:rPr>
                <w:rFonts w:hint="eastAsia" w:ascii="宋体" w:hAnsi="宋体" w:cs="宋体"/>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0CFB1E7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7ABA439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投标人自2021年1月1日起至本项目投标截止之日（以获奖时间或证明此奖项的材料落款时间为准）获得的食品或食用农产品相关的荣誉或获奖情况：</w:t>
            </w:r>
          </w:p>
          <w:p w14:paraId="4F722E6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每获得1个省级（含副省级）</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以上荣誉或奖项的得50分，每获得1个市级荣誉或奖项的得25分，每获得1个区县级荣誉或奖项的得10分，以上累计加分，最高得100分。</w:t>
            </w:r>
          </w:p>
          <w:p w14:paraId="3AEB8A4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67B865E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1.要求提供奖项照片</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政府官网截图或获奖（荣誉）证书等证明材料作为得分依据。以上资料均要求提供扫描件。</w:t>
            </w:r>
          </w:p>
          <w:p w14:paraId="331D10A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2.省级（含副省级）</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荣誉要求颁发单位为国务院（或其直接所属的行政机关）、省（自治区、直辖市）人民政府（或其直接所属的行政机关）；市级荣誉要求颁发单位为市人民政府（或市级行政机关单位）；区（县）级荣誉要求颁发单位为区（县）人民政府（或区（县）行政机关单位）。</w:t>
            </w:r>
          </w:p>
          <w:p w14:paraId="1B7A47A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3.以上资料均要求提供扫描件。评分中出现无证明资料或专家无法凭所提供资料判断是否得分的情况，一律作不得分处理。</w:t>
            </w:r>
          </w:p>
          <w:p w14:paraId="1285897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4.奖项颁发单位为协会、学会、网络平台、报刊杂志等单位的不得分。</w:t>
            </w:r>
          </w:p>
        </w:tc>
      </w:tr>
      <w:tr w14:paraId="5F8AFB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599DEE45">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759B2D5">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200CF935">
            <w:pPr>
              <w:autoSpaceDE w:val="0"/>
              <w:spacing w:line="400" w:lineRule="exact"/>
              <w:jc w:val="center"/>
              <w:rPr>
                <w:rFonts w:hint="eastAsia" w:ascii="宋体" w:hAnsi="宋体" w:cs="宋体"/>
                <w:szCs w:val="21"/>
              </w:rPr>
            </w:pPr>
            <w:r>
              <w:rPr>
                <w:rFonts w:hint="eastAsia" w:ascii="宋体" w:hAnsi="宋体" w:cs="宋体"/>
                <w:szCs w:val="21"/>
                <w:lang w:bidi="ar"/>
              </w:rPr>
              <w:t>供应商自主知识产权产品（创新、设计）情况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BAC2446">
            <w:pPr>
              <w:autoSpaceDE w:val="0"/>
              <w:spacing w:line="400" w:lineRule="exact"/>
              <w:jc w:val="center"/>
              <w:rPr>
                <w:rFonts w:hint="eastAsia" w:ascii="宋体" w:hAnsi="宋体" w:cs="宋体"/>
                <w:szCs w:val="21"/>
              </w:rPr>
            </w:pPr>
            <w:r>
              <w:rPr>
                <w:rFonts w:hint="eastAsia" w:ascii="宋体" w:hAnsi="宋体" w:cs="宋体"/>
                <w:szCs w:val="21"/>
                <w:lang w:bidi="ar"/>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0946DCB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6E98A8D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1.投标人参与制定或修订食品或食用农产品类国家、行业、地方标准</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每提供1项得15分，本小项最高得60分。</w:t>
            </w:r>
          </w:p>
          <w:p w14:paraId="3E381DD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2.投标人具有企业管理或质量或标准化或合格评定或食品安全或绿色低碳的软件著作权的，每提供1项得10分，本小项最高得40分。</w:t>
            </w:r>
          </w:p>
          <w:p w14:paraId="3AB131B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以上二项实行累计加分，本项总分最高得100分。</w:t>
            </w:r>
          </w:p>
          <w:p w14:paraId="26834AB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6D46FE8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1.第1项需提供有效的发明专利或实用新型专利证书扫描件；属购买或转让的，还需提供专利权转移备案证明或转让合同关键页。</w:t>
            </w:r>
          </w:p>
          <w:p w14:paraId="72CC4BE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2.第2项需提供标准文本首页及参编单位页等相关证明材料。</w:t>
            </w:r>
          </w:p>
          <w:p w14:paraId="054BCD8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3项需提供软件著作权登记证书扫描件（如为投标人自有软件，著作权人需为投标人；如为投标人通过购买或租赁等形式获得软件使用权的，需同时提供著作权人与投标人签订的相关合同或协议或购买发票扫描件）。</w:t>
            </w:r>
          </w:p>
          <w:p w14:paraId="4D56A68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4.以上资料均需提供扫描件。评分时如未提供相关证明资料，或专家依据所提供资料无法判定是否符合得分条件的，一律不予计分。</w:t>
            </w:r>
          </w:p>
        </w:tc>
      </w:tr>
      <w:tr w14:paraId="3FD92B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A8044AB">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24AD7F5">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752EC3F7">
            <w:pPr>
              <w:autoSpaceDE w:val="0"/>
              <w:spacing w:line="400" w:lineRule="exact"/>
              <w:jc w:val="center"/>
              <w:rPr>
                <w:rFonts w:cs="宋体" w:asciiTheme="minorEastAsia" w:hAnsiTheme="minorEastAsia" w:eastAsiaTheme="minorEastAsia"/>
                <w:szCs w:val="21"/>
              </w:rPr>
            </w:pPr>
            <w:r>
              <w:rPr>
                <w:rFonts w:hint="eastAsia" w:ascii="宋体" w:hAnsi="宋体" w:cs="宋体"/>
                <w:szCs w:val="21"/>
                <w:lang w:bidi="ar"/>
              </w:rPr>
              <w:t>全国性服务支撑能力</w:t>
            </w:r>
          </w:p>
        </w:tc>
        <w:tc>
          <w:tcPr>
            <w:tcW w:w="820" w:type="dxa"/>
            <w:tcBorders>
              <w:top w:val="single" w:color="000000" w:sz="8" w:space="0"/>
              <w:left w:val="single" w:color="000000" w:sz="8" w:space="0"/>
              <w:bottom w:val="single" w:color="000000" w:sz="8" w:space="0"/>
              <w:right w:val="single" w:color="000000" w:sz="8" w:space="0"/>
            </w:tcBorders>
            <w:vAlign w:val="center"/>
          </w:tcPr>
          <w:p w14:paraId="52B996B4">
            <w:pPr>
              <w:autoSpaceDE w:val="0"/>
              <w:spacing w:line="400" w:lineRule="exact"/>
              <w:jc w:val="center"/>
              <w:rPr>
                <w:rFonts w:cs="宋体" w:asciiTheme="minorEastAsia" w:hAnsiTheme="minorEastAsia" w:eastAsiaTheme="minorEastAsia"/>
                <w:szCs w:val="21"/>
              </w:rPr>
            </w:pPr>
            <w:r>
              <w:rPr>
                <w:rFonts w:hint="eastAsia" w:ascii="宋体" w:hAnsi="宋体" w:cs="宋体"/>
                <w:szCs w:val="21"/>
                <w:lang w:bidi="ar"/>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76C9BDB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243E2D7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投标人承诺中标后能满足以下全部两项的内容得100分，否则不得分。</w:t>
            </w:r>
          </w:p>
          <w:p w14:paraId="5D48EED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具备多层次协同保障资源和能力，包括但不限于从事本项目的服务网点布局（投标人所投资的公司或分支机构或实验室或办事处或合作公司（单位）等）、技术人员资源的储备等。根据项目需求真实提供以及及时调配能够覆盖全国范围的服务保障，包括新疆、西藏、内蒙古等边疆地区，并能够快速响应不同地区的多元化服务需求，实现区域联动协同保障。</w:t>
            </w:r>
          </w:p>
          <w:p w14:paraId="7EA7CE4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2.具备重点时段的保障服务能力。能够针对满足不同地区在季节性采收及生产加工高峰期的相关需求，做好及时响应和服务保障。同时，能够对圳品工作的各类临时性重要需求做到快速响应。</w:t>
            </w:r>
          </w:p>
          <w:p w14:paraId="4392F57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02C2D8F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要求投标人提供</w:t>
            </w:r>
            <w:r>
              <w:rPr>
                <w:rFonts w:hint="eastAsia" w:asciiTheme="minorEastAsia" w:hAnsiTheme="minorEastAsia" w:eastAsiaTheme="minorEastAsia"/>
                <w:szCs w:val="21"/>
                <w:lang w:eastAsia="zh-CN"/>
              </w:rPr>
              <w:t>《</w:t>
            </w:r>
            <w:r>
              <w:rPr>
                <w:rFonts w:hint="eastAsia" w:ascii="宋体" w:hAnsi="宋体" w:cs="宋体"/>
                <w:szCs w:val="21"/>
                <w:lang w:bidi="ar"/>
              </w:rPr>
              <w:t>全国性服务支撑能力</w:t>
            </w:r>
            <w:r>
              <w:rPr>
                <w:rFonts w:hint="eastAsia" w:asciiTheme="minorEastAsia" w:hAnsiTheme="minorEastAsia" w:eastAsiaTheme="minorEastAsia"/>
                <w:szCs w:val="21"/>
              </w:rPr>
              <w:t>承诺函</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（格式自定），未提供承诺函或承诺内容不满足要求均不得分。</w:t>
            </w:r>
          </w:p>
        </w:tc>
      </w:tr>
      <w:tr w14:paraId="496BC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4E920BEC">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5FFA0BB1">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693F1DEF">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3</w:t>
            </w:r>
          </w:p>
        </w:tc>
      </w:tr>
      <w:tr w14:paraId="4092B5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6F553A39">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CC47F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2B1698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84D21C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E747E1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23D8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40527E8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B629433">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BCE6C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22B7AE6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3</w:t>
            </w:r>
          </w:p>
        </w:tc>
        <w:tc>
          <w:tcPr>
            <w:tcW w:w="5964" w:type="dxa"/>
            <w:tcBorders>
              <w:top w:val="single" w:color="000000" w:sz="8" w:space="0"/>
              <w:left w:val="single" w:color="000000" w:sz="8" w:space="0"/>
              <w:bottom w:val="single" w:color="000000" w:sz="8" w:space="0"/>
              <w:right w:val="single" w:color="000000" w:sz="8" w:space="0"/>
            </w:tcBorders>
          </w:tcPr>
          <w:p w14:paraId="269F44F4">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77652777">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68D53771"/>
    <w:p w14:paraId="10A48FF4"/>
    <w:p w14:paraId="2BD9F4DF">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124B4B54">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0BD9FFFB">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3ADF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25D781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3DAA2EA6">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1F4CA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2CFA43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2638ACD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5436D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4CD614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6BE43E3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771DE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51FD8E3">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0A5F8C0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60BB0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01AE1E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429EDA2">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7C1743F2">
      <w:pPr>
        <w:spacing w:line="360" w:lineRule="auto"/>
        <w:ind w:firstLine="411" w:firstLineChars="196"/>
        <w:rPr>
          <w:rFonts w:ascii="宋体" w:hAnsi="宋体"/>
        </w:rPr>
      </w:pPr>
    </w:p>
    <w:p w14:paraId="7CA40743">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1AFEF965">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8372B76">
      <w:pPr>
        <w:spacing w:line="360" w:lineRule="auto"/>
        <w:ind w:firstLine="420" w:firstLineChars="200"/>
        <w:rPr>
          <w:rFonts w:ascii="宋体" w:hAnsi="宋体"/>
          <w:szCs w:val="21"/>
        </w:rPr>
      </w:pPr>
    </w:p>
    <w:p w14:paraId="07125C0A">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5B3CAE75">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321A0CF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0F599429">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4D749400">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F3F8E03">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3FB09241">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146D1F1A">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6373C3BC">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4BF1531F">
      <w:pPr>
        <w:spacing w:line="360" w:lineRule="auto"/>
        <w:ind w:firstLine="422" w:firstLineChars="200"/>
        <w:rPr>
          <w:rFonts w:asciiTheme="minorEastAsia" w:hAnsiTheme="minorEastAsia" w:eastAsiaTheme="minorEastAsia"/>
          <w:b/>
          <w:szCs w:val="21"/>
        </w:rPr>
      </w:pPr>
    </w:p>
    <w:p w14:paraId="0C84B7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68A24306">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06BF77A8">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7250D9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4397569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747140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0455042">
      <w:pPr>
        <w:spacing w:line="360" w:lineRule="auto"/>
        <w:ind w:firstLine="487"/>
        <w:rPr>
          <w:rFonts w:ascii="Times New Roman" w:hAnsi="Times New Roman"/>
          <w:b/>
          <w:bCs/>
          <w:sz w:val="24"/>
          <w:szCs w:val="24"/>
        </w:rPr>
      </w:pPr>
    </w:p>
    <w:p w14:paraId="3798E697">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91E08D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3B9E8511">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6228357C">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06D51CBD">
      <w:pPr>
        <w:rPr>
          <w:rFonts w:ascii="Times New Roman" w:hAnsi="Times New Roman"/>
          <w:b/>
          <w:sz w:val="24"/>
          <w:szCs w:val="24"/>
        </w:rPr>
      </w:pPr>
      <w:r>
        <w:rPr>
          <w:rFonts w:hint="eastAsia" w:ascii="Times New Roman" w:hAnsi="Times New Roman"/>
          <w:b/>
          <w:sz w:val="24"/>
          <w:szCs w:val="24"/>
        </w:rPr>
        <w:t>第一册  专用条款</w:t>
      </w:r>
    </w:p>
    <w:p w14:paraId="1D73005F">
      <w:pPr>
        <w:ind w:left="630" w:leftChars="300" w:firstLine="411" w:firstLineChars="196"/>
        <w:rPr>
          <w:rFonts w:ascii="宋体" w:hAnsi="宋体"/>
          <w:szCs w:val="21"/>
        </w:rPr>
      </w:pPr>
      <w:r>
        <w:rPr>
          <w:rFonts w:hint="eastAsia" w:ascii="宋体" w:hAnsi="宋体"/>
          <w:szCs w:val="21"/>
        </w:rPr>
        <w:t>关键信息</w:t>
      </w:r>
    </w:p>
    <w:p w14:paraId="22BDD108">
      <w:pPr>
        <w:ind w:left="630" w:leftChars="300" w:firstLine="411" w:firstLineChars="196"/>
        <w:rPr>
          <w:rFonts w:ascii="宋体" w:hAnsi="宋体"/>
          <w:szCs w:val="21"/>
        </w:rPr>
      </w:pPr>
      <w:r>
        <w:rPr>
          <w:rFonts w:hint="eastAsia" w:ascii="宋体" w:hAnsi="宋体"/>
          <w:szCs w:val="21"/>
        </w:rPr>
        <w:t>第一章  招标公告</w:t>
      </w:r>
    </w:p>
    <w:p w14:paraId="13230D43">
      <w:pPr>
        <w:ind w:left="630" w:leftChars="300" w:firstLine="411" w:firstLineChars="196"/>
        <w:rPr>
          <w:rFonts w:ascii="宋体" w:hAnsi="宋体"/>
          <w:szCs w:val="21"/>
        </w:rPr>
      </w:pPr>
      <w:r>
        <w:rPr>
          <w:rFonts w:hint="eastAsia" w:ascii="宋体" w:hAnsi="宋体"/>
          <w:szCs w:val="21"/>
        </w:rPr>
        <w:t>第二章  招标项目需求</w:t>
      </w:r>
    </w:p>
    <w:p w14:paraId="1D677BCE">
      <w:pPr>
        <w:ind w:left="630" w:leftChars="300" w:firstLine="411" w:firstLineChars="196"/>
        <w:rPr>
          <w:rFonts w:ascii="宋体" w:hAnsi="宋体"/>
          <w:szCs w:val="21"/>
        </w:rPr>
      </w:pPr>
      <w:r>
        <w:rPr>
          <w:rFonts w:hint="eastAsia" w:ascii="宋体" w:hAnsi="宋体"/>
          <w:szCs w:val="21"/>
        </w:rPr>
        <w:t>第三章  投标文件格式、附件</w:t>
      </w:r>
    </w:p>
    <w:p w14:paraId="0272EB67">
      <w:pPr>
        <w:ind w:left="630" w:leftChars="300" w:firstLine="411" w:firstLineChars="196"/>
        <w:rPr>
          <w:rFonts w:ascii="宋体" w:hAnsi="宋体"/>
          <w:szCs w:val="21"/>
        </w:rPr>
      </w:pPr>
      <w:r>
        <w:rPr>
          <w:rFonts w:hint="eastAsia" w:ascii="宋体" w:hAnsi="宋体"/>
          <w:szCs w:val="21"/>
        </w:rPr>
        <w:t>第四章  合同及履约情况反馈格式</w:t>
      </w:r>
    </w:p>
    <w:p w14:paraId="726F22F4">
      <w:pPr>
        <w:ind w:left="630" w:leftChars="300" w:firstLine="411" w:firstLineChars="196"/>
        <w:rPr>
          <w:rFonts w:ascii="宋体" w:hAnsi="宋体"/>
          <w:szCs w:val="21"/>
        </w:rPr>
      </w:pPr>
      <w:r>
        <w:rPr>
          <w:rFonts w:hint="eastAsia" w:ascii="宋体" w:hAnsi="宋体"/>
          <w:szCs w:val="21"/>
        </w:rPr>
        <w:t>第五章  附件</w:t>
      </w:r>
    </w:p>
    <w:p w14:paraId="1EA22924">
      <w:pPr>
        <w:ind w:left="630" w:leftChars="300" w:firstLine="411" w:firstLineChars="196"/>
        <w:rPr>
          <w:rFonts w:ascii="宋体" w:hAnsi="宋体"/>
          <w:szCs w:val="21"/>
        </w:rPr>
      </w:pPr>
    </w:p>
    <w:p w14:paraId="7FFB57CE">
      <w:pPr>
        <w:rPr>
          <w:rFonts w:ascii="Times New Roman" w:hAnsi="Times New Roman"/>
          <w:b/>
          <w:sz w:val="24"/>
          <w:szCs w:val="24"/>
        </w:rPr>
      </w:pPr>
    </w:p>
    <w:p w14:paraId="126CCCDD">
      <w:pPr>
        <w:rPr>
          <w:rFonts w:ascii="Times New Roman" w:hAnsi="Times New Roman"/>
          <w:b/>
          <w:sz w:val="24"/>
          <w:szCs w:val="24"/>
        </w:rPr>
      </w:pPr>
      <w:r>
        <w:rPr>
          <w:rFonts w:hint="eastAsia" w:ascii="Times New Roman" w:hAnsi="Times New Roman"/>
          <w:b/>
          <w:sz w:val="24"/>
          <w:szCs w:val="24"/>
        </w:rPr>
        <w:t>第二册  通用条款</w:t>
      </w:r>
    </w:p>
    <w:p w14:paraId="47D9B35C">
      <w:pPr>
        <w:ind w:left="630" w:leftChars="300" w:firstLine="411" w:firstLineChars="196"/>
        <w:rPr>
          <w:rFonts w:ascii="宋体" w:hAnsi="宋体"/>
          <w:szCs w:val="21"/>
        </w:rPr>
      </w:pPr>
      <w:r>
        <w:rPr>
          <w:rFonts w:hint="eastAsia" w:ascii="宋体" w:hAnsi="宋体"/>
          <w:szCs w:val="21"/>
        </w:rPr>
        <w:t>第一章  总则</w:t>
      </w:r>
    </w:p>
    <w:p w14:paraId="2ED2286A">
      <w:pPr>
        <w:ind w:left="630" w:leftChars="300" w:firstLine="411" w:firstLineChars="196"/>
        <w:rPr>
          <w:rFonts w:ascii="宋体" w:hAnsi="宋体"/>
          <w:szCs w:val="21"/>
        </w:rPr>
      </w:pPr>
      <w:r>
        <w:rPr>
          <w:rFonts w:hint="eastAsia" w:ascii="宋体" w:hAnsi="宋体"/>
          <w:szCs w:val="21"/>
        </w:rPr>
        <w:t>第二章  招标文件</w:t>
      </w:r>
    </w:p>
    <w:p w14:paraId="5F60043E">
      <w:pPr>
        <w:ind w:left="630" w:leftChars="300" w:firstLine="411" w:firstLineChars="196"/>
        <w:rPr>
          <w:rFonts w:ascii="宋体" w:hAnsi="宋体"/>
          <w:szCs w:val="21"/>
        </w:rPr>
      </w:pPr>
      <w:r>
        <w:rPr>
          <w:rFonts w:hint="eastAsia" w:ascii="宋体" w:hAnsi="宋体"/>
          <w:szCs w:val="21"/>
        </w:rPr>
        <w:t>第三章  投标文件的编制</w:t>
      </w:r>
    </w:p>
    <w:p w14:paraId="133668E9">
      <w:pPr>
        <w:ind w:left="630" w:leftChars="300" w:firstLine="411" w:firstLineChars="196"/>
        <w:rPr>
          <w:rFonts w:ascii="宋体" w:hAnsi="宋体"/>
          <w:szCs w:val="21"/>
        </w:rPr>
      </w:pPr>
      <w:r>
        <w:rPr>
          <w:rFonts w:hint="eastAsia" w:ascii="宋体" w:hAnsi="宋体"/>
          <w:szCs w:val="21"/>
        </w:rPr>
        <w:t>第四章  投标文件的递交</w:t>
      </w:r>
    </w:p>
    <w:p w14:paraId="6DFA4FED">
      <w:pPr>
        <w:ind w:left="630" w:leftChars="300" w:firstLine="411" w:firstLineChars="196"/>
        <w:rPr>
          <w:rFonts w:ascii="宋体" w:hAnsi="宋体"/>
          <w:szCs w:val="21"/>
        </w:rPr>
      </w:pPr>
      <w:r>
        <w:rPr>
          <w:rFonts w:hint="eastAsia" w:ascii="宋体" w:hAnsi="宋体"/>
          <w:szCs w:val="21"/>
        </w:rPr>
        <w:t>第五章  开标</w:t>
      </w:r>
    </w:p>
    <w:p w14:paraId="5718BDBD">
      <w:pPr>
        <w:ind w:left="630" w:leftChars="300" w:firstLine="411" w:firstLineChars="196"/>
        <w:rPr>
          <w:rFonts w:ascii="宋体" w:hAnsi="宋体"/>
          <w:szCs w:val="21"/>
        </w:rPr>
      </w:pPr>
      <w:r>
        <w:rPr>
          <w:rFonts w:hint="eastAsia" w:ascii="宋体" w:hAnsi="宋体"/>
          <w:szCs w:val="21"/>
        </w:rPr>
        <w:t>第六章  评标要求</w:t>
      </w:r>
    </w:p>
    <w:p w14:paraId="5155502A">
      <w:pPr>
        <w:ind w:left="630" w:leftChars="300" w:firstLine="411" w:firstLineChars="196"/>
        <w:rPr>
          <w:rFonts w:ascii="宋体" w:hAnsi="宋体"/>
          <w:szCs w:val="21"/>
        </w:rPr>
      </w:pPr>
      <w:r>
        <w:rPr>
          <w:rFonts w:hint="eastAsia" w:ascii="宋体" w:hAnsi="宋体"/>
          <w:szCs w:val="21"/>
        </w:rPr>
        <w:t>第七章  评标程序及评标方法</w:t>
      </w:r>
    </w:p>
    <w:p w14:paraId="6749F0EA">
      <w:pPr>
        <w:ind w:left="630" w:leftChars="300" w:firstLine="411" w:firstLineChars="196"/>
        <w:rPr>
          <w:rFonts w:ascii="宋体" w:hAnsi="宋体"/>
          <w:szCs w:val="21"/>
        </w:rPr>
      </w:pPr>
      <w:r>
        <w:rPr>
          <w:rFonts w:hint="eastAsia" w:ascii="宋体" w:hAnsi="宋体"/>
          <w:szCs w:val="21"/>
        </w:rPr>
        <w:t>第八章  定标及公示</w:t>
      </w:r>
    </w:p>
    <w:p w14:paraId="089C7253">
      <w:pPr>
        <w:ind w:left="630" w:leftChars="300" w:firstLine="411" w:firstLineChars="196"/>
        <w:rPr>
          <w:rFonts w:ascii="宋体" w:hAnsi="宋体"/>
          <w:szCs w:val="21"/>
        </w:rPr>
      </w:pPr>
      <w:r>
        <w:rPr>
          <w:rFonts w:hint="eastAsia" w:ascii="宋体" w:hAnsi="宋体"/>
          <w:szCs w:val="21"/>
        </w:rPr>
        <w:t>第九章  公开招标失败的后续处理</w:t>
      </w:r>
    </w:p>
    <w:p w14:paraId="39F2FC8A">
      <w:pPr>
        <w:ind w:left="630" w:leftChars="300" w:firstLine="411" w:firstLineChars="196"/>
        <w:rPr>
          <w:rFonts w:ascii="宋体" w:hAnsi="宋体"/>
          <w:szCs w:val="21"/>
        </w:rPr>
      </w:pPr>
      <w:r>
        <w:rPr>
          <w:rFonts w:hint="eastAsia" w:ascii="宋体" w:hAnsi="宋体"/>
          <w:szCs w:val="21"/>
        </w:rPr>
        <w:t>第十章  合同的授予与备案</w:t>
      </w:r>
    </w:p>
    <w:p w14:paraId="1D6F1A26">
      <w:pPr>
        <w:ind w:left="630" w:leftChars="300" w:firstLine="411" w:firstLineChars="196"/>
        <w:rPr>
          <w:rFonts w:ascii="宋体" w:hAnsi="宋体"/>
          <w:szCs w:val="21"/>
        </w:rPr>
      </w:pPr>
      <w:r>
        <w:rPr>
          <w:rFonts w:hint="eastAsia" w:ascii="宋体" w:hAnsi="宋体"/>
          <w:szCs w:val="21"/>
        </w:rPr>
        <w:t>第十一章  质疑处理</w:t>
      </w:r>
    </w:p>
    <w:p w14:paraId="250B4742">
      <w:pPr>
        <w:rPr>
          <w:rFonts w:ascii="Times New Roman" w:hAnsi="Times New Roman"/>
          <w:sz w:val="24"/>
          <w:szCs w:val="24"/>
        </w:rPr>
      </w:pPr>
    </w:p>
    <w:p w14:paraId="4F0D64DF">
      <w:pPr>
        <w:rPr>
          <w:rFonts w:ascii="Times New Roman" w:hAnsi="Times New Roman"/>
          <w:b/>
          <w:szCs w:val="24"/>
        </w:rPr>
      </w:pPr>
      <w:r>
        <w:rPr>
          <w:rFonts w:hint="eastAsia" w:ascii="Times New Roman" w:hAnsi="Times New Roman"/>
          <w:b/>
          <w:szCs w:val="24"/>
        </w:rPr>
        <w:t>备注：</w:t>
      </w:r>
    </w:p>
    <w:p w14:paraId="4DC08AA8">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278EE8EA">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60E261C5">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7BE843AA">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2A5B7EFC">
      <w:pPr>
        <w:rPr>
          <w:rFonts w:ascii="宋体" w:hAnsi="宋体"/>
          <w:szCs w:val="21"/>
        </w:rPr>
      </w:pPr>
    </w:p>
    <w:p w14:paraId="4D50EC61">
      <w:pPr>
        <w:widowControl/>
        <w:jc w:val="left"/>
        <w:rPr>
          <w:rFonts w:ascii="宋体" w:hAnsi="宋体" w:eastAsia="黑体"/>
          <w:b/>
          <w:bCs/>
          <w:kern w:val="44"/>
          <w:sz w:val="28"/>
          <w:szCs w:val="44"/>
        </w:rPr>
      </w:pPr>
      <w:r>
        <w:rPr>
          <w:rFonts w:ascii="Times New Roman" w:hAnsi="Times New Roman"/>
          <w:szCs w:val="24"/>
        </w:rPr>
        <w:br w:type="page"/>
      </w:r>
    </w:p>
    <w:p w14:paraId="7E9A7410">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BAA5C42">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50069A6A">
      <w:pPr>
        <w:spacing w:line="360" w:lineRule="exact"/>
        <w:rPr>
          <w:rFonts w:ascii="宋体" w:hAnsi="宋体"/>
          <w:vanish/>
          <w:szCs w:val="21"/>
        </w:rPr>
      </w:pPr>
    </w:p>
    <w:p w14:paraId="13764FA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1C0F949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圳品工程--“圳品”标准体系建设和评价监督推广项目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1963F9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52AB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2C9403A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SZDL2026000760</w:t>
      </w:r>
    </w:p>
    <w:p w14:paraId="4B84924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圳品工程--“圳品”标准体系建设和评价监督推广项目</w:t>
      </w:r>
    </w:p>
    <w:p w14:paraId="3CE3C48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eastAsia="zh-CN"/>
        </w:rPr>
        <w:t>1,920,000.00元</w:t>
      </w:r>
    </w:p>
    <w:p w14:paraId="7F1C399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eastAsia="zh-CN"/>
        </w:rPr>
        <w:t>1,920,000.00元</w:t>
      </w:r>
    </w:p>
    <w:p w14:paraId="482174B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1C9F5038">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D308B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6FE7FC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8C0CB3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48EF500">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DA4FE9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5DE4AC04">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948F4A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“圳品”申报现场评价技术服务项目（1）</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A5CB1A0">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150A6B3">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03FD4F58">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服务主要内容为组织实施“圳品”申报产品的文件评审及现场评价工作，并出具评价报告；出具“圳品”产品的评价报告不少于200个，其中预包装食品的评价报告不少于110个</w:t>
            </w:r>
            <w:r>
              <w:rPr>
                <w:rFonts w:hint="eastAsia" w:ascii="宋体" w:hAnsi="宋体" w:cs="宋体"/>
                <w:sz w:val="21"/>
                <w:szCs w:val="21"/>
                <w:lang w:val="en-US" w:eastAsia="zh-CN"/>
              </w:rPr>
              <w:t>。</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6F49FE0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49FB0E7A">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A440663">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1D6F6BA4">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3BD9D0EF">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783E4239">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783E8EA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18D4BA8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7619A3B3">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07E55A97">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2410A02A">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1786286B">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645B75A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6526EC9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lang w:val="en-US" w:eastAsia="zh-CN"/>
        </w:rPr>
        <w:t>8</w:t>
      </w:r>
      <w:r>
        <w:rPr>
          <w:rFonts w:hint="eastAsia" w:ascii="宋体" w:hAnsi="宋体" w:eastAsia="宋体" w:cs="宋体"/>
          <w:snapToGrid w:val="0"/>
          <w:color w:val="auto"/>
          <w:sz w:val="21"/>
          <w:szCs w:val="21"/>
          <w:lang w:eastAsia="zh-CN"/>
        </w:rPr>
        <w:t>）本项目分为A、B、C、D、E、F、G、H八个包，投标人可参与任意一个包或多个包投标，但只能成为其中一个包的中标人，即可兼投但不可兼中。评标时按A-B-C-D-E-F-G-H包的顺序评审，如投标人已被推荐为某包组第一候选中标供应商，则不得再参与其他包组评审。如某包组因供应商质疑等原因导致中标结果变更的，其他包组的中标结果不因此而受影响。</w:t>
      </w:r>
      <w:bookmarkStart w:id="82" w:name="_GoBack"/>
      <w:bookmarkEnd w:id="82"/>
    </w:p>
    <w:p w14:paraId="00D4E525">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5315CB7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5607007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4195201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055A5D6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33FB91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13D4C55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457E9A7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548DE0F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1C67285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7C1ABF8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90DC30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2542FA7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244B19B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7F387A1C">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6905DE9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44CD7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0B7555F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025F70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BE18A2">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540ED9C6">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龙先生，0755-3070668</w:t>
      </w:r>
    </w:p>
    <w:p w14:paraId="1CB50C8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182020D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C24E12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2C7D12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2D65B9C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50CD0D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510F3AB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0D2DACA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6987BA9E">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1AF25C8C">
      <w:pPr>
        <w:spacing w:line="400" w:lineRule="exact"/>
        <w:jc w:val="right"/>
        <w:rPr>
          <w:rFonts w:ascii="宋体" w:hAnsi="宋体"/>
          <w:szCs w:val="21"/>
        </w:rPr>
      </w:pPr>
    </w:p>
    <w:p w14:paraId="03EFAC55">
      <w:pPr>
        <w:rPr>
          <w:rFonts w:hint="eastAsia" w:ascii="宋体" w:hAnsi="宋体"/>
          <w:b/>
          <w:bCs/>
          <w:kern w:val="0"/>
          <w:sz w:val="24"/>
          <w:szCs w:val="20"/>
        </w:rPr>
      </w:pPr>
      <w:r>
        <w:rPr>
          <w:rFonts w:hint="eastAsia" w:ascii="宋体" w:hAnsi="宋体"/>
          <w:b/>
          <w:bCs/>
          <w:kern w:val="0"/>
          <w:sz w:val="24"/>
          <w:szCs w:val="20"/>
        </w:rPr>
        <w:br w:type="page"/>
      </w:r>
    </w:p>
    <w:p w14:paraId="0DDAC345">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48A546D3">
      <w:pPr>
        <w:keepNext/>
        <w:keepLines/>
        <w:adjustRightInd w:val="0"/>
        <w:spacing w:beforeLines="50" w:afterLines="50"/>
        <w:jc w:val="center"/>
        <w:textAlignment w:val="baseline"/>
        <w:outlineLvl w:val="1"/>
        <w:rPr>
          <w:rFonts w:ascii="宋体" w:hAnsi="宋体"/>
          <w:b/>
          <w:bCs/>
          <w:kern w:val="0"/>
          <w:sz w:val="28"/>
          <w:szCs w:val="28"/>
        </w:rPr>
      </w:pPr>
      <w:bookmarkStart w:id="0" w:name="_Toc73521547"/>
      <w:bookmarkStart w:id="1" w:name="_Toc73521635"/>
      <w:bookmarkStart w:id="2" w:name="_Toc60631620"/>
      <w:bookmarkStart w:id="3" w:name="_Toc101074876"/>
      <w:bookmarkStart w:id="4" w:name="_Toc100052364"/>
      <w:bookmarkStart w:id="5" w:name="_Toc60560625"/>
      <w:bookmarkStart w:id="6" w:name="_Toc73518117"/>
      <w:bookmarkStart w:id="7" w:name="_Toc73517639"/>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3EA5A8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086B7641">
            <w:pPr>
              <w:jc w:val="center"/>
              <w:rPr>
                <w:rFonts w:ascii="宋体" w:hAnsi="宋体"/>
                <w:b/>
                <w:bCs/>
                <w:szCs w:val="24"/>
              </w:rPr>
            </w:pPr>
            <w:r>
              <w:rPr>
                <w:rFonts w:hint="eastAsia" w:ascii="宋体" w:hAnsi="宋体"/>
                <w:b/>
                <w:bCs/>
                <w:szCs w:val="24"/>
              </w:rPr>
              <w:t>序号</w:t>
            </w:r>
          </w:p>
        </w:tc>
        <w:tc>
          <w:tcPr>
            <w:tcW w:w="2160" w:type="dxa"/>
            <w:vAlign w:val="center"/>
          </w:tcPr>
          <w:p w14:paraId="10780A5F">
            <w:pPr>
              <w:jc w:val="center"/>
              <w:rPr>
                <w:rFonts w:ascii="宋体" w:hAnsi="宋体"/>
                <w:b/>
                <w:bCs/>
                <w:szCs w:val="24"/>
              </w:rPr>
            </w:pPr>
            <w:r>
              <w:rPr>
                <w:rFonts w:hint="eastAsia" w:ascii="宋体" w:hAnsi="宋体"/>
                <w:b/>
                <w:bCs/>
                <w:szCs w:val="24"/>
              </w:rPr>
              <w:t>内   容</w:t>
            </w:r>
          </w:p>
        </w:tc>
        <w:tc>
          <w:tcPr>
            <w:tcW w:w="5400" w:type="dxa"/>
            <w:vAlign w:val="center"/>
          </w:tcPr>
          <w:p w14:paraId="4FD576BF">
            <w:pPr>
              <w:jc w:val="center"/>
              <w:rPr>
                <w:rFonts w:ascii="宋体" w:hAnsi="宋体"/>
                <w:b/>
                <w:bCs/>
                <w:szCs w:val="24"/>
              </w:rPr>
            </w:pPr>
            <w:r>
              <w:rPr>
                <w:rFonts w:hint="eastAsia" w:ascii="宋体" w:hAnsi="宋体"/>
                <w:b/>
                <w:bCs/>
                <w:szCs w:val="24"/>
              </w:rPr>
              <w:t>规      定</w:t>
            </w:r>
          </w:p>
        </w:tc>
      </w:tr>
      <w:tr w14:paraId="22063A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47052309">
            <w:pPr>
              <w:jc w:val="center"/>
              <w:rPr>
                <w:rFonts w:ascii="宋体" w:hAnsi="宋体"/>
                <w:szCs w:val="24"/>
              </w:rPr>
            </w:pPr>
            <w:r>
              <w:rPr>
                <w:rFonts w:hint="eastAsia" w:ascii="宋体" w:hAnsi="宋体"/>
                <w:szCs w:val="24"/>
              </w:rPr>
              <w:t>1</w:t>
            </w:r>
          </w:p>
        </w:tc>
        <w:tc>
          <w:tcPr>
            <w:tcW w:w="2160" w:type="dxa"/>
            <w:vAlign w:val="center"/>
          </w:tcPr>
          <w:p w14:paraId="0B046D36">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1BB9E4CE">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37CA20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664BD1C2">
            <w:pPr>
              <w:jc w:val="center"/>
              <w:rPr>
                <w:rFonts w:ascii="宋体" w:hAnsi="宋体"/>
                <w:szCs w:val="24"/>
              </w:rPr>
            </w:pPr>
            <w:r>
              <w:rPr>
                <w:rFonts w:hint="eastAsia" w:ascii="宋体" w:hAnsi="宋体"/>
                <w:szCs w:val="24"/>
              </w:rPr>
              <w:t>2</w:t>
            </w:r>
          </w:p>
        </w:tc>
        <w:tc>
          <w:tcPr>
            <w:tcW w:w="2160" w:type="dxa"/>
            <w:vAlign w:val="center"/>
          </w:tcPr>
          <w:p w14:paraId="314ADD8E">
            <w:pPr>
              <w:jc w:val="center"/>
              <w:rPr>
                <w:rFonts w:ascii="宋体" w:hAnsi="宋体"/>
                <w:szCs w:val="24"/>
              </w:rPr>
            </w:pPr>
            <w:r>
              <w:rPr>
                <w:rFonts w:hint="eastAsia" w:ascii="宋体" w:hAnsi="宋体"/>
                <w:szCs w:val="24"/>
              </w:rPr>
              <w:t>投标有效期</w:t>
            </w:r>
          </w:p>
        </w:tc>
        <w:tc>
          <w:tcPr>
            <w:tcW w:w="5400" w:type="dxa"/>
            <w:vAlign w:val="center"/>
          </w:tcPr>
          <w:p w14:paraId="28D7AF0E">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54194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35EB724">
            <w:pPr>
              <w:jc w:val="center"/>
              <w:rPr>
                <w:rFonts w:ascii="宋体" w:hAnsi="宋体"/>
                <w:szCs w:val="24"/>
              </w:rPr>
            </w:pPr>
            <w:r>
              <w:rPr>
                <w:rFonts w:hint="eastAsia" w:ascii="宋体" w:hAnsi="宋体"/>
                <w:szCs w:val="24"/>
              </w:rPr>
              <w:t>3</w:t>
            </w:r>
          </w:p>
        </w:tc>
        <w:tc>
          <w:tcPr>
            <w:tcW w:w="2160" w:type="dxa"/>
            <w:vAlign w:val="center"/>
          </w:tcPr>
          <w:p w14:paraId="46E9B8BD">
            <w:pPr>
              <w:jc w:val="center"/>
              <w:rPr>
                <w:rFonts w:ascii="宋体" w:hAnsi="宋体"/>
                <w:szCs w:val="24"/>
              </w:rPr>
            </w:pPr>
            <w:r>
              <w:rPr>
                <w:rFonts w:hint="eastAsia" w:ascii="宋体" w:hAnsi="宋体"/>
                <w:szCs w:val="24"/>
              </w:rPr>
              <w:t>投标人的替代方案</w:t>
            </w:r>
          </w:p>
        </w:tc>
        <w:tc>
          <w:tcPr>
            <w:tcW w:w="5400" w:type="dxa"/>
            <w:vAlign w:val="center"/>
          </w:tcPr>
          <w:p w14:paraId="5B5CE8A7">
            <w:pPr>
              <w:rPr>
                <w:rFonts w:ascii="宋体" w:hAnsi="宋体"/>
                <w:szCs w:val="24"/>
              </w:rPr>
            </w:pPr>
            <w:r>
              <w:rPr>
                <w:rFonts w:hint="eastAsia" w:ascii="宋体" w:hAnsi="宋体"/>
                <w:szCs w:val="24"/>
              </w:rPr>
              <w:t>不允许</w:t>
            </w:r>
          </w:p>
        </w:tc>
      </w:tr>
      <w:tr w14:paraId="59FE2C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36A1C7E2">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3FFBB98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474903D6">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764022BF">
            <w:pPr>
              <w:spacing w:line="360" w:lineRule="exact"/>
              <w:rPr>
                <w:rFonts w:asciiTheme="minorEastAsia" w:hAnsiTheme="minorEastAsia" w:eastAsiaTheme="minorEastAsia"/>
                <w:szCs w:val="20"/>
              </w:rPr>
            </w:pPr>
            <w:r>
              <w:rPr>
                <w:rFonts w:hint="eastAsia" w:ascii="宋体"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11</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2BD2E046">
            <w:pPr>
              <w:spacing w:line="360" w:lineRule="exact"/>
              <w:rPr>
                <w:rFonts w:ascii="宋体" w:hAnsi="宋体"/>
              </w:rPr>
            </w:pPr>
            <w:r>
              <w:rPr>
                <w:rFonts w:hint="eastAsia" w:ascii="Times New Roman" w:hAnsi="宋体"/>
                <w:szCs w:val="24"/>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0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元。</w:t>
            </w:r>
          </w:p>
        </w:tc>
      </w:tr>
      <w:tr w14:paraId="0756A6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B06AC7E">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17B7E012">
            <w:pPr>
              <w:jc w:val="center"/>
              <w:rPr>
                <w:rFonts w:ascii="宋体" w:hAnsi="宋体"/>
                <w:szCs w:val="24"/>
              </w:rPr>
            </w:pPr>
            <w:r>
              <w:rPr>
                <w:rFonts w:hint="eastAsia" w:ascii="宋体" w:hAnsi="宋体"/>
                <w:szCs w:val="24"/>
              </w:rPr>
              <w:t>履约保证金</w:t>
            </w:r>
          </w:p>
        </w:tc>
        <w:tc>
          <w:tcPr>
            <w:tcW w:w="5400" w:type="dxa"/>
            <w:vAlign w:val="center"/>
          </w:tcPr>
          <w:p w14:paraId="08A5D827">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5A74D67D">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0BC5F63">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6A14B81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6AEA9746">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76093FB9">
      <w:pPr>
        <w:rPr>
          <w:rFonts w:ascii="Times New Roman" w:hAnsi="Times New Roman"/>
          <w:b/>
          <w:szCs w:val="24"/>
        </w:rPr>
      </w:pPr>
    </w:p>
    <w:p w14:paraId="028B17DD">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A9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63BC810">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02BA06B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67A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2F9AD8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E83EB19">
            <w:pPr>
              <w:keepNext/>
              <w:keepLines/>
              <w:tabs>
                <w:tab w:val="left" w:pos="765"/>
              </w:tabs>
              <w:spacing w:line="376" w:lineRule="auto"/>
              <w:outlineLvl w:val="3"/>
              <w:rPr>
                <w:rFonts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r>
    </w:tbl>
    <w:p w14:paraId="6F2A70AF">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4AF4FBA0">
      <w:pPr>
        <w:pStyle w:val="18"/>
        <w:jc w:val="center"/>
        <w:rPr>
          <w:rFonts w:ascii="宋体" w:hAnsi="宋体"/>
          <w:sz w:val="28"/>
          <w:szCs w:val="28"/>
        </w:rPr>
      </w:pPr>
      <w:r>
        <w:rPr>
          <w:rFonts w:hint="eastAsia" w:ascii="宋体" w:hAnsi="宋体"/>
          <w:sz w:val="28"/>
          <w:szCs w:val="28"/>
        </w:rPr>
        <w:t>三、项目概况</w:t>
      </w:r>
    </w:p>
    <w:p w14:paraId="1C3A5D36">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AE102AF">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0BE8B4F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0084E9D9">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5DFCB2A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511962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130BEC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1403D33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522A454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43913CCE">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19F27E44">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13A668B5">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eastAsia="宋体" w:cs="宋体"/>
                <w:szCs w:val="21"/>
                <w:lang w:eastAsia="zh-CN"/>
              </w:rPr>
              <w:t>“圳品”申报现场评价技术服务项目（1）</w:t>
            </w:r>
          </w:p>
        </w:tc>
        <w:tc>
          <w:tcPr>
            <w:tcW w:w="921" w:type="dxa"/>
            <w:tcBorders>
              <w:top w:val="single" w:color="000000" w:sz="4" w:space="0"/>
              <w:left w:val="single" w:color="000000" w:sz="4" w:space="0"/>
              <w:bottom w:val="single" w:color="000000" w:sz="4" w:space="0"/>
              <w:right w:val="single" w:color="000000" w:sz="4" w:space="0"/>
            </w:tcBorders>
            <w:vAlign w:val="center"/>
          </w:tcPr>
          <w:p w14:paraId="526072F1">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362ACABB">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597F422">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宋体"/>
                <w:szCs w:val="21"/>
                <w:lang w:eastAsia="zh-CN"/>
              </w:rPr>
              <w:t>1,920,000.00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54D812B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F5CDD5">
      <w:pPr>
        <w:pStyle w:val="18"/>
      </w:pPr>
      <w:r>
        <w:rPr>
          <w:rFonts w:hint="eastAsia"/>
        </w:rPr>
        <w:t>（二）</w:t>
      </w:r>
      <w:r>
        <w:rPr>
          <w:rFonts w:hint="eastAsia"/>
          <w:lang w:val="en-US" w:eastAsia="zh-CN"/>
        </w:rPr>
        <w:t>采购项目概况</w:t>
      </w:r>
    </w:p>
    <w:p w14:paraId="27D817AC">
      <w:pPr>
        <w:pStyle w:val="18"/>
        <w:ind w:firstLine="424" w:firstLineChars="202"/>
        <w:rPr>
          <w:b w:val="0"/>
          <w:sz w:val="21"/>
          <w:szCs w:val="21"/>
        </w:rPr>
      </w:pPr>
      <w:r>
        <w:rPr>
          <w:rFonts w:hint="eastAsia"/>
          <w:b w:val="0"/>
          <w:sz w:val="21"/>
          <w:szCs w:val="21"/>
          <w:lang w:val="en-US" w:eastAsia="zh-CN"/>
        </w:rPr>
        <w:t>按照《中共深圳市委办公厅 深圳市人民政府办公厅印发&lt;关于深化改革加强食品安全工作的实施方案&gt;的通知》《深圳市国民经济和社会发展第十四个五年规划和二〇三五年远景目标纲要》《深圳市第七次党代表大会报告》《深圳市人民政府关于印发2026年民生实事项目的通知》系列文件中的部署和要求，聚焦“圳品”标准研制、产品评价、监督检查（指产品获证后的符合性核验）、抽样检测、追溯管理、品质保障、影响力提升、效益评估，引领食品产业发展等工作要求，持续推动“圳品”工程可持续发展，为打造高标准食品城市品牌、全链条保障市民“舌尖上的安全”提供实践范例。</w:t>
      </w:r>
    </w:p>
    <w:p w14:paraId="14A6C2F0">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603E6F07">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62825259">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6207334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1EE71C2D">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6B94CF40">
      <w:pPr>
        <w:autoSpaceDE w:val="0"/>
        <w:autoSpaceDN w:val="0"/>
        <w:adjustRightInd w:val="0"/>
        <w:spacing w:line="360" w:lineRule="auto"/>
        <w:ind w:firstLine="424" w:firstLineChars="176"/>
        <w:jc w:val="left"/>
        <w:rPr>
          <w:rFonts w:ascii="宋体" w:hAnsi="宋体"/>
          <w:b/>
          <w:bCs/>
          <w:kern w:val="0"/>
          <w:sz w:val="24"/>
          <w:szCs w:val="20"/>
        </w:rPr>
      </w:pPr>
    </w:p>
    <w:p w14:paraId="289BEAE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F996DCC">
      <w:pPr>
        <w:spacing w:line="360" w:lineRule="auto"/>
        <w:ind w:firstLine="420" w:firstLineChars="200"/>
        <w:jc w:val="left"/>
        <w:rPr>
          <w:rFonts w:hint="eastAsia" w:ascii="宋体" w:hAnsi="宋体"/>
          <w:b/>
          <w:bCs/>
          <w:szCs w:val="21"/>
          <w:highlight w:val="yellow"/>
        </w:rPr>
      </w:pPr>
      <w:r>
        <w:rPr>
          <w:rFonts w:hint="eastAsia" w:ascii="宋体" w:hAnsi="宋体"/>
          <w:szCs w:val="21"/>
          <w:highlight w:val="yellow"/>
        </w:rPr>
        <w:t>★</w:t>
      </w:r>
      <w:r>
        <w:rPr>
          <w:rFonts w:hint="eastAsia" w:ascii="宋体" w:hAnsi="宋体"/>
          <w:b/>
          <w:bCs/>
          <w:szCs w:val="21"/>
          <w:highlight w:val="yellow"/>
          <w:lang w:val="en-US" w:eastAsia="zh-CN"/>
        </w:rPr>
        <w:t>1.</w:t>
      </w:r>
      <w:r>
        <w:rPr>
          <w:rFonts w:hint="eastAsia" w:ascii="宋体" w:hAnsi="宋体"/>
          <w:b/>
          <w:bCs/>
          <w:szCs w:val="21"/>
          <w:highlight w:val="yellow"/>
        </w:rPr>
        <w:t>服务总体要求</w:t>
      </w:r>
    </w:p>
    <w:p w14:paraId="1D6DC71B">
      <w:pPr>
        <w:spacing w:line="360" w:lineRule="auto"/>
        <w:ind w:firstLine="424" w:firstLineChars="202"/>
        <w:rPr>
          <w:rFonts w:hint="eastAsia" w:ascii="宋体" w:hAnsi="宋体"/>
          <w:szCs w:val="21"/>
          <w:highlight w:val="yellow"/>
        </w:rPr>
      </w:pPr>
      <w:r>
        <w:rPr>
          <w:rFonts w:hint="eastAsia" w:ascii="宋体" w:hAnsi="宋体"/>
          <w:szCs w:val="21"/>
          <w:highlight w:val="yellow"/>
        </w:rPr>
        <w:t>中标供应商须根据本项目的实际情况，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采购人监督，确保项目工作高质量完成。其服务主要内容为组织实施“圳品”申报产品的文件评审及现场评价工作，并出具评价报告；出具“圳品”产品的评价报告不少于200个，其中预包装食品的评价报告不少于110个。</w:t>
      </w:r>
    </w:p>
    <w:p w14:paraId="395099DC">
      <w:pPr>
        <w:spacing w:line="360" w:lineRule="auto"/>
        <w:ind w:firstLine="426" w:firstLineChars="202"/>
        <w:rPr>
          <w:rFonts w:hint="eastAsia" w:ascii="宋体" w:hAnsi="宋体"/>
          <w:b/>
          <w:bCs/>
          <w:szCs w:val="21"/>
        </w:rPr>
      </w:pPr>
      <w:r>
        <w:rPr>
          <w:rFonts w:hint="eastAsia" w:ascii="宋体" w:hAnsi="宋体"/>
          <w:b/>
          <w:bCs/>
          <w:szCs w:val="21"/>
          <w:lang w:val="en-US" w:eastAsia="zh-CN"/>
        </w:rPr>
        <w:t>2.</w:t>
      </w:r>
      <w:r>
        <w:rPr>
          <w:rFonts w:hint="eastAsia" w:ascii="宋体" w:hAnsi="宋体"/>
          <w:b/>
          <w:bCs/>
          <w:szCs w:val="21"/>
        </w:rPr>
        <w:t>服务标的数量和服务需求</w:t>
      </w:r>
    </w:p>
    <w:p w14:paraId="63598513">
      <w:pPr>
        <w:spacing w:line="360" w:lineRule="auto"/>
        <w:ind w:firstLine="424" w:firstLineChars="202"/>
        <w:rPr>
          <w:rFonts w:hint="eastAsia" w:ascii="宋体" w:hAnsi="宋体"/>
          <w:szCs w:val="21"/>
        </w:rPr>
      </w:pPr>
      <w:r>
        <w:rPr>
          <w:rFonts w:hint="eastAsia" w:ascii="宋体" w:hAnsi="宋体"/>
          <w:szCs w:val="21"/>
        </w:rPr>
        <w:t>①风险研判</w:t>
      </w:r>
    </w:p>
    <w:p w14:paraId="098A1E8B">
      <w:pPr>
        <w:spacing w:line="360" w:lineRule="auto"/>
        <w:ind w:firstLine="424" w:firstLineChars="202"/>
        <w:rPr>
          <w:rFonts w:hint="eastAsia" w:ascii="宋体" w:hAnsi="宋体"/>
          <w:szCs w:val="21"/>
        </w:rPr>
      </w:pPr>
      <w:r>
        <w:rPr>
          <w:rFonts w:hint="eastAsia" w:ascii="宋体" w:hAnsi="宋体"/>
          <w:szCs w:val="21"/>
        </w:rPr>
        <w:t>及时发现并对“圳品工程”运行过程中产生的问题作出风险研判，并提出合理化建议，同时对评价过程中发现的企业食品安全风险给予评价意见和风险提示。</w:t>
      </w:r>
    </w:p>
    <w:p w14:paraId="19DC49E0">
      <w:pPr>
        <w:spacing w:line="360" w:lineRule="auto"/>
        <w:ind w:firstLine="424" w:firstLineChars="202"/>
        <w:rPr>
          <w:rFonts w:hint="eastAsia" w:ascii="宋体" w:hAnsi="宋体"/>
          <w:szCs w:val="21"/>
        </w:rPr>
      </w:pPr>
      <w:r>
        <w:rPr>
          <w:rFonts w:hint="eastAsia" w:ascii="宋体" w:hAnsi="宋体"/>
          <w:szCs w:val="21"/>
        </w:rPr>
        <w:t>②企业培训、申报咨询与系统录入辅导</w:t>
      </w:r>
    </w:p>
    <w:p w14:paraId="6B87483A">
      <w:pPr>
        <w:spacing w:line="360" w:lineRule="auto"/>
        <w:ind w:firstLine="424" w:firstLineChars="202"/>
        <w:rPr>
          <w:rFonts w:hint="eastAsia" w:ascii="宋体" w:hAnsi="宋体"/>
          <w:szCs w:val="21"/>
        </w:rPr>
      </w:pPr>
      <w:r>
        <w:rPr>
          <w:rFonts w:hint="eastAsia" w:ascii="宋体" w:hAnsi="宋体"/>
          <w:szCs w:val="21"/>
        </w:rPr>
        <w:t>接受企业咨询，辅导并协助企业完成申报系统录入。</w:t>
      </w:r>
    </w:p>
    <w:p w14:paraId="4E5AB145">
      <w:pPr>
        <w:spacing w:line="360" w:lineRule="auto"/>
        <w:ind w:firstLine="424" w:firstLineChars="202"/>
        <w:rPr>
          <w:rFonts w:hint="eastAsia" w:ascii="宋体" w:hAnsi="宋体"/>
          <w:szCs w:val="21"/>
        </w:rPr>
      </w:pPr>
      <w:r>
        <w:rPr>
          <w:rFonts w:hint="eastAsia" w:ascii="宋体" w:hAnsi="宋体"/>
          <w:szCs w:val="21"/>
        </w:rPr>
        <w:t>③对企业申报材料进行获评成功性的评估以及实质性评审</w:t>
      </w:r>
    </w:p>
    <w:p w14:paraId="707169C0">
      <w:pPr>
        <w:spacing w:line="360" w:lineRule="auto"/>
        <w:ind w:firstLine="424" w:firstLineChars="202"/>
        <w:rPr>
          <w:rFonts w:hint="eastAsia" w:ascii="宋体" w:hAnsi="宋体"/>
          <w:szCs w:val="21"/>
        </w:rPr>
      </w:pPr>
      <w:r>
        <w:rPr>
          <w:rFonts w:hint="eastAsia" w:ascii="宋体" w:hAnsi="宋体"/>
          <w:szCs w:val="21"/>
        </w:rPr>
        <w:t>组织实施对产品申报材料的实质性评审，并出具材料评审报告。获评成功的“圳品”评审报告不少于200个，其中，预包装食品的评审报告不少于110个。</w:t>
      </w:r>
    </w:p>
    <w:p w14:paraId="66B9AA79">
      <w:pPr>
        <w:spacing w:line="360" w:lineRule="auto"/>
        <w:ind w:firstLine="424" w:firstLineChars="202"/>
        <w:rPr>
          <w:rFonts w:hint="eastAsia" w:ascii="宋体" w:hAnsi="宋体"/>
          <w:szCs w:val="21"/>
        </w:rPr>
      </w:pPr>
      <w:r>
        <w:rPr>
          <w:rFonts w:hint="eastAsia" w:ascii="宋体" w:hAnsi="宋体"/>
          <w:szCs w:val="21"/>
        </w:rPr>
        <w:t>④现场评价策划</w:t>
      </w:r>
    </w:p>
    <w:p w14:paraId="18A7B136">
      <w:pPr>
        <w:spacing w:line="360" w:lineRule="auto"/>
        <w:ind w:firstLine="424" w:firstLineChars="202"/>
        <w:rPr>
          <w:rFonts w:hint="eastAsia" w:ascii="宋体" w:hAnsi="宋体"/>
          <w:szCs w:val="21"/>
        </w:rPr>
      </w:pPr>
      <w:r>
        <w:rPr>
          <w:rFonts w:hint="eastAsia" w:ascii="宋体" w:hAnsi="宋体"/>
          <w:szCs w:val="21"/>
        </w:rPr>
        <w:t>文件评审通过后，组建现场评价组，筹备所需的评价资源，并制定现场评价计划书。</w:t>
      </w:r>
    </w:p>
    <w:p w14:paraId="7CCF9B24">
      <w:pPr>
        <w:spacing w:line="360" w:lineRule="auto"/>
        <w:ind w:firstLine="424" w:firstLineChars="202"/>
        <w:rPr>
          <w:rFonts w:hint="eastAsia" w:ascii="宋体" w:hAnsi="宋体"/>
          <w:szCs w:val="21"/>
        </w:rPr>
      </w:pPr>
      <w:r>
        <w:rPr>
          <w:rFonts w:hint="eastAsia" w:ascii="宋体" w:hAnsi="宋体"/>
          <w:szCs w:val="21"/>
        </w:rPr>
        <w:t>⑤组织实施“圳品”产品的现场评价</w:t>
      </w:r>
    </w:p>
    <w:p w14:paraId="042D655E">
      <w:pPr>
        <w:spacing w:line="360" w:lineRule="auto"/>
        <w:ind w:firstLine="424" w:firstLineChars="202"/>
        <w:rPr>
          <w:rFonts w:hint="eastAsia" w:ascii="宋体" w:hAnsi="宋体"/>
          <w:szCs w:val="21"/>
        </w:rPr>
      </w:pPr>
      <w:r>
        <w:rPr>
          <w:rFonts w:hint="eastAsia" w:ascii="宋体" w:hAnsi="宋体"/>
          <w:szCs w:val="21"/>
        </w:rPr>
        <w:t>依据评价工作制度性文件及所制的评价计划，组织实施产品的现场评价，并出具现场评价报告，其中获评成功的“圳品”评价报告不少于200个，且预包装食品的评价报告不少于110个。在现场评价启动前，对申报产品的获评成功率及现场评价实施必要性进行充分评估，提升评价经费的使用质效。现场评价重点包括：企业管理体系、生产基地环境及管理、生产（加工）过程管控、产品包装、贮藏、运输过程管理、产品质量管理、产品追溯等方面。现场评价过程须严格遵循评价计划的任务分工和要求，通过观察、询问、资料查阅等方式，确保评价工作真实、客观、全面。评价记录应真实、清晰、完整、可追溯，确保《“圳品”评价工作规范》所列条款无遗漏。准确记录不符合项和观察项，核验企业整改情况并做好记录。在现场评价过程中，结合实际情况对申报企业开展针对性培训，指导其理解和落实“圳品”标准要求。根据评价结果，编制并提交现场评价报告，作出结论性意见。</w:t>
      </w:r>
    </w:p>
    <w:p w14:paraId="26A12F38">
      <w:pPr>
        <w:spacing w:line="360" w:lineRule="auto"/>
        <w:ind w:firstLine="424" w:firstLineChars="202"/>
        <w:rPr>
          <w:rFonts w:hint="eastAsia" w:ascii="宋体" w:hAnsi="宋体"/>
          <w:szCs w:val="21"/>
        </w:rPr>
      </w:pPr>
      <w:r>
        <w:rPr>
          <w:rFonts w:hint="eastAsia" w:ascii="宋体" w:hAnsi="宋体"/>
          <w:szCs w:val="21"/>
        </w:rPr>
        <w:t>⑥及时、快速、准确完成评价信息录入、数据梳理报送、评价档案整理等工作</w:t>
      </w:r>
    </w:p>
    <w:p w14:paraId="2C7E8D35">
      <w:pPr>
        <w:spacing w:line="360" w:lineRule="auto"/>
        <w:ind w:firstLine="424" w:firstLineChars="202"/>
        <w:rPr>
          <w:rFonts w:hint="eastAsia" w:ascii="宋体" w:hAnsi="宋体"/>
          <w:szCs w:val="21"/>
        </w:rPr>
      </w:pPr>
      <w:r>
        <w:rPr>
          <w:rFonts w:hint="eastAsia" w:ascii="宋体" w:hAnsi="宋体"/>
          <w:szCs w:val="21"/>
        </w:rPr>
        <w:t>确保评价全过程的信息完整、真实录入，评价数据收集、梳理，系统梳理、汇总形成完整的电子版和纸质版评价档案，并按要求完成档案的归档和提交，对档案的真实性、准确性和完整性负责。</w:t>
      </w:r>
    </w:p>
    <w:p w14:paraId="0F9E2DEB">
      <w:pPr>
        <w:spacing w:line="360" w:lineRule="auto"/>
        <w:ind w:firstLine="424" w:firstLineChars="202"/>
        <w:rPr>
          <w:rFonts w:hint="eastAsia" w:ascii="宋体" w:hAnsi="宋体"/>
          <w:szCs w:val="21"/>
        </w:rPr>
      </w:pPr>
      <w:r>
        <w:rPr>
          <w:rFonts w:hint="eastAsia" w:ascii="宋体" w:hAnsi="宋体"/>
          <w:szCs w:val="21"/>
        </w:rPr>
        <w:t>⑦参与“专家评审会”“供深食品标准工作委员会”的审议工作</w:t>
      </w:r>
    </w:p>
    <w:p w14:paraId="2A61DC0B">
      <w:pPr>
        <w:spacing w:line="360" w:lineRule="auto"/>
        <w:ind w:firstLine="424" w:firstLineChars="202"/>
        <w:rPr>
          <w:rFonts w:hint="eastAsia" w:ascii="宋体" w:hAnsi="宋体"/>
          <w:szCs w:val="21"/>
        </w:rPr>
      </w:pPr>
      <w:r>
        <w:rPr>
          <w:rFonts w:hint="eastAsia" w:ascii="宋体" w:hAnsi="宋体"/>
          <w:szCs w:val="21"/>
        </w:rPr>
        <w:t>指定对上会产品业务熟练的工作人员，参与“圳品”专家评审会及“供深食品标准工作委员会”会务准备及审议工作，保证上会材料的质量，并对专家或委员会、委员提出的问题，进行专业解答、问题整改及后续完善。</w:t>
      </w:r>
    </w:p>
    <w:p w14:paraId="7591C7CC">
      <w:pPr>
        <w:spacing w:line="360" w:lineRule="auto"/>
        <w:ind w:firstLine="424" w:firstLineChars="202"/>
        <w:rPr>
          <w:rFonts w:hint="eastAsia" w:ascii="宋体" w:hAnsi="宋体"/>
          <w:szCs w:val="21"/>
        </w:rPr>
      </w:pPr>
      <w:r>
        <w:rPr>
          <w:rFonts w:hint="eastAsia" w:ascii="宋体" w:hAnsi="宋体"/>
          <w:szCs w:val="21"/>
        </w:rPr>
        <w:t>⑧风险信息核查处理及反馈</w:t>
      </w:r>
    </w:p>
    <w:p w14:paraId="45B807D0">
      <w:pPr>
        <w:spacing w:line="360" w:lineRule="auto"/>
        <w:ind w:firstLine="424" w:firstLineChars="202"/>
        <w:rPr>
          <w:rFonts w:hint="eastAsia" w:ascii="宋体" w:hAnsi="宋体"/>
          <w:szCs w:val="21"/>
        </w:rPr>
      </w:pPr>
      <w:r>
        <w:rPr>
          <w:rFonts w:hint="eastAsia" w:ascii="宋体" w:hAnsi="宋体"/>
          <w:szCs w:val="21"/>
        </w:rPr>
        <w:t>对申报企业的食品安全情况、“圳品”产品情况进行全流程动态跟踪。对产品风险信息进行核查和处理，及时反馈处理情况。制定应急预案，做好应急响应。</w:t>
      </w:r>
    </w:p>
    <w:p w14:paraId="3604B8E9">
      <w:pPr>
        <w:spacing w:line="360" w:lineRule="auto"/>
        <w:ind w:firstLine="424" w:firstLineChars="202"/>
        <w:rPr>
          <w:rFonts w:hint="eastAsia" w:ascii="宋体" w:hAnsi="宋体"/>
          <w:szCs w:val="21"/>
        </w:rPr>
      </w:pPr>
      <w:r>
        <w:rPr>
          <w:rFonts w:hint="eastAsia" w:ascii="宋体" w:hAnsi="宋体"/>
          <w:szCs w:val="21"/>
        </w:rPr>
        <w:t>⑨与“圳品”获评企业沟通互动</w:t>
      </w:r>
    </w:p>
    <w:p w14:paraId="1C69F8B0">
      <w:pPr>
        <w:spacing w:line="360" w:lineRule="auto"/>
        <w:ind w:firstLine="424" w:firstLineChars="202"/>
        <w:rPr>
          <w:rFonts w:hint="eastAsia" w:ascii="宋体" w:hAnsi="宋体"/>
          <w:szCs w:val="21"/>
        </w:rPr>
      </w:pPr>
      <w:r>
        <w:rPr>
          <w:rFonts w:hint="eastAsia" w:ascii="宋体" w:hAnsi="宋体"/>
          <w:szCs w:val="21"/>
        </w:rPr>
        <w:t>对所评价并获评“圳品”的企业建立动态沟通机制，随时响应紧急情况的查询以及确认反馈。</w:t>
      </w:r>
    </w:p>
    <w:p w14:paraId="4164699A">
      <w:pPr>
        <w:spacing w:line="360" w:lineRule="auto"/>
        <w:ind w:firstLine="424" w:firstLineChars="202"/>
        <w:rPr>
          <w:rFonts w:hint="eastAsia" w:ascii="宋体" w:hAnsi="宋体"/>
          <w:szCs w:val="21"/>
          <w:lang w:eastAsia="zh-CN"/>
        </w:rPr>
      </w:pPr>
      <w:r>
        <w:rPr>
          <w:rFonts w:hint="eastAsia" w:ascii="宋体" w:hAnsi="宋体"/>
          <w:szCs w:val="21"/>
        </w:rPr>
        <w:t>⑩‌建立和运行沟通协同工作机制</w:t>
      </w:r>
    </w:p>
    <w:p w14:paraId="4FACBB81">
      <w:pPr>
        <w:spacing w:line="360" w:lineRule="auto"/>
        <w:ind w:firstLine="424" w:firstLineChars="202"/>
        <w:rPr>
          <w:rFonts w:hint="eastAsia" w:ascii="宋体" w:hAnsi="宋体"/>
          <w:szCs w:val="21"/>
        </w:rPr>
      </w:pPr>
      <w:r>
        <w:rPr>
          <w:rFonts w:hint="eastAsia" w:ascii="宋体" w:hAnsi="宋体"/>
          <w:szCs w:val="21"/>
          <w:lang w:eastAsia="zh-CN"/>
        </w:rPr>
        <w:t>建立与负责“圳品”申报产品抽检机构的常态化沟通机制和协同机制，将现场评价中发现的过程性食品安全风险等信息清晰梳理并第一时间反馈至抽检机构，为抽检机构制定抽检计划提供依据，提高抽检的靶向性，确保评价与抽检环节信息互通、协同联动，需要协同的环节和点位不能脱节、不能滞后</w:t>
      </w:r>
      <w:r>
        <w:rPr>
          <w:rFonts w:hint="eastAsia" w:ascii="宋体" w:hAnsi="宋体"/>
          <w:szCs w:val="21"/>
        </w:rPr>
        <w:t>。</w:t>
      </w:r>
    </w:p>
    <w:p w14:paraId="11DB8753">
      <w:pPr>
        <w:keepNext/>
        <w:keepLines/>
        <w:adjustRightInd w:val="0"/>
        <w:spacing w:beforeLines="50" w:afterLines="50"/>
        <w:jc w:val="center"/>
        <w:textAlignment w:val="baseline"/>
        <w:outlineLvl w:val="1"/>
        <w:rPr>
          <w:rFonts w:ascii="宋体" w:hAnsi="宋体"/>
          <w:b/>
          <w:bCs/>
          <w:kern w:val="0"/>
          <w:sz w:val="28"/>
          <w:szCs w:val="28"/>
        </w:rPr>
      </w:pPr>
    </w:p>
    <w:p w14:paraId="7EF2821B">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27E8A03B">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083E2A14">
      <w:pPr>
        <w:spacing w:line="360" w:lineRule="auto"/>
        <w:ind w:firstLine="422" w:firstLineChars="200"/>
        <w:rPr>
          <w:rFonts w:asciiTheme="minorEastAsia" w:hAnsiTheme="minorEastAsia" w:eastAsiaTheme="minorEastAsia"/>
          <w:b/>
          <w:highlight w:val="yellow"/>
        </w:rPr>
      </w:pPr>
      <w:r>
        <w:rPr>
          <w:rFonts w:hint="eastAsia" w:asciiTheme="minorEastAsia" w:hAnsiTheme="minorEastAsia" w:eastAsiaTheme="minorEastAsia"/>
          <w:b/>
          <w:highlight w:val="yellow"/>
        </w:rPr>
        <w:t>合同签订之日起至2026年12月31日前完成。</w:t>
      </w:r>
    </w:p>
    <w:p w14:paraId="151CBAA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6719511A">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分期付款：采购方在合同签订后，且收到中标方提供符合国家财税有关规定发票后10个工作日内支付合同总额的50%作为首期款，余款按进度支付。</w:t>
      </w:r>
    </w:p>
    <w:p w14:paraId="4D9024AE">
      <w:pPr>
        <w:spacing w:line="360" w:lineRule="auto"/>
        <w:jc w:val="left"/>
        <w:rPr>
          <w:rFonts w:ascii="宋体" w:hAnsi="宋体"/>
          <w:b/>
          <w:bCs/>
          <w:szCs w:val="21"/>
        </w:rPr>
      </w:pPr>
      <w:r>
        <w:rPr>
          <w:rFonts w:hint="eastAsia" w:ascii="宋体" w:hAnsi="宋体"/>
          <w:b/>
          <w:bCs/>
          <w:szCs w:val="21"/>
          <w:lang w:val="en-US" w:eastAsia="zh-CN"/>
        </w:rPr>
        <w:t>3.</w:t>
      </w:r>
      <w:r>
        <w:rPr>
          <w:rFonts w:hint="eastAsia" w:ascii="宋体" w:hAnsi="宋体"/>
          <w:b/>
          <w:bCs/>
          <w:szCs w:val="21"/>
        </w:rPr>
        <w:t>报价要求：总价报价：</w:t>
      </w:r>
    </w:p>
    <w:p w14:paraId="2DDC0C7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固定总价（即供应商进行总价报价）</w:t>
      </w:r>
      <w:r>
        <w:rPr>
          <w:rFonts w:hint="eastAsia" w:ascii="宋体" w:hAnsi="宋体"/>
          <w:szCs w:val="21"/>
          <w:lang w:eastAsia="zh-CN"/>
        </w:rPr>
        <w:t>，</w:t>
      </w:r>
      <w:r>
        <w:rPr>
          <w:rFonts w:hint="eastAsia" w:ascii="宋体" w:hAnsi="宋体"/>
          <w:szCs w:val="21"/>
        </w:rPr>
        <w:t>本项目服务费采用包干制，应包括服务成本、法定税费和利润。由投标人根据采购文件所提供的资料自行测算投标报价；一经中标，报价总作为中标人与采购人签定的合同金额，合同期限内不做调整。</w:t>
      </w:r>
    </w:p>
    <w:p w14:paraId="6DD60DBC">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投标人应当根据本单位的成本、利润、税费等情况自行决定报价。</w:t>
      </w:r>
    </w:p>
    <w:p w14:paraId="47D9D876">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投标人的报价不得超过项目预算金额，否则作投标无效处理。</w:t>
      </w:r>
    </w:p>
    <w:p w14:paraId="0B5207C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投标人的报价，应当是本项目采购范围和采购文件及合同条款上所列的各项内容中所述的全部，不得以任何理由予以重复。</w:t>
      </w:r>
    </w:p>
    <w:p w14:paraId="65002544">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除非采购人通过修改采购文件予以更正，否则，投标人应毫无例外地按响应文件所列的清单中项目和数量填报综合单价或合价。投标人未填综合单价或合价的项目，在实施后，将不获得支付，并视作该项费用已包括在其他有价款的综合单价或合价内。</w:t>
      </w:r>
    </w:p>
    <w:p w14:paraId="51A29DB5">
      <w:pPr>
        <w:spacing w:line="360" w:lineRule="auto"/>
        <w:jc w:val="left"/>
      </w:pPr>
      <w:r>
        <w:rPr>
          <w:rFonts w:hint="eastAsia" w:ascii="宋体" w:hAnsi="宋体"/>
          <w:szCs w:val="21"/>
          <w:lang w:eastAsia="zh-CN"/>
        </w:rPr>
        <w:t>（</w:t>
      </w:r>
      <w:r>
        <w:rPr>
          <w:rFonts w:hint="eastAsia" w:ascii="宋体" w:hAnsi="宋体"/>
          <w:szCs w:val="21"/>
          <w:lang w:val="en-US" w:eastAsia="zh-CN"/>
        </w:rPr>
        <w:t>6</w:t>
      </w:r>
      <w:r>
        <w:rPr>
          <w:rFonts w:hint="eastAsia" w:ascii="宋体" w:hAnsi="宋体"/>
          <w:szCs w:val="21"/>
          <w:lang w:eastAsia="zh-CN"/>
        </w:rPr>
        <w:t>）</w:t>
      </w:r>
      <w:r>
        <w:rPr>
          <w:rFonts w:hint="eastAsia" w:ascii="宋体" w:hAnsi="宋体"/>
          <w:szCs w:val="21"/>
        </w:rPr>
        <w:t>投标人不得期望通过索赔等方式获取补偿，否则，除可能遭到拒绝外，还可能将被作为不良行为记录在案，并可能影响其以后参加政府采购的项目投标。各投标人在报价时，应充分考虑报价的风险。</w:t>
      </w:r>
    </w:p>
    <w:p w14:paraId="34EBD9A6">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4.售后服务</w:t>
      </w:r>
      <w:r>
        <w:rPr>
          <w:rFonts w:hint="eastAsia" w:asciiTheme="minorEastAsia" w:hAnsiTheme="minorEastAsia" w:eastAsiaTheme="minorEastAsia"/>
          <w:b/>
        </w:rPr>
        <w:t>：</w:t>
      </w:r>
    </w:p>
    <w:p w14:paraId="5A809094">
      <w:pPr>
        <w:spacing w:line="360" w:lineRule="auto"/>
        <w:ind w:firstLine="420" w:firstLineChars="200"/>
        <w:jc w:val="left"/>
        <w:rPr>
          <w:rFonts w:ascii="宋体" w:hAnsi="宋体"/>
          <w:szCs w:val="21"/>
        </w:rPr>
      </w:pPr>
      <w:r>
        <w:rPr>
          <w:rFonts w:hint="eastAsia" w:ascii="宋体" w:hAnsi="宋体"/>
          <w:szCs w:val="21"/>
        </w:rPr>
        <w:t>中标供应商在服务期满一年内需在采购人有需要时负责对本项目相关情况进行解释、说明，提供相应的修正服务。</w:t>
      </w:r>
    </w:p>
    <w:p w14:paraId="0922A3D1">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w:t>
      </w:r>
      <w:r>
        <w:rPr>
          <w:rFonts w:hint="eastAsia" w:asciiTheme="minorEastAsia" w:hAnsiTheme="minorEastAsia" w:eastAsiaTheme="minorEastAsia"/>
          <w:b/>
        </w:rPr>
        <w:t>合同的变更：</w:t>
      </w:r>
    </w:p>
    <w:p w14:paraId="2A3569F8">
      <w:pPr>
        <w:spacing w:line="360" w:lineRule="auto"/>
        <w:ind w:firstLine="420" w:firstLineChars="200"/>
        <w:jc w:val="left"/>
        <w:rPr>
          <w:rFonts w:ascii="宋体" w:hAnsi="宋体"/>
          <w:szCs w:val="21"/>
        </w:rPr>
      </w:pPr>
      <w:r>
        <w:rPr>
          <w:rFonts w:hint="eastAsia" w:ascii="宋体" w:hAnsi="宋体"/>
          <w:szCs w:val="21"/>
        </w:rPr>
        <w:t>采购人和中标供应商双方不得擅自变更合同；若合同继续履行将损害国家利益和社会公共利益，则双方应当变更合同。</w:t>
      </w:r>
    </w:p>
    <w:p w14:paraId="1DB360F4">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6.</w:t>
      </w:r>
      <w:r>
        <w:rPr>
          <w:rFonts w:hint="eastAsia" w:asciiTheme="minorEastAsia" w:hAnsiTheme="minorEastAsia" w:eastAsiaTheme="minorEastAsia"/>
          <w:b/>
        </w:rPr>
        <w:t>合同解除：</w:t>
      </w:r>
    </w:p>
    <w:p w14:paraId="4E420C1E">
      <w:pPr>
        <w:spacing w:line="288" w:lineRule="auto"/>
        <w:ind w:firstLine="420" w:firstLineChars="200"/>
        <w:rPr>
          <w:rFonts w:ascii="宋体" w:hAnsi="宋体" w:cs="楷体"/>
          <w:bCs/>
          <w:szCs w:val="24"/>
        </w:rPr>
      </w:pPr>
      <w:r>
        <w:rPr>
          <w:rFonts w:hint="eastAsia" w:ascii="宋体" w:hAnsi="宋体" w:cs="楷体"/>
          <w:bCs/>
          <w:szCs w:val="24"/>
        </w:rPr>
        <w:t>经双方协商一致或一方依据本合同第十三条违约责任行使解除权并书面通知对方后，双方合同关系解除，合同终止履行，未履行部分不再履行，已履行部分按合同有关结算及违约赔偿条款处理。</w:t>
      </w:r>
    </w:p>
    <w:p w14:paraId="5311169C">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w:t>
      </w:r>
      <w:r>
        <w:rPr>
          <w:rFonts w:hint="eastAsia" w:asciiTheme="minorEastAsia" w:hAnsiTheme="minorEastAsia" w:eastAsiaTheme="minorEastAsia"/>
          <w:b/>
        </w:rPr>
        <w:t>违约责任：</w:t>
      </w:r>
    </w:p>
    <w:p w14:paraId="3A2F9F88">
      <w:pPr>
        <w:spacing w:line="360" w:lineRule="auto"/>
        <w:ind w:firstLine="420" w:firstLineChars="200"/>
        <w:rPr>
          <w:rFonts w:hint="eastAsia" w:ascii="宋体" w:hAnsi="宋体" w:cs="楷体"/>
          <w:bCs/>
          <w:szCs w:val="24"/>
        </w:rPr>
      </w:pPr>
      <w:r>
        <w:rPr>
          <w:rFonts w:hint="eastAsia" w:ascii="宋体" w:hAnsi="宋体" w:cs="楷体"/>
          <w:bCs/>
          <w:szCs w:val="24"/>
        </w:rPr>
        <w:t>①中标供应商未在约定期限内完成项目内容并提交成果的，每延迟一日按照合同总金额千分之一的标准向采购人支付违约金。延迟超过十日的，采购人有权解除合同并要求中标供应商返还已经支付的款项，未支付的不再支付。</w:t>
      </w:r>
    </w:p>
    <w:p w14:paraId="0EA37D7E">
      <w:pPr>
        <w:spacing w:line="360" w:lineRule="auto"/>
        <w:ind w:firstLine="420" w:firstLineChars="200"/>
        <w:rPr>
          <w:rFonts w:hint="eastAsia" w:ascii="宋体" w:hAnsi="宋体" w:cs="楷体"/>
          <w:bCs/>
          <w:szCs w:val="24"/>
        </w:rPr>
      </w:pPr>
      <w:r>
        <w:rPr>
          <w:rFonts w:hint="eastAsia" w:ascii="宋体" w:hAnsi="宋体" w:cs="楷体"/>
          <w:bCs/>
          <w:szCs w:val="24"/>
        </w:rPr>
        <w:t>②中标供应商交付的成果验收不合格的，经采购人要求整改再次验收仍不合格的或中标供应商提交的成果存在虚假、违法违规、重大错误的，采购人有权立即解除合同、要求中标供应商返还已经支付的款项并支付合同总额20%的违约金。</w:t>
      </w:r>
    </w:p>
    <w:p w14:paraId="727543C0">
      <w:pPr>
        <w:spacing w:line="360" w:lineRule="auto"/>
        <w:ind w:firstLine="420" w:firstLineChars="200"/>
        <w:rPr>
          <w:rFonts w:hint="eastAsia" w:ascii="宋体" w:hAnsi="宋体" w:cs="楷体"/>
          <w:bCs/>
          <w:szCs w:val="24"/>
        </w:rPr>
      </w:pPr>
      <w:r>
        <w:rPr>
          <w:rFonts w:hint="eastAsia" w:ascii="宋体" w:hAnsi="宋体" w:cs="楷体"/>
          <w:bCs/>
          <w:szCs w:val="24"/>
        </w:rPr>
        <w:t>③因中标供应商实施本项目过程中侵犯第三人合法权益或者违约导致采购人承担赔偿责任的，采购人在承担赔偿责任后有权向中标供应商追偿，同时，采购人有权解除合同、要求中标供应商返还已经支付的款项并支付合同总额20%的违约金。</w:t>
      </w:r>
    </w:p>
    <w:p w14:paraId="035C9B2D">
      <w:pPr>
        <w:spacing w:line="360" w:lineRule="auto"/>
        <w:ind w:firstLine="420" w:firstLineChars="200"/>
        <w:rPr>
          <w:rFonts w:hint="eastAsia" w:ascii="宋体" w:hAnsi="宋体" w:cs="楷体"/>
          <w:bCs/>
          <w:szCs w:val="24"/>
        </w:rPr>
      </w:pPr>
      <w:r>
        <w:rPr>
          <w:rFonts w:hint="eastAsia" w:ascii="宋体" w:hAnsi="宋体" w:cs="楷体"/>
          <w:bCs/>
          <w:szCs w:val="24"/>
        </w:rPr>
        <w:t>④中标供应商签订合同后，实际配备的工作人员与投标文件的承诺不一致的，或实施本项目时已不符合招标文件要求的，采购人有权解除合同，并要求中标供应商向采购人支付合同总额20%的违约金。</w:t>
      </w:r>
    </w:p>
    <w:p w14:paraId="61EE4923">
      <w:pPr>
        <w:spacing w:line="360" w:lineRule="auto"/>
        <w:ind w:firstLine="420" w:firstLineChars="200"/>
        <w:rPr>
          <w:rFonts w:hint="eastAsia" w:ascii="宋体" w:hAnsi="宋体" w:cs="楷体"/>
          <w:bCs/>
          <w:szCs w:val="24"/>
        </w:rPr>
      </w:pPr>
      <w:r>
        <w:rPr>
          <w:rFonts w:hint="eastAsia" w:ascii="宋体" w:hAnsi="宋体" w:cs="楷体"/>
          <w:bCs/>
          <w:szCs w:val="24"/>
        </w:rPr>
        <w:t>⑤中标供应商无正当理由解除合同的，应向采购人支付合同总额20%的违约金。</w:t>
      </w:r>
    </w:p>
    <w:p w14:paraId="5D7BE570">
      <w:pPr>
        <w:spacing w:line="360" w:lineRule="auto"/>
        <w:ind w:firstLine="420" w:firstLineChars="200"/>
        <w:rPr>
          <w:rFonts w:ascii="宋体" w:hAnsi="宋体" w:cs="楷体"/>
          <w:bCs/>
          <w:szCs w:val="24"/>
        </w:rPr>
      </w:pPr>
      <w:r>
        <w:rPr>
          <w:rFonts w:hint="eastAsia" w:ascii="宋体" w:hAnsi="宋体" w:cs="楷体"/>
          <w:bCs/>
          <w:szCs w:val="24"/>
        </w:rPr>
        <w:t>⑥中标供应商未经采购人同意，将本合同项目的任务全部或者一部分转包或分包给第三人，采购人有权解除合同、要求中标供应商返还已经支付的款项并支付合同总额20%的违约金。</w:t>
      </w:r>
    </w:p>
    <w:p w14:paraId="3AEA83BF">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8.保密要求：</w:t>
      </w:r>
    </w:p>
    <w:p w14:paraId="329980BD">
      <w:pPr>
        <w:spacing w:line="360" w:lineRule="auto"/>
        <w:ind w:firstLine="420" w:firstLineChars="200"/>
        <w:rPr>
          <w:rFonts w:hint="eastAsia" w:ascii="宋体" w:hAnsi="宋体" w:cs="楷体"/>
          <w:bCs/>
          <w:szCs w:val="24"/>
          <w:lang w:eastAsia="zh-CN"/>
        </w:rPr>
      </w:pPr>
      <w:r>
        <w:rPr>
          <w:rFonts w:hint="eastAsia" w:ascii="宋体" w:hAnsi="宋体" w:cs="楷体"/>
          <w:bCs/>
          <w:szCs w:val="24"/>
        </w:rPr>
        <w:t>采购人和中标供应商双方对知悉对方的财务、技术、专项数据、合同价款、未披露的政策、诉讼方案以及为实施项目提供给对方的文件或信息的内容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合同履行完毕或者终止不视为解除保密义务，双方仍应承担保密义务</w:t>
      </w:r>
      <w:r>
        <w:rPr>
          <w:rFonts w:hint="eastAsia" w:ascii="宋体" w:hAnsi="宋体" w:cs="楷体"/>
          <w:bCs/>
          <w:szCs w:val="24"/>
          <w:lang w:eastAsia="zh-CN"/>
        </w:rPr>
        <w:t>。</w:t>
      </w:r>
    </w:p>
    <w:p w14:paraId="045EBBBA">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9.知识产权：</w:t>
      </w:r>
    </w:p>
    <w:p w14:paraId="4C011122">
      <w:pPr>
        <w:spacing w:line="360" w:lineRule="auto"/>
        <w:ind w:firstLine="420" w:firstLineChars="200"/>
        <w:rPr>
          <w:rFonts w:hint="eastAsia" w:ascii="宋体" w:hAnsi="宋体" w:eastAsia="宋体" w:cs="楷体"/>
          <w:bCs/>
          <w:szCs w:val="24"/>
          <w:lang w:val="en-US" w:eastAsia="zh-CN"/>
        </w:rPr>
      </w:pPr>
      <w:r>
        <w:rPr>
          <w:rFonts w:hint="eastAsia" w:ascii="宋体" w:hAnsi="宋体" w:cs="楷体"/>
          <w:bCs/>
          <w:szCs w:val="24"/>
        </w:rPr>
        <w:t>中标供应商在项目实施过程中不得侵犯第三人知识产权以及其他权益。需要使用第三人知识产权的，中标供应商取得权利人许可或者授权并由中标供应商承担费用。除第三人依法享有知识产权的除外，中标供应商实施本项目所形成成果的知识产权归采购人所有，未经采购人许可，中标供应商不得随意使用</w:t>
      </w:r>
      <w:r>
        <w:rPr>
          <w:rFonts w:hint="eastAsia" w:ascii="宋体" w:hAnsi="宋体" w:cs="楷体"/>
          <w:bCs/>
          <w:szCs w:val="24"/>
          <w:lang w:eastAsia="zh-CN"/>
        </w:rPr>
        <w:t>。</w:t>
      </w:r>
    </w:p>
    <w:p w14:paraId="55D23947">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10.履约验收内容及验收标准：</w:t>
      </w:r>
    </w:p>
    <w:p w14:paraId="10099EDC">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①提交项目完成情况总结报告，电子版1份，纸质版1份；</w:t>
      </w:r>
    </w:p>
    <w:p w14:paraId="64235F67">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②提交不少于200个“圳品”产品的评价报告（其中预包装食品“圳品”产品的评价报告不少于110个）。</w:t>
      </w:r>
    </w:p>
    <w:p w14:paraId="5A0F1A3B">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11.</w:t>
      </w:r>
      <w:r>
        <w:rPr>
          <w:rFonts w:hint="eastAsia" w:asciiTheme="minorEastAsia" w:hAnsiTheme="minorEastAsia" w:eastAsiaTheme="minorEastAsia"/>
          <w:b/>
        </w:rPr>
        <w:t>服务地点：</w:t>
      </w:r>
    </w:p>
    <w:p w14:paraId="6548818A">
      <w:pPr>
        <w:spacing w:line="360" w:lineRule="auto"/>
        <w:ind w:firstLine="424" w:firstLineChars="202"/>
        <w:rPr>
          <w:rFonts w:asciiTheme="minorEastAsia" w:hAnsiTheme="minorEastAsia" w:eastAsiaTheme="minorEastAsia"/>
          <w:b/>
        </w:rPr>
      </w:pPr>
      <w:r>
        <w:rPr>
          <w:rFonts w:hint="eastAsia" w:ascii="宋体" w:hAnsi="宋体"/>
          <w:szCs w:val="21"/>
        </w:rPr>
        <w:t>深圳市。</w:t>
      </w:r>
    </w:p>
    <w:p w14:paraId="4F67ADD0">
      <w:pPr>
        <w:spacing w:beforeLines="25" w:afterLines="25"/>
        <w:rPr>
          <w:rFonts w:ascii="宋体" w:hAnsi="宋体"/>
          <w:szCs w:val="21"/>
        </w:rPr>
      </w:pPr>
    </w:p>
    <w:p w14:paraId="0846D262">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A41F24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1369AC9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（一）提供项目</w:t>
      </w:r>
      <w:r>
        <w:rPr>
          <w:rFonts w:hint="eastAsia" w:ascii="宋体" w:hAnsi="宋体" w:cs="宋体"/>
          <w:szCs w:val="21"/>
        </w:rPr>
        <w:t>实施方案</w:t>
      </w:r>
      <w:r>
        <w:rPr>
          <w:rFonts w:hint="eastAsia" w:ascii="宋体" w:hAnsi="宋体" w:eastAsia="宋体" w:cs="宋体"/>
          <w:kern w:val="2"/>
          <w:sz w:val="21"/>
          <w:szCs w:val="21"/>
          <w:lang w:val="en-US" w:eastAsia="zh-CN" w:bidi="ar"/>
        </w:rPr>
        <w:t>，内容包含但不限于：</w:t>
      </w:r>
    </w:p>
    <w:p w14:paraId="78BD81D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（1.项目总体设计思路（包括但不限于项目概况分析、总体思路等）</w:t>
      </w:r>
    </w:p>
    <w:p w14:paraId="5B72F0AA">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2.实施流程（包括但不限于依据文件、实施步骤、工作纪律、保障机制等）3.实施方法及内容</w:t>
      </w:r>
    </w:p>
    <w:p w14:paraId="7D74F06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4.工作进度及节点安排（制定详细时间安排）</w:t>
      </w:r>
    </w:p>
    <w:p w14:paraId="043A406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5.项目成果交付。</w:t>
      </w:r>
    </w:p>
    <w:p w14:paraId="5FCAC11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0674FB4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（1）针对本项目的重点难点分析（包括但不限于对项目实施相关的政策文件的准确性把握、沟通协调、组织活动、数据整理等）；</w:t>
      </w:r>
    </w:p>
    <w:p w14:paraId="308C8BF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（2）针对性提出的应对措施（针对现有“圳品”评价制度的建设运行及取得的成效进行分析，制定相应的工作规划及应对措施）；</w:t>
      </w:r>
    </w:p>
    <w:p w14:paraId="3630B2D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（3）解决方案和合理化建议（对“圳品”在护航食品安全、促进东西协作、乡村振兴、引领产业发展等方面提出具有针对性的指导和建议）。</w:t>
      </w:r>
    </w:p>
    <w:p w14:paraId="3AB4487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对本项目产品生产关键控制点及风险点有充分理解，并提供产品风险、设施风险、产品检测风险、虫害风险、储存及运输风险等相关链条环节可能存在的风险点及风险点控制措施（提供风险点分析及控制措施报告或其他书面材料）。</w:t>
      </w:r>
    </w:p>
    <w:p w14:paraId="59EB4821">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w:t>
      </w:r>
      <w:r>
        <w:rPr>
          <w:rFonts w:hint="eastAsia" w:ascii="宋体" w:hAnsi="宋体" w:cs="宋体"/>
          <w:kern w:val="2"/>
          <w:sz w:val="21"/>
          <w:szCs w:val="21"/>
          <w:lang w:val="en-US" w:eastAsia="zh-CN" w:bidi="ar"/>
        </w:rPr>
        <w:t>三</w:t>
      </w:r>
      <w:r>
        <w:rPr>
          <w:rFonts w:hint="eastAsia" w:ascii="宋体" w:hAnsi="宋体" w:eastAsia="宋体" w:cs="宋体"/>
          <w:kern w:val="2"/>
          <w:sz w:val="21"/>
          <w:szCs w:val="21"/>
          <w:lang w:val="en-US" w:eastAsia="zh-CN" w:bidi="ar"/>
        </w:rPr>
        <w:t>）提供</w:t>
      </w:r>
      <w:r>
        <w:rPr>
          <w:rFonts w:hint="eastAsia" w:ascii="宋体" w:hAnsi="宋体" w:cs="宋体"/>
          <w:szCs w:val="21"/>
        </w:rPr>
        <w:t>质量（完成时间、安全、环保）保障措施及方案</w:t>
      </w:r>
      <w:r>
        <w:rPr>
          <w:rFonts w:hint="eastAsia" w:ascii="宋体" w:hAnsi="宋体" w:eastAsia="宋体" w:cs="宋体"/>
          <w:kern w:val="2"/>
          <w:sz w:val="21"/>
          <w:szCs w:val="21"/>
          <w:lang w:val="en-US" w:eastAsia="zh-CN" w:bidi="ar"/>
        </w:rPr>
        <w:t>，内容包含但不限于：</w:t>
      </w:r>
    </w:p>
    <w:p w14:paraId="203BD22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1.保障项目质量的人力资源方案;</w:t>
      </w:r>
    </w:p>
    <w:p w14:paraId="0610BBB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2.保障项目质量的设备、技术等资源方案；</w:t>
      </w:r>
    </w:p>
    <w:p w14:paraId="3507DCB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3.保障项目质量的内部监督工作方案；</w:t>
      </w:r>
    </w:p>
    <w:p w14:paraId="352A533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4.保障项目质量的紧急资源调配以及应急响应工作方案；</w:t>
      </w:r>
    </w:p>
    <w:p w14:paraId="76C76D5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5.保障项目质量的安全措施（包括但不限于舆情处置、突发情况处理、数据安全、操作安全等内容）。</w:t>
      </w:r>
    </w:p>
    <w:p w14:paraId="7008324F">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ascii="宋体" w:hAnsi="宋体"/>
          <w:szCs w:val="21"/>
        </w:rPr>
        <w:br w:type="page"/>
      </w:r>
    </w:p>
    <w:p w14:paraId="492CD520">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202D33FA">
      <w:pPr>
        <w:rPr>
          <w:rFonts w:ascii="Times New Roman" w:hAnsi="Times New Roman"/>
          <w:b/>
          <w:bCs/>
          <w:sz w:val="24"/>
          <w:szCs w:val="32"/>
        </w:rPr>
      </w:pPr>
      <w:r>
        <w:rPr>
          <w:rFonts w:hint="eastAsia" w:ascii="Times New Roman" w:hAnsi="Times New Roman"/>
          <w:b/>
          <w:bCs/>
          <w:sz w:val="24"/>
          <w:szCs w:val="32"/>
        </w:rPr>
        <w:t>特别提醒：</w:t>
      </w:r>
    </w:p>
    <w:p w14:paraId="74EDECB6">
      <w:pPr>
        <w:rPr>
          <w:rFonts w:ascii="Times New Roman" w:hAnsi="Times New Roman"/>
          <w:b/>
          <w:bCs/>
          <w:sz w:val="24"/>
          <w:szCs w:val="32"/>
        </w:rPr>
      </w:pPr>
    </w:p>
    <w:p w14:paraId="3A16F6BE">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354AACC0">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16F2548A">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3C8CCC59">
      <w:pPr>
        <w:widowControl/>
        <w:jc w:val="center"/>
        <w:rPr>
          <w:rFonts w:ascii="仿宋_GB2312" w:hAnsi="Times New Roman" w:eastAsia="仿宋_GB2312"/>
          <w:kern w:val="0"/>
          <w:sz w:val="24"/>
          <w:szCs w:val="24"/>
          <w:highlight w:val="green"/>
        </w:rPr>
      </w:pPr>
    </w:p>
    <w:p w14:paraId="6FBBADD0">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40A04506">
      <w:pPr>
        <w:rPr>
          <w:rFonts w:ascii="仿宋_GB2312" w:hAnsi="Times New Roman" w:eastAsia="仿宋_GB2312"/>
          <w:sz w:val="24"/>
          <w:szCs w:val="24"/>
        </w:rPr>
      </w:pPr>
    </w:p>
    <w:p w14:paraId="72ED782D">
      <w:pPr>
        <w:rPr>
          <w:rFonts w:hint="eastAsia" w:ascii="宋体" w:hAnsi="宋体"/>
          <w:sz w:val="24"/>
        </w:rPr>
      </w:pPr>
      <w:r>
        <w:rPr>
          <w:rFonts w:hint="eastAsia" w:ascii="宋体" w:hAnsi="宋体"/>
          <w:sz w:val="24"/>
        </w:rPr>
        <w:br w:type="page"/>
      </w:r>
    </w:p>
    <w:p w14:paraId="0CE16D0E">
      <w:pPr>
        <w:rPr>
          <w:rFonts w:hint="eastAsia" w:ascii="宋体" w:hAnsi="宋体"/>
          <w:sz w:val="24"/>
        </w:rPr>
      </w:pPr>
      <w:r>
        <w:rPr>
          <w:rFonts w:hint="eastAsia" w:ascii="宋体" w:hAnsi="宋体"/>
          <w:sz w:val="24"/>
        </w:rPr>
        <w:t>投标文件组成：</w:t>
      </w:r>
    </w:p>
    <w:p w14:paraId="46739B78">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14356E41">
      <w:pPr>
        <w:rPr>
          <w:rFonts w:hint="eastAsia" w:ascii="宋体" w:hAnsi="宋体"/>
          <w:sz w:val="24"/>
          <w:lang w:eastAsia="zh-CN"/>
        </w:rPr>
      </w:pPr>
    </w:p>
    <w:p w14:paraId="208BEAA7">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0FD27116">
      <w:pPr>
        <w:spacing w:beforeLines="25" w:afterLines="25"/>
        <w:ind w:firstLine="991" w:firstLineChars="472"/>
        <w:rPr>
          <w:rFonts w:ascii="宋体" w:hAnsi="宋体"/>
          <w:szCs w:val="21"/>
        </w:rPr>
      </w:pPr>
      <w:r>
        <w:rPr>
          <w:rFonts w:hint="eastAsia" w:ascii="宋体" w:hAnsi="宋体"/>
          <w:szCs w:val="21"/>
        </w:rPr>
        <w:t>（1）投标函</w:t>
      </w:r>
    </w:p>
    <w:p w14:paraId="30AEC3B4">
      <w:pPr>
        <w:spacing w:beforeLines="25" w:afterLines="25"/>
        <w:ind w:firstLine="991" w:firstLineChars="472"/>
        <w:rPr>
          <w:rFonts w:ascii="宋体" w:hAnsi="宋体"/>
          <w:szCs w:val="21"/>
        </w:rPr>
      </w:pPr>
      <w:r>
        <w:rPr>
          <w:rFonts w:hint="eastAsia" w:ascii="宋体" w:hAnsi="宋体"/>
          <w:szCs w:val="21"/>
        </w:rPr>
        <w:t>（2）资格响应文件</w:t>
      </w:r>
    </w:p>
    <w:p w14:paraId="1116B9B1">
      <w:pPr>
        <w:spacing w:beforeLines="25" w:afterLines="25"/>
        <w:ind w:firstLine="991" w:firstLineChars="472"/>
        <w:rPr>
          <w:rFonts w:ascii="宋体" w:hAnsi="宋体"/>
          <w:szCs w:val="21"/>
        </w:rPr>
      </w:pPr>
      <w:r>
        <w:rPr>
          <w:rFonts w:hint="eastAsia" w:ascii="宋体" w:hAnsi="宋体"/>
          <w:szCs w:val="21"/>
        </w:rPr>
        <w:t>（3）投标人情况介绍</w:t>
      </w:r>
    </w:p>
    <w:p w14:paraId="7935157C">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A2768EF">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032707D5">
      <w:pPr>
        <w:spacing w:beforeLines="25" w:afterLines="25"/>
        <w:ind w:firstLine="991" w:firstLineChars="472"/>
        <w:rPr>
          <w:rFonts w:hint="eastAsia" w:ascii="宋体" w:hAnsi="宋体" w:cs="宋体"/>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lang w:eastAsia="zh-CN"/>
        </w:rPr>
        <w:t>）</w:t>
      </w:r>
      <w:r>
        <w:rPr>
          <w:rFonts w:hint="eastAsia" w:ascii="宋体" w:hAnsi="宋体" w:cs="宋体"/>
          <w:szCs w:val="21"/>
        </w:rPr>
        <w:t>供应商获奖情况</w:t>
      </w:r>
    </w:p>
    <w:p w14:paraId="4FD17E75">
      <w:pPr>
        <w:spacing w:beforeLines="25" w:afterLines="25"/>
        <w:ind w:firstLine="991" w:firstLineChars="472"/>
        <w:rPr>
          <w:rFonts w:ascii="宋体" w:hAnsi="宋体"/>
          <w:sz w:val="24"/>
          <w:szCs w:val="24"/>
        </w:rPr>
      </w:pPr>
      <w:r>
        <w:rPr>
          <w:rFonts w:hint="eastAsia" w:ascii="宋体" w:hAnsi="宋体" w:cs="宋体"/>
          <w:szCs w:val="21"/>
          <w:lang w:eastAsia="zh-CN"/>
        </w:rPr>
        <w:t>（</w:t>
      </w:r>
      <w:r>
        <w:rPr>
          <w:rFonts w:hint="eastAsia" w:ascii="宋体" w:hAnsi="宋体" w:cs="宋体"/>
          <w:szCs w:val="21"/>
          <w:lang w:val="en-US" w:eastAsia="zh-CN"/>
        </w:rPr>
        <w:t>7</w:t>
      </w:r>
      <w:r>
        <w:rPr>
          <w:rFonts w:hint="eastAsia" w:ascii="宋体" w:hAnsi="宋体" w:cs="宋体"/>
          <w:szCs w:val="21"/>
          <w:lang w:eastAsia="zh-CN"/>
        </w:rPr>
        <w:t>）</w:t>
      </w:r>
      <w:r>
        <w:rPr>
          <w:rFonts w:hint="eastAsia" w:ascii="宋体" w:hAnsi="宋体" w:cs="宋体"/>
          <w:szCs w:val="21"/>
          <w:lang w:bidi="ar"/>
        </w:rPr>
        <w:t>供应商自主知识产权产品（创新、设计）情况</w:t>
      </w:r>
    </w:p>
    <w:p w14:paraId="0B41693F">
      <w:pPr>
        <w:ind w:firstLine="424" w:firstLineChars="202"/>
        <w:rPr>
          <w:rFonts w:ascii="宋体" w:hAnsi="宋体"/>
          <w:szCs w:val="21"/>
        </w:rPr>
      </w:pPr>
    </w:p>
    <w:p w14:paraId="45BF629C">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6E7F81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）政府采购违法行为风险知悉确认书</w:t>
      </w:r>
    </w:p>
    <w:p w14:paraId="102712D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）法定代表人（负责人）资格证明书</w:t>
      </w:r>
    </w:p>
    <w:p w14:paraId="0E4EFEF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）投标文件签署授权委托书</w:t>
      </w:r>
    </w:p>
    <w:p w14:paraId="03E6888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）实质性条款响应情况表</w:t>
      </w:r>
    </w:p>
    <w:p w14:paraId="54BA63FE">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）详细分项报价清单</w:t>
      </w:r>
    </w:p>
    <w:p w14:paraId="45F6EFE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）服务要求</w:t>
      </w:r>
      <w:r>
        <w:rPr>
          <w:rFonts w:ascii="宋体" w:hAnsi="宋体"/>
          <w:szCs w:val="21"/>
        </w:rPr>
        <w:t>偏离表</w:t>
      </w:r>
    </w:p>
    <w:p w14:paraId="43DC50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14</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65B81F51">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15</w:t>
      </w:r>
      <w:r>
        <w:rPr>
          <w:rFonts w:hint="eastAsia" w:ascii="宋体" w:hAnsi="宋体" w:cs="宋体"/>
          <w:szCs w:val="21"/>
          <w:lang w:eastAsia="zh-CN"/>
        </w:rPr>
        <w:t>）</w:t>
      </w:r>
      <w:r>
        <w:rPr>
          <w:rFonts w:hint="eastAsia" w:ascii="宋体" w:hAnsi="宋体" w:cs="宋体"/>
          <w:szCs w:val="21"/>
        </w:rPr>
        <w:t>实施方案</w:t>
      </w:r>
    </w:p>
    <w:p w14:paraId="2E1F42DB">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16</w:t>
      </w:r>
      <w:r>
        <w:rPr>
          <w:rFonts w:hint="eastAsia" w:ascii="宋体" w:hAnsi="宋体" w:cs="宋体"/>
          <w:szCs w:val="21"/>
          <w:lang w:eastAsia="zh-CN"/>
        </w:rPr>
        <w:t>）</w:t>
      </w:r>
      <w:r>
        <w:rPr>
          <w:rFonts w:hint="eastAsia" w:ascii="宋体" w:hAnsi="宋体" w:cs="宋体"/>
          <w:szCs w:val="21"/>
        </w:rPr>
        <w:t>项目重点难点分析、应对措施及相关的合理化建议</w:t>
      </w:r>
    </w:p>
    <w:p w14:paraId="3F6B0163">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17</w:t>
      </w:r>
      <w:r>
        <w:rPr>
          <w:rFonts w:hint="eastAsia" w:ascii="宋体" w:hAnsi="宋体" w:cs="宋体"/>
          <w:szCs w:val="21"/>
          <w:lang w:eastAsia="zh-CN"/>
        </w:rPr>
        <w:t>）</w:t>
      </w:r>
      <w:r>
        <w:rPr>
          <w:rFonts w:hint="eastAsia" w:ascii="宋体" w:hAnsi="宋体" w:cs="宋体"/>
          <w:szCs w:val="21"/>
        </w:rPr>
        <w:t>质量（完成时间、安全、环保）保障措施及方案</w:t>
      </w:r>
    </w:p>
    <w:p w14:paraId="561946A4">
      <w:pPr>
        <w:spacing w:beforeLines="25" w:afterLines="25"/>
        <w:ind w:firstLine="991" w:firstLineChars="472"/>
        <w:rPr>
          <w:rFonts w:hint="eastAsia" w:ascii="宋体" w:hAnsi="宋体" w:cs="宋体"/>
          <w:szCs w:val="21"/>
          <w:lang w:bidi="ar"/>
        </w:rPr>
      </w:pPr>
      <w:r>
        <w:rPr>
          <w:rFonts w:hint="eastAsia" w:ascii="宋体" w:hAnsi="宋体" w:cs="宋体"/>
          <w:szCs w:val="21"/>
          <w:lang w:eastAsia="zh-CN"/>
        </w:rPr>
        <w:t>（</w:t>
      </w:r>
      <w:r>
        <w:rPr>
          <w:rFonts w:hint="eastAsia" w:ascii="宋体" w:hAnsi="宋体" w:cs="宋体"/>
          <w:szCs w:val="21"/>
          <w:lang w:val="en-US" w:eastAsia="zh-CN"/>
        </w:rPr>
        <w:t>18</w:t>
      </w:r>
      <w:r>
        <w:rPr>
          <w:rFonts w:hint="eastAsia" w:ascii="宋体" w:hAnsi="宋体" w:cs="宋体"/>
          <w:szCs w:val="21"/>
          <w:lang w:eastAsia="zh-CN"/>
        </w:rPr>
        <w:t>）</w:t>
      </w:r>
      <w:r>
        <w:rPr>
          <w:rFonts w:hint="eastAsia" w:ascii="宋体" w:hAnsi="宋体" w:cs="宋体"/>
          <w:szCs w:val="21"/>
          <w:lang w:bidi="ar"/>
        </w:rPr>
        <w:t>项目完成（服务期满）后的服务承诺</w:t>
      </w:r>
    </w:p>
    <w:p w14:paraId="39E57962">
      <w:pPr>
        <w:spacing w:beforeLines="25" w:afterLines="25"/>
        <w:ind w:firstLine="991" w:firstLineChars="472"/>
        <w:rPr>
          <w:rFonts w:hint="eastAsia" w:ascii="宋体" w:hAnsi="宋体" w:cs="宋体"/>
          <w:szCs w:val="21"/>
          <w:lang w:bidi="ar"/>
        </w:rPr>
      </w:pPr>
      <w:r>
        <w:rPr>
          <w:rFonts w:hint="eastAsia" w:ascii="宋体" w:hAnsi="宋体" w:cs="宋体"/>
          <w:szCs w:val="21"/>
          <w:lang w:eastAsia="zh-CN" w:bidi="ar"/>
        </w:rPr>
        <w:t>（</w:t>
      </w:r>
      <w:r>
        <w:rPr>
          <w:rFonts w:hint="eastAsia" w:ascii="宋体" w:hAnsi="宋体" w:cs="宋体"/>
          <w:szCs w:val="21"/>
          <w:lang w:val="en-US" w:eastAsia="zh-CN" w:bidi="ar"/>
        </w:rPr>
        <w:t>19</w:t>
      </w:r>
      <w:r>
        <w:rPr>
          <w:rFonts w:hint="eastAsia" w:ascii="宋体" w:hAnsi="宋体" w:cs="宋体"/>
          <w:szCs w:val="21"/>
          <w:lang w:eastAsia="zh-CN" w:bidi="ar"/>
        </w:rPr>
        <w:t>）</w:t>
      </w:r>
      <w:r>
        <w:rPr>
          <w:rFonts w:hint="eastAsia" w:ascii="宋体" w:hAnsi="宋体" w:cs="宋体"/>
          <w:szCs w:val="21"/>
          <w:lang w:bidi="ar"/>
        </w:rPr>
        <w:t>违约承诺</w:t>
      </w:r>
    </w:p>
    <w:p w14:paraId="5C9BDE24">
      <w:pPr>
        <w:spacing w:beforeLines="25" w:afterLines="25"/>
        <w:ind w:firstLine="991" w:firstLineChars="472"/>
        <w:rPr>
          <w:rFonts w:hint="eastAsia" w:ascii="宋体" w:hAnsi="宋体" w:cs="宋体"/>
          <w:szCs w:val="21"/>
        </w:rPr>
      </w:pPr>
      <w:r>
        <w:rPr>
          <w:rFonts w:hint="eastAsia" w:ascii="宋体" w:hAnsi="宋体" w:cs="宋体"/>
          <w:szCs w:val="21"/>
          <w:lang w:eastAsia="zh-CN" w:bidi="ar"/>
        </w:rPr>
        <w:t>（</w:t>
      </w:r>
      <w:r>
        <w:rPr>
          <w:rFonts w:hint="eastAsia" w:ascii="宋体" w:hAnsi="宋体" w:cs="宋体"/>
          <w:szCs w:val="21"/>
          <w:lang w:val="en-US" w:eastAsia="zh-CN" w:bidi="ar"/>
        </w:rPr>
        <w:t>20</w:t>
      </w:r>
      <w:r>
        <w:rPr>
          <w:rFonts w:hint="eastAsia" w:ascii="宋体" w:hAnsi="宋体" w:cs="宋体"/>
          <w:szCs w:val="21"/>
          <w:lang w:eastAsia="zh-CN" w:bidi="ar"/>
        </w:rPr>
        <w:t>）</w:t>
      </w:r>
      <w:r>
        <w:rPr>
          <w:rFonts w:hint="eastAsia" w:ascii="宋体" w:hAnsi="宋体" w:cs="宋体"/>
          <w:szCs w:val="21"/>
        </w:rPr>
        <w:t>拟安排的项目负责人情况（仅限一人）</w:t>
      </w:r>
    </w:p>
    <w:p w14:paraId="37C434AA">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21</w:t>
      </w:r>
      <w:r>
        <w:rPr>
          <w:rFonts w:hint="eastAsia" w:ascii="宋体" w:hAnsi="宋体" w:cs="宋体"/>
          <w:szCs w:val="21"/>
          <w:lang w:eastAsia="zh-CN"/>
        </w:rPr>
        <w:t>）</w:t>
      </w:r>
      <w:r>
        <w:rPr>
          <w:rFonts w:hint="eastAsia" w:ascii="宋体" w:hAnsi="宋体" w:cs="宋体"/>
          <w:szCs w:val="21"/>
        </w:rPr>
        <w:t>拟安排的项目主要团队成员（主要技术人员）情况（项目负责人除外）</w:t>
      </w:r>
    </w:p>
    <w:p w14:paraId="16B1F28E">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22</w:t>
      </w:r>
      <w:r>
        <w:rPr>
          <w:rFonts w:hint="eastAsia" w:ascii="宋体" w:hAnsi="宋体" w:cs="宋体"/>
          <w:szCs w:val="21"/>
          <w:lang w:eastAsia="zh-CN"/>
        </w:rPr>
        <w:t>）</w:t>
      </w:r>
      <w:r>
        <w:rPr>
          <w:rFonts w:hint="eastAsia" w:ascii="宋体" w:hAnsi="宋体" w:cs="宋体"/>
          <w:szCs w:val="21"/>
        </w:rPr>
        <w:t>供应商同类项目业绩情况</w:t>
      </w:r>
    </w:p>
    <w:p w14:paraId="4FEE34E9">
      <w:pPr>
        <w:spacing w:beforeLines="25" w:afterLines="25"/>
        <w:ind w:firstLine="991" w:firstLineChars="472"/>
        <w:rPr>
          <w:rFonts w:hint="eastAsia" w:ascii="宋体" w:hAnsi="宋体" w:cs="宋体"/>
          <w:szCs w:val="21"/>
          <w:lang w:bidi="ar"/>
        </w:rPr>
      </w:pPr>
      <w:r>
        <w:rPr>
          <w:rFonts w:hint="eastAsia" w:ascii="宋体" w:hAnsi="宋体"/>
          <w:szCs w:val="21"/>
        </w:rPr>
        <w:t>（</w:t>
      </w:r>
      <w:r>
        <w:rPr>
          <w:rFonts w:hint="eastAsia" w:ascii="宋体" w:hAnsi="宋体"/>
          <w:szCs w:val="21"/>
          <w:lang w:val="en-US" w:eastAsia="zh-CN"/>
        </w:rPr>
        <w:t>23</w:t>
      </w:r>
      <w:r>
        <w:rPr>
          <w:rFonts w:hint="eastAsia" w:ascii="宋体" w:hAnsi="宋体"/>
          <w:szCs w:val="21"/>
        </w:rPr>
        <w:t>）</w:t>
      </w:r>
      <w:r>
        <w:rPr>
          <w:rFonts w:hint="eastAsia" w:ascii="宋体" w:hAnsi="宋体" w:cs="宋体"/>
          <w:szCs w:val="21"/>
          <w:lang w:bidi="ar"/>
        </w:rPr>
        <w:t>全国性服务支撑能力</w:t>
      </w:r>
    </w:p>
    <w:p w14:paraId="67AEE608">
      <w:pPr>
        <w:spacing w:beforeLines="25" w:afterLines="25"/>
        <w:ind w:firstLine="991" w:firstLineChars="472"/>
        <w:rPr>
          <w:rFonts w:ascii="宋体" w:hAnsi="宋体"/>
          <w:szCs w:val="21"/>
        </w:rPr>
      </w:pPr>
      <w:r>
        <w:rPr>
          <w:rFonts w:hint="eastAsia" w:ascii="宋体" w:hAnsi="宋体" w:cs="宋体"/>
          <w:szCs w:val="21"/>
          <w:lang w:eastAsia="zh-CN" w:bidi="ar"/>
        </w:rPr>
        <w:t>（</w:t>
      </w:r>
      <w:r>
        <w:rPr>
          <w:rFonts w:hint="eastAsia" w:ascii="宋体" w:hAnsi="宋体" w:cs="宋体"/>
          <w:szCs w:val="21"/>
          <w:lang w:val="en-US" w:eastAsia="zh-CN" w:bidi="ar"/>
        </w:rPr>
        <w:t>24</w:t>
      </w:r>
      <w:r>
        <w:rPr>
          <w:rFonts w:hint="eastAsia" w:ascii="宋体" w:hAnsi="宋体" w:cs="宋体"/>
          <w:szCs w:val="21"/>
          <w:lang w:eastAsia="zh-CN" w:bidi="ar"/>
        </w:rPr>
        <w:t>）</w:t>
      </w:r>
      <w:r>
        <w:rPr>
          <w:rFonts w:hint="eastAsia" w:ascii="宋体" w:hAnsi="宋体"/>
          <w:szCs w:val="21"/>
        </w:rPr>
        <w:t>招标文件要求的其它内容或投标人认为需要补充的资料</w:t>
      </w:r>
    </w:p>
    <w:p w14:paraId="3F4D7487">
      <w:pPr>
        <w:spacing w:beforeLines="25" w:afterLines="25"/>
        <w:rPr>
          <w:rFonts w:ascii="宋体" w:hAnsi="宋体"/>
          <w:szCs w:val="21"/>
        </w:rPr>
      </w:pPr>
    </w:p>
    <w:p w14:paraId="1A2F37B6">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37B3C815">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67D01F29">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15F0FFC8">
      <w:pPr>
        <w:widowControl/>
        <w:jc w:val="left"/>
        <w:rPr>
          <w:rFonts w:hint="default" w:ascii="宋体" w:hAnsi="宋体" w:eastAsiaTheme="minorEastAsia"/>
          <w:b/>
          <w:color w:val="FF0000"/>
          <w:kern w:val="0"/>
          <w:sz w:val="24"/>
          <w:szCs w:val="21"/>
          <w:lang w:val="en-US" w:eastAsia="zh-CN"/>
        </w:rPr>
      </w:pPr>
    </w:p>
    <w:p w14:paraId="2910E1B1">
      <w:pPr>
        <w:widowControl/>
        <w:jc w:val="left"/>
        <w:rPr>
          <w:rFonts w:ascii="宋体" w:hAnsi="宋体"/>
          <w:szCs w:val="21"/>
        </w:rPr>
      </w:pPr>
      <w:r>
        <w:rPr>
          <w:rFonts w:ascii="宋体" w:hAnsi="宋体"/>
          <w:szCs w:val="21"/>
        </w:rPr>
        <w:br w:type="page"/>
      </w:r>
    </w:p>
    <w:p w14:paraId="73223F12">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606C5E3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5C9AA8B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4C33976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3F1552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1205262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0E853E6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55981B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42D0284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3718E75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095349E5">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5DB6F7A1">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2046BB6F">
      <w:pPr>
        <w:pStyle w:val="3"/>
        <w:jc w:val="center"/>
        <w:rPr>
          <w:rFonts w:ascii="黑体" w:eastAsia="黑体"/>
          <w:b w:val="0"/>
          <w:sz w:val="24"/>
        </w:rPr>
      </w:pPr>
      <w:r>
        <w:rPr>
          <w:rFonts w:hint="eastAsia" w:ascii="黑体" w:eastAsia="黑体"/>
          <w:b w:val="0"/>
          <w:sz w:val="24"/>
        </w:rPr>
        <w:t>一、投标函</w:t>
      </w:r>
    </w:p>
    <w:p w14:paraId="43B4EC3D">
      <w:pPr>
        <w:spacing w:line="360" w:lineRule="auto"/>
        <w:rPr>
          <w:rFonts w:ascii="宋体" w:hAnsi="宋体"/>
          <w:szCs w:val="21"/>
        </w:rPr>
      </w:pPr>
      <w:r>
        <w:rPr>
          <w:rFonts w:hint="eastAsia" w:ascii="宋体" w:hAnsi="宋体"/>
          <w:szCs w:val="21"/>
        </w:rPr>
        <w:t xml:space="preserve">深圳市中正招标有限公司：  </w:t>
      </w:r>
    </w:p>
    <w:p w14:paraId="3845FF17">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5ED141A8">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6562E10A">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3C8A6ECF">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562B8B4F">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3E410A47">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0DC4582">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729077FF">
      <w:pPr>
        <w:ind w:left="540" w:leftChars="257"/>
        <w:rPr>
          <w:szCs w:val="21"/>
          <w:u w:val="single"/>
        </w:rPr>
      </w:pPr>
      <w:r>
        <w:rPr>
          <w:rFonts w:hint="eastAsia"/>
          <w:szCs w:val="21"/>
        </w:rPr>
        <w:t>法定代表人或其委托代理人：</w:t>
      </w:r>
      <w:r>
        <w:rPr>
          <w:rFonts w:hint="eastAsia"/>
          <w:szCs w:val="21"/>
          <w:u w:val="single"/>
        </w:rPr>
        <w:t xml:space="preserve">                   </w:t>
      </w:r>
    </w:p>
    <w:p w14:paraId="4D8815CC">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656A4EC6">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0F194206">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62BCD21">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26402D93">
      <w:pPr>
        <w:ind w:firstLine="616" w:firstLineChars="257"/>
        <w:rPr>
          <w:sz w:val="24"/>
        </w:rPr>
      </w:pPr>
    </w:p>
    <w:p w14:paraId="34E972C0">
      <w:pPr>
        <w:rPr>
          <w:rFonts w:ascii="宋体" w:hAnsi="宋体"/>
          <w:szCs w:val="21"/>
        </w:rPr>
      </w:pPr>
      <w:r>
        <w:rPr>
          <w:rFonts w:hint="eastAsia"/>
          <w:szCs w:val="21"/>
          <w:u w:val="single"/>
        </w:rPr>
        <w:t>（备注：如联合体投标，投标人一栏仅需填写牵头人的名称）</w:t>
      </w:r>
    </w:p>
    <w:p w14:paraId="299A281E">
      <w:pPr>
        <w:ind w:firstLine="616" w:firstLineChars="257"/>
        <w:rPr>
          <w:sz w:val="24"/>
        </w:rPr>
      </w:pPr>
      <w:r>
        <w:rPr>
          <w:rFonts w:hint="eastAsia"/>
          <w:sz w:val="24"/>
        </w:rPr>
        <w:t xml:space="preserve">                          </w:t>
      </w:r>
    </w:p>
    <w:p w14:paraId="09C5103E">
      <w:pPr>
        <w:pStyle w:val="3"/>
        <w:jc w:val="center"/>
        <w:rPr>
          <w:rFonts w:ascii="黑体" w:eastAsia="黑体"/>
          <w:b w:val="0"/>
          <w:sz w:val="24"/>
        </w:rPr>
      </w:pPr>
      <w:r>
        <w:rPr>
          <w:rFonts w:hint="eastAsia" w:ascii="黑体" w:eastAsia="黑体"/>
          <w:b w:val="0"/>
          <w:sz w:val="24"/>
        </w:rPr>
        <w:t>二、资格响应文件</w:t>
      </w:r>
    </w:p>
    <w:p w14:paraId="77D1884A">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3682A00F">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4BF55C75">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3BF78E79">
      <w:pPr>
        <w:rPr>
          <w:szCs w:val="21"/>
          <w:u w:val="single"/>
        </w:rPr>
      </w:pPr>
    </w:p>
    <w:p w14:paraId="555AF857">
      <w:pPr>
        <w:rPr>
          <w:rFonts w:ascii="宋体" w:hAnsi="宋体"/>
          <w:szCs w:val="21"/>
        </w:rPr>
      </w:pPr>
      <w:r>
        <w:rPr>
          <w:rFonts w:hint="eastAsia"/>
          <w:szCs w:val="21"/>
          <w:u w:val="single"/>
        </w:rPr>
        <w:t>（备注：如联合体投标，联合体各方均应按要求提供资格响应文件）</w:t>
      </w:r>
    </w:p>
    <w:p w14:paraId="45D8CCA3">
      <w:pPr>
        <w:pStyle w:val="3"/>
        <w:jc w:val="center"/>
        <w:rPr>
          <w:rFonts w:ascii="黑体" w:eastAsia="黑体"/>
          <w:b w:val="0"/>
          <w:sz w:val="24"/>
        </w:rPr>
      </w:pPr>
    </w:p>
    <w:p w14:paraId="130CC16D">
      <w:pPr>
        <w:pStyle w:val="3"/>
        <w:jc w:val="center"/>
        <w:rPr>
          <w:rFonts w:ascii="黑体" w:eastAsia="黑体"/>
          <w:b w:val="0"/>
          <w:sz w:val="24"/>
        </w:rPr>
      </w:pPr>
      <w:r>
        <w:rPr>
          <w:rFonts w:hint="eastAsia" w:ascii="黑体" w:eastAsia="黑体"/>
          <w:b w:val="0"/>
          <w:sz w:val="24"/>
        </w:rPr>
        <w:t>政府采购投标及履约承诺函</w:t>
      </w:r>
    </w:p>
    <w:p w14:paraId="1969B0FE">
      <w:pPr>
        <w:rPr>
          <w:rFonts w:ascii="宋体" w:hAnsi="宋体"/>
          <w:szCs w:val="21"/>
        </w:rPr>
      </w:pPr>
      <w:r>
        <w:rPr>
          <w:rFonts w:hint="eastAsia" w:ascii="宋体" w:hAnsi="宋体"/>
          <w:szCs w:val="21"/>
        </w:rPr>
        <w:t>深圳市中正招标有限公司：</w:t>
      </w:r>
    </w:p>
    <w:p w14:paraId="4F1B9F86">
      <w:pPr>
        <w:ind w:right="-815" w:firstLine="420" w:firstLineChars="200"/>
        <w:rPr>
          <w:rFonts w:ascii="宋体" w:hAnsi="宋体"/>
          <w:szCs w:val="21"/>
        </w:rPr>
      </w:pPr>
      <w:r>
        <w:rPr>
          <w:rFonts w:hint="eastAsia" w:ascii="宋体" w:hAnsi="宋体"/>
          <w:szCs w:val="21"/>
        </w:rPr>
        <w:t>我单位承诺：</w:t>
      </w:r>
    </w:p>
    <w:p w14:paraId="5CCABA37">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08A5231">
      <w:pPr>
        <w:ind w:firstLine="424" w:firstLineChars="202"/>
        <w:rPr>
          <w:rFonts w:ascii="宋体" w:hAnsi="宋体"/>
          <w:szCs w:val="21"/>
        </w:rPr>
      </w:pPr>
      <w:r>
        <w:rPr>
          <w:rFonts w:hint="eastAsia" w:ascii="宋体" w:hAnsi="宋体"/>
          <w:szCs w:val="21"/>
        </w:rPr>
        <w:t>（一）具有独立承担民事责任的能力；</w:t>
      </w:r>
    </w:p>
    <w:p w14:paraId="7D8CD6E5">
      <w:pPr>
        <w:ind w:firstLine="424" w:firstLineChars="202"/>
        <w:rPr>
          <w:rFonts w:ascii="宋体" w:hAnsi="宋体"/>
          <w:szCs w:val="21"/>
        </w:rPr>
      </w:pPr>
      <w:r>
        <w:rPr>
          <w:rFonts w:hint="eastAsia" w:ascii="宋体" w:hAnsi="宋体"/>
          <w:szCs w:val="21"/>
        </w:rPr>
        <w:t>（二）具有良好的商业信誉和健全的财务会计制度；</w:t>
      </w:r>
    </w:p>
    <w:p w14:paraId="4F81C04F">
      <w:pPr>
        <w:ind w:firstLine="424" w:firstLineChars="202"/>
        <w:rPr>
          <w:rFonts w:ascii="宋体" w:hAnsi="宋体"/>
          <w:szCs w:val="21"/>
        </w:rPr>
      </w:pPr>
      <w:r>
        <w:rPr>
          <w:rFonts w:hint="eastAsia" w:ascii="宋体" w:hAnsi="宋体"/>
          <w:szCs w:val="21"/>
        </w:rPr>
        <w:t>（三）具有履行合同所必需的设备和专业技术能力；</w:t>
      </w:r>
    </w:p>
    <w:p w14:paraId="2AC3D777">
      <w:pPr>
        <w:ind w:firstLine="424" w:firstLineChars="202"/>
        <w:rPr>
          <w:rFonts w:ascii="宋体" w:hAnsi="宋体"/>
          <w:szCs w:val="21"/>
        </w:rPr>
      </w:pPr>
      <w:r>
        <w:rPr>
          <w:rFonts w:hint="eastAsia" w:ascii="宋体" w:hAnsi="宋体"/>
          <w:szCs w:val="21"/>
        </w:rPr>
        <w:t>（四）有依法缴纳税收和社会保障资金的良好记录；</w:t>
      </w:r>
    </w:p>
    <w:p w14:paraId="530B2CAD">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36227FB">
      <w:pPr>
        <w:ind w:firstLine="424" w:firstLineChars="202"/>
        <w:rPr>
          <w:rFonts w:ascii="宋体" w:hAnsi="宋体"/>
          <w:szCs w:val="21"/>
        </w:rPr>
      </w:pPr>
      <w:r>
        <w:rPr>
          <w:rFonts w:hint="eastAsia" w:ascii="宋体" w:hAnsi="宋体"/>
          <w:szCs w:val="21"/>
        </w:rPr>
        <w:t>（六）法律、行政法规规定的其他条件。</w:t>
      </w:r>
    </w:p>
    <w:p w14:paraId="2CD2304C">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0C72AE87">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17E65F1E">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06126ADC">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7ED9D5B1">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619DFACC">
      <w:pPr>
        <w:ind w:firstLine="424" w:firstLineChars="202"/>
        <w:rPr>
          <w:rFonts w:ascii="宋体" w:hAnsi="宋体"/>
          <w:szCs w:val="21"/>
        </w:rPr>
      </w:pPr>
      <w:r>
        <w:rPr>
          <w:rFonts w:hint="eastAsia" w:ascii="宋体" w:hAnsi="宋体"/>
          <w:szCs w:val="21"/>
        </w:rPr>
        <w:t>（1）投标供应商之间相互约定给予未中标的供应商利益补偿；</w:t>
      </w:r>
    </w:p>
    <w:p w14:paraId="5786C11C">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45A7048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3819C5A6">
      <w:pPr>
        <w:ind w:firstLine="424" w:firstLineChars="202"/>
        <w:rPr>
          <w:rFonts w:ascii="宋体" w:hAnsi="宋体"/>
          <w:szCs w:val="21"/>
        </w:rPr>
      </w:pPr>
      <w:r>
        <w:rPr>
          <w:rFonts w:hint="eastAsia" w:ascii="宋体" w:hAnsi="宋体"/>
          <w:szCs w:val="21"/>
        </w:rPr>
        <w:t>（4）不同投标供应商的投标文件或部分投标文件相互混装；</w:t>
      </w:r>
    </w:p>
    <w:p w14:paraId="0AE9816F">
      <w:pPr>
        <w:ind w:firstLine="424" w:firstLineChars="202"/>
        <w:rPr>
          <w:rFonts w:ascii="宋体" w:hAnsi="宋体"/>
          <w:szCs w:val="21"/>
        </w:rPr>
      </w:pPr>
      <w:r>
        <w:rPr>
          <w:rFonts w:hint="eastAsia" w:ascii="宋体" w:hAnsi="宋体"/>
          <w:szCs w:val="21"/>
        </w:rPr>
        <w:t>（5）不同投标供应商的投标文件内容存在非正常一致；</w:t>
      </w:r>
    </w:p>
    <w:p w14:paraId="63115EDB">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28FF3C24">
      <w:pPr>
        <w:ind w:firstLine="424" w:firstLineChars="202"/>
        <w:rPr>
          <w:rFonts w:ascii="宋体" w:hAnsi="宋体"/>
          <w:szCs w:val="21"/>
        </w:rPr>
      </w:pPr>
      <w:r>
        <w:rPr>
          <w:rFonts w:hint="eastAsia" w:ascii="宋体" w:hAnsi="宋体"/>
          <w:szCs w:val="21"/>
        </w:rPr>
        <w:t>（7）主管部门依照法律、法规认定的其他情形。</w:t>
      </w:r>
    </w:p>
    <w:p w14:paraId="44B7727F">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1CC992F4">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C412388">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4899F1E8">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3589829C">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5AC91396">
      <w:pPr>
        <w:ind w:firstLine="424" w:firstLineChars="202"/>
        <w:rPr>
          <w:rFonts w:ascii="宋体" w:hAnsi="宋体"/>
          <w:szCs w:val="21"/>
        </w:rPr>
      </w:pPr>
    </w:p>
    <w:p w14:paraId="57E28D84">
      <w:pPr>
        <w:jc w:val="center"/>
      </w:pPr>
      <w:r>
        <w:rPr>
          <w:rFonts w:hint="eastAsia"/>
          <w:szCs w:val="21"/>
        </w:rPr>
        <w:t xml:space="preserve">                             投标人：</w:t>
      </w:r>
    </w:p>
    <w:p w14:paraId="74CDBB49">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4169A2C">
      <w:pPr>
        <w:ind w:firstLine="424" w:firstLineChars="202"/>
        <w:rPr>
          <w:rFonts w:ascii="宋体" w:hAnsi="宋体"/>
          <w:szCs w:val="21"/>
        </w:rPr>
      </w:pPr>
    </w:p>
    <w:p w14:paraId="4F92FF2A"/>
    <w:p w14:paraId="2B11D7A0">
      <w:pPr>
        <w:rPr>
          <w:rFonts w:ascii="宋体" w:hAnsi="宋体"/>
          <w:szCs w:val="21"/>
        </w:rPr>
      </w:pPr>
      <w:r>
        <w:rPr>
          <w:rFonts w:hint="eastAsia"/>
          <w:szCs w:val="21"/>
          <w:u w:val="single"/>
        </w:rPr>
        <w:t>（备注：如联合体投标，投标人一栏需填写联合体各方的名称）</w:t>
      </w:r>
    </w:p>
    <w:p w14:paraId="5443D70D"/>
    <w:p w14:paraId="6A7FC14E">
      <w:pPr>
        <w:ind w:firstLine="420" w:firstLineChars="200"/>
        <w:rPr>
          <w:rFonts w:cs="Courier New"/>
          <w:snapToGrid w:val="0"/>
          <w:szCs w:val="18"/>
        </w:rPr>
      </w:pPr>
    </w:p>
    <w:p w14:paraId="54E502E6">
      <w:pPr>
        <w:pStyle w:val="3"/>
        <w:jc w:val="center"/>
        <w:rPr>
          <w:rFonts w:ascii="黑体" w:eastAsia="黑体"/>
          <w:b w:val="0"/>
          <w:sz w:val="24"/>
        </w:rPr>
      </w:pPr>
      <w:r>
        <w:rPr>
          <w:rFonts w:hint="eastAsia" w:ascii="黑体" w:eastAsia="黑体"/>
          <w:b w:val="0"/>
          <w:sz w:val="24"/>
        </w:rPr>
        <w:t>三、投标人情况介绍</w:t>
      </w:r>
    </w:p>
    <w:p w14:paraId="24EFBBC9">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4D67CF5A">
      <w:pPr>
        <w:ind w:left="632" w:hanging="632" w:hangingChars="300"/>
        <w:rPr>
          <w:b/>
          <w:bCs/>
        </w:rPr>
      </w:pPr>
    </w:p>
    <w:p w14:paraId="7A37D742">
      <w:pPr>
        <w:rPr>
          <w:rFonts w:ascii="宋体" w:hAnsi="宋体"/>
          <w:szCs w:val="21"/>
        </w:rPr>
      </w:pPr>
      <w:r>
        <w:rPr>
          <w:rFonts w:hint="eastAsia"/>
          <w:szCs w:val="21"/>
          <w:u w:val="single"/>
        </w:rPr>
        <w:t>（备注：如联合体投标，联合体各方均需提供情况介绍）</w:t>
      </w:r>
    </w:p>
    <w:p w14:paraId="1034E689">
      <w:pPr>
        <w:ind w:left="632" w:hanging="632" w:hangingChars="300"/>
        <w:rPr>
          <w:b/>
          <w:bCs/>
        </w:rPr>
      </w:pPr>
    </w:p>
    <w:p w14:paraId="6E976FD3">
      <w:pPr>
        <w:ind w:left="632" w:hanging="632" w:hangingChars="300"/>
        <w:rPr>
          <w:b/>
          <w:bCs/>
        </w:rPr>
      </w:pPr>
    </w:p>
    <w:p w14:paraId="06B7F84D">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73FA4244">
      <w:pPr>
        <w:jc w:val="left"/>
        <w:outlineLvl w:val="3"/>
        <w:rPr>
          <w:rFonts w:ascii="黑体" w:hAnsi="宋体" w:eastAsia="黑体"/>
          <w:bCs/>
          <w:kern w:val="0"/>
          <w:sz w:val="24"/>
          <w:szCs w:val="32"/>
        </w:rPr>
      </w:pPr>
    </w:p>
    <w:p w14:paraId="3740C655">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552D038A">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7BF5208">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0B96E6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2BB336E">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50A289C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286A518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0D5B6B78">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EA861CC">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08AC295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97F9EE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12C448E">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57DCE9CC">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80AE15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67915E0F">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0C78D47D">
      <w:pPr>
        <w:jc w:val="center"/>
        <w:outlineLvl w:val="3"/>
        <w:rPr>
          <w:rFonts w:ascii="黑体" w:hAnsi="宋体" w:eastAsia="黑体"/>
          <w:bCs/>
          <w:kern w:val="0"/>
          <w:sz w:val="24"/>
          <w:szCs w:val="32"/>
        </w:rPr>
      </w:pPr>
    </w:p>
    <w:p w14:paraId="4230D930">
      <w:pPr>
        <w:spacing w:after="60"/>
        <w:jc w:val="center"/>
        <w:outlineLvl w:val="3"/>
        <w:rPr>
          <w:b/>
          <w:sz w:val="24"/>
        </w:rPr>
      </w:pPr>
      <w:r>
        <w:rPr>
          <w:rFonts w:hint="eastAsia"/>
          <w:b/>
          <w:sz w:val="24"/>
        </w:rPr>
        <w:t>1、中小企业声明函</w:t>
      </w:r>
    </w:p>
    <w:p w14:paraId="4E864B7B">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67C25152">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3D142B0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06945880">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2FA926BB">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38CC59FE">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1CD97BFB">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6925291A">
      <w:pPr>
        <w:spacing w:line="360" w:lineRule="exact"/>
        <w:ind w:firstLine="420" w:firstLineChars="200"/>
        <w:rPr>
          <w:rFonts w:asciiTheme="minorEastAsia" w:hAnsiTheme="minorEastAsia" w:eastAsiaTheme="minorEastAsia"/>
          <w:szCs w:val="21"/>
        </w:rPr>
      </w:pPr>
    </w:p>
    <w:p w14:paraId="43A87D9C">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C96A785">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FDA171">
      <w:pPr>
        <w:spacing w:line="360" w:lineRule="exact"/>
        <w:ind w:firstLine="420" w:firstLineChars="200"/>
        <w:rPr>
          <w:rFonts w:ascii="宋体" w:hAnsi="宋体"/>
          <w:szCs w:val="21"/>
        </w:rPr>
      </w:pPr>
      <w:r>
        <w:rPr>
          <w:rFonts w:hint="eastAsia" w:ascii="宋体" w:hAnsi="宋体"/>
          <w:szCs w:val="21"/>
        </w:rPr>
        <w:t>备注：</w:t>
      </w:r>
    </w:p>
    <w:p w14:paraId="00BE25A9">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7E66A0C2">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38DE75BF">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17F1AF66">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CD3DCE2">
      <w:pPr>
        <w:spacing w:line="360" w:lineRule="exact"/>
        <w:ind w:firstLine="420" w:firstLineChars="200"/>
        <w:rPr>
          <w:rFonts w:ascii="宋体" w:hAnsi="宋体"/>
          <w:szCs w:val="21"/>
        </w:rPr>
      </w:pPr>
    </w:p>
    <w:p w14:paraId="22A37754">
      <w:pPr>
        <w:spacing w:after="60" w:line="360" w:lineRule="exact"/>
        <w:jc w:val="center"/>
        <w:outlineLvl w:val="3"/>
        <w:rPr>
          <w:b/>
          <w:sz w:val="24"/>
        </w:rPr>
      </w:pPr>
      <w:r>
        <w:rPr>
          <w:rFonts w:hint="eastAsia"/>
          <w:b/>
          <w:sz w:val="24"/>
        </w:rPr>
        <w:t>2、监狱企业声明函</w:t>
      </w:r>
    </w:p>
    <w:p w14:paraId="56908FA2">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1C428651">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FB2CF3B">
      <w:pPr>
        <w:spacing w:line="360" w:lineRule="exact"/>
        <w:jc w:val="center"/>
      </w:pPr>
      <w:r>
        <w:rPr>
          <w:rFonts w:hint="eastAsia"/>
          <w:szCs w:val="21"/>
        </w:rPr>
        <w:t xml:space="preserve">                             单位名称：</w:t>
      </w:r>
    </w:p>
    <w:p w14:paraId="279D22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8D82DAD">
      <w:pPr>
        <w:spacing w:line="360" w:lineRule="exact"/>
        <w:ind w:firstLine="645"/>
        <w:rPr>
          <w:rFonts w:ascii="宋体"/>
          <w:b/>
          <w:szCs w:val="21"/>
        </w:rPr>
      </w:pPr>
      <w:r>
        <w:rPr>
          <w:rFonts w:hint="eastAsia" w:ascii="宋体" w:hAnsi="宋体"/>
          <w:szCs w:val="21"/>
        </w:rPr>
        <w:t xml:space="preserve">                                    </w:t>
      </w:r>
    </w:p>
    <w:p w14:paraId="25A37C1F">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4E888584">
      <w:pPr>
        <w:ind w:left="723" w:hanging="723" w:hangingChars="300"/>
        <w:rPr>
          <w:b/>
          <w:sz w:val="24"/>
        </w:rPr>
      </w:pPr>
    </w:p>
    <w:p w14:paraId="7D76C198">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9646E21">
      <w:pPr>
        <w:spacing w:after="60" w:line="360" w:lineRule="exact"/>
        <w:ind w:firstLine="420" w:firstLineChars="200"/>
        <w:rPr>
          <w:rFonts w:ascii="宋体" w:hAnsi="宋体"/>
          <w:szCs w:val="21"/>
        </w:rPr>
      </w:pPr>
      <w:r>
        <w:rPr>
          <w:rFonts w:hint="eastAsia" w:ascii="宋体" w:hAnsi="宋体"/>
          <w:szCs w:val="21"/>
        </w:rPr>
        <w:t xml:space="preserve">                                     </w:t>
      </w:r>
    </w:p>
    <w:p w14:paraId="36850617">
      <w:pPr>
        <w:spacing w:after="60" w:line="360" w:lineRule="exact"/>
        <w:jc w:val="center"/>
        <w:outlineLvl w:val="3"/>
        <w:rPr>
          <w:b/>
          <w:bCs/>
        </w:rPr>
      </w:pPr>
      <w:r>
        <w:rPr>
          <w:rFonts w:hint="eastAsia"/>
          <w:b/>
          <w:sz w:val="24"/>
        </w:rPr>
        <w:t>3、残疾人福利性单位声明函</w:t>
      </w:r>
    </w:p>
    <w:p w14:paraId="69D54C88">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4D17DEBF">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75E3BEFC">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FEAFF83">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CC74CBA">
      <w:pPr>
        <w:spacing w:line="360" w:lineRule="exact"/>
        <w:jc w:val="center"/>
      </w:pPr>
      <w:r>
        <w:rPr>
          <w:rFonts w:hint="eastAsia"/>
          <w:szCs w:val="21"/>
        </w:rPr>
        <w:t xml:space="preserve">                             单位名称：</w:t>
      </w:r>
    </w:p>
    <w:p w14:paraId="11B9ABBC">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3143581">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4EE4D732">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EB1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39771A9">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38E883F6">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56814F7C">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7C8AAC4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27BF9814">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242E3133">
            <w:pPr>
              <w:jc w:val="center"/>
              <w:rPr>
                <w:rFonts w:ascii="Times New Roman" w:hAnsi="Times New Roman"/>
                <w:b/>
                <w:szCs w:val="21"/>
              </w:rPr>
            </w:pPr>
            <w:r>
              <w:rPr>
                <w:rFonts w:hint="eastAsia" w:ascii="Times New Roman" w:hAnsi="Times New Roman"/>
                <w:b/>
                <w:szCs w:val="21"/>
              </w:rPr>
              <w:t>备注</w:t>
            </w:r>
          </w:p>
        </w:tc>
      </w:tr>
      <w:tr w14:paraId="7E1F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51EC1D4">
            <w:pPr>
              <w:rPr>
                <w:rFonts w:ascii="Times New Roman" w:hAnsi="Times New Roman"/>
                <w:szCs w:val="21"/>
              </w:rPr>
            </w:pPr>
          </w:p>
        </w:tc>
        <w:tc>
          <w:tcPr>
            <w:tcW w:w="1213" w:type="dxa"/>
            <w:vMerge w:val="continue"/>
            <w:vAlign w:val="center"/>
          </w:tcPr>
          <w:p w14:paraId="04EE809F">
            <w:pPr>
              <w:rPr>
                <w:rFonts w:ascii="Times New Roman" w:hAnsi="Times New Roman"/>
                <w:szCs w:val="21"/>
              </w:rPr>
            </w:pPr>
          </w:p>
        </w:tc>
        <w:tc>
          <w:tcPr>
            <w:tcW w:w="1840" w:type="dxa"/>
            <w:vMerge w:val="continue"/>
            <w:vAlign w:val="center"/>
          </w:tcPr>
          <w:p w14:paraId="109BF097">
            <w:pPr>
              <w:rPr>
                <w:rFonts w:ascii="Times New Roman" w:hAnsi="Times New Roman"/>
                <w:szCs w:val="21"/>
              </w:rPr>
            </w:pPr>
          </w:p>
        </w:tc>
        <w:tc>
          <w:tcPr>
            <w:tcW w:w="818" w:type="dxa"/>
            <w:vAlign w:val="center"/>
          </w:tcPr>
          <w:p w14:paraId="6F2ACFE6">
            <w:pPr>
              <w:rPr>
                <w:rFonts w:ascii="Times New Roman" w:hAnsi="Times New Roman"/>
                <w:szCs w:val="21"/>
              </w:rPr>
            </w:pPr>
            <w:r>
              <w:rPr>
                <w:rFonts w:hint="eastAsia" w:ascii="Times New Roman" w:hAnsi="Times New Roman"/>
                <w:szCs w:val="21"/>
              </w:rPr>
              <w:t>数量</w:t>
            </w:r>
          </w:p>
        </w:tc>
        <w:tc>
          <w:tcPr>
            <w:tcW w:w="1241" w:type="dxa"/>
            <w:vAlign w:val="center"/>
          </w:tcPr>
          <w:p w14:paraId="491A69A1">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4906250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2307E469">
            <w:pPr>
              <w:rPr>
                <w:rFonts w:ascii="Times New Roman" w:hAnsi="Times New Roman"/>
                <w:szCs w:val="21"/>
              </w:rPr>
            </w:pPr>
          </w:p>
        </w:tc>
        <w:tc>
          <w:tcPr>
            <w:tcW w:w="720" w:type="dxa"/>
            <w:vMerge w:val="continue"/>
            <w:vAlign w:val="center"/>
          </w:tcPr>
          <w:p w14:paraId="044DDACE">
            <w:pPr>
              <w:rPr>
                <w:rFonts w:ascii="Times New Roman" w:hAnsi="Times New Roman"/>
                <w:szCs w:val="21"/>
              </w:rPr>
            </w:pPr>
          </w:p>
        </w:tc>
      </w:tr>
      <w:tr w14:paraId="5892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16059133">
            <w:pPr>
              <w:jc w:val="center"/>
              <w:rPr>
                <w:rFonts w:ascii="宋体" w:hAnsi="宋体"/>
                <w:szCs w:val="21"/>
              </w:rPr>
            </w:pPr>
            <w:r>
              <w:rPr>
                <w:rFonts w:hint="eastAsia" w:ascii="宋体" w:hAnsi="宋体"/>
                <w:szCs w:val="21"/>
              </w:rPr>
              <w:t>1</w:t>
            </w:r>
          </w:p>
        </w:tc>
        <w:tc>
          <w:tcPr>
            <w:tcW w:w="1213" w:type="dxa"/>
            <w:vAlign w:val="center"/>
          </w:tcPr>
          <w:p w14:paraId="7A37351B">
            <w:pPr>
              <w:jc w:val="center"/>
              <w:rPr>
                <w:rFonts w:ascii="Times New Roman" w:hAnsi="Times New Roman"/>
                <w:szCs w:val="21"/>
              </w:rPr>
            </w:pPr>
          </w:p>
        </w:tc>
        <w:tc>
          <w:tcPr>
            <w:tcW w:w="1840" w:type="dxa"/>
            <w:vAlign w:val="center"/>
          </w:tcPr>
          <w:p w14:paraId="4005D27F">
            <w:pPr>
              <w:jc w:val="center"/>
              <w:rPr>
                <w:rFonts w:ascii="Times New Roman" w:hAnsi="Times New Roman"/>
                <w:szCs w:val="21"/>
              </w:rPr>
            </w:pPr>
          </w:p>
        </w:tc>
        <w:tc>
          <w:tcPr>
            <w:tcW w:w="818" w:type="dxa"/>
            <w:vAlign w:val="center"/>
          </w:tcPr>
          <w:p w14:paraId="688DF69A">
            <w:pPr>
              <w:jc w:val="center"/>
              <w:rPr>
                <w:rFonts w:ascii="Times New Roman" w:hAnsi="Times New Roman"/>
                <w:szCs w:val="21"/>
              </w:rPr>
            </w:pPr>
          </w:p>
        </w:tc>
        <w:tc>
          <w:tcPr>
            <w:tcW w:w="1241" w:type="dxa"/>
            <w:vAlign w:val="center"/>
          </w:tcPr>
          <w:p w14:paraId="3762CE5B">
            <w:pPr>
              <w:jc w:val="center"/>
              <w:rPr>
                <w:rFonts w:ascii="Times New Roman" w:hAnsi="Times New Roman"/>
                <w:szCs w:val="21"/>
              </w:rPr>
            </w:pPr>
          </w:p>
        </w:tc>
        <w:tc>
          <w:tcPr>
            <w:tcW w:w="2292" w:type="dxa"/>
            <w:vAlign w:val="center"/>
          </w:tcPr>
          <w:p w14:paraId="121237B5">
            <w:pPr>
              <w:jc w:val="center"/>
              <w:rPr>
                <w:rFonts w:ascii="Times New Roman" w:hAnsi="Times New Roman"/>
                <w:szCs w:val="21"/>
              </w:rPr>
            </w:pPr>
          </w:p>
        </w:tc>
        <w:tc>
          <w:tcPr>
            <w:tcW w:w="1503" w:type="dxa"/>
            <w:vAlign w:val="center"/>
          </w:tcPr>
          <w:p w14:paraId="1DD3D0F5">
            <w:pPr>
              <w:jc w:val="center"/>
              <w:rPr>
                <w:rFonts w:ascii="Times New Roman" w:hAnsi="Times New Roman"/>
                <w:szCs w:val="21"/>
              </w:rPr>
            </w:pPr>
          </w:p>
        </w:tc>
        <w:tc>
          <w:tcPr>
            <w:tcW w:w="720" w:type="dxa"/>
            <w:vAlign w:val="center"/>
          </w:tcPr>
          <w:p w14:paraId="5A256247">
            <w:pPr>
              <w:jc w:val="center"/>
              <w:rPr>
                <w:rFonts w:ascii="Times New Roman" w:hAnsi="Times New Roman"/>
                <w:szCs w:val="21"/>
              </w:rPr>
            </w:pPr>
          </w:p>
        </w:tc>
      </w:tr>
      <w:tr w14:paraId="39E6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246DE3C">
            <w:pPr>
              <w:jc w:val="center"/>
              <w:rPr>
                <w:rFonts w:ascii="宋体" w:hAnsi="宋体"/>
                <w:szCs w:val="21"/>
              </w:rPr>
            </w:pPr>
            <w:r>
              <w:rPr>
                <w:rFonts w:hint="eastAsia" w:ascii="宋体" w:hAnsi="宋体"/>
                <w:szCs w:val="21"/>
              </w:rPr>
              <w:t>2</w:t>
            </w:r>
          </w:p>
        </w:tc>
        <w:tc>
          <w:tcPr>
            <w:tcW w:w="1213" w:type="dxa"/>
            <w:vAlign w:val="center"/>
          </w:tcPr>
          <w:p w14:paraId="354C9F3C">
            <w:pPr>
              <w:jc w:val="center"/>
              <w:rPr>
                <w:rFonts w:ascii="Times New Roman" w:hAnsi="Times New Roman"/>
                <w:szCs w:val="21"/>
              </w:rPr>
            </w:pPr>
          </w:p>
        </w:tc>
        <w:tc>
          <w:tcPr>
            <w:tcW w:w="1840" w:type="dxa"/>
            <w:vAlign w:val="center"/>
          </w:tcPr>
          <w:p w14:paraId="13D16F35">
            <w:pPr>
              <w:jc w:val="center"/>
              <w:rPr>
                <w:rFonts w:ascii="Times New Roman" w:hAnsi="Times New Roman"/>
                <w:szCs w:val="21"/>
              </w:rPr>
            </w:pPr>
          </w:p>
        </w:tc>
        <w:tc>
          <w:tcPr>
            <w:tcW w:w="818" w:type="dxa"/>
            <w:vAlign w:val="center"/>
          </w:tcPr>
          <w:p w14:paraId="7A3CAAED">
            <w:pPr>
              <w:jc w:val="center"/>
              <w:rPr>
                <w:rFonts w:ascii="Times New Roman" w:hAnsi="Times New Roman"/>
                <w:szCs w:val="21"/>
              </w:rPr>
            </w:pPr>
          </w:p>
        </w:tc>
        <w:tc>
          <w:tcPr>
            <w:tcW w:w="1241" w:type="dxa"/>
            <w:vAlign w:val="center"/>
          </w:tcPr>
          <w:p w14:paraId="7D412F32">
            <w:pPr>
              <w:jc w:val="center"/>
              <w:rPr>
                <w:rFonts w:ascii="Times New Roman" w:hAnsi="Times New Roman"/>
                <w:szCs w:val="21"/>
              </w:rPr>
            </w:pPr>
          </w:p>
        </w:tc>
        <w:tc>
          <w:tcPr>
            <w:tcW w:w="2292" w:type="dxa"/>
            <w:vAlign w:val="center"/>
          </w:tcPr>
          <w:p w14:paraId="325B8691">
            <w:pPr>
              <w:jc w:val="center"/>
              <w:rPr>
                <w:rFonts w:ascii="Times New Roman" w:hAnsi="Times New Roman"/>
                <w:szCs w:val="21"/>
              </w:rPr>
            </w:pPr>
          </w:p>
        </w:tc>
        <w:tc>
          <w:tcPr>
            <w:tcW w:w="1503" w:type="dxa"/>
            <w:vAlign w:val="center"/>
          </w:tcPr>
          <w:p w14:paraId="7A5FABD8">
            <w:pPr>
              <w:jc w:val="center"/>
              <w:rPr>
                <w:rFonts w:ascii="Times New Roman" w:hAnsi="Times New Roman"/>
                <w:szCs w:val="21"/>
              </w:rPr>
            </w:pPr>
          </w:p>
        </w:tc>
        <w:tc>
          <w:tcPr>
            <w:tcW w:w="720" w:type="dxa"/>
            <w:vAlign w:val="center"/>
          </w:tcPr>
          <w:p w14:paraId="3918558A">
            <w:pPr>
              <w:jc w:val="center"/>
              <w:rPr>
                <w:rFonts w:ascii="Times New Roman" w:hAnsi="Times New Roman"/>
                <w:szCs w:val="21"/>
              </w:rPr>
            </w:pPr>
          </w:p>
        </w:tc>
      </w:tr>
    </w:tbl>
    <w:p w14:paraId="2B27CBC9">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28CF6201">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3B0EDCC7">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3A7FC8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4314A6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E81EE0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829E21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483E9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2A19E5B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1B4AEC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1C7EFC8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658EB84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5A99206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517EBBC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299023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7C189A1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4909699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546EB9E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16D995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7589C2A9">
      <w:pPr>
        <w:spacing w:line="360" w:lineRule="auto"/>
        <w:rPr>
          <w:rFonts w:hint="eastAsia" w:ascii="宋体" w:hAnsi="宋体"/>
          <w:szCs w:val="21"/>
        </w:rPr>
      </w:pPr>
    </w:p>
    <w:p w14:paraId="350CAD52">
      <w:pPr>
        <w:jc w:val="center"/>
        <w:rPr>
          <w:rFonts w:hint="eastAsia" w:ascii="黑体" w:hAnsi="宋体" w:eastAsia="黑体"/>
          <w:bCs/>
          <w:kern w:val="0"/>
          <w:sz w:val="24"/>
          <w:szCs w:val="24"/>
        </w:rPr>
      </w:pPr>
    </w:p>
    <w:p w14:paraId="19DD9F7E">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703430D1">
      <w:pPr>
        <w:jc w:val="center"/>
        <w:rPr>
          <w:rFonts w:hint="eastAsia" w:ascii="黑体" w:hAnsi="宋体" w:eastAsia="黑体"/>
          <w:bCs/>
          <w:kern w:val="0"/>
          <w:sz w:val="24"/>
          <w:szCs w:val="24"/>
          <w:lang w:eastAsia="zh-CN"/>
        </w:rPr>
      </w:pPr>
    </w:p>
    <w:p w14:paraId="392435D8">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1CD605B">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5A4C6EB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191FF75E">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6C3CD24F">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611A01EA">
      <w:pPr>
        <w:spacing w:line="360" w:lineRule="auto"/>
        <w:ind w:firstLine="422" w:firstLineChars="200"/>
        <w:rPr>
          <w:rFonts w:ascii="宋体" w:hAnsi="宋体"/>
          <w:b/>
          <w:bCs/>
          <w:szCs w:val="21"/>
        </w:rPr>
      </w:pPr>
    </w:p>
    <w:p w14:paraId="14C00354">
      <w:pPr>
        <w:rPr>
          <w:rFonts w:ascii="宋体" w:hAnsi="宋体"/>
          <w:szCs w:val="21"/>
        </w:rPr>
      </w:pPr>
      <w:r>
        <w:rPr>
          <w:rFonts w:hint="eastAsia"/>
          <w:szCs w:val="21"/>
          <w:u w:val="single"/>
        </w:rPr>
        <w:t>（备注：如联合体投标，仅需加盖牵头人的公章）</w:t>
      </w:r>
    </w:p>
    <w:p w14:paraId="40F12D0C">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25FB7854">
      <w:pPr>
        <w:ind w:left="0" w:leftChars="0" w:firstLine="480" w:firstLineChars="200"/>
        <w:rPr>
          <w:rFonts w:hint="eastAsia" w:ascii="黑体" w:hAnsi="宋体" w:eastAsia="黑体"/>
          <w:bCs/>
          <w:kern w:val="0"/>
          <w:sz w:val="24"/>
          <w:szCs w:val="32"/>
        </w:rPr>
      </w:pPr>
    </w:p>
    <w:p w14:paraId="24FD56D6">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3228A135">
      <w:pPr>
        <w:rPr>
          <w:rFonts w:ascii="Times New Roman" w:hAnsi="Times New Roman"/>
          <w:sz w:val="24"/>
          <w:szCs w:val="24"/>
        </w:rPr>
      </w:pPr>
    </w:p>
    <w:p w14:paraId="6DF6D4C8">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1953284E">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6A311A90">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736239C4">
      <w:pPr>
        <w:spacing w:line="360" w:lineRule="auto"/>
        <w:rPr>
          <w:rFonts w:ascii="Times New Roman" w:hAnsi="Times New Roman"/>
          <w:b/>
          <w:szCs w:val="21"/>
        </w:rPr>
      </w:pPr>
    </w:p>
    <w:p w14:paraId="3FC624D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CD4E134">
      <w:pPr>
        <w:spacing w:line="360" w:lineRule="auto"/>
        <w:rPr>
          <w:rFonts w:ascii="Times New Roman" w:hAnsi="Times New Roman"/>
          <w:b/>
          <w:sz w:val="24"/>
          <w:szCs w:val="24"/>
        </w:rPr>
      </w:pPr>
    </w:p>
    <w:p w14:paraId="6FD90234">
      <w:pPr>
        <w:rPr>
          <w:rFonts w:ascii="宋体" w:hAnsi="宋体"/>
          <w:szCs w:val="21"/>
        </w:rPr>
      </w:pPr>
      <w:r>
        <w:rPr>
          <w:rFonts w:hint="eastAsia"/>
          <w:szCs w:val="21"/>
          <w:u w:val="single"/>
        </w:rPr>
        <w:t>（备注：如联合体投标，单位一栏仅需填写牵头人的名称）</w:t>
      </w:r>
    </w:p>
    <w:p w14:paraId="36E077AB">
      <w:pPr>
        <w:spacing w:line="360" w:lineRule="auto"/>
        <w:rPr>
          <w:rFonts w:hint="eastAsia" w:ascii="Times New Roman" w:hAnsi="Times New Roman"/>
          <w:b/>
          <w:sz w:val="24"/>
          <w:szCs w:val="24"/>
          <w:lang w:val="en-US" w:eastAsia="zh-CN"/>
        </w:rPr>
      </w:pPr>
    </w:p>
    <w:p w14:paraId="2AD40417">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6D38639A">
      <w:pPr>
        <w:pStyle w:val="51"/>
        <w:rPr>
          <w:rFonts w:hint="eastAsia"/>
        </w:rPr>
      </w:pPr>
    </w:p>
    <w:p w14:paraId="103DC134">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15E453C8">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220051BD">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35410782">
      <w:pPr>
        <w:spacing w:line="360" w:lineRule="auto"/>
        <w:ind w:firstLine="420"/>
        <w:rPr>
          <w:rFonts w:ascii="Times New Roman" w:hAnsi="Times New Roman"/>
          <w:szCs w:val="21"/>
        </w:rPr>
      </w:pPr>
    </w:p>
    <w:p w14:paraId="1DB5149C">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40CCE138">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4AB02AE2">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7383DCBC">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0747C60A">
      <w:pPr>
        <w:spacing w:line="360" w:lineRule="auto"/>
        <w:ind w:left="540" w:leftChars="257"/>
        <w:rPr>
          <w:rFonts w:ascii="Times New Roman" w:hAnsi="Times New Roman"/>
          <w:szCs w:val="21"/>
          <w:u w:val="single"/>
        </w:rPr>
      </w:pPr>
    </w:p>
    <w:p w14:paraId="2BE4003C">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3C5DEFB9">
      <w:pPr>
        <w:rPr>
          <w:szCs w:val="21"/>
          <w:u w:val="single"/>
        </w:rPr>
      </w:pPr>
    </w:p>
    <w:p w14:paraId="5115AADF">
      <w:pPr>
        <w:rPr>
          <w:rFonts w:ascii="宋体" w:hAnsi="宋体"/>
          <w:szCs w:val="21"/>
        </w:rPr>
      </w:pPr>
      <w:r>
        <w:rPr>
          <w:rFonts w:hint="eastAsia"/>
          <w:szCs w:val="21"/>
          <w:u w:val="single"/>
        </w:rPr>
        <w:t>（备注：如联合体投标，投标供应商名称一栏仅需填写牵头人的名称）</w:t>
      </w:r>
    </w:p>
    <w:p w14:paraId="547D9071">
      <w:pPr>
        <w:spacing w:line="360" w:lineRule="auto"/>
        <w:rPr>
          <w:rFonts w:ascii="黑体" w:eastAsia="黑体"/>
          <w:b/>
          <w:sz w:val="24"/>
        </w:rPr>
      </w:pPr>
    </w:p>
    <w:p w14:paraId="6FB393D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342F737">
      <w:pPr>
        <w:pStyle w:val="51"/>
      </w:pPr>
    </w:p>
    <w:p w14:paraId="020CEBAC">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3DC5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197DBB5">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5966852C">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57782536">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2E41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F7E7B85">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00A9FA60">
            <w:pPr>
              <w:keepNext/>
              <w:keepLines/>
              <w:tabs>
                <w:tab w:val="left" w:pos="765"/>
              </w:tabs>
              <w:spacing w:line="376" w:lineRule="auto"/>
              <w:outlineLvl w:val="3"/>
              <w:rPr>
                <w:rFonts w:ascii="Times New Roman"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c>
          <w:tcPr>
            <w:tcW w:w="3685" w:type="dxa"/>
          </w:tcPr>
          <w:p w14:paraId="67C6C895">
            <w:pPr>
              <w:adjustRightInd w:val="0"/>
              <w:snapToGrid w:val="0"/>
              <w:spacing w:line="360" w:lineRule="auto"/>
              <w:rPr>
                <w:rFonts w:ascii="宋体" w:hAnsi="宋体"/>
                <w:kern w:val="0"/>
                <w:szCs w:val="21"/>
              </w:rPr>
            </w:pPr>
          </w:p>
        </w:tc>
      </w:tr>
    </w:tbl>
    <w:p w14:paraId="3F6019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5EFF77D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3E4A095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754F9F61">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4EC6FA9E">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0D02CF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ED70707">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33B06F9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ACA19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2DDEF12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1643" w:type="dxa"/>
            <w:vAlign w:val="center"/>
          </w:tcPr>
          <w:p w14:paraId="310424F2">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单价（单位：元）</w:t>
            </w:r>
          </w:p>
        </w:tc>
        <w:tc>
          <w:tcPr>
            <w:tcW w:w="1701" w:type="dxa"/>
            <w:vAlign w:val="center"/>
          </w:tcPr>
          <w:p w14:paraId="7773949E">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总价（单位：元）</w:t>
            </w:r>
          </w:p>
        </w:tc>
        <w:tc>
          <w:tcPr>
            <w:tcW w:w="1125" w:type="dxa"/>
            <w:vAlign w:val="center"/>
          </w:tcPr>
          <w:p w14:paraId="58873379">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0156A1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CB59B6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6E084386">
            <w:pPr>
              <w:adjustRightInd w:val="0"/>
              <w:snapToGrid w:val="0"/>
              <w:spacing w:line="300" w:lineRule="auto"/>
              <w:jc w:val="center"/>
              <w:rPr>
                <w:rFonts w:ascii="宋体" w:hAnsi="宋体"/>
                <w:szCs w:val="21"/>
                <w:lang w:val="zh-CN"/>
              </w:rPr>
            </w:pPr>
          </w:p>
        </w:tc>
        <w:tc>
          <w:tcPr>
            <w:tcW w:w="876" w:type="dxa"/>
            <w:vAlign w:val="center"/>
          </w:tcPr>
          <w:p w14:paraId="21DD7D59">
            <w:pPr>
              <w:adjustRightInd w:val="0"/>
              <w:snapToGrid w:val="0"/>
              <w:spacing w:line="300" w:lineRule="auto"/>
              <w:jc w:val="center"/>
              <w:rPr>
                <w:rFonts w:ascii="Times New Roman" w:hAnsi="Times New Roman"/>
                <w:snapToGrid w:val="0"/>
                <w:kern w:val="0"/>
                <w:szCs w:val="24"/>
              </w:rPr>
            </w:pPr>
          </w:p>
        </w:tc>
        <w:tc>
          <w:tcPr>
            <w:tcW w:w="909" w:type="dxa"/>
            <w:vAlign w:val="center"/>
          </w:tcPr>
          <w:p w14:paraId="269BFE7D">
            <w:pPr>
              <w:adjustRightInd w:val="0"/>
              <w:snapToGrid w:val="0"/>
              <w:spacing w:line="300" w:lineRule="auto"/>
              <w:jc w:val="center"/>
              <w:rPr>
                <w:rFonts w:ascii="Times New Roman" w:hAnsi="Times New Roman"/>
                <w:snapToGrid w:val="0"/>
                <w:kern w:val="0"/>
                <w:szCs w:val="24"/>
              </w:rPr>
            </w:pPr>
          </w:p>
        </w:tc>
        <w:tc>
          <w:tcPr>
            <w:tcW w:w="1643" w:type="dxa"/>
            <w:vAlign w:val="center"/>
          </w:tcPr>
          <w:p w14:paraId="762DEC98">
            <w:pPr>
              <w:adjustRightInd w:val="0"/>
              <w:snapToGrid w:val="0"/>
              <w:spacing w:line="300" w:lineRule="auto"/>
              <w:jc w:val="center"/>
              <w:rPr>
                <w:rFonts w:ascii="Times New Roman" w:hAnsi="Times New Roman"/>
                <w:snapToGrid w:val="0"/>
                <w:kern w:val="0"/>
                <w:szCs w:val="24"/>
              </w:rPr>
            </w:pPr>
          </w:p>
        </w:tc>
        <w:tc>
          <w:tcPr>
            <w:tcW w:w="1701" w:type="dxa"/>
            <w:vAlign w:val="center"/>
          </w:tcPr>
          <w:p w14:paraId="2C615352">
            <w:pPr>
              <w:adjustRightInd w:val="0"/>
              <w:snapToGrid w:val="0"/>
              <w:spacing w:line="300" w:lineRule="auto"/>
              <w:jc w:val="center"/>
              <w:rPr>
                <w:rFonts w:ascii="Times New Roman" w:hAnsi="Times New Roman"/>
                <w:snapToGrid w:val="0"/>
                <w:kern w:val="0"/>
                <w:szCs w:val="24"/>
              </w:rPr>
            </w:pPr>
          </w:p>
        </w:tc>
        <w:tc>
          <w:tcPr>
            <w:tcW w:w="1125" w:type="dxa"/>
            <w:vAlign w:val="center"/>
          </w:tcPr>
          <w:p w14:paraId="71CEBEA2">
            <w:pPr>
              <w:adjustRightInd w:val="0"/>
              <w:snapToGrid w:val="0"/>
              <w:spacing w:line="300" w:lineRule="auto"/>
              <w:jc w:val="center"/>
              <w:rPr>
                <w:rFonts w:ascii="Times New Roman" w:hAnsi="Times New Roman"/>
                <w:snapToGrid w:val="0"/>
                <w:kern w:val="0"/>
                <w:szCs w:val="24"/>
              </w:rPr>
            </w:pPr>
          </w:p>
        </w:tc>
      </w:tr>
      <w:tr w14:paraId="3FA9A4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15A92978">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2</w:t>
            </w:r>
          </w:p>
        </w:tc>
        <w:tc>
          <w:tcPr>
            <w:tcW w:w="2485" w:type="dxa"/>
            <w:vAlign w:val="center"/>
          </w:tcPr>
          <w:p w14:paraId="0D4A491C">
            <w:pPr>
              <w:adjustRightInd w:val="0"/>
              <w:snapToGrid w:val="0"/>
              <w:spacing w:line="300" w:lineRule="auto"/>
              <w:jc w:val="center"/>
              <w:rPr>
                <w:rFonts w:ascii="宋体" w:hAnsi="宋体"/>
                <w:szCs w:val="21"/>
                <w:lang w:val="zh-CN"/>
              </w:rPr>
            </w:pPr>
          </w:p>
        </w:tc>
        <w:tc>
          <w:tcPr>
            <w:tcW w:w="876" w:type="dxa"/>
            <w:vAlign w:val="center"/>
          </w:tcPr>
          <w:p w14:paraId="708A16AB">
            <w:pPr>
              <w:adjustRightInd w:val="0"/>
              <w:snapToGrid w:val="0"/>
              <w:spacing w:line="300" w:lineRule="auto"/>
              <w:jc w:val="center"/>
              <w:rPr>
                <w:rFonts w:ascii="Times New Roman" w:hAnsi="Times New Roman"/>
                <w:snapToGrid w:val="0"/>
                <w:kern w:val="0"/>
                <w:szCs w:val="24"/>
              </w:rPr>
            </w:pPr>
          </w:p>
        </w:tc>
        <w:tc>
          <w:tcPr>
            <w:tcW w:w="909" w:type="dxa"/>
            <w:vAlign w:val="center"/>
          </w:tcPr>
          <w:p w14:paraId="5B01ED45">
            <w:pPr>
              <w:adjustRightInd w:val="0"/>
              <w:snapToGrid w:val="0"/>
              <w:spacing w:line="300" w:lineRule="auto"/>
              <w:jc w:val="center"/>
              <w:rPr>
                <w:rFonts w:ascii="Times New Roman" w:hAnsi="Times New Roman"/>
                <w:snapToGrid w:val="0"/>
                <w:kern w:val="0"/>
                <w:szCs w:val="24"/>
              </w:rPr>
            </w:pPr>
          </w:p>
        </w:tc>
        <w:tc>
          <w:tcPr>
            <w:tcW w:w="1643" w:type="dxa"/>
            <w:vAlign w:val="center"/>
          </w:tcPr>
          <w:p w14:paraId="1855FA58">
            <w:pPr>
              <w:adjustRightInd w:val="0"/>
              <w:snapToGrid w:val="0"/>
              <w:spacing w:line="300" w:lineRule="auto"/>
              <w:jc w:val="center"/>
              <w:rPr>
                <w:rFonts w:ascii="Times New Roman" w:hAnsi="Times New Roman"/>
                <w:snapToGrid w:val="0"/>
                <w:kern w:val="0"/>
                <w:szCs w:val="24"/>
              </w:rPr>
            </w:pPr>
          </w:p>
        </w:tc>
        <w:tc>
          <w:tcPr>
            <w:tcW w:w="1701" w:type="dxa"/>
            <w:vAlign w:val="center"/>
          </w:tcPr>
          <w:p w14:paraId="07D64B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2C49303E">
            <w:pPr>
              <w:adjustRightInd w:val="0"/>
              <w:snapToGrid w:val="0"/>
              <w:spacing w:line="300" w:lineRule="auto"/>
              <w:jc w:val="center"/>
              <w:rPr>
                <w:rFonts w:ascii="Times New Roman" w:hAnsi="Times New Roman"/>
                <w:snapToGrid w:val="0"/>
                <w:kern w:val="0"/>
                <w:szCs w:val="24"/>
              </w:rPr>
            </w:pPr>
          </w:p>
        </w:tc>
      </w:tr>
      <w:tr w14:paraId="7499FF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47DE21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 xml:space="preserve">3 </w:t>
            </w:r>
          </w:p>
        </w:tc>
        <w:tc>
          <w:tcPr>
            <w:tcW w:w="2485" w:type="dxa"/>
            <w:vAlign w:val="center"/>
          </w:tcPr>
          <w:p w14:paraId="59E423DE">
            <w:pPr>
              <w:adjustRightInd w:val="0"/>
              <w:snapToGrid w:val="0"/>
              <w:spacing w:line="300" w:lineRule="auto"/>
              <w:jc w:val="center"/>
              <w:rPr>
                <w:rFonts w:ascii="宋体" w:hAnsi="宋体"/>
                <w:szCs w:val="21"/>
                <w:lang w:val="zh-CN"/>
              </w:rPr>
            </w:pPr>
          </w:p>
        </w:tc>
        <w:tc>
          <w:tcPr>
            <w:tcW w:w="876" w:type="dxa"/>
            <w:vAlign w:val="center"/>
          </w:tcPr>
          <w:p w14:paraId="3B2A92F8">
            <w:pPr>
              <w:adjustRightInd w:val="0"/>
              <w:snapToGrid w:val="0"/>
              <w:spacing w:line="300" w:lineRule="auto"/>
              <w:jc w:val="center"/>
              <w:rPr>
                <w:rFonts w:ascii="Times New Roman" w:hAnsi="Times New Roman"/>
                <w:snapToGrid w:val="0"/>
                <w:kern w:val="0"/>
                <w:szCs w:val="24"/>
              </w:rPr>
            </w:pPr>
          </w:p>
        </w:tc>
        <w:tc>
          <w:tcPr>
            <w:tcW w:w="909" w:type="dxa"/>
            <w:vAlign w:val="center"/>
          </w:tcPr>
          <w:p w14:paraId="5468CF0E">
            <w:pPr>
              <w:adjustRightInd w:val="0"/>
              <w:snapToGrid w:val="0"/>
              <w:spacing w:line="300" w:lineRule="auto"/>
              <w:jc w:val="center"/>
              <w:rPr>
                <w:rFonts w:ascii="Times New Roman" w:hAnsi="Times New Roman"/>
                <w:snapToGrid w:val="0"/>
                <w:kern w:val="0"/>
                <w:szCs w:val="24"/>
              </w:rPr>
            </w:pPr>
          </w:p>
        </w:tc>
        <w:tc>
          <w:tcPr>
            <w:tcW w:w="1643" w:type="dxa"/>
            <w:vAlign w:val="center"/>
          </w:tcPr>
          <w:p w14:paraId="0E4139CF">
            <w:pPr>
              <w:adjustRightInd w:val="0"/>
              <w:snapToGrid w:val="0"/>
              <w:spacing w:line="300" w:lineRule="auto"/>
              <w:jc w:val="center"/>
              <w:rPr>
                <w:rFonts w:ascii="Times New Roman" w:hAnsi="Times New Roman"/>
                <w:snapToGrid w:val="0"/>
                <w:kern w:val="0"/>
                <w:szCs w:val="24"/>
              </w:rPr>
            </w:pPr>
          </w:p>
        </w:tc>
        <w:tc>
          <w:tcPr>
            <w:tcW w:w="1701" w:type="dxa"/>
            <w:vAlign w:val="center"/>
          </w:tcPr>
          <w:p w14:paraId="670C0818">
            <w:pPr>
              <w:adjustRightInd w:val="0"/>
              <w:snapToGrid w:val="0"/>
              <w:spacing w:line="300" w:lineRule="auto"/>
              <w:jc w:val="center"/>
              <w:rPr>
                <w:rFonts w:ascii="Times New Roman" w:hAnsi="Times New Roman"/>
                <w:snapToGrid w:val="0"/>
                <w:kern w:val="0"/>
                <w:szCs w:val="24"/>
              </w:rPr>
            </w:pPr>
          </w:p>
        </w:tc>
        <w:tc>
          <w:tcPr>
            <w:tcW w:w="1125" w:type="dxa"/>
            <w:vAlign w:val="center"/>
          </w:tcPr>
          <w:p w14:paraId="302D2576">
            <w:pPr>
              <w:adjustRightInd w:val="0"/>
              <w:snapToGrid w:val="0"/>
              <w:spacing w:line="300" w:lineRule="auto"/>
              <w:jc w:val="center"/>
              <w:rPr>
                <w:rFonts w:ascii="Times New Roman" w:hAnsi="Times New Roman"/>
                <w:snapToGrid w:val="0"/>
                <w:kern w:val="0"/>
                <w:szCs w:val="24"/>
              </w:rPr>
            </w:pPr>
          </w:p>
        </w:tc>
      </w:tr>
      <w:tr w14:paraId="26AB3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0F5A8F2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4</w:t>
            </w:r>
          </w:p>
        </w:tc>
        <w:tc>
          <w:tcPr>
            <w:tcW w:w="2485" w:type="dxa"/>
            <w:vAlign w:val="center"/>
          </w:tcPr>
          <w:p w14:paraId="59164360">
            <w:pPr>
              <w:adjustRightInd w:val="0"/>
              <w:snapToGrid w:val="0"/>
              <w:spacing w:line="300" w:lineRule="auto"/>
              <w:jc w:val="center"/>
              <w:rPr>
                <w:rFonts w:ascii="宋体" w:hAnsi="宋体"/>
                <w:szCs w:val="21"/>
                <w:lang w:val="zh-CN"/>
              </w:rPr>
            </w:pPr>
          </w:p>
        </w:tc>
        <w:tc>
          <w:tcPr>
            <w:tcW w:w="876" w:type="dxa"/>
            <w:vAlign w:val="center"/>
          </w:tcPr>
          <w:p w14:paraId="7E35DD39">
            <w:pPr>
              <w:adjustRightInd w:val="0"/>
              <w:snapToGrid w:val="0"/>
              <w:spacing w:line="300" w:lineRule="auto"/>
              <w:jc w:val="center"/>
              <w:rPr>
                <w:rFonts w:ascii="Times New Roman" w:hAnsi="Times New Roman"/>
                <w:snapToGrid w:val="0"/>
                <w:kern w:val="0"/>
                <w:szCs w:val="24"/>
              </w:rPr>
            </w:pPr>
          </w:p>
        </w:tc>
        <w:tc>
          <w:tcPr>
            <w:tcW w:w="909" w:type="dxa"/>
            <w:vAlign w:val="center"/>
          </w:tcPr>
          <w:p w14:paraId="4FD42C6F">
            <w:pPr>
              <w:adjustRightInd w:val="0"/>
              <w:snapToGrid w:val="0"/>
              <w:spacing w:line="300" w:lineRule="auto"/>
              <w:jc w:val="center"/>
              <w:rPr>
                <w:rFonts w:ascii="Times New Roman" w:hAnsi="Times New Roman"/>
                <w:snapToGrid w:val="0"/>
                <w:kern w:val="0"/>
                <w:szCs w:val="24"/>
              </w:rPr>
            </w:pPr>
          </w:p>
        </w:tc>
        <w:tc>
          <w:tcPr>
            <w:tcW w:w="1643" w:type="dxa"/>
            <w:vAlign w:val="center"/>
          </w:tcPr>
          <w:p w14:paraId="5566AF93">
            <w:pPr>
              <w:adjustRightInd w:val="0"/>
              <w:snapToGrid w:val="0"/>
              <w:spacing w:line="300" w:lineRule="auto"/>
              <w:jc w:val="center"/>
              <w:rPr>
                <w:rFonts w:ascii="Times New Roman" w:hAnsi="Times New Roman"/>
                <w:snapToGrid w:val="0"/>
                <w:kern w:val="0"/>
                <w:szCs w:val="24"/>
              </w:rPr>
            </w:pPr>
          </w:p>
        </w:tc>
        <w:tc>
          <w:tcPr>
            <w:tcW w:w="1701" w:type="dxa"/>
            <w:vAlign w:val="center"/>
          </w:tcPr>
          <w:p w14:paraId="450F85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14139FA0">
            <w:pPr>
              <w:adjustRightInd w:val="0"/>
              <w:snapToGrid w:val="0"/>
              <w:spacing w:line="300" w:lineRule="auto"/>
              <w:jc w:val="center"/>
              <w:rPr>
                <w:rFonts w:ascii="Times New Roman" w:hAnsi="Times New Roman"/>
                <w:snapToGrid w:val="0"/>
                <w:kern w:val="0"/>
                <w:szCs w:val="24"/>
              </w:rPr>
            </w:pPr>
          </w:p>
        </w:tc>
      </w:tr>
      <w:tr w14:paraId="763A54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525C10E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5</w:t>
            </w:r>
          </w:p>
        </w:tc>
        <w:tc>
          <w:tcPr>
            <w:tcW w:w="2485" w:type="dxa"/>
            <w:tcBorders>
              <w:bottom w:val="single" w:color="auto" w:sz="4" w:space="0"/>
            </w:tcBorders>
            <w:vAlign w:val="center"/>
          </w:tcPr>
          <w:p w14:paraId="4D6DF71D">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00ECCB8F">
            <w:pPr>
              <w:adjustRightInd w:val="0"/>
              <w:snapToGrid w:val="0"/>
              <w:spacing w:line="300" w:lineRule="auto"/>
              <w:jc w:val="center"/>
              <w:rPr>
                <w:rFonts w:ascii="Times New Roman" w:hAnsi="Times New Roman"/>
                <w:snapToGrid w:val="0"/>
                <w:kern w:val="0"/>
                <w:szCs w:val="24"/>
              </w:rPr>
            </w:pPr>
          </w:p>
        </w:tc>
        <w:tc>
          <w:tcPr>
            <w:tcW w:w="909" w:type="dxa"/>
            <w:tcBorders>
              <w:bottom w:val="single" w:color="auto" w:sz="4" w:space="0"/>
            </w:tcBorders>
            <w:vAlign w:val="center"/>
          </w:tcPr>
          <w:p w14:paraId="02AC8E77">
            <w:pPr>
              <w:adjustRightInd w:val="0"/>
              <w:snapToGrid w:val="0"/>
              <w:spacing w:line="300" w:lineRule="auto"/>
              <w:jc w:val="center"/>
              <w:rPr>
                <w:rFonts w:ascii="Times New Roman" w:hAnsi="Times New Roman"/>
                <w:snapToGrid w:val="0"/>
                <w:kern w:val="0"/>
                <w:szCs w:val="24"/>
              </w:rPr>
            </w:pPr>
          </w:p>
        </w:tc>
        <w:tc>
          <w:tcPr>
            <w:tcW w:w="1643" w:type="dxa"/>
            <w:tcBorders>
              <w:bottom w:val="single" w:color="auto" w:sz="4" w:space="0"/>
            </w:tcBorders>
            <w:vAlign w:val="center"/>
          </w:tcPr>
          <w:p w14:paraId="41C36D43">
            <w:pPr>
              <w:adjustRightInd w:val="0"/>
              <w:snapToGrid w:val="0"/>
              <w:spacing w:line="300" w:lineRule="auto"/>
              <w:jc w:val="center"/>
              <w:rPr>
                <w:rFonts w:ascii="Times New Roman" w:hAnsi="Times New Roman"/>
                <w:snapToGrid w:val="0"/>
                <w:kern w:val="0"/>
                <w:szCs w:val="24"/>
              </w:rPr>
            </w:pPr>
          </w:p>
        </w:tc>
        <w:tc>
          <w:tcPr>
            <w:tcW w:w="1701" w:type="dxa"/>
            <w:tcBorders>
              <w:bottom w:val="single" w:color="auto" w:sz="4" w:space="0"/>
            </w:tcBorders>
            <w:vAlign w:val="center"/>
          </w:tcPr>
          <w:p w14:paraId="7FD0BA84">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24962BF4">
            <w:pPr>
              <w:adjustRightInd w:val="0"/>
              <w:snapToGrid w:val="0"/>
              <w:spacing w:line="300" w:lineRule="auto"/>
              <w:jc w:val="center"/>
              <w:rPr>
                <w:rFonts w:ascii="Times New Roman" w:hAnsi="Times New Roman"/>
                <w:snapToGrid w:val="0"/>
                <w:kern w:val="0"/>
                <w:szCs w:val="24"/>
              </w:rPr>
            </w:pPr>
          </w:p>
        </w:tc>
      </w:tr>
      <w:tr w14:paraId="0EBF1F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7CC4A4A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6</w:t>
            </w:r>
          </w:p>
        </w:tc>
        <w:tc>
          <w:tcPr>
            <w:tcW w:w="2485" w:type="dxa"/>
            <w:tcBorders>
              <w:top w:val="single" w:color="auto" w:sz="4" w:space="0"/>
              <w:bottom w:val="single" w:color="auto" w:sz="4" w:space="0"/>
            </w:tcBorders>
            <w:vAlign w:val="center"/>
          </w:tcPr>
          <w:p w14:paraId="16BE0D2C">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298FA6FA">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75B0A302">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280F9F03">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76D8E391">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0A1471A7">
            <w:pPr>
              <w:adjustRightInd w:val="0"/>
              <w:snapToGrid w:val="0"/>
              <w:spacing w:line="300" w:lineRule="auto"/>
              <w:jc w:val="center"/>
              <w:rPr>
                <w:rFonts w:ascii="Times New Roman" w:hAnsi="Times New Roman"/>
                <w:snapToGrid w:val="0"/>
                <w:kern w:val="0"/>
                <w:szCs w:val="24"/>
              </w:rPr>
            </w:pPr>
          </w:p>
        </w:tc>
      </w:tr>
      <w:tr w14:paraId="670A47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1801372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7</w:t>
            </w:r>
          </w:p>
        </w:tc>
        <w:tc>
          <w:tcPr>
            <w:tcW w:w="2485" w:type="dxa"/>
            <w:tcBorders>
              <w:top w:val="single" w:color="auto" w:sz="4" w:space="0"/>
              <w:bottom w:val="single" w:color="auto" w:sz="4" w:space="0"/>
            </w:tcBorders>
            <w:vAlign w:val="center"/>
          </w:tcPr>
          <w:p w14:paraId="37D68DAA">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02B809E8">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6C4B855B">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37DC29BB">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65D97FC7">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16698A1A">
            <w:pPr>
              <w:adjustRightInd w:val="0"/>
              <w:snapToGrid w:val="0"/>
              <w:spacing w:line="300" w:lineRule="auto"/>
              <w:jc w:val="center"/>
              <w:rPr>
                <w:rFonts w:ascii="Times New Roman" w:hAnsi="Times New Roman"/>
                <w:snapToGrid w:val="0"/>
                <w:kern w:val="0"/>
                <w:szCs w:val="24"/>
              </w:rPr>
            </w:pPr>
          </w:p>
        </w:tc>
      </w:tr>
      <w:tr w14:paraId="3E3506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1A5A61A9">
            <w:pPr>
              <w:adjustRightInd w:val="0"/>
              <w:snapToGrid w:val="0"/>
              <w:spacing w:line="300" w:lineRule="auto"/>
              <w:jc w:val="center"/>
              <w:rPr>
                <w:rFonts w:ascii="Times New Roman" w:hAnsi="Times New Roman"/>
                <w:snapToGrid w:val="0"/>
                <w:kern w:val="0"/>
                <w:szCs w:val="24"/>
              </w:rPr>
            </w:pPr>
            <w:r>
              <w:rPr>
                <w:rFonts w:hint="eastAsia" w:ascii="Times New Roman" w:hAnsi="Times New Roman"/>
                <w:snapToGrid w:val="0"/>
                <w:kern w:val="0"/>
                <w:szCs w:val="24"/>
              </w:rPr>
              <w:t>合</w:t>
            </w:r>
            <w:r>
              <w:rPr>
                <w:rFonts w:ascii="Times New Roman" w:hAnsi="Times New Roman"/>
                <w:snapToGrid w:val="0"/>
                <w:kern w:val="0"/>
                <w:szCs w:val="24"/>
              </w:rPr>
              <w:t xml:space="preserve">   </w:t>
            </w:r>
            <w:r>
              <w:rPr>
                <w:rFonts w:hint="eastAsia" w:ascii="Times New Roman" w:hAnsi="Times New Roman"/>
                <w:snapToGrid w:val="0"/>
                <w:kern w:val="0"/>
                <w:szCs w:val="24"/>
              </w:rPr>
              <w:t>计（即投标总价，单位：元）</w:t>
            </w:r>
          </w:p>
        </w:tc>
        <w:tc>
          <w:tcPr>
            <w:tcW w:w="1701" w:type="dxa"/>
            <w:tcBorders>
              <w:top w:val="single" w:color="auto" w:sz="4" w:space="0"/>
            </w:tcBorders>
            <w:vAlign w:val="center"/>
          </w:tcPr>
          <w:p w14:paraId="30DA7B50">
            <w:pPr>
              <w:adjustRightInd w:val="0"/>
              <w:snapToGrid w:val="0"/>
              <w:spacing w:line="300" w:lineRule="auto"/>
              <w:jc w:val="center"/>
              <w:rPr>
                <w:rFonts w:ascii="Times New Roman" w:hAnsi="Times New Roman"/>
                <w:snapToGrid w:val="0"/>
                <w:kern w:val="0"/>
                <w:szCs w:val="24"/>
              </w:rPr>
            </w:pPr>
          </w:p>
        </w:tc>
        <w:tc>
          <w:tcPr>
            <w:tcW w:w="1125" w:type="dxa"/>
            <w:tcBorders>
              <w:top w:val="single" w:color="auto" w:sz="4" w:space="0"/>
            </w:tcBorders>
            <w:vAlign w:val="center"/>
          </w:tcPr>
          <w:p w14:paraId="52FD4EB4">
            <w:pPr>
              <w:adjustRightInd w:val="0"/>
              <w:snapToGrid w:val="0"/>
              <w:spacing w:line="300" w:lineRule="auto"/>
              <w:jc w:val="center"/>
              <w:rPr>
                <w:rFonts w:ascii="Times New Roman" w:hAnsi="Times New Roman"/>
                <w:snapToGrid w:val="0"/>
                <w:kern w:val="0"/>
                <w:szCs w:val="24"/>
              </w:rPr>
            </w:pPr>
          </w:p>
        </w:tc>
      </w:tr>
    </w:tbl>
    <w:p w14:paraId="016F9A1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注：1、本表格仅为指导性范本，供应商可根据项目具体情况对各分项内容进行调整。</w:t>
      </w:r>
    </w:p>
    <w:p w14:paraId="7B9177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2、投标总价应为以上各分项价格之和。</w:t>
      </w:r>
    </w:p>
    <w:p w14:paraId="60C5A50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3、开标一览表的投标总价必须与以上分项报价清单的投标总价一致。</w:t>
      </w:r>
    </w:p>
    <w:p w14:paraId="4EE4E69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33E6802">
      <w:pPr>
        <w:keepNext/>
        <w:keepLines/>
        <w:tabs>
          <w:tab w:val="left" w:pos="765"/>
        </w:tabs>
        <w:spacing w:line="376" w:lineRule="auto"/>
        <w:outlineLvl w:val="3"/>
        <w:rPr>
          <w:rFonts w:asciiTheme="minorEastAsia" w:hAnsiTheme="minorEastAsia" w:eastAsiaTheme="minorEastAsia"/>
          <w:bCs/>
          <w:kern w:val="0"/>
          <w:szCs w:val="21"/>
        </w:rPr>
      </w:pPr>
    </w:p>
    <w:p w14:paraId="1F761FCA">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bl>
    <w:p w14:paraId="481C68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4C40710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4795A060">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18856264">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0BB97D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48E999F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32350FA9">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79AD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0E5A7B9">
            <w:pPr>
              <w:jc w:val="center"/>
              <w:rPr>
                <w:rFonts w:ascii="宋体" w:hAnsi="宋体"/>
                <w:szCs w:val="21"/>
              </w:rPr>
            </w:pPr>
            <w:r>
              <w:rPr>
                <w:rFonts w:hint="eastAsia" w:ascii="宋体" w:hAnsi="宋体"/>
                <w:szCs w:val="21"/>
              </w:rPr>
              <w:t>序号</w:t>
            </w:r>
          </w:p>
        </w:tc>
        <w:tc>
          <w:tcPr>
            <w:tcW w:w="2410" w:type="dxa"/>
            <w:vAlign w:val="center"/>
          </w:tcPr>
          <w:p w14:paraId="7AF764F6">
            <w:pPr>
              <w:jc w:val="center"/>
              <w:rPr>
                <w:rFonts w:ascii="宋体" w:hAnsi="宋体"/>
                <w:szCs w:val="21"/>
              </w:rPr>
            </w:pPr>
            <w:r>
              <w:rPr>
                <w:rFonts w:hint="eastAsia" w:ascii="宋体" w:hAnsi="宋体"/>
                <w:szCs w:val="21"/>
              </w:rPr>
              <w:t>招标文件商务要求</w:t>
            </w:r>
          </w:p>
        </w:tc>
        <w:tc>
          <w:tcPr>
            <w:tcW w:w="2551" w:type="dxa"/>
            <w:vAlign w:val="center"/>
          </w:tcPr>
          <w:p w14:paraId="42F0B6E4">
            <w:pPr>
              <w:jc w:val="center"/>
              <w:rPr>
                <w:rFonts w:ascii="宋体" w:hAnsi="宋体"/>
                <w:szCs w:val="21"/>
              </w:rPr>
            </w:pPr>
            <w:r>
              <w:rPr>
                <w:rFonts w:hint="eastAsia" w:ascii="宋体" w:hAnsi="宋体"/>
                <w:szCs w:val="21"/>
              </w:rPr>
              <w:t>投标文件商务响应</w:t>
            </w:r>
          </w:p>
        </w:tc>
        <w:tc>
          <w:tcPr>
            <w:tcW w:w="1344" w:type="dxa"/>
            <w:vAlign w:val="center"/>
          </w:tcPr>
          <w:p w14:paraId="62AFABD0">
            <w:pPr>
              <w:jc w:val="center"/>
              <w:rPr>
                <w:rFonts w:ascii="宋体" w:hAnsi="宋体"/>
                <w:szCs w:val="21"/>
              </w:rPr>
            </w:pPr>
            <w:r>
              <w:rPr>
                <w:rFonts w:hint="eastAsia" w:ascii="宋体" w:hAnsi="宋体"/>
                <w:szCs w:val="21"/>
              </w:rPr>
              <w:t>偏离情况</w:t>
            </w:r>
          </w:p>
        </w:tc>
        <w:tc>
          <w:tcPr>
            <w:tcW w:w="2008" w:type="dxa"/>
            <w:vAlign w:val="center"/>
          </w:tcPr>
          <w:p w14:paraId="18755FA9">
            <w:pPr>
              <w:jc w:val="center"/>
              <w:rPr>
                <w:rFonts w:ascii="宋体" w:hAnsi="宋体"/>
                <w:szCs w:val="21"/>
              </w:rPr>
            </w:pPr>
            <w:r>
              <w:rPr>
                <w:rFonts w:hint="eastAsia" w:ascii="宋体" w:hAnsi="宋体"/>
                <w:szCs w:val="21"/>
              </w:rPr>
              <w:t>说明</w:t>
            </w:r>
          </w:p>
        </w:tc>
      </w:tr>
      <w:tr w14:paraId="311F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00EEF4A7">
            <w:pPr>
              <w:rPr>
                <w:sz w:val="24"/>
              </w:rPr>
            </w:pPr>
          </w:p>
        </w:tc>
        <w:tc>
          <w:tcPr>
            <w:tcW w:w="2410" w:type="dxa"/>
          </w:tcPr>
          <w:p w14:paraId="03CB5AC6">
            <w:pPr>
              <w:rPr>
                <w:sz w:val="24"/>
              </w:rPr>
            </w:pPr>
          </w:p>
        </w:tc>
        <w:tc>
          <w:tcPr>
            <w:tcW w:w="2551" w:type="dxa"/>
          </w:tcPr>
          <w:p w14:paraId="629C5896">
            <w:pPr>
              <w:rPr>
                <w:sz w:val="24"/>
              </w:rPr>
            </w:pPr>
          </w:p>
        </w:tc>
        <w:tc>
          <w:tcPr>
            <w:tcW w:w="1344" w:type="dxa"/>
          </w:tcPr>
          <w:p w14:paraId="2A0C28EE">
            <w:pPr>
              <w:rPr>
                <w:sz w:val="24"/>
              </w:rPr>
            </w:pPr>
          </w:p>
        </w:tc>
        <w:tc>
          <w:tcPr>
            <w:tcW w:w="2008" w:type="dxa"/>
          </w:tcPr>
          <w:p w14:paraId="00CC59FA">
            <w:pPr>
              <w:rPr>
                <w:sz w:val="24"/>
              </w:rPr>
            </w:pPr>
            <w:r>
              <w:rPr>
                <w:rFonts w:hint="eastAsia"/>
                <w:szCs w:val="21"/>
              </w:rPr>
              <w:t>如需附证明文件，应在“说明”栏填写证明文件对应名称和页码。</w:t>
            </w:r>
          </w:p>
        </w:tc>
      </w:tr>
      <w:tr w14:paraId="7A13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57EF8A31">
            <w:pPr>
              <w:rPr>
                <w:sz w:val="24"/>
              </w:rPr>
            </w:pPr>
          </w:p>
        </w:tc>
        <w:tc>
          <w:tcPr>
            <w:tcW w:w="2410" w:type="dxa"/>
          </w:tcPr>
          <w:p w14:paraId="621CBA5F">
            <w:pPr>
              <w:rPr>
                <w:sz w:val="24"/>
              </w:rPr>
            </w:pPr>
          </w:p>
        </w:tc>
        <w:tc>
          <w:tcPr>
            <w:tcW w:w="2551" w:type="dxa"/>
          </w:tcPr>
          <w:p w14:paraId="4528F0C9">
            <w:pPr>
              <w:rPr>
                <w:sz w:val="24"/>
              </w:rPr>
            </w:pPr>
          </w:p>
        </w:tc>
        <w:tc>
          <w:tcPr>
            <w:tcW w:w="1344" w:type="dxa"/>
          </w:tcPr>
          <w:p w14:paraId="707065F9">
            <w:pPr>
              <w:rPr>
                <w:sz w:val="24"/>
              </w:rPr>
            </w:pPr>
          </w:p>
        </w:tc>
        <w:tc>
          <w:tcPr>
            <w:tcW w:w="2008" w:type="dxa"/>
          </w:tcPr>
          <w:p w14:paraId="0A5347C0">
            <w:pPr>
              <w:rPr>
                <w:sz w:val="24"/>
              </w:rPr>
            </w:pPr>
          </w:p>
        </w:tc>
      </w:tr>
    </w:tbl>
    <w:p w14:paraId="25B83E1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1BDA36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49B8AD4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14D39D3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3EE00CF2">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55E10043">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5B34A1CA">
      <w:pPr>
        <w:jc w:val="center"/>
        <w:rPr>
          <w:rFonts w:hint="eastAsia" w:ascii="宋体" w:hAnsi="宋体"/>
          <w:b/>
          <w:bCs/>
          <w:kern w:val="0"/>
          <w:sz w:val="24"/>
          <w:szCs w:val="20"/>
        </w:rPr>
      </w:pPr>
    </w:p>
    <w:p w14:paraId="178B501E">
      <w:pPr>
        <w:jc w:val="center"/>
        <w:rPr>
          <w:rFonts w:hint="eastAsia" w:ascii="宋体" w:hAnsi="宋体"/>
          <w:b/>
          <w:bCs/>
          <w:kern w:val="0"/>
          <w:sz w:val="24"/>
          <w:szCs w:val="20"/>
        </w:rPr>
      </w:pPr>
    </w:p>
    <w:p w14:paraId="73F422CA">
      <w:pPr>
        <w:jc w:val="center"/>
        <w:rPr>
          <w:rFonts w:hint="eastAsia" w:ascii="宋体" w:hAnsi="宋体"/>
          <w:b/>
          <w:bCs/>
          <w:kern w:val="0"/>
          <w:sz w:val="24"/>
          <w:szCs w:val="20"/>
        </w:rPr>
      </w:pPr>
    </w:p>
    <w:p w14:paraId="2212C60F">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2C820204">
      <w:pPr>
        <w:jc w:val="center"/>
        <w:rPr>
          <w:rFonts w:hint="eastAsia" w:ascii="黑体" w:hAnsi="宋体" w:eastAsia="黑体"/>
          <w:bCs/>
          <w:kern w:val="0"/>
          <w:sz w:val="24"/>
          <w:szCs w:val="24"/>
          <w:lang w:eastAsia="zh-CN"/>
        </w:rPr>
      </w:pPr>
    </w:p>
    <w:p w14:paraId="7B42746E">
      <w:pPr>
        <w:rPr>
          <w:rFonts w:hint="eastAsia" w:ascii="宋体" w:hAnsi="宋体"/>
          <w:b/>
          <w:bCs/>
          <w:kern w:val="0"/>
          <w:sz w:val="24"/>
          <w:szCs w:val="20"/>
        </w:rPr>
      </w:pPr>
      <w:r>
        <w:rPr>
          <w:rFonts w:hint="eastAsia" w:ascii="宋体" w:hAnsi="宋体"/>
          <w:b/>
          <w:bCs/>
          <w:kern w:val="0"/>
          <w:sz w:val="24"/>
          <w:szCs w:val="20"/>
        </w:rPr>
        <w:br w:type="page"/>
      </w:r>
    </w:p>
    <w:p w14:paraId="08129F67">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7318CE04">
      <w:pPr>
        <w:ind w:firstLine="411" w:firstLineChars="196"/>
        <w:rPr>
          <w:rFonts w:ascii="Times New Roman" w:hAnsi="Times New Roman"/>
          <w:szCs w:val="24"/>
        </w:rPr>
      </w:pPr>
    </w:p>
    <w:p w14:paraId="5EA205C0">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73521680"/>
      <w:bookmarkStart w:id="12" w:name="_Toc73517685"/>
      <w:bookmarkStart w:id="13" w:name="_Toc84303603"/>
      <w:bookmarkStart w:id="14" w:name="_Toc101074886"/>
      <w:bookmarkStart w:id="15" w:name="_Toc100052414"/>
      <w:bookmarkStart w:id="16" w:name="_Toc73521592"/>
      <w:bookmarkStart w:id="17" w:name="_Toc73518163"/>
    </w:p>
    <w:p w14:paraId="0C3E97E1">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0D6FB2FD">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6C6A0976">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6CFE4A57">
      <w:pPr>
        <w:snapToGrid w:val="0"/>
        <w:spacing w:line="560" w:lineRule="exact"/>
        <w:rPr>
          <w:sz w:val="24"/>
        </w:rPr>
      </w:pPr>
    </w:p>
    <w:p w14:paraId="6FE27CD7">
      <w:pPr>
        <w:snapToGrid w:val="0"/>
        <w:spacing w:line="560" w:lineRule="exact"/>
        <w:rPr>
          <w:sz w:val="24"/>
        </w:rPr>
      </w:pPr>
    </w:p>
    <w:p w14:paraId="5CCB77AF">
      <w:pPr>
        <w:snapToGrid w:val="0"/>
        <w:spacing w:line="560" w:lineRule="exact"/>
        <w:rPr>
          <w:sz w:val="24"/>
        </w:rPr>
      </w:pPr>
    </w:p>
    <w:p w14:paraId="457EC365">
      <w:pPr>
        <w:snapToGrid w:val="0"/>
        <w:spacing w:line="560" w:lineRule="exact"/>
        <w:rPr>
          <w:sz w:val="24"/>
        </w:rPr>
      </w:pPr>
    </w:p>
    <w:p w14:paraId="68EB4DF0">
      <w:pPr>
        <w:snapToGrid w:val="0"/>
        <w:spacing w:line="560" w:lineRule="exact"/>
        <w:rPr>
          <w:sz w:val="24"/>
        </w:rPr>
      </w:pPr>
    </w:p>
    <w:p w14:paraId="6ACB3AB4">
      <w:pPr>
        <w:snapToGrid w:val="0"/>
        <w:spacing w:line="560" w:lineRule="exact"/>
        <w:jc w:val="center"/>
        <w:outlineLvl w:val="0"/>
        <w:rPr>
          <w:rFonts w:ascii="黑体" w:eastAsia="黑体" w:cs="黑体"/>
          <w:sz w:val="36"/>
          <w:szCs w:val="36"/>
        </w:rPr>
      </w:pPr>
      <w:r>
        <w:rPr>
          <w:rFonts w:hint="eastAsia" w:ascii="宋体" w:hAnsi="宋体"/>
          <w:b/>
          <w:bCs/>
          <w:sz w:val="36"/>
          <w:szCs w:val="36"/>
          <w:u w:val="single"/>
        </w:rPr>
        <w:t>圳品工程--“圳品”标准体系建设和评价监督推广项目（</w:t>
      </w:r>
      <w:r>
        <w:rPr>
          <w:rFonts w:hint="eastAsia" w:ascii="宋体" w:hAnsi="宋体"/>
          <w:b/>
          <w:bCs/>
          <w:sz w:val="36"/>
          <w:szCs w:val="36"/>
          <w:u w:val="single"/>
          <w:lang w:val="en-US" w:eastAsia="zh-CN"/>
        </w:rPr>
        <w:t>C</w:t>
      </w:r>
      <w:r>
        <w:rPr>
          <w:rFonts w:hint="eastAsia" w:ascii="宋体" w:hAnsi="宋体"/>
          <w:b/>
          <w:bCs/>
          <w:sz w:val="36"/>
          <w:szCs w:val="36"/>
          <w:u w:val="single"/>
        </w:rPr>
        <w:t>包）</w:t>
      </w:r>
      <w:r>
        <w:rPr>
          <w:rFonts w:hint="eastAsia" w:ascii="黑体" w:eastAsia="黑体" w:cs="黑体"/>
          <w:sz w:val="36"/>
          <w:szCs w:val="36"/>
        </w:rPr>
        <w:t>合同</w:t>
      </w:r>
    </w:p>
    <w:p w14:paraId="0958F6F2">
      <w:pPr>
        <w:snapToGrid w:val="0"/>
        <w:spacing w:line="560" w:lineRule="exact"/>
        <w:rPr>
          <w:sz w:val="24"/>
        </w:rPr>
      </w:pPr>
    </w:p>
    <w:p w14:paraId="7739417D">
      <w:pPr>
        <w:snapToGrid w:val="0"/>
        <w:spacing w:line="560" w:lineRule="exact"/>
        <w:rPr>
          <w:sz w:val="24"/>
        </w:rPr>
      </w:pPr>
    </w:p>
    <w:p w14:paraId="067A288B">
      <w:pPr>
        <w:snapToGrid w:val="0"/>
        <w:spacing w:line="560" w:lineRule="exact"/>
        <w:rPr>
          <w:sz w:val="24"/>
        </w:rPr>
      </w:pPr>
    </w:p>
    <w:p w14:paraId="348D877A">
      <w:pPr>
        <w:snapToGrid w:val="0"/>
        <w:spacing w:line="560" w:lineRule="exact"/>
        <w:rPr>
          <w:sz w:val="24"/>
        </w:rPr>
      </w:pPr>
    </w:p>
    <w:p w14:paraId="30559FB8">
      <w:pPr>
        <w:snapToGrid w:val="0"/>
        <w:spacing w:line="560" w:lineRule="exact"/>
        <w:rPr>
          <w:sz w:val="24"/>
        </w:rPr>
      </w:pPr>
    </w:p>
    <w:p w14:paraId="13F08A61">
      <w:pPr>
        <w:snapToGrid w:val="0"/>
        <w:spacing w:line="560" w:lineRule="exact"/>
        <w:ind w:left="1260" w:hanging="1260" w:hangingChars="450"/>
        <w:rPr>
          <w:rFonts w:hint="eastAsia"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圳品工程--“圳品”标准体系建设和评价监督推广项目（</w:t>
      </w:r>
      <w:r>
        <w:rPr>
          <w:rFonts w:hint="eastAsia" w:ascii="黑体" w:eastAsia="黑体"/>
          <w:sz w:val="28"/>
          <w:szCs w:val="28"/>
          <w:u w:val="single"/>
          <w:lang w:val="en-US" w:eastAsia="zh-CN"/>
        </w:rPr>
        <w:t>C</w:t>
      </w:r>
      <w:r>
        <w:rPr>
          <w:rFonts w:hint="eastAsia" w:ascii="黑体" w:eastAsia="黑体"/>
          <w:sz w:val="28"/>
          <w:szCs w:val="28"/>
          <w:u w:val="single"/>
        </w:rPr>
        <w:t>包）合同</w:t>
      </w:r>
    </w:p>
    <w:p w14:paraId="71115DAF">
      <w:pPr>
        <w:snapToGrid w:val="0"/>
        <w:spacing w:line="560" w:lineRule="exact"/>
        <w:rPr>
          <w:rFonts w:ascii="黑体" w:eastAsia="黑体"/>
          <w:sz w:val="28"/>
          <w:szCs w:val="28"/>
        </w:rPr>
      </w:pPr>
      <w:r>
        <w:rPr>
          <w:rFonts w:hint="eastAsia" w:ascii="黑体" w:eastAsia="黑体"/>
          <w:sz w:val="28"/>
          <w:szCs w:val="28"/>
        </w:rPr>
        <w:t>甲    方：</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39D88129">
      <w:pPr>
        <w:snapToGrid w:val="0"/>
        <w:spacing w:line="560" w:lineRule="exact"/>
        <w:ind w:left="1400" w:hanging="1400" w:hangingChars="500"/>
        <w:rPr>
          <w:sz w:val="28"/>
          <w:szCs w:val="28"/>
          <w:u w:val="single"/>
        </w:rPr>
      </w:pPr>
      <w:r>
        <w:rPr>
          <w:rFonts w:hint="eastAsia" w:ascii="黑体" w:eastAsia="黑体"/>
          <w:sz w:val="28"/>
          <w:szCs w:val="28"/>
        </w:rPr>
        <w:t>乙    方：</w:t>
      </w:r>
      <w:r>
        <w:rPr>
          <w:rFonts w:hint="eastAsia" w:ascii="黑体" w:eastAsia="黑体"/>
          <w:sz w:val="28"/>
          <w:szCs w:val="28"/>
          <w:u w:val="single"/>
        </w:rPr>
        <w:t xml:space="preserve">                                               </w:t>
      </w:r>
    </w:p>
    <w:p w14:paraId="778A4BBE">
      <w:pPr>
        <w:snapToGrid w:val="0"/>
        <w:spacing w:line="560" w:lineRule="exact"/>
        <w:rPr>
          <w:sz w:val="28"/>
          <w:szCs w:val="28"/>
          <w:u w:val="single"/>
        </w:rPr>
      </w:pPr>
    </w:p>
    <w:p w14:paraId="1EF5E88E">
      <w:pPr>
        <w:snapToGrid w:val="0"/>
        <w:spacing w:line="560" w:lineRule="exact"/>
        <w:jc w:val="center"/>
        <w:rPr>
          <w:rFonts w:ascii="仿宋" w:eastAsia="仿宋"/>
          <w:sz w:val="28"/>
          <w:szCs w:val="28"/>
        </w:rPr>
      </w:pPr>
      <w:r>
        <w:rPr>
          <w:rFonts w:hint="eastAsia" w:ascii="仿宋" w:eastAsia="仿宋"/>
          <w:sz w:val="28"/>
          <w:szCs w:val="28"/>
        </w:rPr>
        <w:t>年   月   日</w:t>
      </w:r>
    </w:p>
    <w:p w14:paraId="43838D5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0DF0A1E2">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 ：</w:t>
      </w:r>
      <w:r>
        <w:rPr>
          <w:rFonts w:hint="eastAsia" w:asciiTheme="minorEastAsia" w:hAnsiTheme="minorEastAsia" w:eastAsiaTheme="minorEastAsia" w:cstheme="minorEastAsia"/>
          <w:sz w:val="21"/>
          <w:szCs w:val="21"/>
          <w:u w:val="single"/>
        </w:rPr>
        <w:t xml:space="preserve">                          </w:t>
      </w:r>
    </w:p>
    <w:p w14:paraId="20832EEA">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7916E579">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0C5AD16B">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乙方：</w:t>
      </w:r>
      <w:r>
        <w:rPr>
          <w:rFonts w:hint="eastAsia" w:asciiTheme="minorEastAsia" w:hAnsiTheme="minorEastAsia" w:eastAsiaTheme="minorEastAsia" w:cstheme="minorEastAsia"/>
          <w:sz w:val="21"/>
          <w:szCs w:val="21"/>
          <w:u w:val="single"/>
        </w:rPr>
        <w:t xml:space="preserve">                        </w:t>
      </w:r>
    </w:p>
    <w:p w14:paraId="6F097FC6">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35355027">
      <w:pPr>
        <w:snapToGrid w:val="0"/>
        <w:spacing w:line="5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4C14C5B1">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25FB61E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招标公告，乙方投标并依法被确定为中标人。现甲、乙双方根据《招标投标法》《中华人民共和国民法典》等有关法律规定，本着平等、自愿原则，经友好协商，签订本合同。</w:t>
      </w:r>
    </w:p>
    <w:p w14:paraId="0616F416">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项目内容</w:t>
      </w:r>
    </w:p>
    <w:p w14:paraId="0700054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1．项目名称：</w:t>
      </w:r>
      <w:r>
        <w:rPr>
          <w:rFonts w:hint="eastAsia" w:asciiTheme="minorEastAsia" w:hAnsiTheme="minorEastAsia" w:eastAsiaTheme="minorEastAsia" w:cstheme="minorEastAsia"/>
          <w:sz w:val="21"/>
          <w:szCs w:val="21"/>
          <w:u w:val="single"/>
        </w:rPr>
        <w:t>圳品工程--“圳品”标准体系建设和评价监督推广项目（C包）</w:t>
      </w:r>
    </w:p>
    <w:p w14:paraId="182C7C78">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2．项目内容、要求及实施阶段：</w:t>
      </w:r>
    </w:p>
    <w:p w14:paraId="40BAC35F">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（1）服务总体要求</w:t>
      </w:r>
    </w:p>
    <w:p w14:paraId="06C5BBBA">
      <w:pPr>
        <w:snapToGrid w:val="0"/>
        <w:spacing w:line="560" w:lineRule="exact"/>
        <w:ind w:firstLine="420" w:firstLineChars="200"/>
        <w:jc w:val="left"/>
        <w:rPr>
          <w:rFonts w:hint="eastAsia" w:asciiTheme="minorEastAsia" w:hAnsiTheme="minorEastAsia" w:eastAsiaTheme="minorEastAsia" w:cstheme="minorEastAsia"/>
          <w:sz w:val="21"/>
          <w:szCs w:val="21"/>
          <w:highlight w:val="yellow"/>
          <w:u w:val="single"/>
          <w:lang w:eastAsia="zh"/>
        </w:rPr>
      </w:pPr>
      <w:r>
        <w:rPr>
          <w:rFonts w:hint="eastAsia" w:asciiTheme="minorEastAsia" w:hAnsiTheme="minorEastAsia" w:eastAsiaTheme="minorEastAsia" w:cstheme="minorEastAsia"/>
          <w:sz w:val="21"/>
          <w:szCs w:val="21"/>
          <w:u w:val="single"/>
        </w:rPr>
        <w:t>乙方</w:t>
      </w:r>
      <w:r>
        <w:rPr>
          <w:rFonts w:hint="eastAsia" w:asciiTheme="minorEastAsia" w:hAnsiTheme="minorEastAsia" w:eastAsiaTheme="minorEastAsia" w:cstheme="minorEastAsia"/>
          <w:sz w:val="21"/>
          <w:szCs w:val="21"/>
          <w:u w:val="single"/>
          <w:lang w:eastAsia="zh"/>
        </w:rPr>
        <w:t>须根据本项目的实际情况，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w:t>
      </w:r>
      <w:r>
        <w:rPr>
          <w:rFonts w:hint="eastAsia" w:asciiTheme="minorEastAsia" w:hAnsiTheme="minorEastAsia" w:eastAsiaTheme="minorEastAsia" w:cstheme="minorEastAsia"/>
          <w:sz w:val="21"/>
          <w:szCs w:val="21"/>
          <w:u w:val="single"/>
        </w:rPr>
        <w:t>甲方</w:t>
      </w:r>
      <w:r>
        <w:rPr>
          <w:rFonts w:hint="eastAsia" w:asciiTheme="minorEastAsia" w:hAnsiTheme="minorEastAsia" w:eastAsiaTheme="minorEastAsia" w:cstheme="minorEastAsia"/>
          <w:sz w:val="21"/>
          <w:szCs w:val="21"/>
          <w:u w:val="single"/>
          <w:lang w:eastAsia="zh"/>
        </w:rPr>
        <w:t>监督，确保项目工作高质量完成。其服务主要内容为组织实施“圳品”申报产品的文件评审及现场评价工作，并出具评价报告；出具“圳品”产品的评价报告不少于200个，其中预包装食品的评价报告不少于110个。</w:t>
      </w:r>
    </w:p>
    <w:p w14:paraId="64B852EA">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（2）项目内容和要求</w:t>
      </w:r>
    </w:p>
    <w:p w14:paraId="0935DD9A">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①风险研判</w:t>
      </w:r>
    </w:p>
    <w:p w14:paraId="60292442">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kern w:val="2"/>
          <w:sz w:val="21"/>
          <w:szCs w:val="21"/>
          <w:u w:val="single"/>
          <w:lang w:val="en" w:eastAsia="zh"/>
        </w:rPr>
        <w:t>项目内容：</w:t>
      </w:r>
      <w:r>
        <w:rPr>
          <w:rFonts w:hint="eastAsia" w:asciiTheme="minorEastAsia" w:hAnsiTheme="minorEastAsia" w:eastAsiaTheme="minorEastAsia" w:cstheme="minorEastAsia"/>
          <w:kern w:val="2"/>
          <w:sz w:val="21"/>
          <w:szCs w:val="21"/>
          <w:u w:val="single"/>
          <w:lang w:val="en" w:eastAsia="zh"/>
        </w:rPr>
        <w:t>及时发现并对“圳品工程”运行过程中产生的问题作出风险研判，并提出合理化建议，同时对评价过程中发现的企业食品安全风险给予评价意见和风险提示。</w:t>
      </w:r>
    </w:p>
    <w:p w14:paraId="08404B53">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②企业培训、申报咨询与系统录入辅导</w:t>
      </w:r>
    </w:p>
    <w:p w14:paraId="5471C57A">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kern w:val="2"/>
          <w:sz w:val="21"/>
          <w:szCs w:val="21"/>
          <w:u w:val="single"/>
          <w:lang w:val="en" w:eastAsia="zh"/>
        </w:rPr>
        <w:t>项目内容：</w:t>
      </w:r>
      <w:r>
        <w:rPr>
          <w:rFonts w:hint="eastAsia" w:asciiTheme="minorEastAsia" w:hAnsiTheme="minorEastAsia" w:eastAsiaTheme="minorEastAsia" w:cstheme="minorEastAsia"/>
          <w:kern w:val="2"/>
          <w:sz w:val="21"/>
          <w:szCs w:val="21"/>
          <w:u w:val="single"/>
          <w:lang w:val="en" w:eastAsia="zh"/>
        </w:rPr>
        <w:t>接受企业咨询，辅导并协助企业完成申报系统录入。</w:t>
      </w:r>
    </w:p>
    <w:p w14:paraId="08AD1D27">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③对企业申报材料进行获评成功性的评估以及实质性评审</w:t>
      </w:r>
    </w:p>
    <w:p w14:paraId="15F02F81">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kern w:val="2"/>
          <w:sz w:val="21"/>
          <w:szCs w:val="21"/>
          <w:u w:val="single"/>
          <w:lang w:val="en" w:eastAsia="zh"/>
        </w:rPr>
        <w:t>项目内容：</w:t>
      </w:r>
      <w:r>
        <w:rPr>
          <w:rFonts w:hint="eastAsia" w:asciiTheme="minorEastAsia" w:hAnsiTheme="minorEastAsia" w:eastAsiaTheme="minorEastAsia" w:cstheme="minorEastAsia"/>
          <w:kern w:val="2"/>
          <w:sz w:val="21"/>
          <w:szCs w:val="21"/>
          <w:u w:val="single"/>
          <w:lang w:val="en" w:eastAsia="zh"/>
        </w:rPr>
        <w:t>组织实施对产品申报材料的实质性评审，并出具材料评审报告。获评成功的“圳品”评审报告不少于200个，其中，预包装食品的评审报告不少于110个。</w:t>
      </w:r>
    </w:p>
    <w:p w14:paraId="33C4B621">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④现场评价策划</w:t>
      </w:r>
    </w:p>
    <w:p w14:paraId="062CAEE3">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kern w:val="2"/>
          <w:sz w:val="21"/>
          <w:szCs w:val="21"/>
          <w:u w:val="single"/>
          <w:lang w:val="en" w:eastAsia="zh"/>
        </w:rPr>
        <w:t>项目内容：</w:t>
      </w:r>
      <w:r>
        <w:rPr>
          <w:rFonts w:hint="eastAsia" w:asciiTheme="minorEastAsia" w:hAnsiTheme="minorEastAsia" w:eastAsiaTheme="minorEastAsia" w:cstheme="minorEastAsia"/>
          <w:kern w:val="2"/>
          <w:sz w:val="21"/>
          <w:szCs w:val="21"/>
          <w:u w:val="single"/>
          <w:lang w:val="en" w:eastAsia="zh"/>
        </w:rPr>
        <w:t>文件评审通过后，组建现场评价组，筹备所需的评价资源，并制定现场评价计划书。</w:t>
      </w:r>
    </w:p>
    <w:p w14:paraId="45A5BCF6">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⑤组织实施“圳品”产品的现场评价</w:t>
      </w:r>
    </w:p>
    <w:p w14:paraId="5A22C862">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kern w:val="2"/>
          <w:sz w:val="21"/>
          <w:szCs w:val="21"/>
          <w:u w:val="single"/>
          <w:lang w:val="en" w:eastAsia="zh"/>
        </w:rPr>
        <w:t>项目内容：</w:t>
      </w:r>
      <w:r>
        <w:rPr>
          <w:rFonts w:hint="eastAsia" w:asciiTheme="minorEastAsia" w:hAnsiTheme="minorEastAsia" w:eastAsiaTheme="minorEastAsia" w:cstheme="minorEastAsia"/>
          <w:kern w:val="2"/>
          <w:sz w:val="21"/>
          <w:szCs w:val="21"/>
          <w:u w:val="single"/>
          <w:lang w:val="en" w:eastAsia="zh"/>
        </w:rPr>
        <w:t>依据评价工作制度性文件及所制的评价计划，组织实施产品的现场评价，并出具现场评价报告，其中获评成功的“圳品”评价报告不少于200个，且预包装食品的评价报告不少于110个。在现场评价启动前，对申报产品的获评成功率及现场评价实施必要性进行充分评估，提升评价经费的使用质效。现场评价重点包括：企业管理体系、生产基地环境及管理、生产（加工）过程管控、产品包装、贮藏、运输过程管理、产品质量管理、产品追溯等方面。现场评价过程须严格遵循评价计划的任务分工和要求，通过观察、询问、资料查阅等方式，确保评价工作真实、客观、全面。评价记录应真实、清晰、完整、可追溯，确保《“圳品”评价工作规范》所列条款无遗漏。准确记录不符合项和观察项，核验企业整改情况并做好记录。在现场评价过程中，结合实际情况对申报企业开展针对性培训，指导其理解和落实“圳品”标准要求。根据评价结果，编制并提交现场评价报告，作出结论性意见。</w:t>
      </w:r>
    </w:p>
    <w:p w14:paraId="59D01C2A">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⑥及时、快速、准确完成评价信息录入、数据梳理报送、评价档案整理等工作</w:t>
      </w:r>
    </w:p>
    <w:p w14:paraId="629F4F8F">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kern w:val="2"/>
          <w:sz w:val="21"/>
          <w:szCs w:val="21"/>
          <w:u w:val="single"/>
          <w:lang w:val="en" w:eastAsia="zh"/>
        </w:rPr>
        <w:t>项目内容：</w:t>
      </w:r>
      <w:r>
        <w:rPr>
          <w:rFonts w:hint="eastAsia" w:asciiTheme="minorEastAsia" w:hAnsiTheme="minorEastAsia" w:eastAsiaTheme="minorEastAsia" w:cstheme="minorEastAsia"/>
          <w:kern w:val="2"/>
          <w:sz w:val="21"/>
          <w:szCs w:val="21"/>
          <w:u w:val="single"/>
          <w:lang w:val="en" w:eastAsia="zh"/>
        </w:rPr>
        <w:t>确保评价全过程的信息完整、真实录入，评价数据收集、梳理，系统梳理、汇总形成完整的电子版和纸质版评价档案，并按要求完成档案的归档和提交，对档案的真实性、准确性和完整性负责。</w:t>
      </w:r>
    </w:p>
    <w:p w14:paraId="126D7469">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⑦参与“专家评审会”“供深食品标准工作委员会”的审议工作</w:t>
      </w:r>
    </w:p>
    <w:p w14:paraId="16102C90">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kern w:val="2"/>
          <w:sz w:val="21"/>
          <w:szCs w:val="21"/>
          <w:u w:val="single"/>
          <w:lang w:val="en" w:eastAsia="zh"/>
        </w:rPr>
        <w:t>项目内容：</w:t>
      </w:r>
      <w:r>
        <w:rPr>
          <w:rFonts w:hint="eastAsia" w:asciiTheme="minorEastAsia" w:hAnsiTheme="minorEastAsia" w:eastAsiaTheme="minorEastAsia" w:cstheme="minorEastAsia"/>
          <w:kern w:val="2"/>
          <w:sz w:val="21"/>
          <w:szCs w:val="21"/>
          <w:u w:val="single"/>
          <w:lang w:val="en" w:eastAsia="zh"/>
        </w:rPr>
        <w:t>指定对上会产品业务熟练的工作人员，参与“圳品”专家评审会及“供深食品标准工作委员会”会务准备及审议工作，保证上会材料的质量，并对专家或委员会、委员提出的问题，进行专业解答、问题整改及后续完善。</w:t>
      </w:r>
    </w:p>
    <w:p w14:paraId="1290A23C">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⑧风险信息核查处理及反馈</w:t>
      </w:r>
    </w:p>
    <w:p w14:paraId="1DF72FB9">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kern w:val="2"/>
          <w:sz w:val="21"/>
          <w:szCs w:val="21"/>
          <w:u w:val="single"/>
          <w:lang w:val="en" w:eastAsia="zh"/>
        </w:rPr>
        <w:t>项目内容：</w:t>
      </w:r>
      <w:r>
        <w:rPr>
          <w:rFonts w:hint="eastAsia" w:asciiTheme="minorEastAsia" w:hAnsiTheme="minorEastAsia" w:eastAsiaTheme="minorEastAsia" w:cstheme="minorEastAsia"/>
          <w:kern w:val="2"/>
          <w:sz w:val="21"/>
          <w:szCs w:val="21"/>
          <w:u w:val="single"/>
          <w:lang w:val="en" w:eastAsia="zh"/>
        </w:rPr>
        <w:t>对申报企业的食品安全情况、“圳品”产品情况进行全流程动态跟踪。对产品风险信息进行核查和处理，及时反馈处理情况。制定应急预案，做好应急响应。</w:t>
      </w:r>
    </w:p>
    <w:p w14:paraId="695FCF48">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⑨与“圳品”获评企业沟通互动</w:t>
      </w:r>
    </w:p>
    <w:p w14:paraId="49096C6C">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kern w:val="2"/>
          <w:sz w:val="21"/>
          <w:szCs w:val="21"/>
          <w:u w:val="single"/>
          <w:lang w:val="en" w:eastAsia="zh"/>
        </w:rPr>
        <w:t>项目内容：</w:t>
      </w:r>
      <w:r>
        <w:rPr>
          <w:rFonts w:hint="eastAsia" w:asciiTheme="minorEastAsia" w:hAnsiTheme="minorEastAsia" w:eastAsiaTheme="minorEastAsia" w:cstheme="minorEastAsia"/>
          <w:kern w:val="2"/>
          <w:sz w:val="21"/>
          <w:szCs w:val="21"/>
          <w:u w:val="single"/>
          <w:lang w:val="en" w:eastAsia="zh"/>
        </w:rPr>
        <w:t>对所评价并获评“圳品”的企业建立动态沟通机制，随时响应紧急情况的查询以及确认反馈。</w:t>
      </w:r>
    </w:p>
    <w:p w14:paraId="0730C41C">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⑩‌建立和运行沟通协同工作机制</w:t>
      </w:r>
    </w:p>
    <w:p w14:paraId="5A48881C">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kern w:val="2"/>
          <w:sz w:val="21"/>
          <w:szCs w:val="21"/>
          <w:u w:val="single"/>
          <w:lang w:val="en" w:eastAsia="zh-CN"/>
        </w:rPr>
        <w:t>项目内容：</w:t>
      </w:r>
      <w:r>
        <w:rPr>
          <w:rFonts w:hint="eastAsia" w:asciiTheme="minorEastAsia" w:hAnsiTheme="minorEastAsia" w:eastAsiaTheme="minorEastAsia" w:cstheme="minorEastAsia"/>
          <w:kern w:val="2"/>
          <w:sz w:val="21"/>
          <w:szCs w:val="21"/>
          <w:u w:val="single"/>
          <w:lang w:val="en" w:eastAsia="zh"/>
        </w:rPr>
        <w:t>建立与负责“圳品”申报产品抽检机构的常态化沟通机制和协同机制，将现场评价中发现的过程性食品安全风险等信息清晰梳理并第一时间反馈至抽检机构，为抽检机构制定抽检计划提供依据，提高抽检的靶向性，确保评价与抽检环节信息互通、协同联动，需要协同的环节和点位不能脱节、不能滞后。</w:t>
      </w:r>
    </w:p>
    <w:p w14:paraId="16F870D5">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3．乙方应于合同生效后三日内向甲方提交项目具体实施方案，经甲方审核确认后，乙方受实施方案约束。具体实施方案原则上应当与</w:t>
      </w:r>
      <w:r>
        <w:rPr>
          <w:rFonts w:hint="eastAsia" w:asciiTheme="minorEastAsia" w:hAnsiTheme="minorEastAsia" w:eastAsiaTheme="minorEastAsia" w:cstheme="minorEastAsia"/>
          <w:bCs/>
          <w:sz w:val="21"/>
          <w:szCs w:val="21"/>
        </w:rPr>
        <w:t>招标文件的要求或投标文件的承诺保持一致，除甲方要求作出修改的。</w:t>
      </w:r>
    </w:p>
    <w:p w14:paraId="4A1CBE4F">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合同期限</w:t>
      </w:r>
    </w:p>
    <w:p w14:paraId="1DC8C0E8">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1．合同签订之日起至</w:t>
      </w:r>
      <w:r>
        <w:rPr>
          <w:rFonts w:hint="eastAsia" w:asciiTheme="minorEastAsia" w:hAnsiTheme="minorEastAsia" w:eastAsiaTheme="minorEastAsia" w:cstheme="minorEastAsia"/>
          <w:sz w:val="21"/>
          <w:szCs w:val="21"/>
          <w:u w:val="single"/>
        </w:rPr>
        <w:t>2026</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12</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31</w:t>
      </w:r>
      <w:r>
        <w:rPr>
          <w:rFonts w:hint="eastAsia" w:asciiTheme="minorEastAsia" w:hAnsiTheme="minorEastAsia" w:eastAsiaTheme="minorEastAsia" w:cstheme="minorEastAsia"/>
          <w:sz w:val="21"/>
          <w:szCs w:val="21"/>
        </w:rPr>
        <w:t>日前完成。☑本项目不属于长期服务项目。</w:t>
      </w:r>
    </w:p>
    <w:p w14:paraId="2D54CDEC">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2．因乙方交付成果未通过验收而进行整改的，也应在上述日期之前完成整改，否则视为乙方违约。</w:t>
      </w:r>
    </w:p>
    <w:p w14:paraId="15CDB5E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3．乙方在服务期满，后续服务公司未到位前仍按原合同服务承诺提供服务，甲方无需向乙方支付任何款项。</w:t>
      </w:r>
    </w:p>
    <w:p w14:paraId="5712890F">
      <w:pPr>
        <w:numPr>
          <w:ilvl w:val="0"/>
          <w:numId w:val="1"/>
        </w:numPr>
        <w:snapToGrid w:val="0"/>
        <w:spacing w:line="560" w:lineRule="exact"/>
        <w:ind w:hanging="318"/>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乙方人员配置</w:t>
      </w:r>
    </w:p>
    <w:p w14:paraId="506674D9">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1．为实施本项目，乙方指定</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为项目对接人。乙方应配备项目工作人员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名，其中项目人员、职称、专业等方面情况如下表。</w:t>
      </w:r>
    </w:p>
    <w:p w14:paraId="742EE7E9">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2．乙方配备的项目工作人员及配备人员的资质应当</w:t>
      </w:r>
      <w:r>
        <w:rPr>
          <w:rFonts w:hint="eastAsia" w:asciiTheme="minorEastAsia" w:hAnsiTheme="minorEastAsia" w:eastAsiaTheme="minorEastAsia" w:cstheme="minorEastAsia"/>
          <w:bCs/>
          <w:sz w:val="21"/>
          <w:szCs w:val="21"/>
        </w:rPr>
        <w:t>与招标文件的要求或投标文件的承诺保持一致，非经甲方同意不得更换。</w:t>
      </w:r>
    </w:p>
    <w:p w14:paraId="1A7DA8F5">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3．乙方保证上述工作人员信息的真实性，并对工作人员在工作中的行为承担最终法律责任。</w:t>
      </w:r>
    </w:p>
    <w:p w14:paraId="1FC6BF57">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合同费用及支付</w:t>
      </w:r>
    </w:p>
    <w:p w14:paraId="7FE038F6">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1．甲方就合同事项向乙方支付的费用总额为人民币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），该费用包含但不限于乙方所承担的税费、工作人员和专家报酬、场地使用费、印刷费、耗材费、差旅费以及合理的利润等。除经协商一致变更本合同外，甲方无需再向乙方支付任何款项。</w:t>
      </w:r>
    </w:p>
    <w:p w14:paraId="7D2629B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2．甲方将依照招标公告的要求选择以下方式向乙方支付合同费用：</w:t>
      </w:r>
    </w:p>
    <w:p w14:paraId="12A232CA">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分期付款</w:t>
      </w:r>
      <w:r>
        <w:rPr>
          <w:rFonts w:hint="eastAsia" w:asciiTheme="minorEastAsia" w:hAnsiTheme="minorEastAsia" w:eastAsiaTheme="minorEastAsia" w:cstheme="minorEastAsia"/>
          <w:sz w:val="21"/>
          <w:szCs w:val="21"/>
        </w:rPr>
        <w:t>：本合同生效且乙方提供符合规定的发票之日起</w:t>
      </w:r>
      <w:r>
        <w:rPr>
          <w:rFonts w:hint="eastAsia" w:asciiTheme="minorEastAsia" w:hAnsiTheme="minorEastAsia" w:eastAsiaTheme="minorEastAsia" w:cstheme="minorEastAsia"/>
          <w:sz w:val="21"/>
          <w:szCs w:val="21"/>
          <w:u w:val="single"/>
        </w:rPr>
        <w:t>10</w:t>
      </w:r>
      <w:r>
        <w:rPr>
          <w:rFonts w:hint="eastAsia" w:asciiTheme="minorEastAsia" w:hAnsiTheme="minorEastAsia" w:eastAsiaTheme="minorEastAsia" w:cstheme="minorEastAsia"/>
          <w:sz w:val="21"/>
          <w:szCs w:val="21"/>
        </w:rPr>
        <w:t>个工作日内，甲方向乙方支付合同总额的</w:t>
      </w:r>
      <w:r>
        <w:rPr>
          <w:rFonts w:hint="eastAsia" w:asciiTheme="minorEastAsia" w:hAnsiTheme="minorEastAsia" w:eastAsiaTheme="minorEastAsia" w:cstheme="minorEastAsia"/>
          <w:sz w:val="21"/>
          <w:szCs w:val="21"/>
          <w:u w:val="single"/>
        </w:rPr>
        <w:t>50</w:t>
      </w:r>
      <w:r>
        <w:rPr>
          <w:rFonts w:hint="eastAsia" w:asciiTheme="minorEastAsia" w:hAnsiTheme="minorEastAsia" w:eastAsiaTheme="minorEastAsia" w:cstheme="minorEastAsia"/>
          <w:sz w:val="21"/>
          <w:szCs w:val="21"/>
        </w:rPr>
        <w:t>%，即人民币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），余款按照进度验收后支付。</w:t>
      </w:r>
    </w:p>
    <w:p w14:paraId="22A3AC19">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一次性付款：</w:t>
      </w:r>
      <w:r>
        <w:rPr>
          <w:rFonts w:hint="eastAsia" w:asciiTheme="minorEastAsia" w:hAnsiTheme="minorEastAsia" w:eastAsiaTheme="minorEastAsia" w:cstheme="minorEastAsia"/>
          <w:sz w:val="21"/>
          <w:szCs w:val="21"/>
        </w:rPr>
        <w:t>乙方交付成果且经甲方验收合格后，由乙方提供符合规定的发票，甲方应于收到发票之日起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个工作日内，一次性支付合同款项人民币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元（小写：</w:t>
      </w:r>
      <w:r>
        <w:rPr>
          <w:rFonts w:hint="eastAsia" w:asciiTheme="minorEastAsia" w:hAnsiTheme="minorEastAsia" w:eastAsiaTheme="minorEastAsia" w:cstheme="minorEastAsia"/>
          <w:sz w:val="21"/>
          <w:szCs w:val="21"/>
          <w:u w:val="single"/>
        </w:rPr>
        <w:t xml:space="preserve">  ￥             </w:t>
      </w:r>
      <w:r>
        <w:rPr>
          <w:rFonts w:hint="eastAsia" w:asciiTheme="minorEastAsia" w:hAnsiTheme="minorEastAsia" w:eastAsiaTheme="minorEastAsia" w:cstheme="minorEastAsia"/>
          <w:sz w:val="21"/>
          <w:szCs w:val="21"/>
        </w:rPr>
        <w:t>）。</w:t>
      </w:r>
    </w:p>
    <w:p w14:paraId="6258BA9A">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其他付款方式：                                      </w:t>
      </w:r>
    </w:p>
    <w:p w14:paraId="693E0218">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3．乙方指定收款银行账户信息如下：</w:t>
      </w:r>
    </w:p>
    <w:p w14:paraId="7151380D">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开户单位：</w:t>
      </w:r>
      <w:r>
        <w:rPr>
          <w:rFonts w:hint="eastAsia" w:asciiTheme="minorEastAsia" w:hAnsiTheme="minorEastAsia" w:eastAsiaTheme="minorEastAsia" w:cstheme="minorEastAsia"/>
          <w:sz w:val="21"/>
          <w:szCs w:val="21"/>
          <w:u w:val="single"/>
        </w:rPr>
        <w:t xml:space="preserve">                                </w:t>
      </w:r>
    </w:p>
    <w:p w14:paraId="323A0A61">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账号：</w:t>
      </w:r>
      <w:r>
        <w:rPr>
          <w:rFonts w:hint="eastAsia" w:asciiTheme="minorEastAsia" w:hAnsiTheme="minorEastAsia" w:eastAsiaTheme="minorEastAsia" w:cstheme="minorEastAsia"/>
          <w:sz w:val="21"/>
          <w:szCs w:val="21"/>
          <w:u w:val="single"/>
        </w:rPr>
        <w:t xml:space="preserve">                                    </w:t>
      </w:r>
    </w:p>
    <w:p w14:paraId="49E8D50D">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开户行：</w:t>
      </w:r>
      <w:r>
        <w:rPr>
          <w:rFonts w:hint="eastAsia" w:asciiTheme="minorEastAsia" w:hAnsiTheme="minorEastAsia" w:eastAsiaTheme="minorEastAsia" w:cstheme="minorEastAsia"/>
          <w:sz w:val="21"/>
          <w:szCs w:val="21"/>
          <w:u w:val="single"/>
        </w:rPr>
        <w:t xml:space="preserve">                                  </w:t>
      </w:r>
    </w:p>
    <w:p w14:paraId="73F023D3">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纳税识别号：</w:t>
      </w:r>
      <w:r>
        <w:rPr>
          <w:rFonts w:hint="eastAsia" w:asciiTheme="minorEastAsia" w:hAnsiTheme="minorEastAsia" w:eastAsiaTheme="minorEastAsia" w:cstheme="minorEastAsia"/>
          <w:sz w:val="21"/>
          <w:szCs w:val="21"/>
          <w:u w:val="single"/>
        </w:rPr>
        <w:t xml:space="preserve">                              </w:t>
      </w:r>
    </w:p>
    <w:p w14:paraId="6B05FC26">
      <w:pPr>
        <w:snapToGrid w:val="0"/>
        <w:spacing w:line="560" w:lineRule="exact"/>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乙方变更收款银行账户信息的，应及时通知甲方，否则由此导致的款项延期支付等责任均由乙方自行承担。</w:t>
      </w:r>
    </w:p>
    <w:p w14:paraId="640525F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4．若根据本合同约定乙方应当支付违约金、承担赔偿责任，则甲方有权从上述任何一笔付款中直接扣除相应金额。</w:t>
      </w:r>
    </w:p>
    <w:p w14:paraId="638A8B8B">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5．以上甲方支付时间是指甲方申请政府财政部门向乙方支付的时间，因财政审批等原因未及时付款的甲方不承担违约责任。</w:t>
      </w:r>
    </w:p>
    <w:p w14:paraId="27DD7B6B">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履约保函</w:t>
      </w:r>
    </w:p>
    <w:p w14:paraId="2A6C04C2">
      <w:pPr>
        <w:snapToGrid w:val="0"/>
        <w:spacing w:line="560" w:lineRule="exact"/>
        <w:ind w:left="56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w:t>
      </w:r>
    </w:p>
    <w:p w14:paraId="79007605">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☑无履约保函。</w:t>
      </w:r>
    </w:p>
    <w:p w14:paraId="45820F78">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□有履约保函。乙方应于合同签订后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日内向甲方提供银行出具的不可撤销履约保函。在乙方承担支付义务或者赔偿责任时，甲方有权要求银行无条件支付款项。保函的具体要求由双方另行确定。</w:t>
      </w:r>
    </w:p>
    <w:p w14:paraId="19FF804A">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成果及验收</w:t>
      </w:r>
    </w:p>
    <w:p w14:paraId="1AB38E13">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1．项目任务完成后，乙方应向甲方交付以下成果供甲方验收：</w:t>
      </w:r>
    </w:p>
    <w:p w14:paraId="20B6A0FC">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（1）提交项目完成情况总结报告，电子版1份，纸质版1份；</w:t>
      </w:r>
    </w:p>
    <w:p w14:paraId="632E82B0">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（2）提交不少于200个“圳品”产品的评价报告（其中预包装食品“圳品”产品的评价报告不少于110个）。</w:t>
      </w:r>
    </w:p>
    <w:p w14:paraId="34BCBEB4">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2．上述成果必须与招标文件的要求及投标文件的承诺一致。否则，甲方有权拒绝接收有关成果。</w:t>
      </w:r>
    </w:p>
    <w:p w14:paraId="0CD87579">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3．就上述成果，乙方应提交纸质形式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套，电子形式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w:t>
      </w:r>
    </w:p>
    <w:p w14:paraId="3423D509">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rPr>
        <w:t>4．乙方提交的成果未验收合格的，乙方应进行整改，乙方不整改或因整改导致超出逾期交付的，均视为违约。</w:t>
      </w:r>
    </w:p>
    <w:p w14:paraId="5B18467F">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知识产权</w:t>
      </w:r>
    </w:p>
    <w:p w14:paraId="4AB5C406">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1．乙方在项目实施过程中不得侵犯第三人知识产权以及其他权益。需要使用第三人知识产权的，乙方应取得权利人许可或者授权并由乙方承担费用。</w:t>
      </w:r>
    </w:p>
    <w:p w14:paraId="6C5AE02E">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2．除第三人依法享有知识产权的除外，乙方实施本项目所形成成果的知识产权归甲方所有，未经甲方许可，乙方不得随意使用。</w:t>
      </w:r>
    </w:p>
    <w:p w14:paraId="189B3BA9">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保密义务</w:t>
      </w:r>
    </w:p>
    <w:p w14:paraId="3575B664">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甲乙双方对知悉对方的财务、技术、专项数据、合同价款、未披露的政策、诉讼方案以及为实施项目提供给对方的文件或信息的内容(简称“保密资料”)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w:t>
      </w:r>
    </w:p>
    <w:p w14:paraId="23B975E9">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2．合同履行完毕或者终止不视为解除保密义务，双方仍应承担保密义务。</w:t>
      </w:r>
    </w:p>
    <w:p w14:paraId="4FB949A6">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其他权利和义务</w:t>
      </w:r>
    </w:p>
    <w:p w14:paraId="6AD1B4D7">
      <w:pPr>
        <w:widowControl/>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方有权监督、检查、了解乙方工作开展情况，有权对乙方的工作提出建议，并提供实施项目必要的有关资料。乙方应当每月向甲方汇报工作进展，对项目执行过程中发现的问题、阶段性成果及时报告甲方，同时按进度完成合同约定的项目内容并提交成果。</w:t>
      </w:r>
    </w:p>
    <w:p w14:paraId="49FFFD11">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2．乙方在承担该项目期间，不得接受申报主体和相关方的宴请、礼品和礼金；不得接受申报主体和相关方邀请参加可能影响项目实施的考察交流、捐赠等相关活动。</w:t>
      </w:r>
    </w:p>
    <w:p w14:paraId="0022B0AC">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3．乙方在服务期满一年内需在</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有需要时负责对本项目相关情况进行解释、说明，提供相应的修正服务。</w:t>
      </w:r>
    </w:p>
    <w:p w14:paraId="26B60170">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合同转让</w:t>
      </w:r>
    </w:p>
    <w:p w14:paraId="057E53C9">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未经甲方同意，乙方不得将本合同项目的任务全部或者一部分转包或分包给第三人。</w:t>
      </w:r>
    </w:p>
    <w:p w14:paraId="5C4FE27B">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第十一条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合同的变更</w:t>
      </w:r>
    </w:p>
    <w:p w14:paraId="4577B730">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双方不得擅自变更合同；若合同继续履行将损害国家利益和社会公共利益，则双方应当变更合同。</w:t>
      </w:r>
    </w:p>
    <w:p w14:paraId="778AFD6D">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第十二条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lang w:eastAsia="zh-CN"/>
        </w:rPr>
        <w:t>合同解除</w:t>
      </w:r>
    </w:p>
    <w:p w14:paraId="769E85D3">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经双方协商一致或一方依据本合同第十三条违约责任行使解除权并书面通知对方后，双方合同关系解除，合同终止履行，未履行部分不再履行，已履行部分按合同有关结算及违约赔偿条款处理。</w:t>
      </w:r>
    </w:p>
    <w:p w14:paraId="6A2131B5">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第十三条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违约责任</w:t>
      </w:r>
    </w:p>
    <w:p w14:paraId="52084E84">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1．乙方未在约定期限内完成项目内容并提交成果的，每延迟一日按照合同总金额千分之一的标准向甲方支付违约金。延迟超过十日的，甲方有权解除合同并要求乙方返还已经支付的款项，未支付的不再支付。</w:t>
      </w:r>
    </w:p>
    <w:p w14:paraId="6559BC73">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2．乙方交付的成果验收不合格的，经甲方要求整改再次验收仍不合格的或乙方提交的成果存在虚假、违法违规、重大错误的，甲方有权立即解除合同、要求乙方返还已经支付的款项并支付合同总额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33DFB1B7">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3．因乙方实施本项目过程中侵犯第三人合法权益或者违约导致甲方承担赔偿责任的，甲方在承担赔偿责任后有权向乙方追偿，同时，甲方有权解除合同、要求乙方返还已经支付的款项并支付合同总额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1DBF86A5">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4．乙方签订合同后，实际配备的工作人员与投标文件的承诺不一致的，或实施本项目时已不符合招标文件要求的，甲方有权解除合同，并要求乙方向甲方支付合同总额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63525EC9">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5．乙方无正当理由解除合同的，应向甲方支付合同总额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42EDE76A">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6．乙方违反本合同第十条的，甲方有权解除合同、要求乙方返还已经支付的款项并支付合同总额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045ED42B">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7．乙方违反本合同第七条的，应向甲方支付合同总额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10186094">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8．甲方违反本合同第九条“其他权利和义务”约定的，应当及时整改；乙方违反本合同第一条“项目内容、要求及实施阶段”和第九条“其他权利和义务”约定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的违约金，因乙方行为给甲方造成损失的，由乙方承担一切赔偿责任。</w:t>
      </w:r>
    </w:p>
    <w:p w14:paraId="124AF684">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9．甲方违约的，应按照《民法典》有关规定承担违约责任。</w:t>
      </w:r>
    </w:p>
    <w:p w14:paraId="0F08CAD9">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四</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法律适用和争议解决</w:t>
      </w:r>
    </w:p>
    <w:p w14:paraId="4795A744">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1．本合同适用中华人民共和国法律。</w:t>
      </w:r>
    </w:p>
    <w:p w14:paraId="31DFB1FD">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2．双方因履行本合同发生争议的，可协商解决，无法协商解决的：应向甲方住所地有管辖权的人民法院提起诉讼。</w:t>
      </w:r>
    </w:p>
    <w:p w14:paraId="77A2C7BC">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3．诉讼进行过程中，双方将继续履行本合同未涉诉讼的其它部分。</w:t>
      </w:r>
    </w:p>
    <w:p w14:paraId="0833C02A">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五</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附则</w:t>
      </w:r>
    </w:p>
    <w:p w14:paraId="2F81F65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sz w:val="21"/>
          <w:szCs w:val="21"/>
        </w:rPr>
        <w:t>本项目招标文件、乙方投标文件和中标通知书均为本合同组成部分，与本合同文本具有相同法律效力。但本合同与招投标文件不一致的，以本合同内容为准。</w:t>
      </w:r>
    </w:p>
    <w:p w14:paraId="29E86AD1">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2．本合同□无附件/☑有附件，附件包括</w:t>
      </w:r>
      <w:r>
        <w:rPr>
          <w:rFonts w:hint="eastAsia" w:asciiTheme="minorEastAsia" w:hAnsiTheme="minorEastAsia" w:eastAsiaTheme="minorEastAsia" w:cstheme="minorEastAsia"/>
          <w:sz w:val="21"/>
          <w:szCs w:val="21"/>
          <w:u w:val="single"/>
        </w:rPr>
        <w:t>服务质量要求。</w:t>
      </w:r>
    </w:p>
    <w:p w14:paraId="7BCCA8B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3．本合同与招投标文件不一致的，以本合同内容为准。</w:t>
      </w:r>
    </w:p>
    <w:p w14:paraId="5F7440CC">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4．本合同自双方盖章后生效。</w:t>
      </w:r>
    </w:p>
    <w:p w14:paraId="28D33810">
      <w:pPr>
        <w:snapToGrid w:val="0"/>
        <w:spacing w:line="560" w:lineRule="exact"/>
        <w:ind w:firstLine="420" w:firstLineChars="200"/>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5．本合同一式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份，甲方执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份，乙方执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份，提交给财政部门</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份，具有同等法律效力</w:t>
      </w:r>
      <w:r>
        <w:rPr>
          <w:rFonts w:hint="eastAsia" w:asciiTheme="minorEastAsia" w:hAnsiTheme="minorEastAsia" w:eastAsiaTheme="minorEastAsia" w:cstheme="minorEastAsia"/>
          <w:sz w:val="21"/>
          <w:szCs w:val="21"/>
          <w:lang w:eastAsia="zh-CN"/>
        </w:rPr>
        <w:t>。</w:t>
      </w:r>
    </w:p>
    <w:p w14:paraId="5C4F0F30">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4680BDA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甲方（盖章）：</w:t>
      </w:r>
    </w:p>
    <w:p w14:paraId="1C53D6D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24D0FB4F">
      <w:pPr>
        <w:snapToGrid w:val="0"/>
        <w:spacing w:line="560" w:lineRule="exact"/>
        <w:ind w:firstLine="1260" w:firstLineChars="6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5CD6E7F1">
      <w:pPr>
        <w:snapToGrid w:val="0"/>
        <w:spacing w:line="560" w:lineRule="exact"/>
        <w:jc w:val="left"/>
        <w:rPr>
          <w:rFonts w:hint="eastAsia" w:asciiTheme="minorEastAsia" w:hAnsiTheme="minorEastAsia" w:eastAsiaTheme="minorEastAsia" w:cstheme="minorEastAsia"/>
          <w:sz w:val="21"/>
          <w:szCs w:val="21"/>
        </w:rPr>
      </w:pPr>
    </w:p>
    <w:p w14:paraId="57192EC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乙方（盖章）：</w:t>
      </w:r>
    </w:p>
    <w:p w14:paraId="20FF41AE">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0159727F">
      <w:pPr>
        <w:snapToGrid w:val="0"/>
        <w:spacing w:line="560" w:lineRule="exact"/>
        <w:ind w:left="1680" w:firstLine="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04C2DFDF">
      <w:pPr>
        <w:snapToGrid w:val="0"/>
        <w:spacing w:line="560" w:lineRule="exact"/>
        <w:rPr>
          <w:rFonts w:hint="eastAsia" w:asciiTheme="minorEastAsia" w:hAnsiTheme="minorEastAsia" w:eastAsiaTheme="minorEastAsia" w:cstheme="minorEastAsia"/>
          <w:sz w:val="21"/>
          <w:szCs w:val="21"/>
        </w:rPr>
        <w:sectPr>
          <w:pgSz w:w="11906" w:h="16838"/>
          <w:pgMar w:top="1440" w:right="1800" w:bottom="1440" w:left="1800" w:header="851" w:footer="992" w:gutter="0"/>
          <w:cols w:space="720" w:num="1"/>
          <w:docGrid w:type="lines" w:linePitch="387" w:charSpace="0"/>
        </w:sectPr>
      </w:pPr>
      <w:r>
        <w:rPr>
          <w:rFonts w:hint="eastAsia" w:asciiTheme="minorEastAsia" w:hAnsiTheme="minorEastAsia" w:eastAsiaTheme="minorEastAsia" w:cstheme="minorEastAsia"/>
          <w:sz w:val="21"/>
          <w:szCs w:val="21"/>
        </w:rPr>
        <w:br w:type="page"/>
      </w:r>
    </w:p>
    <w:p w14:paraId="59AFD21D">
      <w:pPr>
        <w:outlineLvl w:val="2"/>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附件</w:t>
      </w:r>
    </w:p>
    <w:p w14:paraId="561C365E">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服务质量要求</w:t>
      </w:r>
    </w:p>
    <w:tbl>
      <w:tblPr>
        <w:tblStyle w:val="42"/>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522"/>
        <w:gridCol w:w="6202"/>
      </w:tblGrid>
      <w:tr w14:paraId="19485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96" w:type="dxa"/>
            <w:noWrap w:val="0"/>
            <w:vAlign w:val="center"/>
          </w:tcPr>
          <w:p w14:paraId="59BC5F1C">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522" w:type="dxa"/>
            <w:noWrap w:val="0"/>
            <w:vAlign w:val="center"/>
          </w:tcPr>
          <w:p w14:paraId="0E1ADBFC">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主要内容</w:t>
            </w:r>
          </w:p>
        </w:tc>
        <w:tc>
          <w:tcPr>
            <w:tcW w:w="6202" w:type="dxa"/>
            <w:noWrap w:val="0"/>
            <w:vAlign w:val="center"/>
          </w:tcPr>
          <w:p w14:paraId="34AB502C">
            <w:pPr>
              <w:wordWrap w:val="0"/>
              <w:snapToGrid w:val="0"/>
              <w:spacing w:line="240" w:lineRule="atLeast"/>
              <w:ind w:firstLine="1680" w:firstLineChars="8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具体要求</w:t>
            </w:r>
          </w:p>
        </w:tc>
      </w:tr>
      <w:tr w14:paraId="2BD2E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noWrap w:val="0"/>
            <w:vAlign w:val="center"/>
          </w:tcPr>
          <w:p w14:paraId="42BC00B4">
            <w:pPr>
              <w:wordWrap w:val="0"/>
              <w:snapToGrid w:val="0"/>
              <w:spacing w:line="240" w:lineRule="atLeas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522" w:type="dxa"/>
            <w:noWrap w:val="0"/>
            <w:vAlign w:val="center"/>
          </w:tcPr>
          <w:p w14:paraId="6EAC9526">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风险研判</w:t>
            </w:r>
          </w:p>
        </w:tc>
        <w:tc>
          <w:tcPr>
            <w:tcW w:w="6202" w:type="dxa"/>
            <w:noWrap w:val="0"/>
            <w:vAlign w:val="center"/>
          </w:tcPr>
          <w:p w14:paraId="7BBE0835">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及时发现并对“圳品工程”运行过程中产生的问题作出风险研判，并提出合理化建议，同时对评价过程中发现的企业食品安全风险给予评价意见和风险提示。</w:t>
            </w:r>
          </w:p>
        </w:tc>
      </w:tr>
      <w:tr w14:paraId="14A3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noWrap w:val="0"/>
            <w:vAlign w:val="center"/>
          </w:tcPr>
          <w:p w14:paraId="28FE9CAE">
            <w:pPr>
              <w:wordWrap w:val="0"/>
              <w:snapToGrid w:val="0"/>
              <w:spacing w:line="240" w:lineRule="atLeas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522" w:type="dxa"/>
            <w:noWrap w:val="0"/>
            <w:vAlign w:val="center"/>
          </w:tcPr>
          <w:p w14:paraId="1BA2EB8E">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企业培训、申报咨询与系统录入辅导</w:t>
            </w:r>
          </w:p>
        </w:tc>
        <w:tc>
          <w:tcPr>
            <w:tcW w:w="6202" w:type="dxa"/>
            <w:noWrap w:val="0"/>
            <w:vAlign w:val="center"/>
          </w:tcPr>
          <w:p w14:paraId="2D34F4AD">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负责建立并实施企业培训机制，确保意向申报企业及已获评企业充分理解“圳品”标准与流程，确保参训人员能够独立、准确地完成后续申报的基础准备工作，提升申报效率与质量。</w:t>
            </w:r>
          </w:p>
          <w:p w14:paraId="497F11B3">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接受企业咨询，确保咨询渠道畅通、辅导精准高效，辅导并协助企业完成申报系统录入。</w:t>
            </w:r>
          </w:p>
        </w:tc>
      </w:tr>
      <w:tr w14:paraId="637C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noWrap w:val="0"/>
            <w:vAlign w:val="center"/>
          </w:tcPr>
          <w:p w14:paraId="678786E6">
            <w:pPr>
              <w:wordWrap w:val="0"/>
              <w:snapToGrid w:val="0"/>
              <w:spacing w:line="240" w:lineRule="atLeas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522" w:type="dxa"/>
            <w:noWrap w:val="0"/>
            <w:vAlign w:val="center"/>
          </w:tcPr>
          <w:p w14:paraId="28BA0202">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对企业申报材料进行获评成功性的评估以及实质性评审</w:t>
            </w:r>
          </w:p>
        </w:tc>
        <w:tc>
          <w:tcPr>
            <w:tcW w:w="6202" w:type="dxa"/>
            <w:noWrap w:val="0"/>
            <w:vAlign w:val="center"/>
          </w:tcPr>
          <w:p w14:paraId="2FB245D2">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组织实施对产品申报材料的实质性评审，并出具材料评审报告。获评成功的“圳品”评审报告不少于200个，其中，预包装食品的评审报告不少于110个。</w:t>
            </w:r>
          </w:p>
        </w:tc>
      </w:tr>
      <w:tr w14:paraId="4877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96" w:type="dxa"/>
            <w:noWrap w:val="0"/>
            <w:vAlign w:val="center"/>
          </w:tcPr>
          <w:p w14:paraId="6F27F107">
            <w:pPr>
              <w:wordWrap w:val="0"/>
              <w:snapToGrid w:val="0"/>
              <w:spacing w:line="240" w:lineRule="atLeas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522" w:type="dxa"/>
            <w:noWrap w:val="0"/>
            <w:vAlign w:val="center"/>
          </w:tcPr>
          <w:p w14:paraId="608F109A">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现场评价策划</w:t>
            </w:r>
          </w:p>
        </w:tc>
        <w:tc>
          <w:tcPr>
            <w:tcW w:w="6202" w:type="dxa"/>
            <w:noWrap w:val="0"/>
            <w:vAlign w:val="center"/>
          </w:tcPr>
          <w:p w14:paraId="0CC0CF5F">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文件评审通过后，组建现场评价组，筹备所需的评价资源，并制定现场评价计划书。</w:t>
            </w:r>
          </w:p>
        </w:tc>
      </w:tr>
      <w:tr w14:paraId="2320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noWrap w:val="0"/>
            <w:vAlign w:val="center"/>
          </w:tcPr>
          <w:p w14:paraId="44837745">
            <w:pPr>
              <w:wordWrap w:val="0"/>
              <w:snapToGrid w:val="0"/>
              <w:spacing w:line="240" w:lineRule="atLeas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522" w:type="dxa"/>
            <w:noWrap w:val="0"/>
            <w:vAlign w:val="center"/>
          </w:tcPr>
          <w:p w14:paraId="6F9AC064">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组织实施不少于200个“圳品”产品的现场评价</w:t>
            </w:r>
          </w:p>
        </w:tc>
        <w:tc>
          <w:tcPr>
            <w:tcW w:w="6202" w:type="dxa"/>
            <w:noWrap w:val="0"/>
            <w:vAlign w:val="center"/>
          </w:tcPr>
          <w:p w14:paraId="72972508">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评价工作制度性文件及所制的评价计划，组织实施不少于200个产品的现场评价，且预包装食品产品的现场评价不少于110个，在现场评价启动前，对申报产品的获评成功率及现场评价实施必要性进行充分评估，提升评价经费的使用质效。针对申报主体的种养殖基地（包括投入品清单、产地环境、种养殖管理等方面）、加工厂（包括原辅料验收、出入库记录、供应商名录等内容）、生产加工、仓储运输、销售等环节展开现场评价检查。现场评价重点包括：企业管理体系、生产基地环境及管理、生产（加工）过程管控、产品包装、贮藏、运输过程管理、产品质量管理、产品追溯等方面。</w:t>
            </w:r>
          </w:p>
          <w:p w14:paraId="5B2D64A7">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现场评价过程须严格遵循评价计划的任务分工和评价要求，通过现场观察、询问、资料查阅等多种方式进行评价，确保评价工作的真实、客观、全面，并做好现场评价记录及资料收集。</w:t>
            </w:r>
          </w:p>
          <w:p w14:paraId="4A231280">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价记录必须真实、清晰、完整、可追溯、能确认，确保《“圳品”评价工作规范》所列明的评价条款无遗漏。准确记录所有不符合项和观察项，核验企业对不符合项的整改情况并做好记录。对申报主体提交的不符合项整改资料进行验证并关闭后，根据评价结果编制、提交现场评价报告并作出结论性意见。</w:t>
            </w:r>
          </w:p>
        </w:tc>
      </w:tr>
      <w:tr w14:paraId="5ED4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noWrap w:val="0"/>
            <w:vAlign w:val="center"/>
          </w:tcPr>
          <w:p w14:paraId="6251E65A">
            <w:pPr>
              <w:wordWrap w:val="0"/>
              <w:snapToGrid w:val="0"/>
              <w:spacing w:line="240" w:lineRule="atLeas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522" w:type="dxa"/>
            <w:noWrap w:val="0"/>
            <w:vAlign w:val="center"/>
          </w:tcPr>
          <w:p w14:paraId="13FB675A">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及时、快速、准确完成</w:t>
            </w:r>
            <w:r>
              <w:rPr>
                <w:rFonts w:hint="eastAsia" w:asciiTheme="minorEastAsia" w:hAnsiTheme="minorEastAsia" w:eastAsiaTheme="minorEastAsia" w:cstheme="minorEastAsia"/>
                <w:sz w:val="21"/>
                <w:szCs w:val="21"/>
              </w:rPr>
              <w:t>评价信息录入、数据梳理报送、评价档案整理</w:t>
            </w:r>
          </w:p>
        </w:tc>
        <w:tc>
          <w:tcPr>
            <w:tcW w:w="6202" w:type="dxa"/>
            <w:noWrap w:val="0"/>
            <w:vAlign w:val="center"/>
          </w:tcPr>
          <w:p w14:paraId="31C62894">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确保评价全过程的信息完整、真实录入，评价数据收集、梳理，系统梳理、汇总形成完整的电子版和纸质版评价档案，并按要求完成档案的归档和提交，对档案的真实性和完整性负责。</w:t>
            </w:r>
          </w:p>
          <w:p w14:paraId="2B937722">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所有现场评价表单整理完成后，需上传至圳品系统，以完成整个系统的评价流程。</w:t>
            </w:r>
          </w:p>
          <w:p w14:paraId="2CACF2D2">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每次提交档案前，进行线上表格信息登记。以及每次委员会后统一打印现场评价的材料文件，并将这些文件邮寄给标促会，确保其能收到完整的评价材料并顺利存档。</w:t>
            </w:r>
          </w:p>
        </w:tc>
      </w:tr>
      <w:tr w14:paraId="1D785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noWrap w:val="0"/>
            <w:vAlign w:val="center"/>
          </w:tcPr>
          <w:p w14:paraId="6D806745">
            <w:pPr>
              <w:wordWrap w:val="0"/>
              <w:snapToGrid w:val="0"/>
              <w:spacing w:line="240" w:lineRule="atLeas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522" w:type="dxa"/>
            <w:noWrap w:val="0"/>
            <w:vAlign w:val="center"/>
          </w:tcPr>
          <w:p w14:paraId="63911ABC">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参与“专家评审会”“供深食品标准工作委员会”的审议工作</w:t>
            </w:r>
          </w:p>
        </w:tc>
        <w:tc>
          <w:tcPr>
            <w:tcW w:w="6202" w:type="dxa"/>
            <w:noWrap w:val="0"/>
            <w:vAlign w:val="center"/>
          </w:tcPr>
          <w:p w14:paraId="5613DD73">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指定对上会产品业务熟练的工作人员，</w:t>
            </w:r>
            <w:r>
              <w:rPr>
                <w:rFonts w:hint="eastAsia" w:asciiTheme="minorEastAsia" w:hAnsiTheme="minorEastAsia" w:eastAsiaTheme="minorEastAsia" w:cstheme="minorEastAsia"/>
                <w:sz w:val="21"/>
                <w:szCs w:val="21"/>
              </w:rPr>
              <w:t>参与“圳品”专家评审会及“供深食品标准工作委员会”的</w:t>
            </w:r>
            <w:r>
              <w:rPr>
                <w:rFonts w:hint="eastAsia" w:asciiTheme="minorEastAsia" w:hAnsiTheme="minorEastAsia" w:eastAsiaTheme="minorEastAsia" w:cstheme="minorEastAsia"/>
                <w:color w:val="080F17"/>
                <w:kern w:val="0"/>
                <w:sz w:val="21"/>
                <w:szCs w:val="21"/>
              </w:rPr>
              <w:t>会务准备及</w:t>
            </w:r>
            <w:r>
              <w:rPr>
                <w:rFonts w:hint="eastAsia" w:asciiTheme="minorEastAsia" w:hAnsiTheme="minorEastAsia" w:eastAsiaTheme="minorEastAsia" w:cstheme="minorEastAsia"/>
                <w:sz w:val="21"/>
                <w:szCs w:val="21"/>
              </w:rPr>
              <w:t>审议工作，确保提交会议的材料准确无误、内容详实且符合相关标准。针对专家或委员会成员提出的问题，需能够提供专业的解答，并对所指出的问题进行认真分析和整改。此外，还需负责跟进问题的解决情况，确保所有提出的建议和改进措施得到有效落实，进一步完善相关工作的流程与成果。同时，保持与各方的良好沟通，促进信息的及时传递和反馈，以提升工作效率和质量。</w:t>
            </w:r>
          </w:p>
        </w:tc>
      </w:tr>
      <w:tr w14:paraId="7F105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noWrap w:val="0"/>
            <w:vAlign w:val="center"/>
          </w:tcPr>
          <w:p w14:paraId="2040C9FB">
            <w:pPr>
              <w:wordWrap w:val="0"/>
              <w:snapToGrid w:val="0"/>
              <w:spacing w:line="240" w:lineRule="atLeas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1522" w:type="dxa"/>
            <w:noWrap w:val="0"/>
            <w:vAlign w:val="center"/>
          </w:tcPr>
          <w:p w14:paraId="7B9551A8">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风险信息核查处理及反馈</w:t>
            </w:r>
          </w:p>
        </w:tc>
        <w:tc>
          <w:tcPr>
            <w:tcW w:w="6202" w:type="dxa"/>
            <w:noWrap w:val="0"/>
            <w:vAlign w:val="center"/>
          </w:tcPr>
          <w:p w14:paraId="109776E0">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对申报企业的食品安全情况、</w:t>
            </w:r>
            <w:r>
              <w:rPr>
                <w:rFonts w:hint="eastAsia" w:asciiTheme="minorEastAsia" w:hAnsiTheme="minorEastAsia" w:eastAsiaTheme="minorEastAsia" w:cstheme="minorEastAsia"/>
                <w:color w:val="080F17"/>
                <w:kern w:val="0"/>
                <w:sz w:val="21"/>
                <w:szCs w:val="21"/>
              </w:rPr>
              <w:t>“圳品”产品情况</w:t>
            </w:r>
            <w:r>
              <w:rPr>
                <w:rFonts w:hint="eastAsia" w:asciiTheme="minorEastAsia" w:hAnsiTheme="minorEastAsia" w:eastAsiaTheme="minorEastAsia" w:cstheme="minorEastAsia"/>
                <w:sz w:val="21"/>
                <w:szCs w:val="21"/>
              </w:rPr>
              <w:t>进行核查。对产品风险信息进行核查和处理，及时反馈处理情况。制定应急预案，做好应急响应。前期文件审核与上会前，对申报企业进行信息信用核查，是否存在食品安全问题以及行政处罚。</w:t>
            </w:r>
          </w:p>
        </w:tc>
      </w:tr>
      <w:tr w14:paraId="7AAF3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noWrap w:val="0"/>
            <w:vAlign w:val="center"/>
          </w:tcPr>
          <w:p w14:paraId="08FEE6ED">
            <w:pPr>
              <w:wordWrap w:val="0"/>
              <w:snapToGrid w:val="0"/>
              <w:spacing w:line="240" w:lineRule="atLeas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522" w:type="dxa"/>
            <w:noWrap w:val="0"/>
            <w:vAlign w:val="center"/>
          </w:tcPr>
          <w:p w14:paraId="490CB85B">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与“圳品”获评企业沟通互动</w:t>
            </w:r>
          </w:p>
        </w:tc>
        <w:tc>
          <w:tcPr>
            <w:tcW w:w="6202" w:type="dxa"/>
            <w:noWrap w:val="0"/>
            <w:vAlign w:val="center"/>
          </w:tcPr>
          <w:p w14:paraId="06D5383D">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建立健全与“圳品”获评企业的长效动态沟通机制，强化获评后的服务与联动，建立紧急情况快速响应流程，做好信息传达与确认反馈，确保沟通闭环，维护“圳品”品牌信誉。</w:t>
            </w:r>
          </w:p>
        </w:tc>
      </w:tr>
      <w:tr w14:paraId="20F1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noWrap w:val="0"/>
            <w:vAlign w:val="center"/>
          </w:tcPr>
          <w:p w14:paraId="229291B5">
            <w:pPr>
              <w:wordWrap w:val="0"/>
              <w:snapToGrid w:val="0"/>
              <w:spacing w:line="240" w:lineRule="atLeast"/>
              <w:ind w:firstLine="210" w:firstLineChars="1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c>
          <w:tcPr>
            <w:tcW w:w="1522" w:type="dxa"/>
            <w:noWrap w:val="0"/>
            <w:vAlign w:val="center"/>
          </w:tcPr>
          <w:p w14:paraId="35FB5270">
            <w:pPr>
              <w:wordWrap w:val="0"/>
              <w:snapToGrid w:val="0"/>
              <w:spacing w:line="240" w:lineRule="atLeast"/>
              <w:jc w:val="center"/>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建立圳品全链条沟通推进工作机制</w:t>
            </w:r>
          </w:p>
        </w:tc>
        <w:tc>
          <w:tcPr>
            <w:tcW w:w="6202" w:type="dxa"/>
            <w:noWrap w:val="0"/>
            <w:vAlign w:val="center"/>
          </w:tcPr>
          <w:p w14:paraId="4BE59946">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申报抽样检测机构”须与“申报现场评价机构”建立常态化、即时工作沟通机制，确保申报进程中评价、检测工作一体推进。“申报现场评价机构”收到分派任务后，1个工作日内需与“申报抽样检测机构”全面对接，“申报抽样检测机构”需提前明确企业信息、产品规格、执行标准、评审节点及抽检计划等核心内容，做好抽检前期准备；现场工作中须及时跟进“申报现场评价机构”，依据现场核查问题甄别产品风险，发现抽检不合格、重大风险或突发状况或“申报抽样检测机构”认为有必要及时告知的事项，要在2小时内与“申报现场评价机构”进行通报，并加强处置；双方应确立专职对接人员及信息流转流程，保障文件评审结论、抽检结果等关键信息高效互达，杜绝脱节滞后。</w:t>
            </w:r>
          </w:p>
          <w:p w14:paraId="3C919EB1">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出现以下几种情况的责任归位：</w:t>
            </w:r>
          </w:p>
          <w:p w14:paraId="4B7E7384">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1.如发生明确信息不对称、工作延误、因“申报现场评价机构”未及时提供完整准确核心资料、未及时告知现场变化及评审进度、未及时反馈评价问题等，导致信息不对称或延误的，由“申报现场评价机构”承担责任；</w:t>
            </w:r>
          </w:p>
          <w:p w14:paraId="171907AF">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2.因“申报抽样检测机构”未主动对接确认信息、未同步抽检情况、未按时反馈结果等，导致信息不对称的，由“申报抽样检测机构”承担责任；</w:t>
            </w:r>
          </w:p>
          <w:p w14:paraId="3D70EB56">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 xml:space="preserve">3.在任务发生后，对双方的情况互达，信息沟通没有按照上述要求完成的，除追究“申报抽样检测机构”和“申报现场评价机构”外，追究“圳品”机构的责任。 </w:t>
            </w:r>
          </w:p>
          <w:p w14:paraId="3600E271">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圳品”运行风险控制与效益评估机构（也就是日常的“圳品”监理机构）对“申报现场评价机构”与“申报抽样检测机构”的一体化推进情况进行全过程跟踪核查。“圳品”运行风险控制与效益评估机构发现“申报现场评价机构”或“申报抽样检测机构”存在合同附件《服务质量要求》所列不合规情形的，应及时督促其整改，发出警示建议书，并在1个工作日内向甲方书面报备。经审核属实的，甲方有权依据合同约定视情节轻重采取要求整改、将相关情况纳入履约评价、扣减当期应付款项、暂停支付后续款项直至问题整改完毕等措施。甲方除对“申报现场评价机构”与“申报抽样检测机构”进行履约责任追究外，对“圳品”运行风险控制与效益评估机构未及时发现问题的情形，亦保留追究其相应责任的权力。</w:t>
            </w:r>
          </w:p>
        </w:tc>
      </w:tr>
    </w:tbl>
    <w:p w14:paraId="612C8F29">
      <w:pPr>
        <w:widowControl/>
        <w:jc w:val="left"/>
        <w:rPr>
          <w:rFonts w:ascii="宋体" w:hAnsi="宋体"/>
          <w:b/>
          <w:szCs w:val="21"/>
        </w:rPr>
      </w:pPr>
      <w:r>
        <w:rPr>
          <w:bCs/>
          <w:szCs w:val="21"/>
        </w:rPr>
        <w:br w:type="page"/>
      </w:r>
    </w:p>
    <w:p w14:paraId="2B560A7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636B4D40">
      <w:pPr>
        <w:spacing w:line="240" w:lineRule="atLeast"/>
        <w:rPr>
          <w:rFonts w:ascii="宋体" w:hAnsi="宋体"/>
          <w:b/>
          <w:szCs w:val="21"/>
        </w:rPr>
      </w:pPr>
      <w:r>
        <w:rPr>
          <w:rFonts w:hint="eastAsia" w:ascii="宋体" w:hAnsi="宋体"/>
          <w:b/>
          <w:szCs w:val="21"/>
        </w:rPr>
        <w:t>采购人名称：                       联系人及电话：</w:t>
      </w:r>
    </w:p>
    <w:p w14:paraId="59D16232">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2474B7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45329A73">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1DB8195A">
            <w:pPr>
              <w:spacing w:line="240" w:lineRule="atLeast"/>
              <w:jc w:val="center"/>
              <w:rPr>
                <w:rFonts w:ascii="宋体" w:hAnsi="宋体"/>
                <w:szCs w:val="21"/>
              </w:rPr>
            </w:pPr>
          </w:p>
        </w:tc>
        <w:tc>
          <w:tcPr>
            <w:tcW w:w="1980" w:type="dxa"/>
            <w:vAlign w:val="center"/>
          </w:tcPr>
          <w:p w14:paraId="77615645">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190518F4">
            <w:pPr>
              <w:spacing w:line="240" w:lineRule="atLeast"/>
              <w:jc w:val="center"/>
              <w:rPr>
                <w:rFonts w:ascii="宋体" w:hAnsi="宋体"/>
                <w:szCs w:val="21"/>
              </w:rPr>
            </w:pPr>
          </w:p>
        </w:tc>
      </w:tr>
      <w:tr w14:paraId="7AAE8C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5FCADD3F">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0C96782B">
            <w:pPr>
              <w:spacing w:line="240" w:lineRule="atLeast"/>
              <w:jc w:val="center"/>
              <w:rPr>
                <w:rFonts w:ascii="宋体" w:hAnsi="宋体"/>
                <w:szCs w:val="21"/>
              </w:rPr>
            </w:pPr>
          </w:p>
        </w:tc>
        <w:tc>
          <w:tcPr>
            <w:tcW w:w="1980" w:type="dxa"/>
            <w:vAlign w:val="center"/>
          </w:tcPr>
          <w:p w14:paraId="57B4C207">
            <w:pPr>
              <w:spacing w:line="240" w:lineRule="atLeast"/>
              <w:jc w:val="center"/>
              <w:rPr>
                <w:rFonts w:ascii="宋体" w:hAnsi="宋体"/>
                <w:szCs w:val="21"/>
              </w:rPr>
            </w:pPr>
            <w:r>
              <w:rPr>
                <w:rFonts w:hint="eastAsia" w:ascii="宋体" w:hAnsi="宋体"/>
                <w:szCs w:val="21"/>
              </w:rPr>
              <w:t>供应商</w:t>
            </w:r>
          </w:p>
          <w:p w14:paraId="02C5BDB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226B0E87">
            <w:pPr>
              <w:spacing w:line="240" w:lineRule="atLeast"/>
              <w:jc w:val="center"/>
              <w:rPr>
                <w:rFonts w:ascii="宋体" w:hAnsi="宋体"/>
                <w:szCs w:val="21"/>
              </w:rPr>
            </w:pPr>
          </w:p>
        </w:tc>
      </w:tr>
      <w:tr w14:paraId="61C874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5D009E73">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478B4F66">
            <w:pPr>
              <w:spacing w:line="240" w:lineRule="atLeast"/>
              <w:jc w:val="center"/>
              <w:rPr>
                <w:rFonts w:ascii="宋体" w:hAnsi="宋体"/>
                <w:szCs w:val="21"/>
              </w:rPr>
            </w:pPr>
          </w:p>
        </w:tc>
        <w:tc>
          <w:tcPr>
            <w:tcW w:w="1980" w:type="dxa"/>
            <w:vAlign w:val="center"/>
          </w:tcPr>
          <w:p w14:paraId="5E9BFB3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22BA939B">
            <w:pPr>
              <w:spacing w:line="240" w:lineRule="atLeast"/>
              <w:rPr>
                <w:rFonts w:ascii="宋体" w:hAnsi="宋体"/>
                <w:szCs w:val="21"/>
              </w:rPr>
            </w:pPr>
            <w:r>
              <w:rPr>
                <w:rFonts w:hint="eastAsia" w:ascii="宋体" w:hAnsi="宋体"/>
                <w:szCs w:val="21"/>
              </w:rPr>
              <w:t>自       至</w:t>
            </w:r>
          </w:p>
        </w:tc>
      </w:tr>
      <w:tr w14:paraId="483D2C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FF15ED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4E5624B0">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20EA52FB">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07F9C7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AB284CA">
            <w:pPr>
              <w:spacing w:line="240" w:lineRule="atLeast"/>
              <w:jc w:val="center"/>
              <w:rPr>
                <w:rFonts w:ascii="宋体" w:hAnsi="宋体"/>
                <w:szCs w:val="21"/>
              </w:rPr>
            </w:pPr>
          </w:p>
        </w:tc>
        <w:tc>
          <w:tcPr>
            <w:tcW w:w="720" w:type="dxa"/>
            <w:vMerge w:val="restart"/>
            <w:tcBorders>
              <w:right w:val="single" w:color="auto" w:sz="4" w:space="0"/>
            </w:tcBorders>
            <w:vAlign w:val="center"/>
          </w:tcPr>
          <w:p w14:paraId="453252F4">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4913A4AB">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CC63CD">
            <w:pPr>
              <w:spacing w:line="240" w:lineRule="atLeast"/>
              <w:jc w:val="center"/>
              <w:rPr>
                <w:rFonts w:ascii="宋体" w:hAnsi="宋体"/>
                <w:szCs w:val="21"/>
              </w:rPr>
            </w:pPr>
            <w:r>
              <w:rPr>
                <w:rFonts w:hint="eastAsia" w:ascii="宋体" w:hAnsi="宋体"/>
                <w:szCs w:val="21"/>
              </w:rPr>
              <w:t xml:space="preserve"> □ 优          □ 良          □ 中           □ 差</w:t>
            </w:r>
          </w:p>
        </w:tc>
      </w:tr>
      <w:tr w14:paraId="3514CD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5C576A5">
            <w:pPr>
              <w:spacing w:line="240" w:lineRule="atLeast"/>
              <w:jc w:val="center"/>
              <w:rPr>
                <w:rFonts w:ascii="宋体" w:hAnsi="宋体"/>
                <w:szCs w:val="21"/>
              </w:rPr>
            </w:pPr>
          </w:p>
        </w:tc>
        <w:tc>
          <w:tcPr>
            <w:tcW w:w="720" w:type="dxa"/>
            <w:vMerge w:val="continue"/>
            <w:tcBorders>
              <w:right w:val="single" w:color="auto" w:sz="4" w:space="0"/>
            </w:tcBorders>
            <w:vAlign w:val="center"/>
          </w:tcPr>
          <w:p w14:paraId="094CE00C">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6FAAE94D">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883F7AC">
            <w:pPr>
              <w:spacing w:line="240" w:lineRule="atLeast"/>
              <w:jc w:val="center"/>
              <w:rPr>
                <w:rFonts w:ascii="宋体" w:hAnsi="宋体"/>
                <w:szCs w:val="21"/>
              </w:rPr>
            </w:pPr>
            <w:r>
              <w:rPr>
                <w:rFonts w:hint="eastAsia" w:ascii="宋体" w:hAnsi="宋体"/>
                <w:szCs w:val="21"/>
              </w:rPr>
              <w:t xml:space="preserve"> □ 优          □ 良          □ 中           □ 差</w:t>
            </w:r>
          </w:p>
        </w:tc>
      </w:tr>
      <w:tr w14:paraId="7D87B5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1CBE5A3">
            <w:pPr>
              <w:spacing w:line="240" w:lineRule="atLeast"/>
              <w:jc w:val="center"/>
              <w:rPr>
                <w:rFonts w:ascii="宋体" w:hAnsi="宋体"/>
                <w:szCs w:val="21"/>
              </w:rPr>
            </w:pPr>
          </w:p>
        </w:tc>
        <w:tc>
          <w:tcPr>
            <w:tcW w:w="720" w:type="dxa"/>
            <w:vMerge w:val="continue"/>
            <w:tcBorders>
              <w:right w:val="single" w:color="auto" w:sz="4" w:space="0"/>
            </w:tcBorders>
            <w:vAlign w:val="center"/>
          </w:tcPr>
          <w:p w14:paraId="4F706AC7">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4541826">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2E1B8932">
            <w:pPr>
              <w:spacing w:line="240" w:lineRule="atLeast"/>
              <w:jc w:val="center"/>
              <w:rPr>
                <w:rFonts w:ascii="宋体" w:hAnsi="宋体"/>
                <w:szCs w:val="21"/>
              </w:rPr>
            </w:pPr>
            <w:r>
              <w:rPr>
                <w:rFonts w:hint="eastAsia" w:ascii="宋体" w:hAnsi="宋体"/>
                <w:szCs w:val="21"/>
              </w:rPr>
              <w:t xml:space="preserve"> □ 优          □ 良          □ 中           □ 差</w:t>
            </w:r>
          </w:p>
        </w:tc>
      </w:tr>
      <w:tr w14:paraId="71DE0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57B8238">
            <w:pPr>
              <w:spacing w:line="240" w:lineRule="atLeast"/>
              <w:jc w:val="center"/>
              <w:rPr>
                <w:rFonts w:ascii="宋体" w:hAnsi="宋体"/>
                <w:szCs w:val="21"/>
              </w:rPr>
            </w:pPr>
          </w:p>
        </w:tc>
        <w:tc>
          <w:tcPr>
            <w:tcW w:w="720" w:type="dxa"/>
            <w:vMerge w:val="continue"/>
            <w:tcBorders>
              <w:right w:val="single" w:color="auto" w:sz="4" w:space="0"/>
            </w:tcBorders>
            <w:vAlign w:val="center"/>
          </w:tcPr>
          <w:p w14:paraId="39EDC40F">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2A4983F">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04DD1BDE">
            <w:pPr>
              <w:spacing w:line="240" w:lineRule="atLeast"/>
              <w:jc w:val="center"/>
              <w:rPr>
                <w:rFonts w:ascii="宋体" w:hAnsi="宋体"/>
                <w:szCs w:val="21"/>
              </w:rPr>
            </w:pPr>
            <w:r>
              <w:rPr>
                <w:rFonts w:hint="eastAsia" w:ascii="宋体" w:hAnsi="宋体"/>
                <w:szCs w:val="21"/>
              </w:rPr>
              <w:t xml:space="preserve"> □ 优          □ 良          □ 中           □ 差</w:t>
            </w:r>
          </w:p>
        </w:tc>
      </w:tr>
      <w:tr w14:paraId="3E1886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E601484">
            <w:pPr>
              <w:spacing w:line="240" w:lineRule="atLeast"/>
              <w:jc w:val="center"/>
              <w:rPr>
                <w:rFonts w:ascii="宋体" w:hAnsi="宋体"/>
                <w:szCs w:val="21"/>
              </w:rPr>
            </w:pPr>
          </w:p>
        </w:tc>
        <w:tc>
          <w:tcPr>
            <w:tcW w:w="720" w:type="dxa"/>
            <w:vMerge w:val="continue"/>
            <w:tcBorders>
              <w:right w:val="single" w:color="auto" w:sz="4" w:space="0"/>
            </w:tcBorders>
            <w:vAlign w:val="center"/>
          </w:tcPr>
          <w:p w14:paraId="03D99A73">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53DC93F">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1EBD70F5">
            <w:pPr>
              <w:spacing w:line="240" w:lineRule="atLeast"/>
              <w:jc w:val="center"/>
              <w:rPr>
                <w:rFonts w:ascii="宋体" w:hAnsi="宋体"/>
                <w:szCs w:val="21"/>
              </w:rPr>
            </w:pPr>
            <w:r>
              <w:rPr>
                <w:rFonts w:hint="eastAsia" w:ascii="宋体" w:hAnsi="宋体"/>
                <w:szCs w:val="21"/>
              </w:rPr>
              <w:t xml:space="preserve"> □ 优          □ 良          □ 中           □ 差</w:t>
            </w:r>
          </w:p>
        </w:tc>
      </w:tr>
      <w:tr w14:paraId="0A0059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7BE90246">
            <w:pPr>
              <w:spacing w:line="240" w:lineRule="atLeast"/>
              <w:jc w:val="center"/>
              <w:rPr>
                <w:rFonts w:ascii="宋体" w:hAnsi="宋体"/>
                <w:szCs w:val="21"/>
              </w:rPr>
            </w:pPr>
          </w:p>
        </w:tc>
        <w:tc>
          <w:tcPr>
            <w:tcW w:w="720" w:type="dxa"/>
            <w:vMerge w:val="continue"/>
            <w:tcBorders>
              <w:right w:val="single" w:color="auto" w:sz="4" w:space="0"/>
            </w:tcBorders>
            <w:vAlign w:val="center"/>
          </w:tcPr>
          <w:p w14:paraId="40119A81">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56D26A3">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1B839F8C">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3BFE9435">
            <w:pPr>
              <w:spacing w:beforeLines="50" w:afterLines="50" w:line="240" w:lineRule="atLeast"/>
              <w:rPr>
                <w:rFonts w:ascii="宋体" w:hAnsi="宋体"/>
                <w:szCs w:val="21"/>
              </w:rPr>
            </w:pPr>
            <w:r>
              <w:rPr>
                <w:rFonts w:hint="eastAsia" w:ascii="宋体" w:hAnsi="宋体"/>
                <w:szCs w:val="21"/>
              </w:rPr>
              <w:t>评价等级为：  □ 优       □ 良        □ 中         □ 差</w:t>
            </w:r>
          </w:p>
        </w:tc>
      </w:tr>
      <w:tr w14:paraId="2C8D14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23FA3816">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297F394A">
            <w:pPr>
              <w:spacing w:line="240" w:lineRule="atLeast"/>
              <w:rPr>
                <w:rFonts w:ascii="宋体" w:hAnsi="宋体"/>
                <w:szCs w:val="21"/>
              </w:rPr>
            </w:pPr>
          </w:p>
          <w:p w14:paraId="62B89C98">
            <w:pPr>
              <w:spacing w:line="240" w:lineRule="atLeast"/>
              <w:rPr>
                <w:rFonts w:ascii="宋体" w:hAnsi="宋体"/>
                <w:szCs w:val="21"/>
              </w:rPr>
            </w:pPr>
          </w:p>
          <w:p w14:paraId="6916AD55">
            <w:pPr>
              <w:spacing w:line="240" w:lineRule="atLeast"/>
              <w:rPr>
                <w:rFonts w:ascii="宋体" w:hAnsi="宋体"/>
                <w:szCs w:val="21"/>
              </w:rPr>
            </w:pPr>
          </w:p>
          <w:p w14:paraId="70DD4F8F">
            <w:pPr>
              <w:spacing w:line="240" w:lineRule="atLeast"/>
              <w:rPr>
                <w:rFonts w:ascii="宋体" w:hAnsi="宋体"/>
                <w:szCs w:val="21"/>
              </w:rPr>
            </w:pPr>
          </w:p>
          <w:p w14:paraId="492A92F5">
            <w:pPr>
              <w:spacing w:line="240" w:lineRule="atLeast"/>
              <w:rPr>
                <w:rFonts w:ascii="宋体" w:hAnsi="宋体"/>
                <w:szCs w:val="21"/>
              </w:rPr>
            </w:pPr>
          </w:p>
          <w:p w14:paraId="2C7EE866">
            <w:pPr>
              <w:spacing w:line="240" w:lineRule="atLeast"/>
              <w:rPr>
                <w:rFonts w:ascii="宋体" w:hAnsi="宋体"/>
                <w:szCs w:val="21"/>
              </w:rPr>
            </w:pPr>
          </w:p>
          <w:p w14:paraId="0FCBB159">
            <w:pPr>
              <w:spacing w:line="240" w:lineRule="atLeast"/>
              <w:rPr>
                <w:rFonts w:ascii="宋体" w:hAnsi="宋体"/>
                <w:szCs w:val="21"/>
              </w:rPr>
            </w:pPr>
          </w:p>
          <w:p w14:paraId="7ACA2E97">
            <w:pPr>
              <w:spacing w:line="240" w:lineRule="atLeast"/>
              <w:rPr>
                <w:rFonts w:ascii="宋体" w:hAnsi="宋体"/>
                <w:szCs w:val="21"/>
              </w:rPr>
            </w:pPr>
          </w:p>
        </w:tc>
      </w:tr>
      <w:tr w14:paraId="50DB73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07727D77">
            <w:pPr>
              <w:spacing w:line="240" w:lineRule="atLeast"/>
              <w:jc w:val="center"/>
              <w:rPr>
                <w:rFonts w:ascii="宋体" w:hAnsi="宋体"/>
                <w:szCs w:val="21"/>
              </w:rPr>
            </w:pPr>
            <w:r>
              <w:rPr>
                <w:rFonts w:hint="eastAsia" w:ascii="宋体" w:hAnsi="宋体"/>
                <w:szCs w:val="21"/>
              </w:rPr>
              <w:t>采购人意见</w:t>
            </w:r>
          </w:p>
          <w:p w14:paraId="72133A30">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444ED1B3">
            <w:pPr>
              <w:spacing w:line="240" w:lineRule="atLeast"/>
              <w:rPr>
                <w:rFonts w:ascii="宋体" w:hAnsi="宋体"/>
                <w:szCs w:val="21"/>
              </w:rPr>
            </w:pPr>
          </w:p>
          <w:p w14:paraId="07BD5378">
            <w:pPr>
              <w:spacing w:line="240" w:lineRule="atLeast"/>
              <w:rPr>
                <w:rFonts w:ascii="宋体" w:hAnsi="宋体"/>
                <w:szCs w:val="21"/>
              </w:rPr>
            </w:pPr>
            <w:r>
              <w:rPr>
                <w:rFonts w:hint="eastAsia" w:ascii="宋体" w:hAnsi="宋体"/>
                <w:szCs w:val="21"/>
              </w:rPr>
              <w:t xml:space="preserve">                                        </w:t>
            </w:r>
          </w:p>
          <w:p w14:paraId="1007B101">
            <w:pPr>
              <w:spacing w:line="240" w:lineRule="atLeast"/>
              <w:ind w:firstLine="3780" w:firstLineChars="1800"/>
              <w:rPr>
                <w:rFonts w:ascii="宋体" w:hAnsi="宋体"/>
                <w:szCs w:val="21"/>
              </w:rPr>
            </w:pPr>
          </w:p>
          <w:p w14:paraId="1788A0A4">
            <w:pPr>
              <w:spacing w:line="240" w:lineRule="atLeast"/>
              <w:ind w:firstLine="3780" w:firstLineChars="1800"/>
              <w:rPr>
                <w:rFonts w:ascii="宋体" w:hAnsi="宋体"/>
                <w:szCs w:val="21"/>
              </w:rPr>
            </w:pPr>
            <w:r>
              <w:rPr>
                <w:rFonts w:hint="eastAsia" w:ascii="宋体" w:hAnsi="宋体"/>
                <w:szCs w:val="21"/>
              </w:rPr>
              <w:t>日期：   年   月   日</w:t>
            </w:r>
          </w:p>
        </w:tc>
      </w:tr>
    </w:tbl>
    <w:p w14:paraId="0F6EDB5C">
      <w:pPr>
        <w:spacing w:line="240" w:lineRule="atLeast"/>
        <w:rPr>
          <w:rFonts w:ascii="宋体" w:hAnsi="宋体"/>
          <w:szCs w:val="21"/>
        </w:rPr>
      </w:pPr>
      <w:r>
        <w:rPr>
          <w:rFonts w:hint="eastAsia" w:ascii="宋体" w:hAnsi="宋体"/>
          <w:szCs w:val="21"/>
        </w:rPr>
        <w:t>说明：</w:t>
      </w:r>
    </w:p>
    <w:p w14:paraId="5BAB8757">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7CDBC3CF">
      <w:pPr>
        <w:spacing w:line="240" w:lineRule="atLeast"/>
        <w:rPr>
          <w:rFonts w:ascii="宋体" w:hAnsi="宋体"/>
          <w:szCs w:val="21"/>
        </w:rPr>
        <w:sectPr>
          <w:footerReference r:id="rId3"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786140EA">
      <w:pPr>
        <w:jc w:val="center"/>
        <w:rPr>
          <w:rFonts w:ascii="宋体" w:hAnsi="宋体"/>
          <w:b/>
          <w:bCs/>
          <w:kern w:val="0"/>
          <w:sz w:val="24"/>
          <w:szCs w:val="20"/>
        </w:rPr>
      </w:pPr>
      <w:r>
        <w:rPr>
          <w:rFonts w:hint="eastAsia" w:ascii="宋体" w:hAnsi="宋体"/>
          <w:b/>
          <w:bCs/>
          <w:kern w:val="0"/>
          <w:sz w:val="24"/>
          <w:szCs w:val="20"/>
        </w:rPr>
        <w:t>第五章  附件</w:t>
      </w:r>
    </w:p>
    <w:p w14:paraId="5AF19A8B">
      <w:pPr>
        <w:jc w:val="center"/>
        <w:rPr>
          <w:rFonts w:ascii="宋体" w:hAnsi="宋体"/>
          <w:b/>
          <w:bCs/>
          <w:kern w:val="0"/>
          <w:sz w:val="24"/>
          <w:szCs w:val="20"/>
        </w:rPr>
      </w:pPr>
    </w:p>
    <w:p w14:paraId="4C75582F">
      <w:pPr>
        <w:pStyle w:val="3"/>
        <w:spacing w:before="0" w:after="0"/>
        <w:jc w:val="center"/>
      </w:pPr>
      <w:bookmarkStart w:id="18" w:name="_Toc73613644"/>
      <w:bookmarkStart w:id="19" w:name="_Toc73610162"/>
      <w:r>
        <w:rPr>
          <w:rFonts w:hint="eastAsia"/>
        </w:rPr>
        <w:t>一、财政部 工业和信息化部关于印发《政府采购促进中小企业发展管理办法》的通知</w:t>
      </w:r>
      <w:bookmarkEnd w:id="18"/>
      <w:bookmarkEnd w:id="19"/>
    </w:p>
    <w:p w14:paraId="41A8C1FE">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3273F07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2A1D627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27F4B3D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04DB8F23">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1447179A">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4CBB4F77">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1B42C5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4C1C9E09">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3446B8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80A02DD">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69421DF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688783A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280C0EB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BC7DD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3444D43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BFD5DB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2919430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AAF7F8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43B4CDC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6E5BC3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7816AD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511673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765EB74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2DCD57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F9867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242534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331AA11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35CF293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0D20D3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779194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746A2EC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AFF35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4E745E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62B2AE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60B981A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55BAA9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291AB9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820052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494DA3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1EFB4A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401FB4E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BFA55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5CF59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415A8B8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13E9FF7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D82E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2D8AF00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33B9254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722D189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4C34B8A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7C593D6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3A0A0B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2576881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5EDEC5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02EB47C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4F2F542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0C738EB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74A989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39C16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0E441D8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1655D19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0E5E2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025CA9F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263E8EC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12ACCC87">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78CD9BD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29E3CF5D">
      <w:pPr>
        <w:spacing w:line="360" w:lineRule="auto"/>
        <w:rPr>
          <w:rFonts w:asciiTheme="minorEastAsia" w:hAnsiTheme="minorEastAsia" w:eastAsiaTheme="minorEastAsia"/>
          <w:szCs w:val="21"/>
        </w:rPr>
      </w:pPr>
    </w:p>
    <w:p w14:paraId="3C37A92B">
      <w:pPr>
        <w:pStyle w:val="3"/>
        <w:spacing w:before="0" w:after="0"/>
        <w:jc w:val="center"/>
      </w:pPr>
      <w:bookmarkStart w:id="20" w:name="_Toc73610163"/>
      <w:bookmarkStart w:id="21" w:name="_Toc73613645"/>
      <w:r>
        <w:rPr>
          <w:rFonts w:hint="eastAsia"/>
        </w:rPr>
        <w:t>二、关于印发中小企业划型标准规定的通知</w:t>
      </w:r>
      <w:bookmarkEnd w:id="20"/>
      <w:bookmarkEnd w:id="21"/>
    </w:p>
    <w:p w14:paraId="5836FC33">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717BF8F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EF6ECD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77B34B40">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09968051">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69E7667C">
      <w:pPr>
        <w:pStyle w:val="37"/>
        <w:shd w:val="clear" w:color="auto" w:fill="FFFFFF"/>
        <w:spacing w:line="360" w:lineRule="auto"/>
        <w:rPr>
          <w:rFonts w:asciiTheme="minorEastAsia" w:hAnsiTheme="minorEastAsia" w:eastAsiaTheme="minorEastAsia"/>
          <w:color w:val="000000"/>
          <w:sz w:val="21"/>
          <w:szCs w:val="21"/>
        </w:rPr>
      </w:pPr>
    </w:p>
    <w:p w14:paraId="1B8FBD2C">
      <w:pPr>
        <w:pStyle w:val="3"/>
        <w:spacing w:before="0" w:after="0"/>
        <w:jc w:val="center"/>
        <w:rPr>
          <w:rFonts w:asciiTheme="minorEastAsia" w:hAnsiTheme="minorEastAsia" w:eastAsiaTheme="minorEastAsia"/>
        </w:rPr>
      </w:pPr>
      <w:bookmarkStart w:id="22" w:name="_Toc73610164"/>
      <w:bookmarkStart w:id="23"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2"/>
      <w:bookmarkEnd w:id="23"/>
      <w:r>
        <w:rPr>
          <w:rFonts w:asciiTheme="minorEastAsia" w:hAnsiTheme="minorEastAsia" w:eastAsiaTheme="minorEastAsia"/>
          <w:bCs w:val="0"/>
        </w:rPr>
        <w:t> </w:t>
      </w:r>
    </w:p>
    <w:p w14:paraId="0FB64294">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14AD6BF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6C60E0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60D3DA3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8019A56">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88104F2">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266F6994">
      <w:pPr>
        <w:widowControl/>
        <w:spacing w:line="360" w:lineRule="auto"/>
        <w:jc w:val="center"/>
        <w:rPr>
          <w:rFonts w:cs="宋体" w:asciiTheme="minorEastAsia" w:hAnsiTheme="minorEastAsia" w:eastAsiaTheme="minorEastAsia"/>
          <w:b/>
          <w:bCs/>
          <w:kern w:val="0"/>
          <w:szCs w:val="21"/>
        </w:rPr>
      </w:pPr>
    </w:p>
    <w:p w14:paraId="48F77017">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C748B47">
      <w:pPr>
        <w:widowControl/>
        <w:spacing w:line="360" w:lineRule="auto"/>
        <w:jc w:val="left"/>
        <w:rPr>
          <w:rFonts w:cs="宋体" w:asciiTheme="minorEastAsia" w:hAnsiTheme="minorEastAsia" w:eastAsiaTheme="minorEastAsia"/>
          <w:kern w:val="0"/>
          <w:szCs w:val="21"/>
        </w:rPr>
      </w:pPr>
    </w:p>
    <w:p w14:paraId="2E7711BB">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356018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706C793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7DD1AF9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5AE801F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70EE15FA">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503E7CD8">
      <w:pPr>
        <w:widowControl/>
        <w:spacing w:line="360" w:lineRule="auto"/>
        <w:jc w:val="left"/>
        <w:rPr>
          <w:rFonts w:cs="宋体" w:asciiTheme="minorEastAsia" w:hAnsiTheme="minorEastAsia" w:eastAsiaTheme="minorEastAsia"/>
          <w:kern w:val="0"/>
          <w:szCs w:val="21"/>
        </w:rPr>
      </w:pPr>
    </w:p>
    <w:p w14:paraId="2F6B3A8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332F30D">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6AA1DB49">
      <w:pPr>
        <w:widowControl/>
        <w:spacing w:line="360" w:lineRule="auto"/>
        <w:jc w:val="left"/>
        <w:rPr>
          <w:rFonts w:cs="宋体" w:asciiTheme="minorEastAsia" w:hAnsiTheme="minorEastAsia" w:eastAsiaTheme="minorEastAsia"/>
          <w:kern w:val="0"/>
          <w:szCs w:val="21"/>
        </w:rPr>
      </w:pPr>
    </w:p>
    <w:p w14:paraId="0BC8433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5CB38B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B64F3C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648D198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5C4FFC5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FC56A1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4C01BB3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409DF568">
      <w:pPr>
        <w:widowControl/>
        <w:spacing w:line="360" w:lineRule="auto"/>
        <w:jc w:val="left"/>
        <w:rPr>
          <w:rFonts w:cs="宋体" w:asciiTheme="minorEastAsia" w:hAnsiTheme="minorEastAsia" w:eastAsiaTheme="minorEastAsia"/>
          <w:kern w:val="0"/>
          <w:szCs w:val="21"/>
        </w:rPr>
      </w:pPr>
    </w:p>
    <w:p w14:paraId="2851B57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0859B15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7C10DECE">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8783337">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5BAE7D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1ECE824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58E668E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A37EB0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59FD32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691DFEC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66BC528">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3FE06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67D8517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ED27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C46476F">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6F0BB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FA71AE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2EA12404">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7F916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CEF328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6D8051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6C809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BFF75C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392E82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55CBE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49AF1E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BB2C9D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8D77A0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4C454F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7D1C28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2C79DB">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EB482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C0EACF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6A45DD6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5AAB45E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9B6419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2F5A221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09C6EC7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1BF78E3">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25213AC3">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F8172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452D266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A106E4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2606BC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5B2392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C0BBDD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C1331A0">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528CBC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52850E4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2D938B31">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2150CAF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75C9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5CD096C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91268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F903DC6">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2E131AA">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55090C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0B4D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1B0E90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127A7D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311C39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2058C9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3B42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A353E0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39B80136">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65F814B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02D34C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FEBA29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603E552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4327B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0C9C46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200D58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2585DC9F">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39069D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3CE770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535905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56B4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594F6B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9A1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279CA7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B491E1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63EC557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F735BC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ED203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376C08F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4ADB42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F372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B4F206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6B513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C2650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CE745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317E9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CDD37E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6D589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9D1B61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D6B01AD">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01356CB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84082F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0041FB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159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0B9BC6A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E4EA4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D13DDB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C25CA3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6EE09DA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4E3B1159">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ACBACD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4C2283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3D3F40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BC683C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FE6E242">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0C1C39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36455B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7DAC6C4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39884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A241A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0E9F126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0BA15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4B5E59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7D0841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1C13C2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237F5C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DD10AA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30E62D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3F0E2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B356DC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964196B">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341CA0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415200E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E8E5F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A0C2D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7E4829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A17CA6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346C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4A9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040D1B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7E98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076EAC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443D86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87E0D4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DB3B9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45CFD5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519CC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2E6353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30B1FE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93A1CA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5D3811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26E8C2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CDC1F8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0EBA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5E278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4A8C0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ACA57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BDF175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338EE5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B8E97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D0FF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03F819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C59F6C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1FA1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2EF1292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CE04C3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B89682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908FF9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1AEF6F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9DF6E6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C2A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30D1DE5">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5ECE46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E3FBB7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95166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52758A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B17020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6357F7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95F3C3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2CD401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40EF0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33204D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5B6A1B8">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C09F8C3">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5FEC8B3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74DAF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B37C9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8E1EE4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1A5C5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2BEF1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4DF3CE5">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501B0F61">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7C6E41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F63D6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FE8557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06B00F2">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2BF31E7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29A73E0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F56798E">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C9F6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103B2A6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A1A6A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4EE9270">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79013EB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0CDD3B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28C6F4D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29B6E8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27F6F14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794CB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506A7A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FC9BAA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0A0AC0B">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78DBCCD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30C14F55">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483EA5C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122055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3F6391A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82FFB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66623B2">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0D02DC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13BD6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7A0E419">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31EFF22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1B9E2E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258A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36736D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0B96CD0">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1389B99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0D0A9C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410D9A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02E61D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84E34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2235E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5C2BB6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6E1BD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3830252">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C2745F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30C613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74F959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CD4D72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D5C48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E9E531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D9FBF5">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9BF81C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2F6369B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A5E3ADE">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1CFDBA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60263CD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234708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483DEBC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194E327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72DB6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3AF285B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3604E3E1">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7F3F77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692B9B5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099D707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5F47177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1075020">
      <w:pPr>
        <w:spacing w:line="360" w:lineRule="auto"/>
        <w:rPr>
          <w:rFonts w:asciiTheme="minorEastAsia" w:hAnsiTheme="minorEastAsia" w:eastAsiaTheme="minorEastAsia"/>
          <w:szCs w:val="21"/>
        </w:rPr>
      </w:pPr>
    </w:p>
    <w:p w14:paraId="3166F3E3">
      <w:pPr>
        <w:pStyle w:val="3"/>
        <w:spacing w:before="0" w:after="0"/>
        <w:jc w:val="center"/>
      </w:pPr>
      <w:bookmarkStart w:id="24" w:name="_Toc73613647"/>
      <w:bookmarkStart w:id="25" w:name="_Toc73610165"/>
      <w:r>
        <w:rPr>
          <w:rFonts w:hint="eastAsia"/>
        </w:rPr>
        <w:t>四、</w:t>
      </w:r>
      <w:r>
        <w:t>财政部 民政部 中国残疾人联合会关于促进残疾人就业 政府采购政策的通知</w:t>
      </w:r>
      <w:bookmarkEnd w:id="24"/>
      <w:bookmarkEnd w:id="25"/>
      <w:r>
        <w:t xml:space="preserve"> </w:t>
      </w:r>
    </w:p>
    <w:p w14:paraId="7BFDB946">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16F28E6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1197822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43DE72C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494F16A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7AF91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782944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5A4F44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1AB970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50E8D8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0C94BB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21130A9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2F0F09D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178CF15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31CD34A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235FE7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1F5C20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0CFD163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7C0FEF2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7748170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48A7F3CE">
      <w:pPr>
        <w:widowControl/>
        <w:spacing w:line="360" w:lineRule="auto"/>
        <w:jc w:val="right"/>
        <w:rPr>
          <w:rFonts w:cs="宋体" w:asciiTheme="minorEastAsia" w:hAnsiTheme="minorEastAsia" w:eastAsiaTheme="minorEastAsia"/>
          <w:kern w:val="0"/>
          <w:szCs w:val="21"/>
        </w:rPr>
      </w:pPr>
    </w:p>
    <w:p w14:paraId="5B9DFE3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0DC05904">
      <w:pPr>
        <w:tabs>
          <w:tab w:val="left" w:pos="1875"/>
        </w:tabs>
      </w:pPr>
    </w:p>
    <w:p w14:paraId="029DE2CA"/>
    <w:p w14:paraId="62B87F86">
      <w:pPr>
        <w:pStyle w:val="3"/>
        <w:spacing w:before="0" w:after="0"/>
        <w:jc w:val="center"/>
      </w:pPr>
      <w:r>
        <w:rPr>
          <w:rFonts w:hint="eastAsia"/>
        </w:rPr>
        <w:t>五、财政部 司法部关于政府采购支持监狱企业发展有关问题的通知</w:t>
      </w:r>
      <w:r>
        <w:t xml:space="preserve"> </w:t>
      </w:r>
    </w:p>
    <w:p w14:paraId="41B3894D">
      <w:pPr>
        <w:widowControl/>
        <w:spacing w:line="360" w:lineRule="auto"/>
        <w:jc w:val="center"/>
        <w:rPr>
          <w:rFonts w:cs="宋体" w:asciiTheme="minorEastAsia" w:hAnsiTheme="minorEastAsia" w:eastAsiaTheme="minorEastAsia"/>
          <w:kern w:val="0"/>
          <w:szCs w:val="21"/>
        </w:rPr>
      </w:pPr>
    </w:p>
    <w:p w14:paraId="69789DEB">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160A76">
      <w:pPr>
        <w:widowControl/>
        <w:spacing w:line="360" w:lineRule="auto"/>
        <w:jc w:val="left"/>
        <w:rPr>
          <w:rFonts w:cs="宋体" w:asciiTheme="minorEastAsia" w:hAnsiTheme="minorEastAsia" w:eastAsiaTheme="minorEastAsia"/>
          <w:kern w:val="0"/>
          <w:szCs w:val="21"/>
        </w:rPr>
      </w:pPr>
    </w:p>
    <w:p w14:paraId="2B19091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B82F698">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0E8D592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2F3F89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DFF692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6803755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3D9FA27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51D2E13">
      <w:pPr>
        <w:widowControl/>
        <w:spacing w:line="360" w:lineRule="auto"/>
        <w:jc w:val="left"/>
        <w:rPr>
          <w:rFonts w:cs="宋体" w:asciiTheme="minorEastAsia" w:hAnsiTheme="minorEastAsia" w:eastAsiaTheme="minorEastAsia"/>
          <w:kern w:val="0"/>
          <w:szCs w:val="21"/>
        </w:rPr>
      </w:pPr>
    </w:p>
    <w:p w14:paraId="5B08312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6E08BC0B">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2E2657F2">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6BF65DA8">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30086E9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6" w:name="_Hlk72399513"/>
      <w:r>
        <w:rPr>
          <w:rFonts w:hint="eastAsia" w:asciiTheme="majorEastAsia" w:hAnsiTheme="majorEastAsia" w:eastAsiaTheme="majorEastAsia"/>
          <w:b/>
          <w:bCs/>
          <w:kern w:val="0"/>
          <w:sz w:val="28"/>
          <w:szCs w:val="28"/>
        </w:rPr>
        <w:t>总则</w:t>
      </w:r>
    </w:p>
    <w:bookmarkEnd w:id="26"/>
    <w:p w14:paraId="3BED2F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489F8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7" w:name="_Hlk72399729"/>
      <w:r>
        <w:rPr>
          <w:rFonts w:hint="eastAsia" w:asciiTheme="majorEastAsia" w:hAnsiTheme="majorEastAsia" w:eastAsiaTheme="majorEastAsia"/>
          <w:szCs w:val="21"/>
        </w:rPr>
        <w:t>如有需要，采购代理机构可以对通用条款的内容进行补充。</w:t>
      </w:r>
      <w:bookmarkEnd w:id="27"/>
    </w:p>
    <w:p w14:paraId="2C779DB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C769D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61E0D01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08CC21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3C67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2F943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2E0D1D22">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32314D3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59E398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15E64A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05BC79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5ECAD3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03A4BB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6B37143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19C0B06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5373EF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5B0FB0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4724E7D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0A5F058F">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8" w:name="_Hlk72398643"/>
      <w:r>
        <w:rPr>
          <w:rFonts w:hint="eastAsia" w:asciiTheme="majorEastAsia" w:hAnsiTheme="majorEastAsia" w:eastAsiaTheme="majorEastAsia"/>
          <w:b/>
          <w:bCs/>
          <w:szCs w:val="21"/>
        </w:rPr>
        <w:t>政府采购供应商责任</w:t>
      </w:r>
    </w:p>
    <w:p w14:paraId="48CBB5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052C02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67ADC5C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0EA173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110A3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2E88E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17FF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500263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13BD81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5886A09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02D89777">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2E834455">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3442932F">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25FCFC7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4FA91B5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6ABA5329">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6C62FE6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0675584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5CE7FCA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0985060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5670A9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3A5D49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71334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7E7B8E1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75BD63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2848B251">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76749E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61D9AE9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671FFDE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0A7477A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3AC4A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29"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29"/>
    </w:p>
    <w:p w14:paraId="5EA243C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7671A0B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1BCFF7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7F48BE6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010FCC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76B96779">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6DB56E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6DDACC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58B654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78A4C8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483F754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097819E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672630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57A2D3D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4A4BD0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8"/>
    <w:p w14:paraId="4F95786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17E39CA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0" w:name="_Hlk72399819"/>
      <w:r>
        <w:rPr>
          <w:rFonts w:hint="eastAsia" w:asciiTheme="majorEastAsia" w:hAnsiTheme="majorEastAsia" w:eastAsiaTheme="majorEastAsia"/>
          <w:b/>
          <w:bCs/>
          <w:szCs w:val="21"/>
        </w:rPr>
        <w:t>招标文件的编制与组成</w:t>
      </w:r>
    </w:p>
    <w:p w14:paraId="181908F7">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78B18C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4C33CFA5">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95D4521">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4EAFBF8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2AB3AE8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251C5FD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21018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65D6AE5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51B2583">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61F61BE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12CFB6A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1CFB19E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6FA276A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72DAEA2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103125D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6988638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71EFD6D8">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04242E3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4EE348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7ED647D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6E9090F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73A66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270E4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43DE9E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4F75E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06F65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351687F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3E708B0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709ADEB0">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79915C8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3EE5E54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0"/>
    </w:p>
    <w:p w14:paraId="1009A40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27500C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1" w:name="_Hlk72400236"/>
      <w:r>
        <w:rPr>
          <w:rFonts w:hint="eastAsia" w:asciiTheme="majorEastAsia" w:hAnsiTheme="majorEastAsia" w:eastAsiaTheme="majorEastAsia"/>
          <w:b/>
          <w:bCs/>
          <w:szCs w:val="21"/>
        </w:rPr>
        <w:t>投标文件的语言及度量单位</w:t>
      </w:r>
    </w:p>
    <w:p w14:paraId="7B6C0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595B4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1"/>
    <w:p w14:paraId="62738F2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2" w:name="_Hlk72401567"/>
      <w:r>
        <w:rPr>
          <w:rFonts w:hint="eastAsia" w:asciiTheme="majorEastAsia" w:hAnsiTheme="majorEastAsia" w:eastAsiaTheme="majorEastAsia"/>
          <w:b/>
          <w:bCs/>
          <w:szCs w:val="21"/>
        </w:rPr>
        <w:t>投标文件的组成</w:t>
      </w:r>
    </w:p>
    <w:p w14:paraId="36702C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7BE7A1BC">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08FF9F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613A08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4CD07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2"/>
    <w:p w14:paraId="5A3A0E7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3" w:name="_Hlk72401735"/>
      <w:r>
        <w:rPr>
          <w:rFonts w:hint="eastAsia" w:asciiTheme="majorEastAsia" w:hAnsiTheme="majorEastAsia" w:eastAsiaTheme="majorEastAsia"/>
          <w:b/>
          <w:bCs/>
          <w:szCs w:val="21"/>
        </w:rPr>
        <w:t>证明投标文件投标技术方案的合格性和符合招标文件规定的文件要求</w:t>
      </w:r>
    </w:p>
    <w:p w14:paraId="266E1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CC8D10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849B0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4FA3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A66D2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0B244B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F8505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35BA7C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6E8F299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48473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3"/>
    <w:p w14:paraId="3C8928A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4" w:name="_Hlk72402034"/>
      <w:r>
        <w:rPr>
          <w:rFonts w:hint="eastAsia" w:asciiTheme="majorEastAsia" w:hAnsiTheme="majorEastAsia" w:eastAsiaTheme="majorEastAsia"/>
          <w:b/>
          <w:bCs/>
          <w:szCs w:val="21"/>
        </w:rPr>
        <w:t>投标文件其他证明文件的要求</w:t>
      </w:r>
    </w:p>
    <w:p w14:paraId="7596A47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5" w:name="_Hlk71407299"/>
    </w:p>
    <w:bookmarkEnd w:id="35"/>
    <w:p w14:paraId="404792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115DAAB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4"/>
    <w:p w14:paraId="5BB8D7BE">
      <w:pPr>
        <w:spacing w:line="360" w:lineRule="auto"/>
        <w:ind w:firstLine="411" w:firstLineChars="196"/>
        <w:rPr>
          <w:rFonts w:asciiTheme="majorEastAsia" w:hAnsiTheme="majorEastAsia" w:eastAsiaTheme="majorEastAsia"/>
          <w:szCs w:val="21"/>
        </w:rPr>
      </w:pPr>
      <w:bookmarkStart w:id="36"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0BCE97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5D8E4A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6"/>
    <w:p w14:paraId="23213E4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7" w:name="_Hlk72402325"/>
      <w:r>
        <w:rPr>
          <w:rFonts w:hint="eastAsia" w:asciiTheme="majorEastAsia" w:hAnsiTheme="majorEastAsia" w:eastAsiaTheme="majorEastAsia"/>
          <w:szCs w:val="21"/>
        </w:rPr>
        <w:t xml:space="preserve">关于投标保证金 </w:t>
      </w:r>
    </w:p>
    <w:p w14:paraId="5E265D1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085C088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21AFC2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294A3C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7"/>
    <w:p w14:paraId="3BCA160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8"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2AD95E4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F2A47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14861C9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C6222F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27E5A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2F68E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1AF20B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38FFC1DF">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4BCB144B">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B582A7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7B29406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6FEDC2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226CEFA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3B3A2B7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762866A0">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D0E504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8"/>
    </w:p>
    <w:p w14:paraId="3727EF68">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39" w:name="_Hlk72405459"/>
    </w:p>
    <w:p w14:paraId="1D71F9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624CF72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3D8E052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04B0A3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8554B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48B8E180">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548BA4F9">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07CC2C8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6023C7F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7C28008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341ED83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293E02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39"/>
    <w:p w14:paraId="39BBE8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1CDF15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3E0B048C">
      <w:pPr>
        <w:spacing w:line="360" w:lineRule="auto"/>
        <w:rPr>
          <w:rFonts w:asciiTheme="majorEastAsia" w:hAnsiTheme="majorEastAsia" w:eastAsiaTheme="majorEastAsia"/>
          <w:b/>
          <w:bCs/>
          <w:szCs w:val="21"/>
        </w:rPr>
      </w:pPr>
      <w:bookmarkStart w:id="40"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388803B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317DC6A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5139E5CC">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3F62120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0"/>
    <w:p w14:paraId="78D5BC3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17802E3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3A3E7F09">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5A94C477">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DA7F9BA">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26BBC07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27D7CBF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2F82B4CF">
      <w:pPr>
        <w:spacing w:line="360" w:lineRule="auto"/>
        <w:ind w:firstLine="411" w:firstLineChars="196"/>
        <w:rPr>
          <w:rFonts w:asciiTheme="majorEastAsia" w:hAnsiTheme="majorEastAsia" w:eastAsiaTheme="majorEastAsia"/>
          <w:szCs w:val="21"/>
        </w:rPr>
      </w:pPr>
      <w:bookmarkStart w:id="41"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1"/>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7D76BB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24A21D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089C0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9AEA153">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034C7B6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3D6464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21A282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1D56A0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54BA3F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383FD0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4389B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0312BA5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3AB4B5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3A4E8A7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6B8EC0C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FEEC99F">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62E00C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795E3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51589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6F9A3C3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6DC44D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2414436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4BA2954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3882960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312506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3AAC7E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26C17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486B012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0BB19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6DDD15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3C0158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78EB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48767B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2B7A05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52E2B3B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37E75A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488DD9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0F4FFD1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7057FF3F">
      <w:pPr>
        <w:spacing w:line="360" w:lineRule="auto"/>
        <w:ind w:firstLine="411" w:firstLineChars="196"/>
        <w:rPr>
          <w:rFonts w:asciiTheme="majorEastAsia" w:hAnsiTheme="majorEastAsia" w:eastAsiaTheme="majorEastAsia"/>
          <w:szCs w:val="21"/>
        </w:rPr>
      </w:pPr>
      <w:bookmarkStart w:id="42"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2"/>
    </w:p>
    <w:p w14:paraId="6F1AFE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11F5218">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61A52A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4851B2C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037F7C21">
      <w:pPr>
        <w:spacing w:line="360" w:lineRule="auto"/>
        <w:rPr>
          <w:rFonts w:asciiTheme="majorEastAsia" w:hAnsiTheme="majorEastAsia" w:eastAsiaTheme="majorEastAsia"/>
          <w:b/>
          <w:bCs/>
          <w:szCs w:val="21"/>
        </w:rPr>
      </w:pPr>
      <w:bookmarkStart w:id="43" w:name="_Toc100052400"/>
      <w:bookmarkStart w:id="44" w:name="_Toc73521581"/>
      <w:bookmarkStart w:id="45" w:name="_Toc73517673"/>
      <w:bookmarkStart w:id="46" w:name="_Toc73521669"/>
      <w:bookmarkStart w:id="47" w:name="_Toc73518151"/>
      <w:r>
        <w:rPr>
          <w:rFonts w:hint="eastAsia" w:asciiTheme="majorEastAsia" w:hAnsiTheme="majorEastAsia" w:eastAsiaTheme="majorEastAsia"/>
          <w:b/>
          <w:bCs/>
          <w:szCs w:val="21"/>
        </w:rPr>
        <w:t>34．错误的修正</w:t>
      </w:r>
      <w:bookmarkEnd w:id="43"/>
      <w:bookmarkEnd w:id="44"/>
      <w:bookmarkEnd w:id="45"/>
      <w:bookmarkEnd w:id="46"/>
      <w:bookmarkEnd w:id="47"/>
    </w:p>
    <w:p w14:paraId="147D67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4686BD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7EE7DA9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01E33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51E650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702405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7524456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1F5564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477BA1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3661F0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2344C4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23701D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4C21C357">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9B240B7">
      <w:pPr>
        <w:spacing w:line="360" w:lineRule="auto"/>
        <w:ind w:firstLine="411" w:firstLineChars="196"/>
        <w:rPr>
          <w:rFonts w:asciiTheme="majorEastAsia" w:hAnsiTheme="majorEastAsia" w:eastAsiaTheme="majorEastAsia"/>
          <w:szCs w:val="21"/>
        </w:rPr>
      </w:pPr>
      <w:bookmarkStart w:id="48"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31D899FA">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3A368B0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8"/>
    </w:p>
    <w:p w14:paraId="6B25CD42">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93C03EC">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26E8D8A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8B1EE83">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7B5A66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6DB042A8">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78AD04B9">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B8128F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04080A6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0810CD9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0B0AB2E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71E5198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FC06A2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2E54793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22C3D2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03949EC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54E87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0D62BD3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5B8BE8D2">
      <w:pPr>
        <w:spacing w:line="360" w:lineRule="auto"/>
        <w:ind w:firstLine="411" w:firstLineChars="196"/>
        <w:rPr>
          <w:rFonts w:asciiTheme="majorEastAsia" w:hAnsiTheme="majorEastAsia" w:eastAsiaTheme="majorEastAsia"/>
          <w:szCs w:val="21"/>
        </w:rPr>
      </w:pPr>
      <w:bookmarkStart w:id="49" w:name="_Hlk73782795"/>
      <w:r>
        <w:rPr>
          <w:rFonts w:hint="eastAsia" w:asciiTheme="majorEastAsia" w:hAnsiTheme="majorEastAsia" w:eastAsiaTheme="majorEastAsia"/>
          <w:szCs w:val="21"/>
        </w:rPr>
        <w:t>38.1非评定分离项目定标方法</w:t>
      </w:r>
    </w:p>
    <w:p w14:paraId="061ED3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57D96AB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0"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0"/>
      <w:r>
        <w:rPr>
          <w:rFonts w:asciiTheme="majorEastAsia" w:hAnsiTheme="majorEastAsia" w:eastAsiaTheme="majorEastAsia"/>
          <w:szCs w:val="21"/>
        </w:rPr>
        <w:t>）。</w:t>
      </w:r>
    </w:p>
    <w:p w14:paraId="4FB3C95B">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200E28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012BB62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65BB654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1"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46385A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2"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1"/>
      <w:bookmarkEnd w:id="52"/>
    </w:p>
    <w:p w14:paraId="58CD53A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7A1CF9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07959F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49"/>
    </w:p>
    <w:p w14:paraId="578C728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5C227F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99AF51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2FF97D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3"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3"/>
      <w:bookmarkStart w:id="54"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4"/>
    <w:p w14:paraId="603779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E85B22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71CF2D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5"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5"/>
    </w:p>
    <w:p w14:paraId="40CBE6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4273479C">
      <w:pPr>
        <w:spacing w:line="360" w:lineRule="auto"/>
        <w:ind w:firstLine="411" w:firstLineChars="196"/>
        <w:rPr>
          <w:rFonts w:asciiTheme="majorEastAsia" w:hAnsiTheme="majorEastAsia" w:eastAsiaTheme="majorEastAsia"/>
          <w:szCs w:val="21"/>
        </w:rPr>
      </w:pPr>
      <w:bookmarkStart w:id="56"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44EABEBC">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6CF695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4660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08538546">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0A9B9151">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680DD8E7">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29CD1A3B">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2E1BF4D3">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18A9A2D6">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78BC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F6DEA7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52BC535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31F16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0FD7DD21">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6E93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C492C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666B6C3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01CAF80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724444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37FE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B89556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66E4AE7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5B23B9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76FCE9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482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6C7BC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67F515B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5FA529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61FE2B2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5E8F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C7D672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E8097B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719ECE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3F15E06B">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4612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30FED40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532C11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662C293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780E35DA">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24EE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59DF7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65F021D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397C7B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5BCBC7AF">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3FC4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45DB01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247AC8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774BF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1C411D0D">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2C12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710D9E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778D081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5234B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04D3D749">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5525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2C21AE6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6A8E69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7D99CD4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D0E3284">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5D4DD295">
      <w:pPr>
        <w:spacing w:line="360" w:lineRule="auto"/>
        <w:ind w:firstLine="411" w:firstLineChars="196"/>
        <w:rPr>
          <w:rFonts w:asciiTheme="majorEastAsia" w:hAnsiTheme="majorEastAsia" w:eastAsiaTheme="majorEastAsia"/>
          <w:szCs w:val="21"/>
        </w:rPr>
      </w:pPr>
    </w:p>
    <w:bookmarkEnd w:id="56"/>
    <w:p w14:paraId="3561AD6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0968AF9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4BC185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433C66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13F9C1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2CAF271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26A852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048391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7FB0AC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0CB78C2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7" w:name="_Hlk72439043"/>
      <w:r>
        <w:rPr>
          <w:rFonts w:hint="eastAsia" w:asciiTheme="majorEastAsia" w:hAnsiTheme="majorEastAsia" w:eastAsiaTheme="majorEastAsia"/>
          <w:b/>
          <w:bCs/>
          <w:kern w:val="0"/>
          <w:sz w:val="28"/>
          <w:szCs w:val="28"/>
        </w:rPr>
        <w:t>合同的授予与备案</w:t>
      </w:r>
      <w:bookmarkEnd w:id="57"/>
    </w:p>
    <w:p w14:paraId="154D94C9">
      <w:pPr>
        <w:spacing w:line="360" w:lineRule="auto"/>
        <w:rPr>
          <w:rFonts w:asciiTheme="majorEastAsia" w:hAnsiTheme="majorEastAsia" w:eastAsiaTheme="majorEastAsia"/>
          <w:b/>
          <w:bCs/>
          <w:szCs w:val="21"/>
        </w:rPr>
      </w:pPr>
      <w:bookmarkStart w:id="58" w:name="_Toc73518157"/>
      <w:bookmarkStart w:id="59" w:name="_Toc73517679"/>
      <w:bookmarkStart w:id="60" w:name="_Toc100052408"/>
      <w:bookmarkStart w:id="61" w:name="_Toc73521586"/>
      <w:bookmarkStart w:id="62" w:name="_Toc73521674"/>
      <w:bookmarkStart w:id="63" w:name="_Hlk72439088"/>
      <w:r>
        <w:rPr>
          <w:rFonts w:hint="eastAsia" w:asciiTheme="majorEastAsia" w:hAnsiTheme="majorEastAsia" w:eastAsiaTheme="majorEastAsia"/>
          <w:b/>
          <w:bCs/>
          <w:szCs w:val="21"/>
        </w:rPr>
        <w:t>43．合同授予标准</w:t>
      </w:r>
      <w:bookmarkEnd w:id="58"/>
      <w:bookmarkEnd w:id="59"/>
      <w:bookmarkEnd w:id="60"/>
      <w:bookmarkEnd w:id="61"/>
      <w:bookmarkEnd w:id="62"/>
    </w:p>
    <w:p w14:paraId="6F5893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195BD9AC">
      <w:pPr>
        <w:spacing w:line="360" w:lineRule="auto"/>
        <w:rPr>
          <w:rFonts w:asciiTheme="majorEastAsia" w:hAnsiTheme="majorEastAsia" w:eastAsiaTheme="majorEastAsia"/>
          <w:b/>
          <w:bCs/>
          <w:szCs w:val="21"/>
        </w:rPr>
      </w:pPr>
      <w:bookmarkStart w:id="64" w:name="_Toc100052409"/>
      <w:bookmarkStart w:id="65" w:name="_Toc73517680"/>
      <w:bookmarkStart w:id="66" w:name="_Toc73521587"/>
      <w:bookmarkStart w:id="67" w:name="_Toc73518158"/>
      <w:bookmarkStart w:id="68" w:name="_Toc73521675"/>
      <w:r>
        <w:rPr>
          <w:rFonts w:hint="eastAsia" w:asciiTheme="majorEastAsia" w:hAnsiTheme="majorEastAsia" w:eastAsiaTheme="majorEastAsia"/>
          <w:b/>
          <w:bCs/>
          <w:szCs w:val="21"/>
        </w:rPr>
        <w:t>44．</w:t>
      </w:r>
      <w:bookmarkEnd w:id="64"/>
      <w:bookmarkEnd w:id="65"/>
      <w:bookmarkEnd w:id="66"/>
      <w:bookmarkEnd w:id="67"/>
      <w:bookmarkEnd w:id="68"/>
      <w:r>
        <w:rPr>
          <w:rFonts w:hint="eastAsia" w:asciiTheme="majorEastAsia" w:hAnsiTheme="majorEastAsia" w:eastAsiaTheme="majorEastAsia"/>
          <w:b/>
          <w:bCs/>
          <w:szCs w:val="21"/>
        </w:rPr>
        <w:t>接受和拒绝任何或所有投标的权力</w:t>
      </w:r>
    </w:p>
    <w:p w14:paraId="309342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73536E03">
      <w:pPr>
        <w:spacing w:line="360" w:lineRule="auto"/>
        <w:rPr>
          <w:rFonts w:asciiTheme="majorEastAsia" w:hAnsiTheme="majorEastAsia" w:eastAsiaTheme="majorEastAsia"/>
          <w:b/>
          <w:bCs/>
          <w:szCs w:val="21"/>
        </w:rPr>
      </w:pPr>
      <w:bookmarkStart w:id="69" w:name="_Toc73518160"/>
      <w:bookmarkStart w:id="70" w:name="_Toc73521677"/>
      <w:bookmarkStart w:id="71" w:name="_Toc73517682"/>
      <w:bookmarkStart w:id="72" w:name="_Toc100052410"/>
      <w:bookmarkStart w:id="73" w:name="_Toc73521589"/>
      <w:r>
        <w:rPr>
          <w:rFonts w:hint="eastAsia" w:asciiTheme="majorEastAsia" w:hAnsiTheme="majorEastAsia" w:eastAsiaTheme="majorEastAsia"/>
          <w:b/>
          <w:bCs/>
          <w:szCs w:val="21"/>
        </w:rPr>
        <w:t>45．合同的签订</w:t>
      </w:r>
      <w:bookmarkEnd w:id="69"/>
      <w:bookmarkEnd w:id="70"/>
      <w:bookmarkEnd w:id="71"/>
      <w:bookmarkEnd w:id="72"/>
      <w:bookmarkEnd w:id="73"/>
    </w:p>
    <w:p w14:paraId="5772B92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45122A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7FAB16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447E5DC8">
      <w:pPr>
        <w:spacing w:line="360" w:lineRule="auto"/>
        <w:rPr>
          <w:rFonts w:asciiTheme="majorEastAsia" w:hAnsiTheme="majorEastAsia" w:eastAsiaTheme="majorEastAsia"/>
          <w:b/>
          <w:bCs/>
          <w:szCs w:val="21"/>
        </w:rPr>
      </w:pPr>
      <w:bookmarkStart w:id="74" w:name="_Toc73521678"/>
      <w:bookmarkStart w:id="75" w:name="_Toc100052411"/>
      <w:bookmarkStart w:id="76" w:name="_Toc73518161"/>
      <w:bookmarkStart w:id="77" w:name="_Toc73521590"/>
      <w:bookmarkStart w:id="78" w:name="_Toc73517683"/>
      <w:r>
        <w:rPr>
          <w:rFonts w:hint="eastAsia" w:asciiTheme="majorEastAsia" w:hAnsiTheme="majorEastAsia" w:eastAsiaTheme="majorEastAsia"/>
          <w:b/>
          <w:bCs/>
          <w:szCs w:val="21"/>
        </w:rPr>
        <w:t>46．履约担保</w:t>
      </w:r>
      <w:bookmarkEnd w:id="74"/>
      <w:bookmarkEnd w:id="75"/>
      <w:bookmarkEnd w:id="76"/>
      <w:bookmarkEnd w:id="77"/>
      <w:bookmarkEnd w:id="78"/>
    </w:p>
    <w:p w14:paraId="6FFA05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086809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78E87E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6718E4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7C4F071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2F51F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7F7A1D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74A8280F">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5C38CCD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03A0E4D2">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0898222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59435A1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1B752F1A">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5EF367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2A6C0FE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3EA16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09D3013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331E40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1BC6210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07CBBD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4910C6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5C61E7A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18F13BC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20F19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702C80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79" w:name="_Hlk72440769"/>
      <w:r>
        <w:rPr>
          <w:rFonts w:hint="eastAsia" w:asciiTheme="majorEastAsia" w:hAnsiTheme="majorEastAsia" w:eastAsiaTheme="majorEastAsia"/>
          <w:szCs w:val="21"/>
        </w:rPr>
        <w:t>采购人或采购代理机构</w:t>
      </w:r>
      <w:bookmarkEnd w:id="79"/>
      <w:r>
        <w:rPr>
          <w:rFonts w:hint="eastAsia" w:asciiTheme="majorEastAsia" w:hAnsiTheme="majorEastAsia" w:eastAsiaTheme="majorEastAsia"/>
          <w:szCs w:val="21"/>
        </w:rPr>
        <w:t>可将有关情况报同级财政部门，由财政部门根据实际情况记入供应商诚信档案，予以通报：</w:t>
      </w:r>
    </w:p>
    <w:p w14:paraId="738308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67057DE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33AD45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5A27B2C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3"/>
    <w:p w14:paraId="6C2818F2">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6ED6547F">
      <w:pPr>
        <w:spacing w:line="360" w:lineRule="auto"/>
        <w:rPr>
          <w:rFonts w:asciiTheme="majorEastAsia" w:hAnsiTheme="majorEastAsia" w:eastAsiaTheme="majorEastAsia"/>
          <w:b/>
          <w:bCs/>
          <w:szCs w:val="21"/>
        </w:rPr>
      </w:pPr>
      <w:bookmarkStart w:id="80" w:name="_Hlk72439706"/>
      <w:r>
        <w:rPr>
          <w:rFonts w:hint="eastAsia" w:asciiTheme="majorEastAsia" w:hAnsiTheme="majorEastAsia" w:eastAsiaTheme="majorEastAsia"/>
          <w:b/>
          <w:bCs/>
          <w:szCs w:val="21"/>
        </w:rPr>
        <w:t>52.质疑提出与答复</w:t>
      </w:r>
    </w:p>
    <w:p w14:paraId="23EDB0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5EA7F73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7325266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6975576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6F96A0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3567D1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1" w:name="_Hlk75374941"/>
      <w:r>
        <w:rPr>
          <w:rFonts w:hint="eastAsia" w:asciiTheme="majorEastAsia" w:hAnsiTheme="majorEastAsia" w:eastAsiaTheme="majorEastAsia"/>
          <w:szCs w:val="21"/>
        </w:rPr>
        <w:t>以联合体形式参与的，质疑应当由组成联合体的所有成员共同提出</w:t>
      </w:r>
      <w:bookmarkEnd w:id="81"/>
      <w:r>
        <w:rPr>
          <w:rFonts w:hint="eastAsia" w:asciiTheme="majorEastAsia" w:hAnsiTheme="majorEastAsia" w:eastAsiaTheme="majorEastAsia"/>
          <w:szCs w:val="21"/>
        </w:rPr>
        <w:t>；</w:t>
      </w:r>
    </w:p>
    <w:p w14:paraId="247EF8E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C013D59">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73EEC25B">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7EA9C98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96E8E1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64ACF2E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6C8BB53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A95592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EF6537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4EA6D1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FBA7B4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7C3AB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21283F7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EB63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5B562D15">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72574F5B">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7682383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48A81AF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0FD6776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46AEF4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1D2D2AD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42946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6FBD7E8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5BECD44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390721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3B14097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7894837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3D597A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695EF9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02AC351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2D21F9B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0"/>
    </w:p>
    <w:p w14:paraId="04100A33">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宋体"/>
    <w:panose1 w:val="00020600040101010101"/>
    <w:charset w:val="86"/>
    <w:family w:val="modern"/>
    <w:pitch w:val="default"/>
    <w:sig w:usb0="00000000" w:usb1="00000000" w:usb2="00000012" w:usb3="00000000" w:csb0="0004009F" w:csb1="DFD7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744C42B3">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AADD906">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DEEBA69"/>
    <w:multiLevelType w:val="multilevel"/>
    <w:tmpl w:val="7DEEBA69"/>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29429C0"/>
    <w:rsid w:val="02B9088F"/>
    <w:rsid w:val="03983C97"/>
    <w:rsid w:val="03BE44B1"/>
    <w:rsid w:val="03D114A6"/>
    <w:rsid w:val="053A4512"/>
    <w:rsid w:val="056472A7"/>
    <w:rsid w:val="0594536B"/>
    <w:rsid w:val="05D30962"/>
    <w:rsid w:val="060F23F6"/>
    <w:rsid w:val="062E5C80"/>
    <w:rsid w:val="064E2EED"/>
    <w:rsid w:val="06D05598"/>
    <w:rsid w:val="073A5A0B"/>
    <w:rsid w:val="08293F3F"/>
    <w:rsid w:val="08A8171F"/>
    <w:rsid w:val="0A146488"/>
    <w:rsid w:val="0C0C7F03"/>
    <w:rsid w:val="0C810017"/>
    <w:rsid w:val="0D7A2203"/>
    <w:rsid w:val="0DB22432"/>
    <w:rsid w:val="0E100F06"/>
    <w:rsid w:val="0F7B27FD"/>
    <w:rsid w:val="0FCE162A"/>
    <w:rsid w:val="0FEA7549"/>
    <w:rsid w:val="100D3381"/>
    <w:rsid w:val="10394D25"/>
    <w:rsid w:val="10CD0C76"/>
    <w:rsid w:val="125D09C4"/>
    <w:rsid w:val="13ED39A0"/>
    <w:rsid w:val="143A62A9"/>
    <w:rsid w:val="15893913"/>
    <w:rsid w:val="15D419A2"/>
    <w:rsid w:val="17FC3582"/>
    <w:rsid w:val="18631508"/>
    <w:rsid w:val="18D37C2C"/>
    <w:rsid w:val="190F22AF"/>
    <w:rsid w:val="1AA61AEA"/>
    <w:rsid w:val="1AC20DB1"/>
    <w:rsid w:val="1BDD2C67"/>
    <w:rsid w:val="1C145B71"/>
    <w:rsid w:val="1C650765"/>
    <w:rsid w:val="1CC51319"/>
    <w:rsid w:val="1CF8608C"/>
    <w:rsid w:val="1D7D6133"/>
    <w:rsid w:val="1E457626"/>
    <w:rsid w:val="1E851D92"/>
    <w:rsid w:val="1EDF470C"/>
    <w:rsid w:val="1EFD6E6C"/>
    <w:rsid w:val="1F3A5DE3"/>
    <w:rsid w:val="1F3E3506"/>
    <w:rsid w:val="1F3E7B44"/>
    <w:rsid w:val="21554126"/>
    <w:rsid w:val="221262E7"/>
    <w:rsid w:val="224E4BB7"/>
    <w:rsid w:val="22C43E51"/>
    <w:rsid w:val="231F3C6E"/>
    <w:rsid w:val="23553B73"/>
    <w:rsid w:val="24FE227B"/>
    <w:rsid w:val="259B2C26"/>
    <w:rsid w:val="259C54CD"/>
    <w:rsid w:val="25E04236"/>
    <w:rsid w:val="25E06F6D"/>
    <w:rsid w:val="270677F6"/>
    <w:rsid w:val="28611E55"/>
    <w:rsid w:val="28640D08"/>
    <w:rsid w:val="2867552D"/>
    <w:rsid w:val="296C7298"/>
    <w:rsid w:val="2A1533F1"/>
    <w:rsid w:val="2AF9163E"/>
    <w:rsid w:val="2B603563"/>
    <w:rsid w:val="2C1A1476"/>
    <w:rsid w:val="2CAC016D"/>
    <w:rsid w:val="2E540FF5"/>
    <w:rsid w:val="2F303A50"/>
    <w:rsid w:val="2FE500E7"/>
    <w:rsid w:val="2FF26266"/>
    <w:rsid w:val="2FF4615F"/>
    <w:rsid w:val="30017D16"/>
    <w:rsid w:val="31375031"/>
    <w:rsid w:val="313E6B35"/>
    <w:rsid w:val="31406246"/>
    <w:rsid w:val="31D75713"/>
    <w:rsid w:val="32ED37E3"/>
    <w:rsid w:val="33307726"/>
    <w:rsid w:val="33B259C6"/>
    <w:rsid w:val="34012DD3"/>
    <w:rsid w:val="3421711A"/>
    <w:rsid w:val="344C5DDD"/>
    <w:rsid w:val="34F53693"/>
    <w:rsid w:val="34FF7FF6"/>
    <w:rsid w:val="35183D0B"/>
    <w:rsid w:val="35D17A24"/>
    <w:rsid w:val="365C25BF"/>
    <w:rsid w:val="36716344"/>
    <w:rsid w:val="375570E7"/>
    <w:rsid w:val="3763257B"/>
    <w:rsid w:val="37B242A6"/>
    <w:rsid w:val="38534909"/>
    <w:rsid w:val="39327D9D"/>
    <w:rsid w:val="3CA232BF"/>
    <w:rsid w:val="3CF116DA"/>
    <w:rsid w:val="3DA617F4"/>
    <w:rsid w:val="3EB9732A"/>
    <w:rsid w:val="3EF458F2"/>
    <w:rsid w:val="3F1475D7"/>
    <w:rsid w:val="3FEC39BC"/>
    <w:rsid w:val="4079274E"/>
    <w:rsid w:val="41BB6572"/>
    <w:rsid w:val="41F67E38"/>
    <w:rsid w:val="42995385"/>
    <w:rsid w:val="42A46A55"/>
    <w:rsid w:val="42EB676C"/>
    <w:rsid w:val="430A40F5"/>
    <w:rsid w:val="434A3F97"/>
    <w:rsid w:val="43E60433"/>
    <w:rsid w:val="442806E9"/>
    <w:rsid w:val="445A4E7E"/>
    <w:rsid w:val="456F4189"/>
    <w:rsid w:val="475F73CA"/>
    <w:rsid w:val="47D76015"/>
    <w:rsid w:val="482C2C53"/>
    <w:rsid w:val="48AA5067"/>
    <w:rsid w:val="48CE6029"/>
    <w:rsid w:val="493A31F1"/>
    <w:rsid w:val="4A4C00B5"/>
    <w:rsid w:val="4A633E34"/>
    <w:rsid w:val="4A7C7E25"/>
    <w:rsid w:val="4AAE5753"/>
    <w:rsid w:val="4B645E12"/>
    <w:rsid w:val="4B86701D"/>
    <w:rsid w:val="4BE20DB5"/>
    <w:rsid w:val="4C437568"/>
    <w:rsid w:val="4CB71AC3"/>
    <w:rsid w:val="4D362CF9"/>
    <w:rsid w:val="4D407FCA"/>
    <w:rsid w:val="4D917D90"/>
    <w:rsid w:val="4D965452"/>
    <w:rsid w:val="4E414071"/>
    <w:rsid w:val="4ED232B7"/>
    <w:rsid w:val="4F654D29"/>
    <w:rsid w:val="4F935FCE"/>
    <w:rsid w:val="4F9D5515"/>
    <w:rsid w:val="4FBC6ABC"/>
    <w:rsid w:val="50152DF9"/>
    <w:rsid w:val="50265D8C"/>
    <w:rsid w:val="506B4AF8"/>
    <w:rsid w:val="50AD2765"/>
    <w:rsid w:val="50EB2332"/>
    <w:rsid w:val="512B337B"/>
    <w:rsid w:val="51A90A23"/>
    <w:rsid w:val="51D02D3D"/>
    <w:rsid w:val="53136342"/>
    <w:rsid w:val="543010E1"/>
    <w:rsid w:val="54CD6E6D"/>
    <w:rsid w:val="54E7352F"/>
    <w:rsid w:val="551E1174"/>
    <w:rsid w:val="552D350C"/>
    <w:rsid w:val="563923A0"/>
    <w:rsid w:val="56D039D4"/>
    <w:rsid w:val="570F4F7D"/>
    <w:rsid w:val="59456006"/>
    <w:rsid w:val="59526FF3"/>
    <w:rsid w:val="598A50F9"/>
    <w:rsid w:val="5AAB1367"/>
    <w:rsid w:val="5B51560B"/>
    <w:rsid w:val="5C414D69"/>
    <w:rsid w:val="5C5E284E"/>
    <w:rsid w:val="5C8F26A2"/>
    <w:rsid w:val="5CD31049"/>
    <w:rsid w:val="5DC310BE"/>
    <w:rsid w:val="5DC91399"/>
    <w:rsid w:val="5EB43C37"/>
    <w:rsid w:val="5EF673A8"/>
    <w:rsid w:val="5F042B44"/>
    <w:rsid w:val="5F223242"/>
    <w:rsid w:val="5F8A7A45"/>
    <w:rsid w:val="5FD77BF8"/>
    <w:rsid w:val="5FE07D05"/>
    <w:rsid w:val="60FE2C3A"/>
    <w:rsid w:val="611F03B9"/>
    <w:rsid w:val="619D5782"/>
    <w:rsid w:val="62AF0875"/>
    <w:rsid w:val="62D86491"/>
    <w:rsid w:val="631452EA"/>
    <w:rsid w:val="635E3973"/>
    <w:rsid w:val="63F7561D"/>
    <w:rsid w:val="64152AEC"/>
    <w:rsid w:val="647C424F"/>
    <w:rsid w:val="647E7AED"/>
    <w:rsid w:val="656D3B1C"/>
    <w:rsid w:val="65C1309B"/>
    <w:rsid w:val="66255F81"/>
    <w:rsid w:val="664C049A"/>
    <w:rsid w:val="675F6813"/>
    <w:rsid w:val="678251B1"/>
    <w:rsid w:val="678D59CD"/>
    <w:rsid w:val="67920941"/>
    <w:rsid w:val="68464DC5"/>
    <w:rsid w:val="687A5294"/>
    <w:rsid w:val="68C862B7"/>
    <w:rsid w:val="6A3363C3"/>
    <w:rsid w:val="6B362ECF"/>
    <w:rsid w:val="6BBB1626"/>
    <w:rsid w:val="6C613771"/>
    <w:rsid w:val="6E155029"/>
    <w:rsid w:val="6F5114F1"/>
    <w:rsid w:val="70651EF6"/>
    <w:rsid w:val="70691444"/>
    <w:rsid w:val="70CD3B09"/>
    <w:rsid w:val="71BB1EC8"/>
    <w:rsid w:val="71C34CA5"/>
    <w:rsid w:val="71CB65BC"/>
    <w:rsid w:val="721B79E1"/>
    <w:rsid w:val="725536BF"/>
    <w:rsid w:val="72AC107D"/>
    <w:rsid w:val="72B268A1"/>
    <w:rsid w:val="73FB1084"/>
    <w:rsid w:val="74951C65"/>
    <w:rsid w:val="7631344D"/>
    <w:rsid w:val="773B2661"/>
    <w:rsid w:val="77AF220D"/>
    <w:rsid w:val="78A711B8"/>
    <w:rsid w:val="7A5B43C0"/>
    <w:rsid w:val="7A7F4508"/>
    <w:rsid w:val="7A8C53DE"/>
    <w:rsid w:val="7A8F3141"/>
    <w:rsid w:val="7AC24A5E"/>
    <w:rsid w:val="7B044DCC"/>
    <w:rsid w:val="7B22521E"/>
    <w:rsid w:val="7B3E32A1"/>
    <w:rsid w:val="7C7A248E"/>
    <w:rsid w:val="7D086252"/>
    <w:rsid w:val="7DF95408"/>
    <w:rsid w:val="7FBF56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1">
    <w:name w:val="No Spacing1"/>
    <w:basedOn w:val="1"/>
    <w:qFormat/>
    <w:uiPriority w:val="0"/>
    <w:rPr>
      <w:rFonts w:ascii="Calibri" w:hAnsi="Calibri" w:eastAsia="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102</Pages>
  <Words>3521</Words>
  <Characters>3589</Characters>
  <Lines>448</Lines>
  <Paragraphs>126</Paragraphs>
  <TotalTime>0</TotalTime>
  <ScaleCrop>false</ScaleCrop>
  <LinksUpToDate>false</LinksUpToDate>
  <CharactersWithSpaces>3616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2020-09-24T06:11:00Z</dcterms:created>
  <dc:creator>Administrator</dc:creator>
  <cp:lastModifiedBy>中正--穗绮</cp:lastModifiedBy>
  <cp:lastPrinted>2019-10-21T08:50:00Z</cp:lastPrinted>
  <dcterms:modified xsi:type="dcterms:W3CDTF">2026-05-15T12:48:39Z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