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A605F">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26" o:spt="202" type="#_x0000_t202" style="position:absolute;left:0pt;margin-left:45.7pt;margin-top:-3.3pt;height:46.8pt;width:294.8pt;z-index:251659264;mso-width-relative:margin;mso-height-relative:margin;"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path/>
            <v:fill focussize="0,0"/>
            <v:stroke color="#FFFFFF" joinstyle="miter"/>
            <v:imagedata o:title=""/>
            <o:lock v:ext="edit"/>
            <v:textbox>
              <w:txbxContent>
                <w:p w14:paraId="6BBC7B2D">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05D45D6A">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58B100BD">
      <w:pPr>
        <w:adjustRightInd w:val="0"/>
        <w:snapToGrid w:val="0"/>
        <w:spacing w:line="300" w:lineRule="auto"/>
        <w:jc w:val="left"/>
        <w:rPr>
          <w:b/>
          <w:bCs/>
          <w:snapToGrid w:val="0"/>
          <w:kern w:val="0"/>
          <w:sz w:val="28"/>
          <w:szCs w:val="28"/>
        </w:rPr>
      </w:pPr>
    </w:p>
    <w:p w14:paraId="158AAC9C">
      <w:pPr>
        <w:adjustRightInd w:val="0"/>
        <w:snapToGrid w:val="0"/>
        <w:spacing w:line="300" w:lineRule="auto"/>
        <w:jc w:val="left"/>
        <w:rPr>
          <w:b/>
          <w:bCs/>
          <w:snapToGrid w:val="0"/>
          <w:kern w:val="0"/>
          <w:sz w:val="28"/>
          <w:szCs w:val="28"/>
        </w:rPr>
      </w:pPr>
    </w:p>
    <w:p w14:paraId="13439BC7">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圳品工程--“圳品”标准体系建设和评价监督推广项目（</w:t>
      </w:r>
      <w:r>
        <w:rPr>
          <w:rFonts w:hint="eastAsia" w:asciiTheme="minorEastAsia" w:hAnsiTheme="minorEastAsia" w:eastAsiaTheme="minorEastAsia"/>
          <w:b/>
          <w:bCs/>
          <w:snapToGrid w:val="0"/>
          <w:kern w:val="0"/>
          <w:sz w:val="72"/>
          <w:szCs w:val="72"/>
          <w:lang w:val="en-US" w:eastAsia="zh-CN"/>
        </w:rPr>
        <w:t>B包</w:t>
      </w:r>
      <w:r>
        <w:rPr>
          <w:rFonts w:hint="eastAsia" w:asciiTheme="minorEastAsia" w:hAnsiTheme="minorEastAsia" w:eastAsiaTheme="minorEastAsia"/>
          <w:b/>
          <w:bCs/>
          <w:snapToGrid w:val="0"/>
          <w:kern w:val="0"/>
          <w:sz w:val="72"/>
          <w:szCs w:val="72"/>
          <w:lang w:eastAsia="zh-CN"/>
        </w:rPr>
        <w:t>）</w:t>
      </w:r>
    </w:p>
    <w:p w14:paraId="7F9EF994">
      <w:pPr>
        <w:adjustRightInd w:val="0"/>
        <w:snapToGrid w:val="0"/>
        <w:spacing w:line="300" w:lineRule="auto"/>
        <w:jc w:val="center"/>
        <w:rPr>
          <w:rFonts w:asciiTheme="minorEastAsia" w:hAnsiTheme="minorEastAsia" w:eastAsiaTheme="minorEastAsia"/>
          <w:b/>
          <w:snapToGrid w:val="0"/>
          <w:kern w:val="0"/>
          <w:sz w:val="44"/>
          <w:szCs w:val="44"/>
        </w:rPr>
      </w:pPr>
    </w:p>
    <w:p w14:paraId="1DE5DEBA">
      <w:pPr>
        <w:adjustRightInd w:val="0"/>
        <w:snapToGrid w:val="0"/>
        <w:spacing w:line="300" w:lineRule="auto"/>
        <w:jc w:val="center"/>
        <w:rPr>
          <w:rFonts w:asciiTheme="minorEastAsia" w:hAnsiTheme="minorEastAsia" w:eastAsiaTheme="minorEastAsia"/>
          <w:b/>
          <w:snapToGrid w:val="0"/>
          <w:kern w:val="0"/>
          <w:sz w:val="44"/>
          <w:szCs w:val="44"/>
        </w:rPr>
      </w:pPr>
    </w:p>
    <w:p w14:paraId="1E9989D0">
      <w:pPr>
        <w:adjustRightInd w:val="0"/>
        <w:snapToGrid w:val="0"/>
        <w:spacing w:line="300" w:lineRule="auto"/>
        <w:jc w:val="center"/>
        <w:rPr>
          <w:rFonts w:asciiTheme="minorEastAsia" w:hAnsiTheme="minorEastAsia" w:eastAsiaTheme="minorEastAsia"/>
          <w:b/>
          <w:snapToGrid w:val="0"/>
          <w:kern w:val="0"/>
          <w:sz w:val="44"/>
          <w:szCs w:val="44"/>
        </w:rPr>
      </w:pPr>
    </w:p>
    <w:p w14:paraId="39E12D2F">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90"/>
        </w:rPr>
        <w:t>服务类招标文件</w:t>
      </w:r>
    </w:p>
    <w:p w14:paraId="47ED21A3">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SZDL2026000760</w:t>
      </w:r>
    </w:p>
    <w:p w14:paraId="77DF31E0">
      <w:pPr>
        <w:adjustRightInd w:val="0"/>
        <w:snapToGrid w:val="0"/>
        <w:spacing w:line="300" w:lineRule="auto"/>
        <w:jc w:val="center"/>
        <w:rPr>
          <w:rFonts w:asciiTheme="minorEastAsia" w:hAnsiTheme="minorEastAsia" w:eastAsiaTheme="minorEastAsia"/>
          <w:b/>
          <w:snapToGrid w:val="0"/>
          <w:kern w:val="0"/>
          <w:sz w:val="18"/>
          <w:szCs w:val="18"/>
        </w:rPr>
      </w:pPr>
    </w:p>
    <w:p w14:paraId="65809DE7">
      <w:pPr>
        <w:adjustRightInd w:val="0"/>
        <w:snapToGrid w:val="0"/>
        <w:spacing w:line="300" w:lineRule="auto"/>
        <w:jc w:val="center"/>
        <w:rPr>
          <w:rFonts w:asciiTheme="minorEastAsia" w:hAnsiTheme="minorEastAsia" w:eastAsiaTheme="minorEastAsia"/>
          <w:b/>
          <w:snapToGrid w:val="0"/>
          <w:kern w:val="0"/>
          <w:sz w:val="44"/>
        </w:rPr>
      </w:pPr>
    </w:p>
    <w:p w14:paraId="76DF2933">
      <w:pPr>
        <w:adjustRightInd w:val="0"/>
        <w:snapToGrid w:val="0"/>
        <w:spacing w:line="300" w:lineRule="auto"/>
        <w:jc w:val="center"/>
        <w:rPr>
          <w:rFonts w:asciiTheme="minorEastAsia" w:hAnsiTheme="minorEastAsia" w:eastAsiaTheme="minorEastAsia"/>
          <w:b/>
          <w:snapToGrid w:val="0"/>
          <w:kern w:val="0"/>
          <w:sz w:val="44"/>
        </w:rPr>
      </w:pPr>
      <w:r>
        <w:rPr>
          <w:rFonts w:asciiTheme="minorEastAsia" w:hAnsiTheme="minorEastAsia" w:eastAsiaTheme="minorEastAsia"/>
          <w:b/>
          <w:snapToGrid w:val="0"/>
          <w:kern w:val="0"/>
          <w:sz w:val="44"/>
        </w:rPr>
        <w:t xml:space="preserve"> </w:t>
      </w:r>
    </w:p>
    <w:p w14:paraId="1F0F0607">
      <w:pPr>
        <w:pStyle w:val="24"/>
        <w:adjustRightInd w:val="0"/>
        <w:snapToGrid w:val="0"/>
        <w:spacing w:line="300" w:lineRule="auto"/>
        <w:jc w:val="center"/>
        <w:rPr>
          <w:rFonts w:asciiTheme="minorEastAsia" w:hAnsiTheme="minorEastAsia" w:eastAsiaTheme="minorEastAsia"/>
          <w:b/>
          <w:snapToGrid w:val="0"/>
          <w:sz w:val="30"/>
        </w:rPr>
      </w:pPr>
    </w:p>
    <w:p w14:paraId="1D9C4EDA">
      <w:pPr>
        <w:rPr>
          <w:rFonts w:asciiTheme="minorEastAsia" w:hAnsiTheme="minorEastAsia" w:eastAsiaTheme="minorEastAsia"/>
        </w:rPr>
      </w:pPr>
    </w:p>
    <w:p w14:paraId="1F9D48D5">
      <w:pPr>
        <w:rPr>
          <w:rFonts w:asciiTheme="minorEastAsia" w:hAnsiTheme="minorEastAsia" w:eastAsiaTheme="minorEastAsia"/>
        </w:rPr>
      </w:pPr>
    </w:p>
    <w:p w14:paraId="3FD9DC91">
      <w:pPr>
        <w:rPr>
          <w:rFonts w:asciiTheme="minorEastAsia" w:hAnsiTheme="minorEastAsia" w:eastAsiaTheme="minorEastAsia"/>
        </w:rPr>
      </w:pPr>
    </w:p>
    <w:p w14:paraId="09857ACA">
      <w:pPr>
        <w:rPr>
          <w:rFonts w:asciiTheme="minorEastAsia" w:hAnsiTheme="minorEastAsia" w:eastAsiaTheme="minorEastAsia"/>
        </w:rPr>
      </w:pPr>
    </w:p>
    <w:p w14:paraId="56BC3683">
      <w:pPr>
        <w:pStyle w:val="24"/>
        <w:adjustRightInd w:val="0"/>
        <w:snapToGrid w:val="0"/>
        <w:spacing w:line="300" w:lineRule="auto"/>
        <w:jc w:val="center"/>
        <w:rPr>
          <w:sz w:val="40"/>
          <w:szCs w:val="40"/>
        </w:rPr>
      </w:pPr>
      <w:r>
        <w:rPr>
          <w:rFonts w:hint="eastAsia" w:asciiTheme="minorEastAsia" w:hAnsiTheme="minorEastAsia" w:eastAsiaTheme="minorEastAsia"/>
          <w:b/>
          <w:snapToGrid w:val="0"/>
          <w:sz w:val="30"/>
        </w:rPr>
        <w:t>二〇二</w:t>
      </w:r>
      <w:r>
        <w:rPr>
          <w:rFonts w:hint="eastAsia" w:asciiTheme="minorEastAsia" w:hAnsiTheme="minorEastAsia" w:eastAsiaTheme="minorEastAsia"/>
          <w:b/>
          <w:snapToGrid w:val="0"/>
          <w:sz w:val="30"/>
          <w:lang w:eastAsia="zh-CN"/>
        </w:rPr>
        <w:t>六</w:t>
      </w:r>
      <w:r>
        <w:rPr>
          <w:rFonts w:hint="eastAsia" w:asciiTheme="minorEastAsia" w:hAnsiTheme="minorEastAsia" w:eastAsiaTheme="minorEastAsia"/>
          <w:b/>
          <w:snapToGrid w:val="0"/>
          <w:sz w:val="30"/>
        </w:rPr>
        <w:t>年</w:t>
      </w:r>
      <w:r>
        <w:rPr>
          <w:rFonts w:hint="eastAsia" w:asciiTheme="minorEastAsia" w:hAnsiTheme="minorEastAsia" w:eastAsiaTheme="minorEastAsia"/>
          <w:b/>
          <w:snapToGrid w:val="0"/>
          <w:sz w:val="30"/>
          <w:lang w:val="en-US" w:eastAsia="zh-CN"/>
        </w:rPr>
        <w:t>五</w:t>
      </w:r>
      <w:r>
        <w:rPr>
          <w:rFonts w:hint="eastAsia" w:asciiTheme="minorEastAsia" w:hAnsiTheme="minorEastAsia" w:eastAsiaTheme="minorEastAsia"/>
          <w:b/>
          <w:snapToGrid w:val="0"/>
          <w:sz w:val="30"/>
        </w:rPr>
        <w:t>月</w:t>
      </w:r>
    </w:p>
    <w:p w14:paraId="03CB1C01">
      <w:pPr>
        <w:jc w:val="center"/>
        <w:rPr>
          <w:rFonts w:ascii="仿宋" w:hAnsi="仿宋" w:eastAsia="仿宋"/>
          <w:sz w:val="24"/>
        </w:rPr>
      </w:pPr>
      <w:r>
        <w:rPr>
          <w:rFonts w:hint="eastAsia" w:asciiTheme="minorEastAsia" w:hAnsiTheme="minorEastAsia" w:eastAsiaTheme="minorEastAsia"/>
          <w:b/>
          <w:bCs/>
          <w:sz w:val="44"/>
          <w:szCs w:val="44"/>
        </w:rPr>
        <w:t>特别警示条款</w:t>
      </w:r>
    </w:p>
    <w:p w14:paraId="5E15A38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14:paraId="6A51DF24">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w:t>
      </w:r>
      <w:r>
        <w:rPr>
          <w:rFonts w:asciiTheme="minorEastAsia" w:hAnsiTheme="minorEastAsia" w:eastAsiaTheme="minorEastAsia"/>
          <w:szCs w:val="21"/>
        </w:rPr>
        <w:t xml:space="preserve"> </w:t>
      </w:r>
      <w:r>
        <w:rPr>
          <w:rFonts w:hint="eastAsia" w:asciiTheme="minorEastAsia" w:hAnsiTheme="minorEastAsia" w:eastAsiaTheme="minor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0BAF0F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14:paraId="294A216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14:paraId="64D788C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14:paraId="694610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14:paraId="2118D25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14:paraId="5556CD5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14:paraId="35EA48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14:paraId="5189471D">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14:paraId="3BBABD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14:paraId="351E4A27">
      <w:pPr>
        <w:widowControl/>
        <w:spacing w:after="120"/>
        <w:jc w:val="left"/>
        <w:rPr>
          <w:rFonts w:ascii="Times New Roman" w:hAnsi="Times New Roman" w:eastAsiaTheme="minorEastAsia"/>
          <w:kern w:val="0"/>
          <w:sz w:val="24"/>
          <w:szCs w:val="24"/>
        </w:rPr>
      </w:pPr>
    </w:p>
    <w:p w14:paraId="5A7696B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14:paraId="66B7BB05">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14:paraId="2A365839">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14:paraId="738E96C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14:paraId="014A528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14:paraId="418205C5">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14:paraId="72349AE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14:paraId="56AFE70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14:paraId="124A17EA">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14:paraId="2C3604F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14:paraId="20CBF51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14:paraId="7E01E1D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14:paraId="44C057C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14:paraId="0939EB5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14:paraId="2E16A37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14:paraId="4170EBA2">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14:paraId="624CB054">
      <w:pPr>
        <w:widowControl/>
        <w:spacing w:after="120"/>
        <w:jc w:val="left"/>
        <w:rPr>
          <w:rFonts w:ascii="Times New Roman" w:hAnsi="Times New Roman" w:eastAsiaTheme="minorEastAsia"/>
          <w:kern w:val="0"/>
          <w:sz w:val="24"/>
          <w:szCs w:val="24"/>
        </w:rPr>
      </w:pPr>
    </w:p>
    <w:p w14:paraId="68AACED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14:paraId="34CAF885">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14:paraId="3465E2DA">
      <w:pPr>
        <w:spacing w:line="440" w:lineRule="exact"/>
        <w:ind w:firstLine="371" w:firstLineChars="177"/>
        <w:rPr>
          <w:rFonts w:hint="eastAsia"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14:paraId="46C6857F">
      <w:pPr>
        <w:spacing w:line="440" w:lineRule="exact"/>
        <w:ind w:left="0" w:leftChars="0"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1B1B4111">
      <w:pPr>
        <w:widowControl/>
        <w:jc w:val="left"/>
        <w:rPr>
          <w:rFonts w:ascii="宋体" w:hAnsi="宋体" w:cs="宋体"/>
          <w:kern w:val="0"/>
          <w:sz w:val="40"/>
          <w:szCs w:val="40"/>
        </w:rPr>
      </w:pPr>
      <w:r>
        <w:rPr>
          <w:sz w:val="40"/>
          <w:szCs w:val="40"/>
        </w:rPr>
        <w:br w:type="page"/>
      </w:r>
    </w:p>
    <w:p w14:paraId="2D4D52EF">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圳品工程--“圳品”标准体系建设和评价监督推广项目</w:t>
      </w:r>
    </w:p>
    <w:p w14:paraId="58833B09">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autofit"/>
        <w:tblCellMar>
          <w:top w:w="45" w:type="dxa"/>
          <w:left w:w="45" w:type="dxa"/>
          <w:bottom w:w="45" w:type="dxa"/>
          <w:right w:w="45" w:type="dxa"/>
        </w:tblCellMar>
      </w:tblPr>
      <w:tblGrid>
        <w:gridCol w:w="2722"/>
        <w:gridCol w:w="5216"/>
      </w:tblGrid>
      <w:tr w14:paraId="29634068">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05983414">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14:paraId="0C92543A">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SZDL2026000760</w:t>
            </w:r>
          </w:p>
        </w:tc>
      </w:tr>
      <w:tr w14:paraId="6830196E">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C9DE1D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14:paraId="631F910E">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圳品工程--“圳品”标准体系建设和评价监督推广项目</w:t>
            </w:r>
          </w:p>
        </w:tc>
      </w:tr>
      <w:tr w14:paraId="079321F1">
        <w:tblPrEx>
          <w:tblCellMar>
            <w:top w:w="45" w:type="dxa"/>
            <w:left w:w="45" w:type="dxa"/>
            <w:bottom w:w="45" w:type="dxa"/>
            <w:right w:w="45" w:type="dxa"/>
          </w:tblCellMar>
        </w:tblPrEx>
        <w:trPr>
          <w:trHeight w:val="737" w:hRule="atLeast"/>
          <w:tblCellSpacing w:w="0" w:type="dxa"/>
          <w:jc w:val="center"/>
        </w:trPr>
        <w:tc>
          <w:tcPr>
            <w:tcW w:w="0" w:type="auto"/>
            <w:vAlign w:val="center"/>
          </w:tcPr>
          <w:p w14:paraId="66E0F42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14:paraId="17D205EF">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val="en-US" w:eastAsia="zh-CN"/>
              </w:rPr>
              <w:t>B</w:t>
            </w:r>
          </w:p>
        </w:tc>
      </w:tr>
      <w:tr w14:paraId="52F0B10F">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FA078EE">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14:paraId="0DE22449">
            <w:pPr>
              <w:rPr>
                <w:rFonts w:cs="宋体" w:asciiTheme="minorEastAsia" w:hAnsiTheme="minorEastAsia" w:eastAsiaTheme="minorEastAsia"/>
                <w:sz w:val="30"/>
                <w:szCs w:val="30"/>
              </w:rPr>
            </w:pPr>
            <w:r>
              <w:rPr>
                <w:rFonts w:asciiTheme="minorEastAsia" w:hAnsiTheme="minorEastAsia" w:eastAsiaTheme="minorEastAsia"/>
                <w:sz w:val="30"/>
                <w:szCs w:val="30"/>
              </w:rPr>
              <w:t>服务类</w:t>
            </w:r>
          </w:p>
        </w:tc>
      </w:tr>
      <w:tr w14:paraId="6938D41F">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FDA4DE6">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14:paraId="207E6E45">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14:paraId="117EEEFD">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F1B22BC">
            <w:pPr>
              <w:jc w:val="right"/>
              <w:rPr>
                <w:rFonts w:ascii="宋体" w:hAnsi="宋体" w:cs="宋体"/>
                <w:sz w:val="30"/>
                <w:szCs w:val="30"/>
              </w:rPr>
            </w:pPr>
            <w:r>
              <w:rPr>
                <w:sz w:val="30"/>
                <w:szCs w:val="30"/>
              </w:rPr>
              <w:t>货币类型：</w:t>
            </w:r>
          </w:p>
        </w:tc>
        <w:tc>
          <w:tcPr>
            <w:tcW w:w="0" w:type="auto"/>
            <w:vAlign w:val="center"/>
          </w:tcPr>
          <w:p w14:paraId="3227442A">
            <w:pPr>
              <w:rPr>
                <w:rFonts w:ascii="宋体" w:hAnsi="宋体" w:cs="宋体"/>
                <w:sz w:val="30"/>
                <w:szCs w:val="30"/>
              </w:rPr>
            </w:pPr>
            <w:r>
              <w:rPr>
                <w:sz w:val="30"/>
                <w:szCs w:val="30"/>
              </w:rPr>
              <w:t>人民币</w:t>
            </w:r>
          </w:p>
        </w:tc>
      </w:tr>
      <w:tr w14:paraId="30E1B99E">
        <w:tblPrEx>
          <w:tblCellMar>
            <w:top w:w="45" w:type="dxa"/>
            <w:left w:w="45" w:type="dxa"/>
            <w:bottom w:w="45" w:type="dxa"/>
            <w:right w:w="45" w:type="dxa"/>
          </w:tblCellMar>
        </w:tblPrEx>
        <w:trPr>
          <w:trHeight w:val="737" w:hRule="atLeast"/>
          <w:tblCellSpacing w:w="0" w:type="dxa"/>
          <w:jc w:val="center"/>
        </w:trPr>
        <w:tc>
          <w:tcPr>
            <w:tcW w:w="0" w:type="auto"/>
            <w:vAlign w:val="center"/>
          </w:tcPr>
          <w:p w14:paraId="3D612645">
            <w:pPr>
              <w:jc w:val="right"/>
              <w:rPr>
                <w:rFonts w:ascii="宋体" w:hAnsi="宋体" w:cs="宋体"/>
                <w:sz w:val="30"/>
                <w:szCs w:val="30"/>
              </w:rPr>
            </w:pPr>
            <w:r>
              <w:rPr>
                <w:sz w:val="30"/>
                <w:szCs w:val="30"/>
              </w:rPr>
              <w:t>评标方法：</w:t>
            </w:r>
          </w:p>
        </w:tc>
        <w:tc>
          <w:tcPr>
            <w:tcW w:w="0" w:type="auto"/>
            <w:vAlign w:val="center"/>
          </w:tcPr>
          <w:p w14:paraId="61392236">
            <w:pPr>
              <w:rPr>
                <w:rFonts w:ascii="宋体" w:hAnsi="宋体" w:cs="宋体"/>
                <w:sz w:val="30"/>
                <w:szCs w:val="30"/>
              </w:rPr>
            </w:pPr>
            <w:r>
              <w:rPr>
                <w:sz w:val="30"/>
                <w:szCs w:val="30"/>
              </w:rPr>
              <w:t>综合评分法（新价格分算法）</w:t>
            </w:r>
          </w:p>
        </w:tc>
      </w:tr>
    </w:tbl>
    <w:p w14:paraId="537582D5">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5CD42C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5776932">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6389880B">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1DEF0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C49B5EE">
            <w:pPr>
              <w:jc w:val="center"/>
              <w:rPr>
                <w:rFonts w:hint="eastAsia" w:ascii="宋体" w:hAnsi="宋体" w:eastAsia="宋体" w:cs="宋体"/>
                <w:szCs w:val="21"/>
              </w:rPr>
            </w:pPr>
            <w:r>
              <w:rPr>
                <w:rFonts w:hint="eastAsia" w:ascii="宋体" w:hAnsi="宋体" w:eastAsia="宋体" w:cs="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71617355">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3F18401D">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4B6768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EE1B101">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60F4F1C">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4F06F3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7C265A0">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732AEF73">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52A372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D7B4EB8">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7937D497">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5B28FD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0F0E7BB">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1D857C02">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3E335B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2DA6E6F">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4B284412">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6B2FEC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57197A8">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4047ECC7">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03035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727E4F0">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2370F657">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179EA4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ED04F8F">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714B5C52">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0576D5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CD1022A">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5B7F22B0">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419BB0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583ABA5">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35A89CAE">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1EA788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68CA2A1">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45CC97AF">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445F05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A8E1E4D">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63C8D618">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70B87841">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601F6C92">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5CE7913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0A9D87C">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1BBC7BE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179D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72BBEFD9">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D0915C5">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28221E49">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D7BC097">
      <w:pPr>
        <w:spacing w:line="324" w:lineRule="auto"/>
        <w:ind w:firstLine="420"/>
        <w:rPr>
          <w:rFonts w:hint="eastAsia" w:ascii="Times New Roman" w:hAnsi="Times New Roman"/>
          <w:b/>
          <w:color w:val="FF0000"/>
          <w:szCs w:val="21"/>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24EECF7F">
      <w:pPr>
        <w:spacing w:line="324" w:lineRule="auto"/>
        <w:ind w:firstLine="420"/>
        <w:rPr>
          <w:rFonts w:hint="eastAsia" w:ascii="Times New Roman" w:hAnsi="Times New Roman"/>
          <w:b/>
          <w:color w:val="FF0000"/>
          <w:szCs w:val="21"/>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rPr>
        <w:t>不符合《资格性审查表》或《符合性审查表》中任一情形的，</w:t>
      </w:r>
      <w:r>
        <w:rPr>
          <w:rFonts w:hint="eastAsia" w:asciiTheme="minorEastAsia" w:hAnsiTheme="minorEastAsia" w:eastAsiaTheme="minorEastAsia"/>
          <w:b/>
          <w:color w:val="FF0000"/>
          <w:szCs w:val="21"/>
          <w:lang w:val="en-US" w:eastAsia="zh-CN"/>
        </w:rPr>
        <w:t>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p>
    <w:p w14:paraId="369ED182">
      <w:pPr>
        <w:spacing w:line="324" w:lineRule="auto"/>
        <w:ind w:firstLine="420"/>
        <w:rPr>
          <w:rFonts w:asciiTheme="minorEastAsia" w:hAnsiTheme="minorEastAsia" w:eastAsiaTheme="minorEastAsia"/>
          <w:b/>
          <w:color w:val="FF0000"/>
          <w:szCs w:val="21"/>
        </w:rPr>
      </w:pPr>
    </w:p>
    <w:p w14:paraId="0BF6D41C">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autofit"/>
        <w:tblCellMar>
          <w:top w:w="45" w:type="dxa"/>
          <w:left w:w="45" w:type="dxa"/>
          <w:bottom w:w="45" w:type="dxa"/>
          <w:right w:w="45" w:type="dxa"/>
        </w:tblCellMar>
      </w:tblPr>
      <w:tblGrid>
        <w:gridCol w:w="8824"/>
        <w:gridCol w:w="248"/>
      </w:tblGrid>
      <w:tr w14:paraId="61973B73">
        <w:trPr>
          <w:tblCellSpacing w:w="0" w:type="dxa"/>
          <w:jc w:val="center"/>
        </w:trPr>
        <w:tc>
          <w:tcPr>
            <w:tcW w:w="0" w:type="auto"/>
            <w:tcBorders>
              <w:top w:val="nil"/>
              <w:left w:val="nil"/>
              <w:bottom w:val="nil"/>
              <w:right w:val="nil"/>
            </w:tcBorders>
            <w:vAlign w:val="center"/>
          </w:tcPr>
          <w:p w14:paraId="7AC905CA">
            <w:pPr>
              <w:rPr>
                <w:rFonts w:ascii="宋体" w:hAnsi="宋体" w:cs="宋体"/>
                <w:b/>
                <w:bCs/>
                <w:sz w:val="24"/>
                <w:szCs w:val="24"/>
              </w:rPr>
            </w:pPr>
            <w:r>
              <w:rPr>
                <w:b/>
                <w:bCs/>
              </w:rPr>
              <w:t>评标方法：综合评分法（新价格分算法）</w:t>
            </w:r>
          </w:p>
        </w:tc>
        <w:tc>
          <w:tcPr>
            <w:tcW w:w="0" w:type="auto"/>
            <w:tcBorders>
              <w:top w:val="nil"/>
              <w:left w:val="nil"/>
              <w:bottom w:val="nil"/>
              <w:right w:val="nil"/>
            </w:tcBorders>
            <w:vAlign w:val="center"/>
          </w:tcPr>
          <w:p w14:paraId="14BDF8C5">
            <w:pPr>
              <w:jc w:val="right"/>
              <w:rPr>
                <w:rFonts w:ascii="宋体" w:hAnsi="宋体" w:cs="宋体"/>
                <w:b/>
                <w:bCs/>
                <w:sz w:val="24"/>
                <w:szCs w:val="24"/>
              </w:rPr>
            </w:pPr>
          </w:p>
        </w:tc>
      </w:tr>
      <w:tr w14:paraId="57668ECB">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14:paraId="30590C49">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19CF142F">
            <w:pPr>
              <w:pStyle w:val="37"/>
              <w:ind w:firstLine="420"/>
              <w:rPr>
                <w:sz w:val="21"/>
                <w:szCs w:val="21"/>
              </w:rPr>
            </w:pPr>
            <w:r>
              <w:rPr>
                <w:sz w:val="21"/>
                <w:szCs w:val="21"/>
              </w:rPr>
              <w:t>价格分计算方法：</w:t>
            </w:r>
          </w:p>
          <w:p w14:paraId="4E700542">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5654881C">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1495"/>
        <w:gridCol w:w="820"/>
        <w:gridCol w:w="5964"/>
      </w:tblGrid>
      <w:tr w14:paraId="67E0DC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5C03E3E">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序号</w:t>
            </w:r>
          </w:p>
        </w:tc>
        <w:tc>
          <w:tcPr>
            <w:tcW w:w="2995"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663CCBFE">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评分项</w:t>
            </w:r>
          </w:p>
        </w:tc>
        <w:tc>
          <w:tcPr>
            <w:tcW w:w="596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B655B71">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权重(%)</w:t>
            </w:r>
          </w:p>
        </w:tc>
      </w:tr>
      <w:tr w14:paraId="436C67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2C929EBB">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1</w:t>
            </w:r>
          </w:p>
        </w:tc>
        <w:tc>
          <w:tcPr>
            <w:tcW w:w="2995" w:type="dxa"/>
            <w:gridSpan w:val="3"/>
            <w:tcBorders>
              <w:top w:val="single" w:color="000000" w:sz="8" w:space="0"/>
              <w:left w:val="single" w:color="000000" w:sz="8" w:space="0"/>
              <w:bottom w:val="single" w:color="000000" w:sz="8" w:space="0"/>
              <w:right w:val="single" w:color="000000" w:sz="8" w:space="0"/>
            </w:tcBorders>
          </w:tcPr>
          <w:p w14:paraId="055296A2">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价格</w:t>
            </w:r>
          </w:p>
        </w:tc>
        <w:tc>
          <w:tcPr>
            <w:tcW w:w="5964" w:type="dxa"/>
            <w:tcBorders>
              <w:top w:val="single" w:color="000000" w:sz="8" w:space="0"/>
              <w:left w:val="single" w:color="000000" w:sz="8" w:space="0"/>
              <w:bottom w:val="single" w:color="000000" w:sz="8" w:space="0"/>
              <w:right w:val="single" w:color="000000" w:sz="8" w:space="0"/>
            </w:tcBorders>
          </w:tcPr>
          <w:p w14:paraId="089CA04F">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10</w:t>
            </w:r>
          </w:p>
        </w:tc>
      </w:tr>
      <w:tr w14:paraId="369EBB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396B902D">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2</w:t>
            </w:r>
          </w:p>
        </w:tc>
        <w:tc>
          <w:tcPr>
            <w:tcW w:w="2995" w:type="dxa"/>
            <w:gridSpan w:val="3"/>
            <w:tcBorders>
              <w:top w:val="single" w:color="000000" w:sz="8" w:space="0"/>
              <w:left w:val="single" w:color="000000" w:sz="8" w:space="0"/>
              <w:bottom w:val="single" w:color="000000" w:sz="8" w:space="0"/>
              <w:right w:val="single" w:color="000000" w:sz="8" w:space="0"/>
            </w:tcBorders>
          </w:tcPr>
          <w:p w14:paraId="187E3D5B">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技术</w:t>
            </w:r>
          </w:p>
        </w:tc>
        <w:tc>
          <w:tcPr>
            <w:tcW w:w="5964" w:type="dxa"/>
            <w:tcBorders>
              <w:top w:val="single" w:color="000000" w:sz="8" w:space="0"/>
              <w:left w:val="single" w:color="000000" w:sz="8" w:space="0"/>
              <w:bottom w:val="single" w:color="000000" w:sz="8" w:space="0"/>
              <w:right w:val="single" w:color="000000" w:sz="8" w:space="0"/>
            </w:tcBorders>
          </w:tcPr>
          <w:p w14:paraId="3CE14FEF">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67</w:t>
            </w:r>
          </w:p>
        </w:tc>
      </w:tr>
      <w:tr w14:paraId="3AB8A1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F0024CE">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3DB9AAB">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4A7B45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42C9031">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34830D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0A37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3A63EAA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463A213">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6FC88F77">
            <w:pPr>
              <w:spacing w:line="360" w:lineRule="exact"/>
              <w:jc w:val="center"/>
              <w:rPr>
                <w:rFonts w:cs="宋体" w:asciiTheme="minorEastAsia" w:hAnsiTheme="minorEastAsia" w:eastAsiaTheme="minorEastAsia"/>
                <w:szCs w:val="21"/>
              </w:rPr>
            </w:pPr>
            <w:r>
              <w:rPr>
                <w:rFonts w:hint="eastAsia" w:ascii="宋体" w:hAnsi="宋体" w:cs="宋体"/>
                <w:szCs w:val="21"/>
              </w:rPr>
              <w:t>实施方案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07289964">
            <w:pPr>
              <w:spacing w:line="360" w:lineRule="exact"/>
              <w:jc w:val="center"/>
              <w:rPr>
                <w:rFonts w:cs="宋体" w:asciiTheme="minorEastAsia" w:hAnsiTheme="minorEastAsia" w:eastAsiaTheme="minorEastAsia"/>
                <w:szCs w:val="21"/>
              </w:rPr>
            </w:pPr>
            <w:r>
              <w:rPr>
                <w:rFonts w:hint="eastAsia" w:ascii="宋体" w:hAnsi="宋体" w:cs="宋体"/>
                <w:szCs w:val="21"/>
              </w:rPr>
              <w:t>15</w:t>
            </w:r>
          </w:p>
        </w:tc>
        <w:tc>
          <w:tcPr>
            <w:tcW w:w="5964" w:type="dxa"/>
            <w:tcBorders>
              <w:top w:val="single" w:color="000000" w:sz="8" w:space="0"/>
              <w:left w:val="single" w:color="000000" w:sz="8" w:space="0"/>
              <w:bottom w:val="single" w:color="000000" w:sz="8" w:space="0"/>
              <w:right w:val="single" w:color="000000" w:sz="8" w:space="0"/>
            </w:tcBorders>
            <w:vAlign w:val="top"/>
          </w:tcPr>
          <w:p w14:paraId="12A4D12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0A83E597">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lang w:val="en"/>
              </w:rPr>
              <w:t>1.投标人应结合其工作经历及项目需求制定实施方案，具体内容包括但不限于：</w:t>
            </w:r>
          </w:p>
          <w:p w14:paraId="27F01541">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lang w:val="en"/>
              </w:rPr>
              <w:t>（1）实施总体思路（包括但不限于项目概况</w:t>
            </w:r>
            <w:r>
              <w:rPr>
                <w:rFonts w:hint="eastAsia" w:asciiTheme="minorEastAsia" w:hAnsiTheme="minorEastAsia" w:eastAsiaTheme="minorEastAsia"/>
                <w:szCs w:val="21"/>
              </w:rPr>
              <w:t>分析</w:t>
            </w:r>
            <w:r>
              <w:rPr>
                <w:rFonts w:hint="eastAsia" w:asciiTheme="minorEastAsia" w:hAnsiTheme="minorEastAsia" w:eastAsiaTheme="minorEastAsia"/>
                <w:szCs w:val="21"/>
                <w:lang w:val="en"/>
              </w:rPr>
              <w:t>、总体思路等）；</w:t>
            </w:r>
          </w:p>
          <w:p w14:paraId="4788A893">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lang w:val="en"/>
              </w:rPr>
              <w:t>（2）实施流程（包括但不限于依据文件、实施步骤、工作纪律、保障机制等）；</w:t>
            </w:r>
          </w:p>
          <w:p w14:paraId="58F8B7E1">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lang w:val="en"/>
              </w:rPr>
              <w:t>（3）实施方法及内容；</w:t>
            </w:r>
          </w:p>
          <w:p w14:paraId="27D1F81C">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lang w:val="en"/>
              </w:rPr>
              <w:t>（4）工作进度安排（制定详细时间安排）；</w:t>
            </w:r>
          </w:p>
          <w:p w14:paraId="1CCBF7C4">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lang w:val="en"/>
              </w:rPr>
              <w:t>（5）项目成果交付。</w:t>
            </w:r>
          </w:p>
          <w:p w14:paraId="6257E394">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lang w:val="en"/>
              </w:rPr>
              <w:t>2.提供国内外食品安全标准与技术法规比对现状综述，包括但不限于CAC、欧盟、美国、日本、香港、澳门等组织或国家或地区，综述内容包含对各组织或国家的食品安全标准与法规体系的研究，并与中国进行差异性分析。</w:t>
            </w:r>
          </w:p>
          <w:p w14:paraId="62356BBE">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lang w:val="en" w:eastAsia="zh-CN"/>
              </w:rPr>
              <w:t>（</w:t>
            </w:r>
            <w:r>
              <w:rPr>
                <w:rFonts w:hint="eastAsia" w:asciiTheme="minorEastAsia" w:hAnsiTheme="minorEastAsia" w:eastAsiaTheme="minorEastAsia"/>
                <w:szCs w:val="21"/>
                <w:lang w:val="en"/>
              </w:rPr>
              <w:t>二</w:t>
            </w:r>
            <w:r>
              <w:rPr>
                <w:rFonts w:hint="eastAsia" w:asciiTheme="minorEastAsia" w:hAnsiTheme="minorEastAsia" w:eastAsiaTheme="minorEastAsia"/>
                <w:szCs w:val="21"/>
                <w:lang w:val="en" w:eastAsia="zh-CN"/>
              </w:rPr>
              <w:t>）</w:t>
            </w:r>
            <w:r>
              <w:rPr>
                <w:rFonts w:hint="eastAsia" w:asciiTheme="minorEastAsia" w:hAnsiTheme="minorEastAsia" w:eastAsiaTheme="minorEastAsia"/>
                <w:szCs w:val="21"/>
                <w:lang w:val="en"/>
              </w:rPr>
              <w:t>评审依据：</w:t>
            </w:r>
            <w:r>
              <w:rPr>
                <w:rFonts w:hint="eastAsia" w:asciiTheme="minorEastAsia" w:hAnsiTheme="minorEastAsia" w:eastAsiaTheme="minorEastAsia"/>
                <w:szCs w:val="21"/>
                <w:lang w:val="en"/>
              </w:rPr>
              <w:br w:type="textWrapping"/>
            </w:r>
            <w:r>
              <w:rPr>
                <w:rFonts w:hint="eastAsia" w:asciiTheme="minorEastAsia" w:hAnsiTheme="minorEastAsia" w:eastAsiaTheme="minorEastAsia"/>
                <w:szCs w:val="21"/>
                <w:lang w:val="en"/>
              </w:rPr>
              <w:t>评审依据1：</w:t>
            </w:r>
          </w:p>
          <w:p w14:paraId="49E3C8F6">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lang w:val="en"/>
              </w:rPr>
              <w:t>满足以上五项要求得</w:t>
            </w:r>
            <w:r>
              <w:rPr>
                <w:rFonts w:hint="eastAsia" w:asciiTheme="minorEastAsia" w:hAnsiTheme="minorEastAsia" w:eastAsiaTheme="minorEastAsia"/>
                <w:szCs w:val="21"/>
                <w:lang w:val="en-US" w:eastAsia="zh-CN"/>
              </w:rPr>
              <w:t>60</w:t>
            </w:r>
            <w:r>
              <w:rPr>
                <w:rFonts w:hint="eastAsia" w:asciiTheme="minorEastAsia" w:hAnsiTheme="minorEastAsia" w:eastAsiaTheme="minorEastAsia"/>
                <w:szCs w:val="21"/>
                <w:lang w:val="en"/>
              </w:rPr>
              <w:t>分；满足以上任意四项要求得</w:t>
            </w:r>
            <w:r>
              <w:rPr>
                <w:rFonts w:hint="eastAsia" w:asciiTheme="minorEastAsia" w:hAnsiTheme="minorEastAsia" w:eastAsiaTheme="minorEastAsia"/>
                <w:szCs w:val="21"/>
                <w:lang w:val="en-US" w:eastAsia="zh-CN"/>
              </w:rPr>
              <w:t>50</w:t>
            </w:r>
            <w:r>
              <w:rPr>
                <w:rFonts w:hint="eastAsia" w:asciiTheme="minorEastAsia" w:hAnsiTheme="minorEastAsia" w:eastAsiaTheme="minorEastAsia"/>
                <w:szCs w:val="21"/>
                <w:lang w:val="en"/>
              </w:rPr>
              <w:t>分；满足以上任意三项要求得</w:t>
            </w:r>
            <w:r>
              <w:rPr>
                <w:rFonts w:hint="eastAsia" w:asciiTheme="minorEastAsia" w:hAnsiTheme="minorEastAsia" w:eastAsiaTheme="minorEastAsia"/>
                <w:szCs w:val="21"/>
                <w:lang w:val="en-US" w:eastAsia="zh-CN"/>
              </w:rPr>
              <w:t>40</w:t>
            </w:r>
            <w:r>
              <w:rPr>
                <w:rFonts w:hint="eastAsia" w:asciiTheme="minorEastAsia" w:hAnsiTheme="minorEastAsia" w:eastAsiaTheme="minorEastAsia"/>
                <w:szCs w:val="21"/>
                <w:lang w:val="en"/>
              </w:rPr>
              <w:t>分；满足上述任意两项得</w:t>
            </w:r>
            <w:r>
              <w:rPr>
                <w:rFonts w:hint="eastAsia" w:asciiTheme="minorEastAsia" w:hAnsiTheme="minorEastAsia" w:eastAsiaTheme="minorEastAsia"/>
                <w:szCs w:val="21"/>
                <w:lang w:val="en-US" w:eastAsia="zh-CN"/>
              </w:rPr>
              <w:t>30</w:t>
            </w:r>
            <w:r>
              <w:rPr>
                <w:rFonts w:hint="eastAsia" w:asciiTheme="minorEastAsia" w:hAnsiTheme="minorEastAsia" w:eastAsiaTheme="minorEastAsia"/>
                <w:szCs w:val="21"/>
                <w:lang w:val="en"/>
              </w:rPr>
              <w:t>分，满足上述任意一项得</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lang w:val="en"/>
              </w:rPr>
              <w:t>分，其他情况不得分。</w:t>
            </w:r>
          </w:p>
          <w:p w14:paraId="51DD2EDB">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lang w:val="en"/>
              </w:rPr>
              <w:t>在此基础上，评审委员会根据各投标供应商的具体响应内容进一步评审：</w:t>
            </w:r>
          </w:p>
          <w:p w14:paraId="0DFE917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1.评审为优：</w:t>
            </w:r>
            <w:r>
              <w:rPr>
                <w:rFonts w:hint="eastAsia" w:asciiTheme="minorEastAsia" w:hAnsiTheme="minorEastAsia" w:eastAsiaTheme="minorEastAsia"/>
                <w:szCs w:val="21"/>
                <w:lang w:val="en"/>
              </w:rPr>
              <w:t>实施方案内容具体、针对性强、科学合理、可操作性强且提出实施方法不少于</w:t>
            </w:r>
            <w:r>
              <w:rPr>
                <w:rFonts w:hint="eastAsia" w:asciiTheme="minorEastAsia" w:hAnsiTheme="minorEastAsia" w:eastAsiaTheme="minorEastAsia"/>
                <w:szCs w:val="21"/>
              </w:rPr>
              <w:t>4项的，加</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rPr>
              <w:t>分；</w:t>
            </w:r>
          </w:p>
          <w:p w14:paraId="18376C4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2.评审为良：</w:t>
            </w:r>
            <w:r>
              <w:rPr>
                <w:rFonts w:hint="eastAsia" w:asciiTheme="minorEastAsia" w:hAnsiTheme="minorEastAsia" w:eastAsiaTheme="minorEastAsia"/>
                <w:szCs w:val="21"/>
                <w:lang w:val="en"/>
              </w:rPr>
              <w:t>实施方案内容较具体、针对性较强、较科学合理、可操作性较强且提出实施方法不少于</w:t>
            </w:r>
            <w:r>
              <w:rPr>
                <w:rFonts w:hint="eastAsia" w:asciiTheme="minorEastAsia" w:hAnsiTheme="minorEastAsia" w:eastAsiaTheme="minorEastAsia"/>
                <w:szCs w:val="21"/>
              </w:rPr>
              <w:t>3项的，加</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分；</w:t>
            </w:r>
          </w:p>
          <w:p w14:paraId="511F823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3.评审为中：</w:t>
            </w:r>
            <w:r>
              <w:rPr>
                <w:rFonts w:hint="eastAsia" w:asciiTheme="minorEastAsia" w:hAnsiTheme="minorEastAsia" w:eastAsiaTheme="minorEastAsia"/>
                <w:szCs w:val="21"/>
                <w:lang w:val="en"/>
              </w:rPr>
              <w:t>实施方案内容具体性一般、针对性一般、科学合理性一般、可操作性一般且提出实施方法不少于</w:t>
            </w:r>
            <w:r>
              <w:rPr>
                <w:rFonts w:hint="eastAsia" w:asciiTheme="minorEastAsia" w:hAnsiTheme="minorEastAsia" w:eastAsiaTheme="minorEastAsia"/>
                <w:szCs w:val="21"/>
              </w:rPr>
              <w:t>2项的，加</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72170BD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4.评审为差：</w:t>
            </w:r>
            <w:r>
              <w:rPr>
                <w:rFonts w:hint="eastAsia" w:asciiTheme="minorEastAsia" w:hAnsiTheme="minorEastAsia" w:eastAsiaTheme="minorEastAsia"/>
                <w:szCs w:val="21"/>
                <w:lang w:val="en"/>
              </w:rPr>
              <w:t>实施方案思路清晰性差、内容具体性差、科学合理性差、针对性及可操作性差或提出实施方法少于</w:t>
            </w:r>
            <w:r>
              <w:rPr>
                <w:rFonts w:hint="eastAsia" w:asciiTheme="minorEastAsia" w:hAnsiTheme="minorEastAsia" w:eastAsiaTheme="minorEastAsia"/>
                <w:szCs w:val="21"/>
              </w:rPr>
              <w:t>2项的，不加分。</w:t>
            </w:r>
          </w:p>
          <w:p w14:paraId="1D97897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如果评审为差，要求评委书面说明理由，并记录在档。</w:t>
            </w:r>
          </w:p>
          <w:p w14:paraId="04BF2497">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lang w:val="en"/>
              </w:rPr>
              <w:t>未提供实施方案的不得分。</w:t>
            </w:r>
          </w:p>
          <w:p w14:paraId="2C880EB3">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lang w:val="en"/>
              </w:rPr>
              <w:t>评审依据2：</w:t>
            </w:r>
          </w:p>
          <w:p w14:paraId="0DC66EE4">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lang w:val="en"/>
              </w:rPr>
              <w:t>提供国内外食品安全标准与技术法规研究现状综述，每个组织或国家</w:t>
            </w:r>
            <w:r>
              <w:rPr>
                <w:rFonts w:hint="eastAsia" w:asciiTheme="minorEastAsia" w:hAnsiTheme="minorEastAsia" w:eastAsiaTheme="minorEastAsia"/>
                <w:szCs w:val="21"/>
              </w:rPr>
              <w:t>加</w:t>
            </w:r>
            <w:r>
              <w:rPr>
                <w:rFonts w:hint="eastAsia" w:asciiTheme="minorEastAsia" w:hAnsiTheme="minorEastAsia" w:eastAsiaTheme="minorEastAsia"/>
                <w:szCs w:val="21"/>
                <w:lang w:val="en"/>
              </w:rPr>
              <w:t>5分，</w:t>
            </w:r>
            <w:r>
              <w:rPr>
                <w:rFonts w:hint="eastAsia" w:asciiTheme="minorEastAsia" w:hAnsiTheme="minorEastAsia" w:eastAsiaTheme="minorEastAsia"/>
                <w:szCs w:val="21"/>
              </w:rPr>
              <w:t>本小项</w:t>
            </w:r>
            <w:r>
              <w:rPr>
                <w:rFonts w:hint="eastAsia" w:asciiTheme="minorEastAsia" w:hAnsiTheme="minorEastAsia" w:eastAsiaTheme="minorEastAsia"/>
                <w:szCs w:val="21"/>
                <w:lang w:val="en"/>
              </w:rPr>
              <w:t>最高</w:t>
            </w:r>
            <w:r>
              <w:rPr>
                <w:rFonts w:hint="eastAsia" w:asciiTheme="minorEastAsia" w:hAnsiTheme="minorEastAsia" w:eastAsiaTheme="minorEastAsia"/>
                <w:szCs w:val="21"/>
              </w:rPr>
              <w:t>加</w:t>
            </w:r>
            <w:r>
              <w:rPr>
                <w:rFonts w:hint="eastAsia" w:asciiTheme="minorEastAsia" w:hAnsiTheme="minorEastAsia" w:eastAsiaTheme="minorEastAsia"/>
                <w:szCs w:val="21"/>
                <w:lang w:val="en"/>
              </w:rPr>
              <w:t>20分。其他情况不</w:t>
            </w:r>
            <w:r>
              <w:rPr>
                <w:rFonts w:hint="eastAsia" w:asciiTheme="minorEastAsia" w:hAnsiTheme="minorEastAsia" w:eastAsiaTheme="minorEastAsia"/>
                <w:szCs w:val="21"/>
              </w:rPr>
              <w:t>加</w:t>
            </w:r>
            <w:r>
              <w:rPr>
                <w:rFonts w:hint="eastAsia" w:asciiTheme="minorEastAsia" w:hAnsiTheme="minorEastAsia" w:eastAsiaTheme="minorEastAsia"/>
                <w:szCs w:val="21"/>
                <w:lang w:val="en"/>
              </w:rPr>
              <w:t>分。</w:t>
            </w:r>
          </w:p>
          <w:p w14:paraId="31DE263A">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lang w:val="en"/>
              </w:rPr>
              <w:t>本项</w:t>
            </w:r>
            <w:r>
              <w:rPr>
                <w:rFonts w:hint="eastAsia" w:asciiTheme="minorEastAsia" w:hAnsiTheme="minorEastAsia" w:eastAsiaTheme="minorEastAsia"/>
                <w:szCs w:val="21"/>
              </w:rPr>
              <w:t>累计得分</w:t>
            </w:r>
            <w:r>
              <w:rPr>
                <w:rFonts w:hint="eastAsia" w:asciiTheme="minorEastAsia" w:hAnsiTheme="minorEastAsia" w:eastAsiaTheme="minorEastAsia"/>
                <w:szCs w:val="21"/>
                <w:lang w:val="en"/>
              </w:rPr>
              <w:t>最高得</w:t>
            </w:r>
            <w:r>
              <w:rPr>
                <w:rFonts w:hint="eastAsia" w:asciiTheme="minorEastAsia" w:hAnsiTheme="minorEastAsia" w:eastAsiaTheme="minorEastAsia"/>
                <w:szCs w:val="21"/>
              </w:rPr>
              <w:t>100分。</w:t>
            </w:r>
          </w:p>
        </w:tc>
      </w:tr>
      <w:tr w14:paraId="14D5CC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CAB386E">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364D07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41A03DA5">
            <w:pPr>
              <w:spacing w:line="360" w:lineRule="exact"/>
              <w:jc w:val="center"/>
              <w:rPr>
                <w:rFonts w:cs="宋体" w:asciiTheme="minorEastAsia" w:hAnsiTheme="minorEastAsia" w:eastAsiaTheme="minorEastAsia"/>
                <w:szCs w:val="21"/>
              </w:rPr>
            </w:pPr>
            <w:r>
              <w:rPr>
                <w:rFonts w:hint="eastAsia" w:ascii="宋体" w:hAnsi="宋体" w:cs="宋体"/>
                <w:szCs w:val="21"/>
              </w:rPr>
              <w:t>项目重点难点分析、应对措施及相关的合理化建议</w:t>
            </w:r>
          </w:p>
        </w:tc>
        <w:tc>
          <w:tcPr>
            <w:tcW w:w="820" w:type="dxa"/>
            <w:tcBorders>
              <w:top w:val="single" w:color="000000" w:sz="8" w:space="0"/>
              <w:left w:val="single" w:color="000000" w:sz="8" w:space="0"/>
              <w:bottom w:val="single" w:color="000000" w:sz="8" w:space="0"/>
              <w:right w:val="single" w:color="000000" w:sz="8" w:space="0"/>
            </w:tcBorders>
            <w:vAlign w:val="center"/>
          </w:tcPr>
          <w:p w14:paraId="1873C774">
            <w:pPr>
              <w:spacing w:line="360" w:lineRule="exact"/>
              <w:jc w:val="center"/>
              <w:rPr>
                <w:rFonts w:cs="宋体" w:asciiTheme="minorEastAsia" w:hAnsiTheme="minorEastAsia" w:eastAsiaTheme="minorEastAsia"/>
                <w:szCs w:val="21"/>
              </w:rPr>
            </w:pPr>
            <w:r>
              <w:rPr>
                <w:rFonts w:hint="eastAsia" w:ascii="宋体" w:hAnsi="宋体" w:cs="宋体"/>
                <w:szCs w:val="21"/>
              </w:rPr>
              <w:t>14</w:t>
            </w:r>
          </w:p>
        </w:tc>
        <w:tc>
          <w:tcPr>
            <w:tcW w:w="5964" w:type="dxa"/>
            <w:tcBorders>
              <w:top w:val="single" w:color="000000" w:sz="8" w:space="0"/>
              <w:left w:val="single" w:color="000000" w:sz="8" w:space="0"/>
              <w:bottom w:val="single" w:color="000000" w:sz="8" w:space="0"/>
              <w:right w:val="single" w:color="000000" w:sz="8" w:space="0"/>
            </w:tcBorders>
            <w:vAlign w:val="center"/>
          </w:tcPr>
          <w:p w14:paraId="576B957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6D986A3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1.投标人应结合其工作经历及项目需求进行重点难点分析并提出合理化建议，内容包括但不限于：</w:t>
            </w:r>
          </w:p>
          <w:p w14:paraId="19419D8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（1）项目的重点难点分析（包括但不限于对政策实施相关的准确性把握、沟通协调、组织活动、数据整理等）；</w:t>
            </w:r>
          </w:p>
          <w:p w14:paraId="2E33783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（2）针对性项目重点难点的应对措施（针对现行“圳品”标准以及工作制度体系运行中存在的问题及取得的成效进行分析，制定相应的工作规划及应对措施）；</w:t>
            </w:r>
          </w:p>
          <w:p w14:paraId="6D48ADA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（3）项目重点难点相关解决方案和合理化建议（对标准引领的效能及制度体系的创新开展指导和建议）。</w:t>
            </w:r>
          </w:p>
          <w:p w14:paraId="4C94390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2.投标人具有开展国内外食品分类系统研究的经验和能力，包括但不限于香港、澳门、欧盟等。</w:t>
            </w:r>
            <w:r>
              <w:rPr>
                <w:rFonts w:hint="eastAsia" w:asciiTheme="minorEastAsia" w:hAnsiTheme="minorEastAsia" w:eastAsiaTheme="minorEastAsia"/>
                <w:szCs w:val="21"/>
              </w:rPr>
              <w:br w:type="textWrapping"/>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评审依据1：</w:t>
            </w:r>
          </w:p>
          <w:p w14:paraId="0AEEFE7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满足上述三项要求得</w:t>
            </w:r>
            <w:r>
              <w:rPr>
                <w:rFonts w:hint="eastAsia" w:asciiTheme="minorEastAsia" w:hAnsiTheme="minorEastAsia" w:eastAsiaTheme="minorEastAsia"/>
                <w:szCs w:val="21"/>
                <w:lang w:val="en-US" w:eastAsia="zh-CN"/>
              </w:rPr>
              <w:t>60</w:t>
            </w:r>
            <w:r>
              <w:rPr>
                <w:rFonts w:hint="eastAsia" w:asciiTheme="minorEastAsia" w:hAnsiTheme="minorEastAsia" w:eastAsiaTheme="minorEastAsia"/>
                <w:szCs w:val="21"/>
              </w:rPr>
              <w:t>分；满足以上任意两项要求得</w:t>
            </w:r>
            <w:r>
              <w:rPr>
                <w:rFonts w:hint="eastAsia" w:asciiTheme="minorEastAsia" w:hAnsiTheme="minorEastAsia" w:eastAsiaTheme="minorEastAsia"/>
                <w:szCs w:val="21"/>
                <w:lang w:val="en-US" w:eastAsia="zh-CN"/>
              </w:rPr>
              <w:t>40</w:t>
            </w:r>
            <w:r>
              <w:rPr>
                <w:rFonts w:hint="eastAsia" w:asciiTheme="minorEastAsia" w:hAnsiTheme="minorEastAsia" w:eastAsiaTheme="minorEastAsia"/>
                <w:szCs w:val="21"/>
              </w:rPr>
              <w:t>分；满足以上任意一项的，得</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rPr>
              <w:t>分；其他情况不得分。</w:t>
            </w:r>
          </w:p>
          <w:p w14:paraId="39F13F9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在此基础上，根据重难点分析实际内容进一步评审：</w:t>
            </w:r>
          </w:p>
          <w:p w14:paraId="6ECC9477">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rPr>
              <w:t>1.</w:t>
            </w:r>
            <w:r>
              <w:rPr>
                <w:rFonts w:hint="eastAsia" w:asciiTheme="minorEastAsia" w:hAnsiTheme="minorEastAsia" w:eastAsiaTheme="minorEastAsia"/>
                <w:szCs w:val="21"/>
                <w:lang w:val="en"/>
              </w:rPr>
              <w:t>项目重难点分析内容具体、针对性强；</w:t>
            </w:r>
            <w:r>
              <w:rPr>
                <w:rFonts w:hint="eastAsia" w:asciiTheme="minorEastAsia" w:hAnsiTheme="minorEastAsia" w:eastAsiaTheme="minorEastAsia"/>
                <w:szCs w:val="21"/>
              </w:rPr>
              <w:t>项目重点难点应对措施</w:t>
            </w:r>
            <w:r>
              <w:rPr>
                <w:rFonts w:hint="eastAsia" w:asciiTheme="minorEastAsia" w:hAnsiTheme="minorEastAsia" w:eastAsiaTheme="minorEastAsia"/>
                <w:szCs w:val="21"/>
                <w:lang w:val="en"/>
              </w:rPr>
              <w:t>科学合理、可操作性强，</w:t>
            </w:r>
            <w:r>
              <w:rPr>
                <w:rFonts w:hint="eastAsia" w:asciiTheme="minorEastAsia" w:hAnsiTheme="minorEastAsia" w:eastAsiaTheme="minorEastAsia"/>
                <w:szCs w:val="21"/>
              </w:rPr>
              <w:t>且相关的合理化建议（对后续工作的开展具有针对性的指导和建议）不少于4项</w:t>
            </w:r>
            <w:r>
              <w:rPr>
                <w:rFonts w:hint="eastAsia" w:asciiTheme="minorEastAsia" w:hAnsiTheme="minorEastAsia" w:eastAsiaTheme="minorEastAsia"/>
                <w:szCs w:val="21"/>
                <w:lang w:val="en"/>
              </w:rPr>
              <w:t>的，加</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lang w:val="en"/>
              </w:rPr>
              <w:t>分；</w:t>
            </w:r>
          </w:p>
          <w:p w14:paraId="5331CA9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
              </w:rPr>
              <w:t>项目重难点分析内容较具体、针对性较强，</w:t>
            </w:r>
            <w:r>
              <w:rPr>
                <w:rFonts w:hint="eastAsia" w:asciiTheme="minorEastAsia" w:hAnsiTheme="minorEastAsia" w:eastAsiaTheme="minorEastAsia"/>
                <w:szCs w:val="21"/>
              </w:rPr>
              <w:t>项目重点难点应对措施</w:t>
            </w:r>
            <w:r>
              <w:rPr>
                <w:rFonts w:hint="eastAsia" w:asciiTheme="minorEastAsia" w:hAnsiTheme="minorEastAsia" w:eastAsiaTheme="minorEastAsia"/>
                <w:szCs w:val="21"/>
                <w:lang w:val="en"/>
              </w:rPr>
              <w:t>合理</w:t>
            </w:r>
            <w:r>
              <w:rPr>
                <w:rFonts w:hint="eastAsia" w:asciiTheme="minorEastAsia" w:hAnsiTheme="minorEastAsia" w:eastAsiaTheme="minorEastAsia"/>
                <w:szCs w:val="21"/>
              </w:rPr>
              <w:t>性</w:t>
            </w:r>
            <w:r>
              <w:rPr>
                <w:rFonts w:hint="eastAsia" w:asciiTheme="minorEastAsia" w:hAnsiTheme="minorEastAsia" w:eastAsiaTheme="minorEastAsia"/>
                <w:szCs w:val="21"/>
                <w:lang w:val="en"/>
              </w:rPr>
              <w:t>、可操作性</w:t>
            </w:r>
            <w:r>
              <w:rPr>
                <w:rFonts w:hint="eastAsia" w:asciiTheme="minorEastAsia" w:hAnsiTheme="minorEastAsia" w:eastAsiaTheme="minorEastAsia"/>
                <w:szCs w:val="21"/>
              </w:rPr>
              <w:t>较</w:t>
            </w:r>
            <w:r>
              <w:rPr>
                <w:rFonts w:hint="eastAsia" w:asciiTheme="minorEastAsia" w:hAnsiTheme="minorEastAsia" w:eastAsiaTheme="minorEastAsia"/>
                <w:szCs w:val="21"/>
                <w:lang w:val="en"/>
              </w:rPr>
              <w:t>强，</w:t>
            </w:r>
            <w:r>
              <w:rPr>
                <w:rFonts w:hint="eastAsia" w:asciiTheme="minorEastAsia" w:hAnsiTheme="minorEastAsia" w:eastAsiaTheme="minorEastAsia"/>
                <w:szCs w:val="21"/>
              </w:rPr>
              <w:t>且相关的合理化建议（对后续工作的开展具有针对性的指导和建议）不少于3项</w:t>
            </w:r>
            <w:r>
              <w:rPr>
                <w:rFonts w:hint="eastAsia" w:asciiTheme="minorEastAsia" w:hAnsiTheme="minorEastAsia" w:eastAsiaTheme="minorEastAsia"/>
                <w:szCs w:val="21"/>
                <w:lang w:val="en"/>
              </w:rPr>
              <w:t>的，加</w:t>
            </w:r>
            <w:r>
              <w:rPr>
                <w:rFonts w:hint="eastAsia" w:asciiTheme="minorEastAsia" w:hAnsiTheme="minorEastAsia" w:eastAsiaTheme="minorEastAsia"/>
                <w:szCs w:val="21"/>
                <w:lang w:val="en-US" w:eastAsia="zh-CN"/>
              </w:rPr>
              <w:t>15</w:t>
            </w:r>
            <w:r>
              <w:rPr>
                <w:rFonts w:hint="eastAsia" w:asciiTheme="minorEastAsia" w:hAnsiTheme="minorEastAsia" w:eastAsiaTheme="minorEastAsia"/>
                <w:szCs w:val="21"/>
              </w:rPr>
              <w:t>分；</w:t>
            </w:r>
          </w:p>
          <w:p w14:paraId="0EDC2BDC">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rPr>
              <w:t>3.</w:t>
            </w:r>
            <w:r>
              <w:rPr>
                <w:rFonts w:hint="eastAsia" w:asciiTheme="minorEastAsia" w:hAnsiTheme="minorEastAsia" w:eastAsiaTheme="minorEastAsia"/>
                <w:szCs w:val="21"/>
                <w:lang w:val="en"/>
              </w:rPr>
              <w:t>项目重难点分析内容具体性一般、针对性一般、</w:t>
            </w:r>
            <w:r>
              <w:rPr>
                <w:rFonts w:hint="eastAsia" w:asciiTheme="minorEastAsia" w:hAnsiTheme="minorEastAsia" w:eastAsiaTheme="minorEastAsia"/>
                <w:szCs w:val="21"/>
              </w:rPr>
              <w:t>项目重点难点应对措施</w:t>
            </w:r>
            <w:r>
              <w:rPr>
                <w:rFonts w:hint="eastAsia" w:asciiTheme="minorEastAsia" w:hAnsiTheme="minorEastAsia" w:eastAsiaTheme="minorEastAsia"/>
                <w:szCs w:val="21"/>
                <w:lang w:val="en"/>
              </w:rPr>
              <w:t>合理性一般、可操作性一般，</w:t>
            </w:r>
            <w:r>
              <w:rPr>
                <w:rFonts w:hint="eastAsia" w:asciiTheme="minorEastAsia" w:hAnsiTheme="minorEastAsia" w:eastAsiaTheme="minorEastAsia"/>
                <w:szCs w:val="21"/>
              </w:rPr>
              <w:t>且相关的合理化建议（对后续工作的开展具有针对性的指导和建议）不少于2项</w:t>
            </w:r>
            <w:r>
              <w:rPr>
                <w:rFonts w:hint="eastAsia" w:asciiTheme="minorEastAsia" w:hAnsiTheme="minorEastAsia" w:eastAsiaTheme="minorEastAsia"/>
                <w:szCs w:val="21"/>
                <w:lang w:val="en"/>
              </w:rPr>
              <w:t>的，加</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lang w:val="en"/>
              </w:rPr>
              <w:t>分；</w:t>
            </w:r>
          </w:p>
          <w:p w14:paraId="16634D0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4.项目重难点分析内容具体性差、针对性差、项目重点难点应对措施合理性差、可操作性差，相关的合理化建议（对后续工作的开展具有针对性的指导和建议）少于2项的，不加分；</w:t>
            </w:r>
          </w:p>
          <w:p w14:paraId="6790FE2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评审为差的，专家须书面说明理由，并记录在档。</w:t>
            </w:r>
          </w:p>
          <w:p w14:paraId="0A1CD1F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未提供项目重难点分的不得分。</w:t>
            </w:r>
          </w:p>
          <w:p w14:paraId="7D29848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评审依据2：</w:t>
            </w:r>
          </w:p>
          <w:p w14:paraId="4338950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提供我国关境外其他地区或国家或组织的食品分类体系研究报告或其他书面材料，每个加5分，最高加20分。其他情况不加分。</w:t>
            </w:r>
          </w:p>
          <w:p w14:paraId="415C354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
              </w:rPr>
              <w:t>本项</w:t>
            </w:r>
            <w:r>
              <w:rPr>
                <w:rFonts w:hint="eastAsia" w:asciiTheme="minorEastAsia" w:hAnsiTheme="minorEastAsia" w:eastAsiaTheme="minorEastAsia"/>
                <w:szCs w:val="21"/>
              </w:rPr>
              <w:t>累计得分</w:t>
            </w:r>
            <w:r>
              <w:rPr>
                <w:rFonts w:hint="eastAsia" w:asciiTheme="minorEastAsia" w:hAnsiTheme="minorEastAsia" w:eastAsiaTheme="minorEastAsia"/>
                <w:szCs w:val="21"/>
                <w:lang w:val="en"/>
              </w:rPr>
              <w:t>最高得</w:t>
            </w:r>
            <w:r>
              <w:rPr>
                <w:rFonts w:hint="eastAsia" w:asciiTheme="minorEastAsia" w:hAnsiTheme="minorEastAsia" w:eastAsiaTheme="minorEastAsia"/>
                <w:szCs w:val="21"/>
              </w:rPr>
              <w:t>100分。</w:t>
            </w:r>
          </w:p>
        </w:tc>
      </w:tr>
      <w:tr w14:paraId="268343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491CDB9">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970B2D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78226297">
            <w:pPr>
              <w:spacing w:line="360" w:lineRule="exact"/>
              <w:jc w:val="center"/>
              <w:rPr>
                <w:rFonts w:cs="宋体" w:asciiTheme="minorEastAsia" w:hAnsiTheme="minorEastAsia" w:eastAsiaTheme="minorEastAsia"/>
                <w:szCs w:val="21"/>
              </w:rPr>
            </w:pPr>
            <w:r>
              <w:rPr>
                <w:rFonts w:hint="eastAsia" w:ascii="宋体" w:hAnsi="宋体" w:cs="宋体"/>
                <w:szCs w:val="21"/>
              </w:rPr>
              <w:t>质量（完成时间、安全、环保）保障措施及方案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5AC86562">
            <w:pPr>
              <w:spacing w:line="360" w:lineRule="exact"/>
              <w:jc w:val="center"/>
              <w:rPr>
                <w:rFonts w:cs="宋体" w:asciiTheme="minorEastAsia" w:hAnsiTheme="minorEastAsia" w:eastAsiaTheme="minorEastAsia"/>
                <w:szCs w:val="21"/>
              </w:rPr>
            </w:pPr>
            <w:r>
              <w:rPr>
                <w:rFonts w:hint="eastAsia" w:ascii="宋体" w:hAnsi="宋体" w:cs="宋体"/>
                <w:szCs w:val="21"/>
              </w:rPr>
              <w:t>15</w:t>
            </w:r>
          </w:p>
        </w:tc>
        <w:tc>
          <w:tcPr>
            <w:tcW w:w="5964" w:type="dxa"/>
            <w:tcBorders>
              <w:top w:val="single" w:color="000000" w:sz="8" w:space="0"/>
              <w:left w:val="single" w:color="000000" w:sz="8" w:space="0"/>
              <w:bottom w:val="single" w:color="000000" w:sz="8" w:space="0"/>
              <w:right w:val="single" w:color="000000" w:sz="8" w:space="0"/>
            </w:tcBorders>
            <w:vAlign w:val="center"/>
          </w:tcPr>
          <w:p w14:paraId="3BA4A2F7">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07114662">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因本项目主要内容为标准制修订、评价档案审查与评审、监督检查档案审查与结果处理、“圳品”全链条数据管理体系等，投标人应结合其工作经历及项目需求进行质量保障措施及方案，内容包括但不限于：</w:t>
            </w:r>
          </w:p>
          <w:p w14:paraId="33F1B4D8">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1.保障项目质量的人力资源方案;</w:t>
            </w:r>
          </w:p>
          <w:p w14:paraId="4B246D58">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2.保障项目质量的设备、技术等资源方案；</w:t>
            </w:r>
          </w:p>
          <w:p w14:paraId="202E0CF6">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3.保障项目质量的内部监督工作方案；</w:t>
            </w:r>
          </w:p>
          <w:p w14:paraId="036B3B72">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4.保障项目质量的紧急资源调配以及应急响应工作方案；</w:t>
            </w:r>
          </w:p>
          <w:p w14:paraId="475FB273">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5.保障项目质量的安全措施（包括但不限于舆情处置、突发情况处理、数据安全、操作安全等内容）。</w:t>
            </w:r>
            <w:r>
              <w:rPr>
                <w:rFonts w:hint="eastAsia" w:asciiTheme="minorEastAsia" w:hAnsiTheme="minorEastAsia" w:eastAsiaTheme="minorEastAsia"/>
                <w:szCs w:val="21"/>
              </w:rPr>
              <w:br w:type="textWrapping"/>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4BD13B5E">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满足以上五项的，得</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0分；满足以上任意四项的，得</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rPr>
              <w:t>0分；满足以上任意三项的，得</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0分；其他情况不得分。</w:t>
            </w:r>
          </w:p>
          <w:p w14:paraId="686D4647">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在此基础上，根据保障措施及方案实际内容进一步评审：</w:t>
            </w:r>
          </w:p>
          <w:p w14:paraId="331FA93A">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1.质量保障措施内容具体、针对性强、科学合理、可操作性强的加</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rPr>
              <w:t>分；</w:t>
            </w:r>
          </w:p>
          <w:p w14:paraId="71508395">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2.质量保障措施内容较具体、针对性较强、较科学合理、可操作性较强加</w:t>
            </w:r>
            <w:r>
              <w:rPr>
                <w:rFonts w:hint="eastAsia" w:asciiTheme="minorEastAsia" w:hAnsiTheme="minorEastAsia" w:eastAsiaTheme="minorEastAsia"/>
                <w:szCs w:val="21"/>
                <w:lang w:val="en-US" w:eastAsia="zh-CN"/>
              </w:rPr>
              <w:t>15</w:t>
            </w:r>
            <w:r>
              <w:rPr>
                <w:rFonts w:hint="eastAsia" w:asciiTheme="minorEastAsia" w:hAnsiTheme="minorEastAsia" w:eastAsiaTheme="minorEastAsia"/>
                <w:szCs w:val="21"/>
              </w:rPr>
              <w:t>分；</w:t>
            </w:r>
          </w:p>
          <w:p w14:paraId="6D3F1865">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3.质量保障措施内容具体性一般、针对性一般、科学合理性一般、可操作性一般的加10分；</w:t>
            </w:r>
          </w:p>
          <w:p w14:paraId="263C2C25">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4.质量保障措施内容具体性差、针对性差、科学合理性差、可操作性差的不得分；评审为差的，专家须书面说明理由，并记录在档。</w:t>
            </w:r>
          </w:p>
          <w:p w14:paraId="7CBDE444">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未提供质量保障措施的不得分。</w:t>
            </w:r>
          </w:p>
          <w:p w14:paraId="172783BA">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
              </w:rPr>
              <w:t>本项最高得</w:t>
            </w:r>
            <w:r>
              <w:rPr>
                <w:rFonts w:hint="eastAsia" w:asciiTheme="minorEastAsia" w:hAnsiTheme="minorEastAsia" w:eastAsiaTheme="minorEastAsia"/>
                <w:szCs w:val="21"/>
              </w:rPr>
              <w:t>100分。</w:t>
            </w:r>
          </w:p>
        </w:tc>
      </w:tr>
      <w:tr w14:paraId="27C9B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BB53AB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0D3D2D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7961511B">
            <w:pPr>
              <w:spacing w:line="360" w:lineRule="exact"/>
              <w:jc w:val="center"/>
              <w:rPr>
                <w:rFonts w:cs="宋体" w:asciiTheme="minorEastAsia" w:hAnsiTheme="minorEastAsia" w:eastAsiaTheme="minorEastAsia"/>
                <w:szCs w:val="21"/>
              </w:rPr>
            </w:pPr>
            <w:r>
              <w:rPr>
                <w:rFonts w:hint="eastAsia" w:ascii="宋体" w:hAnsi="宋体" w:cs="宋体"/>
                <w:szCs w:val="21"/>
              </w:rPr>
              <w:t>项目完成（服务期满）后的服务承诺</w:t>
            </w:r>
          </w:p>
        </w:tc>
        <w:tc>
          <w:tcPr>
            <w:tcW w:w="820" w:type="dxa"/>
            <w:tcBorders>
              <w:top w:val="single" w:color="000000" w:sz="8" w:space="0"/>
              <w:left w:val="single" w:color="000000" w:sz="8" w:space="0"/>
              <w:bottom w:val="single" w:color="000000" w:sz="8" w:space="0"/>
              <w:right w:val="single" w:color="000000" w:sz="8" w:space="0"/>
            </w:tcBorders>
            <w:vAlign w:val="center"/>
          </w:tcPr>
          <w:p w14:paraId="08E11E10">
            <w:pPr>
              <w:spacing w:line="360" w:lineRule="exact"/>
              <w:jc w:val="center"/>
              <w:rPr>
                <w:rFonts w:cs="宋体" w:asciiTheme="minorEastAsia" w:hAnsiTheme="minorEastAsia" w:eastAsiaTheme="minorEastAsia"/>
                <w:szCs w:val="21"/>
              </w:rPr>
            </w:pPr>
            <w:r>
              <w:rPr>
                <w:rFonts w:hint="eastAsia" w:ascii="宋体" w:hAnsi="宋体" w:cs="宋体"/>
                <w:szCs w:val="21"/>
              </w:rPr>
              <w:t>2</w:t>
            </w:r>
          </w:p>
        </w:tc>
        <w:tc>
          <w:tcPr>
            <w:tcW w:w="5964" w:type="dxa"/>
            <w:tcBorders>
              <w:top w:val="single" w:color="000000" w:sz="8" w:space="0"/>
              <w:left w:val="single" w:color="000000" w:sz="8" w:space="0"/>
              <w:bottom w:val="single" w:color="000000" w:sz="8" w:space="0"/>
              <w:right w:val="single" w:color="000000" w:sz="8" w:space="0"/>
            </w:tcBorders>
            <w:vAlign w:val="top"/>
          </w:tcPr>
          <w:p w14:paraId="731C5D0E">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47E59BDD">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投标人承诺以下全部两项的得100分，否则不得分。</w:t>
            </w:r>
          </w:p>
          <w:p w14:paraId="4A68A594">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1.服务期满后主动离岗；</w:t>
            </w:r>
          </w:p>
          <w:p w14:paraId="1F28AC08">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2.与后续服务公司进行交接（跟A包保持一致）。</w:t>
            </w:r>
          </w:p>
          <w:p w14:paraId="065A1711">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3878CD10">
            <w:pPr>
              <w:autoSpaceDE w:val="0"/>
              <w:autoSpaceDN w:val="0"/>
              <w:adjustRightInd w:val="0"/>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要求投标人提供</w:t>
            </w:r>
            <w:r>
              <w:rPr>
                <w:rFonts w:hint="eastAsia" w:asciiTheme="minorEastAsia" w:hAnsiTheme="minorEastAsia" w:eastAsiaTheme="minorEastAsia"/>
                <w:szCs w:val="21"/>
                <w:lang w:eastAsia="zh-CN"/>
              </w:rPr>
              <w:t>《</w:t>
            </w:r>
            <w:r>
              <w:rPr>
                <w:rFonts w:hint="eastAsia" w:ascii="宋体" w:hAnsi="宋体" w:cs="宋体"/>
                <w:szCs w:val="21"/>
              </w:rPr>
              <w:t>项目完成（服务期满）后的服务承诺</w:t>
            </w:r>
            <w:r>
              <w:rPr>
                <w:rFonts w:hint="eastAsia" w:asciiTheme="minorEastAsia" w:hAnsiTheme="minorEastAsia" w:eastAsiaTheme="minorEastAsia"/>
                <w:szCs w:val="21"/>
              </w:rPr>
              <w:t>函</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（格式自定）作为得分依据，未提供承诺函或承诺内容不满足要求不得分。</w:t>
            </w:r>
          </w:p>
        </w:tc>
      </w:tr>
      <w:tr w14:paraId="306764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4E3CED3">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245BB79">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0CF80289">
            <w:pPr>
              <w:spacing w:line="360" w:lineRule="exact"/>
              <w:jc w:val="center"/>
              <w:rPr>
                <w:rFonts w:hint="eastAsia" w:ascii="宋体" w:hAnsi="宋体" w:cs="宋体"/>
                <w:szCs w:val="21"/>
              </w:rPr>
            </w:pPr>
            <w:r>
              <w:rPr>
                <w:rFonts w:hint="eastAsia" w:ascii="宋体" w:hAnsi="宋体" w:cs="宋体"/>
                <w:szCs w:val="21"/>
              </w:rPr>
              <w:t>违约承诺</w:t>
            </w:r>
          </w:p>
        </w:tc>
        <w:tc>
          <w:tcPr>
            <w:tcW w:w="820" w:type="dxa"/>
            <w:tcBorders>
              <w:top w:val="single" w:color="000000" w:sz="8" w:space="0"/>
              <w:left w:val="single" w:color="000000" w:sz="8" w:space="0"/>
              <w:bottom w:val="single" w:color="000000" w:sz="8" w:space="0"/>
              <w:right w:val="single" w:color="000000" w:sz="8" w:space="0"/>
            </w:tcBorders>
            <w:vAlign w:val="center"/>
          </w:tcPr>
          <w:p w14:paraId="6B4D5697">
            <w:pPr>
              <w:spacing w:line="360" w:lineRule="exact"/>
              <w:jc w:val="center"/>
              <w:rPr>
                <w:rFonts w:hint="eastAsia" w:ascii="宋体" w:hAnsi="宋体" w:cs="宋体"/>
                <w:szCs w:val="21"/>
              </w:rPr>
            </w:pPr>
            <w:r>
              <w:rPr>
                <w:rFonts w:hint="eastAsia" w:ascii="宋体" w:hAnsi="宋体" w:cs="宋体"/>
                <w:szCs w:val="21"/>
              </w:rPr>
              <w:t>1</w:t>
            </w:r>
          </w:p>
        </w:tc>
        <w:tc>
          <w:tcPr>
            <w:tcW w:w="5964" w:type="dxa"/>
            <w:tcBorders>
              <w:top w:val="single" w:color="000000" w:sz="8" w:space="0"/>
              <w:left w:val="single" w:color="000000" w:sz="8" w:space="0"/>
              <w:bottom w:val="single" w:color="000000" w:sz="8" w:space="0"/>
              <w:right w:val="single" w:color="000000" w:sz="8" w:space="0"/>
            </w:tcBorders>
            <w:vAlign w:val="top"/>
          </w:tcPr>
          <w:p w14:paraId="4379C964">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42AAE844">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投标人承诺以下全部三项内容的得100分，否则不得分。</w:t>
            </w:r>
          </w:p>
          <w:p w14:paraId="4B699538">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1.人员严格按照招标文件及投标承诺配置；</w:t>
            </w:r>
          </w:p>
          <w:p w14:paraId="6EEA40A1">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2.服务质量达到招标文件要求；</w:t>
            </w:r>
          </w:p>
          <w:p w14:paraId="3CBCB469">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3.对未能达到的管理要求承担管理责任。</w:t>
            </w:r>
          </w:p>
          <w:p w14:paraId="3AA384E8">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18E0C0CA">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要求提供</w:t>
            </w:r>
            <w:r>
              <w:rPr>
                <w:rFonts w:hint="eastAsia" w:asciiTheme="minorEastAsia" w:hAnsiTheme="minorEastAsia" w:eastAsiaTheme="minorEastAsia"/>
                <w:szCs w:val="21"/>
                <w:lang w:eastAsia="zh-CN"/>
              </w:rPr>
              <w:t>《</w:t>
            </w:r>
            <w:r>
              <w:rPr>
                <w:rFonts w:hint="eastAsia" w:ascii="宋体" w:hAnsi="宋体" w:cs="宋体"/>
                <w:szCs w:val="21"/>
              </w:rPr>
              <w:t>违约承诺</w:t>
            </w:r>
            <w:r>
              <w:rPr>
                <w:rFonts w:hint="eastAsia" w:asciiTheme="minorEastAsia" w:hAnsiTheme="minorEastAsia" w:eastAsiaTheme="minorEastAsia"/>
                <w:szCs w:val="21"/>
              </w:rPr>
              <w:t>函</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（格式自定）作为得分依据，未提供承诺函或承诺内容不满足要求不得分。</w:t>
            </w:r>
          </w:p>
        </w:tc>
      </w:tr>
      <w:tr w14:paraId="7CD8AC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26977E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1167DE7">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w:t>
            </w:r>
          </w:p>
        </w:tc>
        <w:tc>
          <w:tcPr>
            <w:tcW w:w="1495" w:type="dxa"/>
            <w:tcBorders>
              <w:top w:val="single" w:color="000000" w:sz="8" w:space="0"/>
              <w:left w:val="single" w:color="000000" w:sz="8" w:space="0"/>
              <w:bottom w:val="single" w:color="000000" w:sz="8" w:space="0"/>
              <w:right w:val="single" w:color="000000" w:sz="8" w:space="0"/>
            </w:tcBorders>
            <w:vAlign w:val="center"/>
          </w:tcPr>
          <w:p w14:paraId="2A625C69">
            <w:pPr>
              <w:spacing w:line="360" w:lineRule="exact"/>
              <w:jc w:val="center"/>
              <w:rPr>
                <w:rFonts w:hint="eastAsia" w:ascii="宋体" w:hAnsi="宋体" w:cs="宋体"/>
                <w:szCs w:val="21"/>
              </w:rPr>
            </w:pPr>
            <w:r>
              <w:rPr>
                <w:rFonts w:hint="eastAsia" w:ascii="宋体" w:hAnsi="宋体" w:cs="宋体"/>
                <w:szCs w:val="21"/>
              </w:rPr>
              <w:t>拟安排的项目负责人情况（仅限一人）</w:t>
            </w:r>
          </w:p>
        </w:tc>
        <w:tc>
          <w:tcPr>
            <w:tcW w:w="820" w:type="dxa"/>
            <w:tcBorders>
              <w:top w:val="single" w:color="000000" w:sz="8" w:space="0"/>
              <w:left w:val="single" w:color="000000" w:sz="8" w:space="0"/>
              <w:bottom w:val="single" w:color="000000" w:sz="8" w:space="0"/>
              <w:right w:val="single" w:color="000000" w:sz="8" w:space="0"/>
            </w:tcBorders>
            <w:vAlign w:val="center"/>
          </w:tcPr>
          <w:p w14:paraId="06ECB8F9">
            <w:pPr>
              <w:spacing w:line="360" w:lineRule="exact"/>
              <w:jc w:val="center"/>
              <w:rPr>
                <w:rFonts w:hint="eastAsia" w:ascii="宋体" w:hAnsi="宋体" w:cs="宋体"/>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7155C750">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477C3828">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拟安排的项目负责人（仅限1人）需为投标人自有员工，否则本项不得分。在此基础上：</w:t>
            </w:r>
          </w:p>
          <w:p w14:paraId="246D8A66">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1.项目负责人为食品安全标准相关专家组成员（提供国家或省级卫生健康部门颁发的证书或官方网站公示名单等佐证材料）国家级得40分；省级（含副省级）得20分，市级得10分；本小项最高得40分。</w:t>
            </w:r>
          </w:p>
          <w:p w14:paraId="48D63A73">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2.项目负责人具有</w:t>
            </w:r>
            <w:r>
              <w:rPr>
                <w:rFonts w:hint="eastAsia" w:asciiTheme="minorEastAsia" w:hAnsiTheme="minorEastAsia" w:eastAsiaTheme="minorEastAsia"/>
                <w:szCs w:val="21"/>
                <w:lang w:val="en-US" w:eastAsia="zh-CN"/>
              </w:rPr>
              <w:t>食品相关专业</w:t>
            </w:r>
            <w:r>
              <w:rPr>
                <w:rFonts w:hint="eastAsia" w:asciiTheme="minorEastAsia" w:hAnsiTheme="minorEastAsia" w:eastAsiaTheme="minorEastAsia"/>
                <w:szCs w:val="21"/>
              </w:rPr>
              <w:t>本科（含）以上学历或学士（含）以上学位，在此基础上具有标准化或食品相关专业的职称的，高级（正高）职称的得20分；高级（副高）职称，得10分，本小项最高得20分。</w:t>
            </w:r>
          </w:p>
          <w:p w14:paraId="56EB0A92">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3.2021年1月1日至本项目投标截止之日（以合同签订时间为准）作为项目负责人，参与过政府部门或事业单位食品或食用农产品区域品牌</w:t>
            </w:r>
            <w:r>
              <w:rPr>
                <w:rFonts w:hint="eastAsia" w:asciiTheme="minorEastAsia" w:hAnsiTheme="minorEastAsia" w:eastAsiaTheme="minorEastAsia"/>
                <w:szCs w:val="21"/>
                <w:lang w:eastAsia="zh-CN"/>
              </w:rPr>
              <w:t>建设</w:t>
            </w:r>
            <w:r>
              <w:rPr>
                <w:rFonts w:hint="eastAsia" w:asciiTheme="minorEastAsia" w:hAnsiTheme="minorEastAsia" w:eastAsiaTheme="minorEastAsia"/>
                <w:szCs w:val="21"/>
              </w:rPr>
              <w:t>类项目，每提供1个得4分，最高得20分。</w:t>
            </w:r>
          </w:p>
          <w:p w14:paraId="4B63144B">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4.2021年1月1日至本项目开标之日(以相关材料落款时间为准)参与国家标准</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行业标准、地方标准或团体标准制定或修订（提供标准文本的首页及关键页等相关证明材料，需体现标准制订或修订人员信息，每提供1个得4分，最高得20分。</w:t>
            </w:r>
            <w:r>
              <w:rPr>
                <w:rFonts w:hint="eastAsia" w:asciiTheme="minorEastAsia" w:hAnsiTheme="minorEastAsia" w:eastAsiaTheme="minorEastAsia"/>
                <w:szCs w:val="21"/>
              </w:rPr>
              <w:br w:type="textWrapping"/>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53731A88">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提供项目负责人通过投标单位缴纳的载有社保部门或税务部门公章的近三个月（含投标当月）内任意一个月的个人社保证明；如供应商为新成立单位且成立时间不足一个月或人员入职不足一个月的，可提供加盖公章的情况说明或者证明材料，无需提供相关人员社保亦视为符合；如为退休返聘人员则提供劳动合同或返聘协议，无需提供相关人员社保亦视为符合。</w:t>
            </w:r>
          </w:p>
          <w:p w14:paraId="59115169">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2.第1项评分：要求提供投标人相关证明资料作为得分依据。</w:t>
            </w:r>
          </w:p>
          <w:p w14:paraId="6383CFB7">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第2项评分：如涉及考察人员学历或学位及专业，要求提供毕业证书（或学位证书）、学信网查询记录以及教育部发布的《普通高等学校本科专业目录》中对应专业所在页截图，用以证明其所学专业属于评审内容规定的专业类别，对于学信网无法查询的，还需提供毕业院校或人社部门或教育部门等颁发机构或监管机构出具的证明，海外留学人员学历无法通过学信网站查询的，需提供教育部留学服务中心出具的学历学位认证书及教育部留学服务中心官网查询截图，否则无效。职称证书要求提供职称证书。</w:t>
            </w:r>
          </w:p>
          <w:p w14:paraId="427D52D4">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第3项评分：如涉及考察人员工作经验，要求提供项目合同关键信息（包含但不限于合同签订日期、服务时间、服务内容、服务人员信息、双方盖章页等）作为得分依据，通过合同关键信息无法判断是否得分的，还须同时提供合同甲方出具的证明文件。</w:t>
            </w:r>
          </w:p>
          <w:p w14:paraId="3A5F4747">
            <w:pPr>
              <w:autoSpaceDE w:val="0"/>
              <w:autoSpaceDN w:val="0"/>
              <w:adjustRightInd w:val="0"/>
              <w:spacing w:line="360" w:lineRule="exact"/>
              <w:rPr>
                <w:rFonts w:hint="eastAsia" w:ascii="宋体" w:hAnsi="宋体" w:cs="宋体"/>
                <w:szCs w:val="21"/>
              </w:rPr>
            </w:pPr>
            <w:r>
              <w:rPr>
                <w:rFonts w:hint="eastAsia" w:asciiTheme="minorEastAsia" w:hAnsiTheme="minorEastAsia" w:eastAsiaTheme="minorEastAsia"/>
                <w:szCs w:val="21"/>
              </w:rPr>
              <w:t>5.第4项评分：需提供标准文本首页、起</w:t>
            </w:r>
            <w:r>
              <w:rPr>
                <w:rFonts w:hint="eastAsia" w:ascii="宋体" w:hAnsi="宋体" w:cs="宋体"/>
                <w:szCs w:val="21"/>
              </w:rPr>
              <w:t>草单位页等有效证明材料。需体现标准制订或修订人员信息</w:t>
            </w:r>
          </w:p>
          <w:p w14:paraId="50067446">
            <w:pPr>
              <w:snapToGrid w:val="0"/>
              <w:spacing w:line="360" w:lineRule="exact"/>
              <w:rPr>
                <w:rFonts w:hint="eastAsia" w:asciiTheme="minorEastAsia" w:hAnsiTheme="minorEastAsia" w:eastAsiaTheme="minorEastAsia"/>
                <w:szCs w:val="21"/>
              </w:rPr>
            </w:pPr>
            <w:r>
              <w:rPr>
                <w:rFonts w:hint="eastAsia" w:ascii="宋体" w:hAnsi="宋体" w:cs="宋体"/>
                <w:szCs w:val="21"/>
              </w:rPr>
              <w:t>6.</w:t>
            </w:r>
            <w:r>
              <w:rPr>
                <w:rFonts w:ascii="宋体" w:hAnsi="宋体" w:cs="宋体"/>
                <w:szCs w:val="21"/>
              </w:rPr>
              <w:t>以上资料均要求提供扫描件。</w:t>
            </w:r>
            <w:r>
              <w:rPr>
                <w:rFonts w:hint="eastAsia" w:ascii="宋体" w:hAnsi="宋体"/>
                <w:szCs w:val="21"/>
              </w:rPr>
              <w:t>如涉及网站截图或照片等证明材料,需提供清晰图片。</w:t>
            </w:r>
            <w:r>
              <w:rPr>
                <w:rFonts w:ascii="宋体" w:hAnsi="宋体" w:cs="宋体"/>
                <w:szCs w:val="21"/>
              </w:rPr>
              <w:t>评分中出现无证明资料或专家无法凭所提供资料判断是否得分的情况，一律作不得分处理。</w:t>
            </w:r>
          </w:p>
        </w:tc>
      </w:tr>
      <w:tr w14:paraId="4EFA10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8660F01">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06B4DC0">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7</w:t>
            </w:r>
          </w:p>
        </w:tc>
        <w:tc>
          <w:tcPr>
            <w:tcW w:w="1495" w:type="dxa"/>
            <w:tcBorders>
              <w:top w:val="single" w:color="000000" w:sz="8" w:space="0"/>
              <w:left w:val="single" w:color="000000" w:sz="8" w:space="0"/>
              <w:bottom w:val="single" w:color="000000" w:sz="8" w:space="0"/>
              <w:right w:val="single" w:color="000000" w:sz="8" w:space="0"/>
            </w:tcBorders>
            <w:vAlign w:val="center"/>
          </w:tcPr>
          <w:p w14:paraId="5190799C">
            <w:pPr>
              <w:spacing w:line="360" w:lineRule="exact"/>
              <w:jc w:val="center"/>
              <w:rPr>
                <w:rFonts w:hint="eastAsia" w:ascii="宋体" w:hAnsi="宋体" w:cs="宋体"/>
                <w:szCs w:val="21"/>
              </w:rPr>
            </w:pPr>
            <w:r>
              <w:rPr>
                <w:rFonts w:hint="eastAsia" w:ascii="宋体" w:hAnsi="宋体" w:cs="宋体"/>
                <w:szCs w:val="21"/>
              </w:rPr>
              <w:t>拟安排的项目主要团队成员（主要技术人员）情况（项目负责人除外）</w:t>
            </w:r>
          </w:p>
        </w:tc>
        <w:tc>
          <w:tcPr>
            <w:tcW w:w="820" w:type="dxa"/>
            <w:tcBorders>
              <w:top w:val="single" w:color="000000" w:sz="8" w:space="0"/>
              <w:left w:val="single" w:color="000000" w:sz="8" w:space="0"/>
              <w:bottom w:val="single" w:color="000000" w:sz="8" w:space="0"/>
              <w:right w:val="single" w:color="000000" w:sz="8" w:space="0"/>
            </w:tcBorders>
            <w:vAlign w:val="center"/>
          </w:tcPr>
          <w:p w14:paraId="081629BD">
            <w:pPr>
              <w:spacing w:line="360" w:lineRule="exact"/>
              <w:jc w:val="center"/>
              <w:rPr>
                <w:rFonts w:hint="eastAsia" w:ascii="宋体" w:hAnsi="宋体" w:cs="宋体"/>
                <w:szCs w:val="21"/>
              </w:rPr>
            </w:pPr>
            <w:r>
              <w:rPr>
                <w:rFonts w:hint="eastAsia" w:ascii="宋体" w:hAnsi="宋体" w:cs="宋体"/>
                <w:szCs w:val="21"/>
              </w:rPr>
              <w:t>15</w:t>
            </w:r>
          </w:p>
        </w:tc>
        <w:tc>
          <w:tcPr>
            <w:tcW w:w="5964" w:type="dxa"/>
            <w:tcBorders>
              <w:top w:val="single" w:color="000000" w:sz="8" w:space="0"/>
              <w:left w:val="single" w:color="000000" w:sz="8" w:space="0"/>
              <w:bottom w:val="single" w:color="000000" w:sz="8" w:space="0"/>
              <w:right w:val="single" w:color="000000" w:sz="8" w:space="0"/>
            </w:tcBorders>
            <w:vAlign w:val="top"/>
          </w:tcPr>
          <w:p w14:paraId="2FC3D919">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（一）评审内容：拟安排的项目主要团队成员（主要技术人员）情况（项目负责人除外）需为投标人自有员工，否则本项不得分。在此基础上：</w:t>
            </w:r>
          </w:p>
          <w:p w14:paraId="2D2945B1">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1.项目团队成员具有标准化或食品或农学相关专业职称：具有高级（含副高级）职称的每提供1人得2.5分，最高得25分；若为中级职称的，每提供1人得1分，最高得25分。本小项最高得50分，其他情况不得分；（同一人具有多个职称的不重复计分，按最高职称计分。）</w:t>
            </w:r>
          </w:p>
          <w:p w14:paraId="02BD6D95">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2.项目团队成员具有食品或标准化相关领域组织（如国际食品法典委员会（CAC）、国际标准化组织（ISO））注册专家，每提供1人得5分，本小项最高得25分，其他情况不得分；（如一人同时满足职称和注册专家的要求可重复计分。）</w:t>
            </w:r>
          </w:p>
          <w:p w14:paraId="4C5B5E21">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3.项目团队成员具有食品类或农学类或统计学类或计算机类相关专业的本科（含）以上学历或学士（含）以上学位，每提供1人得2.5分，本小项最高得25分，其他情况均不得分。</w:t>
            </w:r>
          </w:p>
          <w:p w14:paraId="6FAC0D59">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（二）评审依据：</w:t>
            </w:r>
          </w:p>
          <w:p w14:paraId="7EF799A2">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1.要求提供通过投标人缴纳的近三个月中的任意一个月的社保证明作为本单位员工的证明依据。若供应商成立不足一个月的，需提供成立情况说明函（格式自拟），无需提供相关人员社保，亦可得分；若为退休返聘人员，需提供说明函（格式自拟），无需提供相关人员社保，亦可得分。</w:t>
            </w:r>
          </w:p>
          <w:p w14:paraId="34C65F6D">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2.第1项评分：职称证书要求提供职称证书。</w:t>
            </w:r>
          </w:p>
          <w:p w14:paraId="070B9AC5">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3.第2项评分提供：专家聘书或资格证书或官方任命文件或官网公示截图的有效证明材料。</w:t>
            </w:r>
          </w:p>
          <w:p w14:paraId="430AB10F">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4.第3项评分：如涉及考察人员学历或学位及专业，要求提供毕业证书（或学位证书）、学信网查询记录以及教育部发布的《普通高等学校本科专业目录》中对应专业所在页截图，用以证明其所学专业属于评审内容规定的专业类别，对于学信网无法查询的，还需提供毕业院校或人社部门或教育部门等颁发机构或监管机构出具的证明，海外留学人员学历无法通过学信网站查询的，需提供教育部留学服务中心出具的学历学位认证书及教育部留学服务中心官网查询截图，否则无效。</w:t>
            </w:r>
          </w:p>
          <w:p w14:paraId="440061B4">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5.以上资料均要求提供扫描件，如涉及网站截图或照片等证明材料,需提供清晰图片。评分中出现无证明资料或专家无法凭所提供资料判断是否得分的情况，一律作不得分处理。</w:t>
            </w:r>
          </w:p>
        </w:tc>
      </w:tr>
      <w:tr w14:paraId="14D22E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46A8983E">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3</w:t>
            </w:r>
          </w:p>
        </w:tc>
        <w:tc>
          <w:tcPr>
            <w:tcW w:w="2995" w:type="dxa"/>
            <w:gridSpan w:val="3"/>
            <w:tcBorders>
              <w:top w:val="single" w:color="000000" w:sz="8" w:space="0"/>
              <w:left w:val="single" w:color="000000" w:sz="8" w:space="0"/>
              <w:bottom w:val="single" w:color="000000" w:sz="8" w:space="0"/>
              <w:right w:val="single" w:color="000000" w:sz="8" w:space="0"/>
            </w:tcBorders>
          </w:tcPr>
          <w:p w14:paraId="0E48E696">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商务</w:t>
            </w:r>
          </w:p>
        </w:tc>
        <w:tc>
          <w:tcPr>
            <w:tcW w:w="5964" w:type="dxa"/>
            <w:tcBorders>
              <w:top w:val="single" w:color="000000" w:sz="8" w:space="0"/>
              <w:left w:val="single" w:color="000000" w:sz="8" w:space="0"/>
              <w:bottom w:val="single" w:color="000000" w:sz="8" w:space="0"/>
              <w:right w:val="single" w:color="000000" w:sz="8" w:space="0"/>
            </w:tcBorders>
          </w:tcPr>
          <w:p w14:paraId="346A444D">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20</w:t>
            </w:r>
          </w:p>
        </w:tc>
      </w:tr>
      <w:tr w14:paraId="178E60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E990306">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5A3D09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C31AF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539C2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69AA32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378CB7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0795868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D4AC3A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0506C4DD">
            <w:pPr>
              <w:spacing w:line="360" w:lineRule="exact"/>
              <w:jc w:val="center"/>
              <w:rPr>
                <w:rFonts w:cs="宋体" w:asciiTheme="minorEastAsia" w:hAnsiTheme="minorEastAsia" w:eastAsiaTheme="minorEastAsia"/>
                <w:szCs w:val="21"/>
              </w:rPr>
            </w:pPr>
            <w:r>
              <w:rPr>
                <w:rFonts w:hint="eastAsia" w:ascii="宋体" w:hAnsi="宋体"/>
                <w:szCs w:val="21"/>
              </w:rPr>
              <w:t>供应商认证情况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444EDC54">
            <w:pPr>
              <w:spacing w:line="360" w:lineRule="exact"/>
              <w:jc w:val="center"/>
              <w:rPr>
                <w:rFonts w:cs="宋体" w:asciiTheme="minorEastAsia" w:hAnsiTheme="minorEastAsia" w:eastAsiaTheme="minorEastAsia"/>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428BA52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3329666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具有国家级标准化示范试点或国家技术标准创新基地的得100分。</w:t>
            </w:r>
          </w:p>
          <w:p w14:paraId="427D302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4AAA07A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1.需提供国家市场监督管理总局批复通知或牌匾等有效的证明材料作为评审依据。</w:t>
            </w:r>
          </w:p>
          <w:p w14:paraId="2E5C29EA">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2.以上资料均要求提供扫描件。评分中出现无证明资料或专家无法凭所提供资料判断是否得分的情况，一律作不得分处理。</w:t>
            </w:r>
          </w:p>
        </w:tc>
      </w:tr>
      <w:tr w14:paraId="277016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2C49E3F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2BA8FF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050E37F0">
            <w:pPr>
              <w:spacing w:line="360" w:lineRule="exact"/>
              <w:jc w:val="center"/>
              <w:rPr>
                <w:rFonts w:cs="宋体" w:asciiTheme="minorEastAsia" w:hAnsiTheme="minorEastAsia" w:eastAsiaTheme="minorEastAsia"/>
                <w:szCs w:val="21"/>
              </w:rPr>
            </w:pPr>
            <w:r>
              <w:rPr>
                <w:rFonts w:hint="eastAsia" w:ascii="宋体" w:hAnsi="宋体" w:cs="宋体"/>
                <w:szCs w:val="21"/>
              </w:rPr>
              <w:t>供应商同类项目业绩情况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10D8BAC6">
            <w:pPr>
              <w:spacing w:line="360" w:lineRule="exact"/>
              <w:jc w:val="center"/>
              <w:rPr>
                <w:rFonts w:cs="宋体" w:asciiTheme="minorEastAsia" w:hAnsiTheme="minorEastAsia" w:eastAsiaTheme="minorEastAsia"/>
                <w:szCs w:val="21"/>
              </w:rPr>
            </w:pPr>
            <w:r>
              <w:rPr>
                <w:rFonts w:hint="eastAsia" w:ascii="宋体" w:hAnsi="宋体" w:cs="宋体"/>
                <w:szCs w:val="21"/>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0B362C3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52CC97B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投标人自2021年1月1日起至本项目投标截止之日（以合同签订时间为准）同类项目业绩情况：</w:t>
            </w:r>
          </w:p>
          <w:p w14:paraId="6FFB9EE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1.承担市级或以上政府部门或事业单位标准或技术法规比对类研究项目，每提供一个项目得10分，本小项最高得50分。</w:t>
            </w:r>
          </w:p>
          <w:p w14:paraId="2F543C5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2.承担过市级或以上政府部门或事业单位食品或食用农产品方面的区域品牌类、追溯系统建设类的项目，每提供上述范畴内的任意一个项目得10分，本小项最高得50分。</w:t>
            </w:r>
          </w:p>
          <w:p w14:paraId="3408647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29B9793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1.要求同时提供合同关键信息（包含但不限于合同签订时间、服务时间、服务内容、服务人员信息、双方盖章页等）作为得分依据。</w:t>
            </w:r>
          </w:p>
          <w:p w14:paraId="5819A75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2.通过合同关键信息无法判断是否得分的，还须同时提供能证明得分的其他证明资料，如项目报告或合同甲方出具的证明文件等。</w:t>
            </w:r>
          </w:p>
          <w:p w14:paraId="32D8BF64">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3.以上资料均要求提供扫描件，如涉及网站截图或照片等证明材料,需提供清晰图片。评分中出现无证明资料或专家无法凭所提供资料判断是否得分的情况，一律作不得分处理。</w:t>
            </w:r>
          </w:p>
        </w:tc>
      </w:tr>
      <w:tr w14:paraId="3FD92B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117C669">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24AD7F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752EC3F7">
            <w:pPr>
              <w:spacing w:line="360" w:lineRule="exact"/>
              <w:jc w:val="center"/>
              <w:rPr>
                <w:rFonts w:cs="宋体" w:asciiTheme="minorEastAsia" w:hAnsiTheme="minorEastAsia" w:eastAsiaTheme="minorEastAsia"/>
                <w:szCs w:val="21"/>
              </w:rPr>
            </w:pPr>
            <w:r>
              <w:rPr>
                <w:rFonts w:hint="eastAsia" w:ascii="宋体" w:hAnsi="宋体" w:cs="宋体"/>
                <w:szCs w:val="21"/>
              </w:rPr>
              <w:t>供应商获奖情况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52B996B4">
            <w:pPr>
              <w:spacing w:line="360" w:lineRule="exact"/>
              <w:jc w:val="center"/>
              <w:rPr>
                <w:rFonts w:cs="宋体" w:asciiTheme="minorEastAsia" w:hAnsiTheme="minorEastAsia" w:eastAsiaTheme="minorEastAsia"/>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37EC32B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2C37778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投标人自2021年1月1日起至本项目投标截止之日（以获奖时间或证明此奖项的材料落款时间为准）获得的食品类、食品标准建设类、食品追溯系统建设类的荣誉或获奖情况：</w:t>
            </w:r>
          </w:p>
          <w:p w14:paraId="5FFA849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每获得1个省级（含副省级）及以上荣誉或奖项的得50分，每获得1个市级荣誉或奖项的得25分，每获得1个区县级荣誉或奖项的得10分，以上累计加分，最高得100分。</w:t>
            </w:r>
          </w:p>
          <w:p w14:paraId="384210F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293D7E9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1.要求提供奖项照片、政府官网截图或获奖（荣誉）证书等证明材料作为得分依据。以上资料均要求提供扫描件。</w:t>
            </w:r>
          </w:p>
          <w:p w14:paraId="189C1ED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省级（含副省级）及以上荣誉要求颁发单位为国务院（或其直接所属的行政机关）、省（自治区、直辖市）人民政府（或其直接所属的行政机关）；市级荣誉要求颁发单位为市人民政府（或市级行政机关单位）；区（县）级荣誉要求颁发单位为区（县）人民政府（或区（县）行政机关单位）。</w:t>
            </w:r>
          </w:p>
          <w:p w14:paraId="04761FF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3.奖项颁发单位为协会、学会、网络平台、报刊杂志等单位的不得分。</w:t>
            </w:r>
          </w:p>
          <w:p w14:paraId="66AE06A7">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4.以上资料均要求提供扫描件。评分中出现无证明资料或专家无法凭所提供资料判断是否得分的情况，一律作不得分处理。</w:t>
            </w:r>
          </w:p>
        </w:tc>
      </w:tr>
      <w:tr w14:paraId="496BC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4E920BEC">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4</w:t>
            </w:r>
          </w:p>
        </w:tc>
        <w:tc>
          <w:tcPr>
            <w:tcW w:w="2995" w:type="dxa"/>
            <w:gridSpan w:val="3"/>
            <w:tcBorders>
              <w:top w:val="single" w:color="000000" w:sz="8" w:space="0"/>
              <w:left w:val="single" w:color="000000" w:sz="8" w:space="0"/>
              <w:bottom w:val="single" w:color="000000" w:sz="8" w:space="0"/>
              <w:right w:val="single" w:color="000000" w:sz="8" w:space="0"/>
            </w:tcBorders>
          </w:tcPr>
          <w:p w14:paraId="5FFA0BB1">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其他</w:t>
            </w:r>
          </w:p>
        </w:tc>
        <w:tc>
          <w:tcPr>
            <w:tcW w:w="5964" w:type="dxa"/>
            <w:tcBorders>
              <w:top w:val="single" w:color="000000" w:sz="8" w:space="0"/>
              <w:left w:val="single" w:color="000000" w:sz="8" w:space="0"/>
              <w:bottom w:val="single" w:color="000000" w:sz="8" w:space="0"/>
              <w:right w:val="single" w:color="000000" w:sz="8" w:space="0"/>
            </w:tcBorders>
          </w:tcPr>
          <w:p w14:paraId="693F1DEF">
            <w:pPr>
              <w:spacing w:line="360" w:lineRule="exact"/>
              <w:jc w:val="center"/>
              <w:rPr>
                <w:rFonts w:hint="eastAsia" w:cs="宋体" w:asciiTheme="minorEastAsia" w:hAnsiTheme="minorEastAsia" w:eastAsiaTheme="minorEastAsia"/>
                <w:b/>
                <w:bCs/>
                <w:color w:val="0000FF"/>
                <w:sz w:val="24"/>
                <w:szCs w:val="24"/>
                <w:lang w:eastAsia="zh-CN"/>
              </w:rPr>
            </w:pPr>
            <w:r>
              <w:rPr>
                <w:rFonts w:hint="eastAsia" w:asciiTheme="minorEastAsia" w:hAnsiTheme="minorEastAsia" w:eastAsiaTheme="minorEastAsia"/>
                <w:b/>
                <w:bCs/>
                <w:color w:val="0000FF"/>
                <w:lang w:val="en-US" w:eastAsia="zh-CN"/>
              </w:rPr>
              <w:t>3</w:t>
            </w:r>
          </w:p>
        </w:tc>
      </w:tr>
      <w:tr w14:paraId="4092B5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6F553A39">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CC47F8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2B16980">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84D21C1">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E747E1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23D80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40527E8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B629433">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2BCE6C4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诚信</w:t>
            </w:r>
            <w:r>
              <w:rPr>
                <w:rFonts w:hint="eastAsia" w:asciiTheme="minorEastAsia" w:hAnsiTheme="minorEastAsia" w:eastAsiaTheme="minorEastAsia"/>
                <w:szCs w:val="21"/>
              </w:rPr>
              <w:t>评审</w:t>
            </w:r>
          </w:p>
        </w:tc>
        <w:tc>
          <w:tcPr>
            <w:tcW w:w="820" w:type="dxa"/>
            <w:tcBorders>
              <w:top w:val="single" w:color="000000" w:sz="8" w:space="0"/>
              <w:left w:val="single" w:color="000000" w:sz="8" w:space="0"/>
              <w:bottom w:val="single" w:color="000000" w:sz="8" w:space="0"/>
              <w:right w:val="single" w:color="000000" w:sz="8" w:space="0"/>
            </w:tcBorders>
            <w:vAlign w:val="center"/>
          </w:tcPr>
          <w:p w14:paraId="22B7AE62">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3</w:t>
            </w:r>
          </w:p>
        </w:tc>
        <w:tc>
          <w:tcPr>
            <w:tcW w:w="5964" w:type="dxa"/>
            <w:tcBorders>
              <w:top w:val="single" w:color="000000" w:sz="8" w:space="0"/>
              <w:left w:val="single" w:color="000000" w:sz="8" w:space="0"/>
              <w:bottom w:val="single" w:color="000000" w:sz="8" w:space="0"/>
              <w:right w:val="single" w:color="000000" w:sz="8" w:space="0"/>
            </w:tcBorders>
          </w:tcPr>
          <w:p w14:paraId="269F44F4">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77652777">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r>
    </w:tbl>
    <w:p w14:paraId="317D4F0A"/>
    <w:p w14:paraId="10A48FF4"/>
    <w:p w14:paraId="2BD9F4DF">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14:paraId="124B4B54">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14:paraId="0BD9FFFB">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4261"/>
      </w:tblGrid>
      <w:tr w14:paraId="3ADF9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325D781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14:paraId="3DAA2EA6">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14:paraId="1F4CA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2CFA434">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14:paraId="2638ACD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5436D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4CD614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14:paraId="6BE43E3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771DE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451FD8E3">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14:paraId="0A5F8C0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14:paraId="60BB0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701AE1E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14:paraId="7429EDA2">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3</w:t>
            </w:r>
          </w:p>
        </w:tc>
      </w:tr>
    </w:tbl>
    <w:p w14:paraId="7C1743F2">
      <w:pPr>
        <w:spacing w:line="360" w:lineRule="auto"/>
        <w:ind w:firstLine="411" w:firstLineChars="196"/>
        <w:rPr>
          <w:rFonts w:ascii="宋体" w:hAnsi="宋体"/>
        </w:rPr>
      </w:pPr>
    </w:p>
    <w:p w14:paraId="7CA40743">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14:paraId="1AFEF965">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8372B76">
      <w:pPr>
        <w:spacing w:line="360" w:lineRule="auto"/>
        <w:ind w:firstLine="420" w:firstLineChars="200"/>
        <w:rPr>
          <w:rFonts w:ascii="宋体" w:hAnsi="宋体"/>
          <w:szCs w:val="21"/>
        </w:rPr>
      </w:pPr>
    </w:p>
    <w:p w14:paraId="07125C0A">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14:paraId="5B3CAE75">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321A0CFD">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14:paraId="0F599429">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4D749400">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14:paraId="4F3F8E03">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3FB09241">
      <w:pPr>
        <w:spacing w:after="60" w:line="360" w:lineRule="auto"/>
        <w:ind w:firstLine="424" w:firstLineChars="202"/>
        <w:rPr>
          <w:rFonts w:ascii="宋体" w:hAnsi="宋体"/>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宋体" w:hAnsi="宋体"/>
        </w:rPr>
        <w:t>。</w:t>
      </w:r>
    </w:p>
    <w:p w14:paraId="146D1F1A">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14:paraId="6373C3BC">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4BF1531F">
      <w:pPr>
        <w:spacing w:line="360" w:lineRule="auto"/>
        <w:ind w:firstLine="422" w:firstLineChars="200"/>
        <w:rPr>
          <w:rFonts w:asciiTheme="minorEastAsia" w:hAnsiTheme="minorEastAsia" w:eastAsiaTheme="minorEastAsia"/>
          <w:b/>
          <w:szCs w:val="21"/>
        </w:rPr>
      </w:pPr>
    </w:p>
    <w:p w14:paraId="0C84B76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Theme="minorEastAsia" w:hAnsiTheme="minorEastAsia" w:eastAsiaTheme="minorEastAsia"/>
          <w:b/>
          <w:szCs w:val="21"/>
        </w:rPr>
        <w:t>、</w:t>
      </w:r>
      <w:r>
        <w:rPr>
          <w:rFonts w:hint="eastAsia" w:ascii="Times New Roman" w:hAnsi="Times New Roman"/>
          <w:b/>
          <w:szCs w:val="24"/>
        </w:rPr>
        <w:t>绿色采购</w:t>
      </w:r>
    </w:p>
    <w:p w14:paraId="68A24306">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w:t>
      </w:r>
      <w:r>
        <w:rPr>
          <w:rFonts w:hint="eastAsia" w:asciiTheme="minorEastAsia" w:hAnsiTheme="minorEastAsia" w:eastAsiaTheme="minorEastAsia"/>
          <w:szCs w:val="24"/>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szCs w:val="24"/>
        </w:rPr>
        <w:t>出具的、处于有效期之内的节能产品、环境标志产品认证证书，对获得证书的产品实施政府优先采购或强制采购。</w:t>
      </w:r>
      <w:r>
        <w:rPr>
          <w:rFonts w:hint="eastAsia" w:asciiTheme="minorEastAsia" w:hAnsiTheme="minorEastAsia" w:eastAsiaTheme="minorEastAsia"/>
          <w:b/>
          <w:szCs w:val="24"/>
        </w:rPr>
        <w:t>对</w:t>
      </w:r>
      <w:r>
        <w:rPr>
          <w:rFonts w:hint="eastAsia" w:asciiTheme="minorEastAsia" w:hAnsiTheme="minorEastAsia" w:eastAsiaTheme="minorEastAsia"/>
          <w:b/>
          <w:szCs w:val="24"/>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06BF77A8">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7250D96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fill="FFFFFF"/>
          <w:vertAlign w:val="baseline"/>
          <w:lang w:eastAsia="zh-CN"/>
        </w:rPr>
      </w:pPr>
    </w:p>
    <w:p w14:paraId="4397569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747140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0455042">
      <w:pPr>
        <w:spacing w:line="360" w:lineRule="auto"/>
        <w:ind w:firstLine="487"/>
        <w:rPr>
          <w:rFonts w:ascii="Times New Roman" w:hAnsi="Times New Roman"/>
          <w:b/>
          <w:bCs/>
          <w:sz w:val="24"/>
          <w:szCs w:val="24"/>
        </w:rPr>
      </w:pPr>
    </w:p>
    <w:p w14:paraId="3798E697">
      <w:pPr>
        <w:spacing w:line="360" w:lineRule="auto"/>
        <w:ind w:firstLine="422" w:firstLineChars="200"/>
        <w:rPr>
          <w:rFonts w:ascii="宋体" w:hAnsi="宋体"/>
          <w:b/>
          <w:szCs w:val="21"/>
        </w:rPr>
      </w:pPr>
      <w:r>
        <w:rPr>
          <w:rFonts w:hint="eastAsia" w:asciiTheme="minorEastAsia" w:hAnsiTheme="minorEastAsia" w:eastAsiaTheme="minorEastAsia"/>
          <w:b/>
          <w:szCs w:val="21"/>
          <w:lang w:eastAsia="zh-CN"/>
        </w:rPr>
        <w:t>六</w:t>
      </w:r>
      <w:r>
        <w:rPr>
          <w:rFonts w:hint="eastAsia" w:asciiTheme="minorEastAsia" w:hAnsiTheme="minorEastAsia" w:eastAsiaTheme="minorEastAsia"/>
          <w:b/>
          <w:szCs w:val="21"/>
        </w:rPr>
        <w:t>、</w:t>
      </w:r>
      <w:r>
        <w:rPr>
          <w:rFonts w:hint="eastAsia" w:ascii="Times New Roman" w:hAnsi="Times New Roman"/>
          <w:b/>
          <w:szCs w:val="24"/>
        </w:rPr>
        <w:t>其他说明</w:t>
      </w:r>
    </w:p>
    <w:p w14:paraId="691E08D4">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szCs w:val="24"/>
        </w:rPr>
        <w:t>。</w:t>
      </w:r>
    </w:p>
    <w:p w14:paraId="3B9E8511">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6228357C">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06D51CBD">
      <w:pPr>
        <w:rPr>
          <w:rFonts w:ascii="Times New Roman" w:hAnsi="Times New Roman"/>
          <w:b/>
          <w:sz w:val="24"/>
          <w:szCs w:val="24"/>
        </w:rPr>
      </w:pPr>
      <w:r>
        <w:rPr>
          <w:rFonts w:hint="eastAsia" w:ascii="Times New Roman" w:hAnsi="Times New Roman"/>
          <w:b/>
          <w:sz w:val="24"/>
          <w:szCs w:val="24"/>
        </w:rPr>
        <w:t>第一册  专用条款</w:t>
      </w:r>
    </w:p>
    <w:p w14:paraId="1D73005F">
      <w:pPr>
        <w:ind w:left="630" w:leftChars="300" w:firstLine="411" w:firstLineChars="196"/>
        <w:rPr>
          <w:rFonts w:ascii="宋体" w:hAnsi="宋体"/>
          <w:szCs w:val="21"/>
        </w:rPr>
      </w:pPr>
      <w:r>
        <w:rPr>
          <w:rFonts w:hint="eastAsia" w:ascii="宋体" w:hAnsi="宋体"/>
          <w:szCs w:val="21"/>
        </w:rPr>
        <w:t>关键信息</w:t>
      </w:r>
    </w:p>
    <w:p w14:paraId="22BDD108">
      <w:pPr>
        <w:ind w:left="630" w:leftChars="300" w:firstLine="411" w:firstLineChars="196"/>
        <w:rPr>
          <w:rFonts w:ascii="宋体" w:hAnsi="宋体"/>
          <w:szCs w:val="21"/>
        </w:rPr>
      </w:pPr>
      <w:r>
        <w:rPr>
          <w:rFonts w:hint="eastAsia" w:ascii="宋体" w:hAnsi="宋体"/>
          <w:szCs w:val="21"/>
        </w:rPr>
        <w:t>第一章  招标公告</w:t>
      </w:r>
    </w:p>
    <w:p w14:paraId="13230D43">
      <w:pPr>
        <w:ind w:left="630" w:leftChars="300" w:firstLine="411" w:firstLineChars="196"/>
        <w:rPr>
          <w:rFonts w:ascii="宋体" w:hAnsi="宋体"/>
          <w:szCs w:val="21"/>
        </w:rPr>
      </w:pPr>
      <w:r>
        <w:rPr>
          <w:rFonts w:hint="eastAsia" w:ascii="宋体" w:hAnsi="宋体"/>
          <w:szCs w:val="21"/>
        </w:rPr>
        <w:t>第二章  招标项目需求</w:t>
      </w:r>
    </w:p>
    <w:p w14:paraId="1D677BCE">
      <w:pPr>
        <w:ind w:left="630" w:leftChars="300" w:firstLine="411" w:firstLineChars="196"/>
        <w:rPr>
          <w:rFonts w:ascii="宋体" w:hAnsi="宋体"/>
          <w:szCs w:val="21"/>
        </w:rPr>
      </w:pPr>
      <w:r>
        <w:rPr>
          <w:rFonts w:hint="eastAsia" w:ascii="宋体" w:hAnsi="宋体"/>
          <w:szCs w:val="21"/>
        </w:rPr>
        <w:t>第三章  投标文件格式、附件</w:t>
      </w:r>
    </w:p>
    <w:p w14:paraId="0272EB67">
      <w:pPr>
        <w:ind w:left="630" w:leftChars="300" w:firstLine="411" w:firstLineChars="196"/>
        <w:rPr>
          <w:rFonts w:ascii="宋体" w:hAnsi="宋体"/>
          <w:szCs w:val="21"/>
        </w:rPr>
      </w:pPr>
      <w:r>
        <w:rPr>
          <w:rFonts w:hint="eastAsia" w:ascii="宋体" w:hAnsi="宋体"/>
          <w:szCs w:val="21"/>
        </w:rPr>
        <w:t>第四章  合同及履约情况反馈格式</w:t>
      </w:r>
    </w:p>
    <w:p w14:paraId="726F22F4">
      <w:pPr>
        <w:ind w:left="630" w:leftChars="300" w:firstLine="411" w:firstLineChars="196"/>
        <w:rPr>
          <w:rFonts w:ascii="宋体" w:hAnsi="宋体"/>
          <w:szCs w:val="21"/>
        </w:rPr>
      </w:pPr>
      <w:r>
        <w:rPr>
          <w:rFonts w:hint="eastAsia" w:ascii="宋体" w:hAnsi="宋体"/>
          <w:szCs w:val="21"/>
        </w:rPr>
        <w:t>第五章  附件</w:t>
      </w:r>
    </w:p>
    <w:p w14:paraId="1EA22924">
      <w:pPr>
        <w:ind w:left="630" w:leftChars="300" w:firstLine="411" w:firstLineChars="196"/>
        <w:rPr>
          <w:rFonts w:ascii="宋体" w:hAnsi="宋体"/>
          <w:szCs w:val="21"/>
        </w:rPr>
      </w:pPr>
    </w:p>
    <w:p w14:paraId="7FFB57CE">
      <w:pPr>
        <w:rPr>
          <w:rFonts w:ascii="Times New Roman" w:hAnsi="Times New Roman"/>
          <w:b/>
          <w:sz w:val="24"/>
          <w:szCs w:val="24"/>
        </w:rPr>
      </w:pPr>
    </w:p>
    <w:p w14:paraId="126CCCDD">
      <w:pPr>
        <w:rPr>
          <w:rFonts w:ascii="Times New Roman" w:hAnsi="Times New Roman"/>
          <w:b/>
          <w:sz w:val="24"/>
          <w:szCs w:val="24"/>
        </w:rPr>
      </w:pPr>
      <w:r>
        <w:rPr>
          <w:rFonts w:hint="eastAsia" w:ascii="Times New Roman" w:hAnsi="Times New Roman"/>
          <w:b/>
          <w:sz w:val="24"/>
          <w:szCs w:val="24"/>
        </w:rPr>
        <w:t>第二册  通用条款</w:t>
      </w:r>
    </w:p>
    <w:p w14:paraId="47D9B35C">
      <w:pPr>
        <w:ind w:left="630" w:leftChars="300" w:firstLine="411" w:firstLineChars="196"/>
        <w:rPr>
          <w:rFonts w:ascii="宋体" w:hAnsi="宋体"/>
          <w:szCs w:val="21"/>
        </w:rPr>
      </w:pPr>
      <w:r>
        <w:rPr>
          <w:rFonts w:hint="eastAsia" w:ascii="宋体" w:hAnsi="宋体"/>
          <w:szCs w:val="21"/>
        </w:rPr>
        <w:t>第一章  总则</w:t>
      </w:r>
    </w:p>
    <w:p w14:paraId="2ED2286A">
      <w:pPr>
        <w:ind w:left="630" w:leftChars="300" w:firstLine="411" w:firstLineChars="196"/>
        <w:rPr>
          <w:rFonts w:ascii="宋体" w:hAnsi="宋体"/>
          <w:szCs w:val="21"/>
        </w:rPr>
      </w:pPr>
      <w:r>
        <w:rPr>
          <w:rFonts w:hint="eastAsia" w:ascii="宋体" w:hAnsi="宋体"/>
          <w:szCs w:val="21"/>
        </w:rPr>
        <w:t>第二章  招标文件</w:t>
      </w:r>
    </w:p>
    <w:p w14:paraId="5F60043E">
      <w:pPr>
        <w:ind w:left="630" w:leftChars="300" w:firstLine="411" w:firstLineChars="196"/>
        <w:rPr>
          <w:rFonts w:ascii="宋体" w:hAnsi="宋体"/>
          <w:szCs w:val="21"/>
        </w:rPr>
      </w:pPr>
      <w:r>
        <w:rPr>
          <w:rFonts w:hint="eastAsia" w:ascii="宋体" w:hAnsi="宋体"/>
          <w:szCs w:val="21"/>
        </w:rPr>
        <w:t>第三章  投标文件的编制</w:t>
      </w:r>
    </w:p>
    <w:p w14:paraId="133668E9">
      <w:pPr>
        <w:ind w:left="630" w:leftChars="300" w:firstLine="411" w:firstLineChars="196"/>
        <w:rPr>
          <w:rFonts w:ascii="宋体" w:hAnsi="宋体"/>
          <w:szCs w:val="21"/>
        </w:rPr>
      </w:pPr>
      <w:r>
        <w:rPr>
          <w:rFonts w:hint="eastAsia" w:ascii="宋体" w:hAnsi="宋体"/>
          <w:szCs w:val="21"/>
        </w:rPr>
        <w:t>第四章  投标文件的递交</w:t>
      </w:r>
    </w:p>
    <w:p w14:paraId="6DFA4FED">
      <w:pPr>
        <w:ind w:left="630" w:leftChars="300" w:firstLine="411" w:firstLineChars="196"/>
        <w:rPr>
          <w:rFonts w:ascii="宋体" w:hAnsi="宋体"/>
          <w:szCs w:val="21"/>
        </w:rPr>
      </w:pPr>
      <w:r>
        <w:rPr>
          <w:rFonts w:hint="eastAsia" w:ascii="宋体" w:hAnsi="宋体"/>
          <w:szCs w:val="21"/>
        </w:rPr>
        <w:t>第五章  开标</w:t>
      </w:r>
    </w:p>
    <w:p w14:paraId="5718BDBD">
      <w:pPr>
        <w:ind w:left="630" w:leftChars="300" w:firstLine="411" w:firstLineChars="196"/>
        <w:rPr>
          <w:rFonts w:ascii="宋体" w:hAnsi="宋体"/>
          <w:szCs w:val="21"/>
        </w:rPr>
      </w:pPr>
      <w:r>
        <w:rPr>
          <w:rFonts w:hint="eastAsia" w:ascii="宋体" w:hAnsi="宋体"/>
          <w:szCs w:val="21"/>
        </w:rPr>
        <w:t>第六章  评标要求</w:t>
      </w:r>
    </w:p>
    <w:p w14:paraId="5155502A">
      <w:pPr>
        <w:ind w:left="630" w:leftChars="300" w:firstLine="411" w:firstLineChars="196"/>
        <w:rPr>
          <w:rFonts w:ascii="宋体" w:hAnsi="宋体"/>
          <w:szCs w:val="21"/>
        </w:rPr>
      </w:pPr>
      <w:r>
        <w:rPr>
          <w:rFonts w:hint="eastAsia" w:ascii="宋体" w:hAnsi="宋体"/>
          <w:szCs w:val="21"/>
        </w:rPr>
        <w:t>第七章  评标程序及评标方法</w:t>
      </w:r>
    </w:p>
    <w:p w14:paraId="6749F0EA">
      <w:pPr>
        <w:ind w:left="630" w:leftChars="300" w:firstLine="411" w:firstLineChars="196"/>
        <w:rPr>
          <w:rFonts w:ascii="宋体" w:hAnsi="宋体"/>
          <w:szCs w:val="21"/>
        </w:rPr>
      </w:pPr>
      <w:r>
        <w:rPr>
          <w:rFonts w:hint="eastAsia" w:ascii="宋体" w:hAnsi="宋体"/>
          <w:szCs w:val="21"/>
        </w:rPr>
        <w:t>第八章  定标及公示</w:t>
      </w:r>
    </w:p>
    <w:p w14:paraId="089C7253">
      <w:pPr>
        <w:ind w:left="630" w:leftChars="300" w:firstLine="411" w:firstLineChars="196"/>
        <w:rPr>
          <w:rFonts w:ascii="宋体" w:hAnsi="宋体"/>
          <w:szCs w:val="21"/>
        </w:rPr>
      </w:pPr>
      <w:r>
        <w:rPr>
          <w:rFonts w:hint="eastAsia" w:ascii="宋体" w:hAnsi="宋体"/>
          <w:szCs w:val="21"/>
        </w:rPr>
        <w:t>第九章  公开招标失败的后续处理</w:t>
      </w:r>
    </w:p>
    <w:p w14:paraId="39F2FC8A">
      <w:pPr>
        <w:ind w:left="630" w:leftChars="300" w:firstLine="411" w:firstLineChars="196"/>
        <w:rPr>
          <w:rFonts w:ascii="宋体" w:hAnsi="宋体"/>
          <w:szCs w:val="21"/>
        </w:rPr>
      </w:pPr>
      <w:r>
        <w:rPr>
          <w:rFonts w:hint="eastAsia" w:ascii="宋体" w:hAnsi="宋体"/>
          <w:szCs w:val="21"/>
        </w:rPr>
        <w:t>第十章  合同的授予与备案</w:t>
      </w:r>
    </w:p>
    <w:p w14:paraId="1D6F1A26">
      <w:pPr>
        <w:ind w:left="630" w:leftChars="300" w:firstLine="411" w:firstLineChars="196"/>
        <w:rPr>
          <w:rFonts w:ascii="宋体" w:hAnsi="宋体"/>
          <w:szCs w:val="21"/>
        </w:rPr>
      </w:pPr>
      <w:r>
        <w:rPr>
          <w:rFonts w:hint="eastAsia" w:ascii="宋体" w:hAnsi="宋体"/>
          <w:szCs w:val="21"/>
        </w:rPr>
        <w:t>第十一章  质疑处理</w:t>
      </w:r>
    </w:p>
    <w:p w14:paraId="250B4742">
      <w:pPr>
        <w:rPr>
          <w:rFonts w:ascii="Times New Roman" w:hAnsi="Times New Roman"/>
          <w:sz w:val="24"/>
          <w:szCs w:val="24"/>
        </w:rPr>
      </w:pPr>
    </w:p>
    <w:p w14:paraId="4F0D64DF">
      <w:pPr>
        <w:rPr>
          <w:rFonts w:ascii="Times New Roman" w:hAnsi="Times New Roman"/>
          <w:b/>
          <w:szCs w:val="24"/>
        </w:rPr>
      </w:pPr>
      <w:r>
        <w:rPr>
          <w:rFonts w:hint="eastAsia" w:ascii="Times New Roman" w:hAnsi="Times New Roman"/>
          <w:b/>
          <w:szCs w:val="24"/>
        </w:rPr>
        <w:t>备注：</w:t>
      </w:r>
    </w:p>
    <w:p w14:paraId="4DC08AA8">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278EE8EA">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60E261C5">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7BE843AA">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2A5B7EFC">
      <w:pPr>
        <w:rPr>
          <w:rFonts w:ascii="宋体" w:hAnsi="宋体"/>
          <w:szCs w:val="21"/>
        </w:rPr>
      </w:pPr>
    </w:p>
    <w:p w14:paraId="4D50EC61">
      <w:pPr>
        <w:widowControl/>
        <w:jc w:val="left"/>
        <w:rPr>
          <w:rFonts w:ascii="宋体" w:hAnsi="宋体" w:eastAsia="黑体"/>
          <w:b/>
          <w:bCs/>
          <w:kern w:val="44"/>
          <w:sz w:val="28"/>
          <w:szCs w:val="44"/>
        </w:rPr>
      </w:pPr>
      <w:r>
        <w:rPr>
          <w:rFonts w:ascii="Times New Roman" w:hAnsi="Times New Roman"/>
          <w:szCs w:val="24"/>
        </w:rPr>
        <w:br w:type="page"/>
      </w:r>
    </w:p>
    <w:p w14:paraId="7E9A7410">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4BAA5C42">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50069A6A">
      <w:pPr>
        <w:spacing w:line="360" w:lineRule="exact"/>
        <w:rPr>
          <w:rFonts w:ascii="宋体" w:hAnsi="宋体"/>
          <w:vanish/>
          <w:szCs w:val="21"/>
        </w:rPr>
      </w:pPr>
    </w:p>
    <w:p w14:paraId="13764FA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1C0F949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圳品工程--“圳品”标准体系建设和评价监督推广项目</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1963F95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52AB9C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2C9403A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r>
        <w:rPr>
          <w:rFonts w:hint="eastAsia" w:cs="宋体"/>
          <w:sz w:val="21"/>
          <w:szCs w:val="21"/>
          <w:lang w:eastAsia="zh-CN"/>
        </w:rPr>
        <w:t>SZDL2026000760</w:t>
      </w:r>
    </w:p>
    <w:p w14:paraId="4B84924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圳品工程--“圳品”标准体系建设和评价监督推广项目</w:t>
      </w:r>
    </w:p>
    <w:p w14:paraId="3CE3C48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eastAsia="zh-CN"/>
        </w:rPr>
        <w:t>5,462,120.00元</w:t>
      </w:r>
    </w:p>
    <w:p w14:paraId="7F1C399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eastAsia="zh-CN"/>
        </w:rPr>
        <w:t>5,462,120.00元</w:t>
      </w:r>
    </w:p>
    <w:p w14:paraId="482174B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2261"/>
        <w:gridCol w:w="680"/>
        <w:gridCol w:w="720"/>
        <w:gridCol w:w="3994"/>
        <w:gridCol w:w="850"/>
      </w:tblGrid>
      <w:tr w14:paraId="1C9F5038">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7D308B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6FE7FC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72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8C0CB35">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994"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48EF500">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0DA4FE9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5DE4AC04">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948F4AB">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“圳品”标准研制及体系建设项目</w:t>
            </w:r>
          </w:p>
        </w:tc>
        <w:tc>
          <w:tcPr>
            <w:tcW w:w="68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A5CB1A0">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2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150A6B3">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994" w:type="dxa"/>
            <w:tcBorders>
              <w:top w:val="outset" w:color="AAAAAA" w:sz="6" w:space="0"/>
              <w:left w:val="outset" w:color="AAAAAA" w:sz="6" w:space="0"/>
              <w:bottom w:val="outset" w:color="AAAAAA" w:sz="6" w:space="0"/>
              <w:right w:val="outset" w:color="AAAAAA" w:sz="6" w:space="0"/>
            </w:tcBorders>
            <w:shd w:val="clear" w:color="auto" w:fill="auto"/>
            <w:vAlign w:val="center"/>
          </w:tcPr>
          <w:p w14:paraId="03FD4F58">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服务主要内容为“圳品”标准制定（含修订）、“圳品”评价与监督依据文件（包含申报制度文件、评价制度、检测制度、监督制度、暂停制度、体系创新等文件）制定（含修订）、“圳品”标准与体系认证创新性研究、评价档案审查与评审、监督检查档案审查与结果处理、加强追溯体系建设</w:t>
            </w:r>
            <w:r>
              <w:rPr>
                <w:rFonts w:hint="eastAsia" w:ascii="宋体" w:hAnsi="宋体" w:cs="宋体"/>
                <w:sz w:val="21"/>
                <w:szCs w:val="21"/>
                <w:lang w:val="en-US" w:eastAsia="zh-CN"/>
              </w:rPr>
              <w:t>。</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6F49FE07">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49FB0E7A">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A440663">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1D6F6BA4">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3BD9D0EF">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落实政府采购政策需满足的资格要求：无。 </w:t>
      </w:r>
    </w:p>
    <w:p w14:paraId="783E4239">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783E8EA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18D4BA8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7619A3B3">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07E55A97">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2410A02A">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1786286B">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18D4CC82">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645B75A5">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auto"/>
          <w:sz w:val="21"/>
          <w:szCs w:val="21"/>
          <w:lang w:val="en-US" w:eastAsia="zh-CN"/>
        </w:rPr>
        <w:t>8</w:t>
      </w:r>
      <w:bookmarkStart w:id="83" w:name="_GoBack"/>
      <w:bookmarkEnd w:id="83"/>
      <w:r>
        <w:rPr>
          <w:rFonts w:hint="eastAsia" w:ascii="宋体" w:hAnsi="宋体" w:eastAsia="宋体" w:cs="宋体"/>
          <w:snapToGrid w:val="0"/>
          <w:color w:val="auto"/>
          <w:sz w:val="21"/>
          <w:szCs w:val="21"/>
          <w:lang w:eastAsia="zh-CN"/>
        </w:rPr>
        <w:t>）本项目分为A、B、C、D、E、F、G、H八个包，投标人可参与任意一个包或多个包投标，但只能成为其中一个包的中标人，即可兼投但不可兼中。评标时按A-B-C-D-E-F-G-H包的顺序评审，如投标人已被推荐为某包组第一候选中标供应商，则不得再参与其他包组评审。如某包组因供应商质疑等原因导致中标结果变更的，其他包组的中标结果不因此而受影响。</w:t>
      </w:r>
    </w:p>
    <w:p w14:paraId="00D4E525">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5315CB7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5607007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4195201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055A5D6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633FB91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13D4C55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457E9A7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548DE0F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1C672852">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7C1ABF8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690DC30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2542FA7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244B19B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7F387A1C">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6905DE94">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44CD79C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0B7555F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025F701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名称：深圳市</w:t>
      </w:r>
      <w:r>
        <w:rPr>
          <w:rFonts w:hint="eastAsia" w:ascii="宋体" w:hAnsi="宋体" w:eastAsia="宋体" w:cs="宋体"/>
          <w:snapToGrid w:val="0"/>
          <w:color w:val="auto"/>
          <w:sz w:val="21"/>
          <w:szCs w:val="21"/>
          <w:lang w:val="en-US" w:eastAsia="zh-CN"/>
        </w:rPr>
        <w:t>市场监督管理局</w:t>
      </w:r>
    </w:p>
    <w:p w14:paraId="09BE18A2">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福田区</w:t>
      </w:r>
      <w:r>
        <w:rPr>
          <w:rFonts w:hint="eastAsia" w:ascii="宋体" w:hAnsi="宋体" w:eastAsia="宋体" w:cs="宋体"/>
          <w:snapToGrid w:val="0"/>
          <w:color w:val="auto"/>
          <w:sz w:val="21"/>
          <w:szCs w:val="21"/>
        </w:rPr>
        <w:t>深南大道7010号工商物价大厦</w:t>
      </w:r>
    </w:p>
    <w:p w14:paraId="540ED9C6">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龙先生，0755-3070668</w:t>
      </w:r>
    </w:p>
    <w:p w14:paraId="1CB50C8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182020D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1C24E12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2C7D12E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2D65B9C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150CD0D5">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eastAsia="zh-CN"/>
        </w:rPr>
      </w:pPr>
      <w:r>
        <w:rPr>
          <w:rFonts w:hint="eastAsia" w:ascii="宋体" w:hAnsi="宋体" w:eastAsia="宋体" w:cs="宋体"/>
          <w:sz w:val="21"/>
          <w:szCs w:val="21"/>
        </w:rPr>
        <w:t>项目联系人：</w:t>
      </w:r>
      <w:r>
        <w:rPr>
          <w:rFonts w:hint="eastAsia" w:cs="宋体"/>
          <w:sz w:val="21"/>
          <w:szCs w:val="21"/>
          <w:lang w:val="en-US" w:eastAsia="zh-CN"/>
        </w:rPr>
        <w:t>庄工/周工</w:t>
      </w:r>
    </w:p>
    <w:p w14:paraId="510F3AB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0D2DACA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6987BA9E">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1AF25C8C">
      <w:pPr>
        <w:spacing w:line="400" w:lineRule="exact"/>
        <w:jc w:val="right"/>
        <w:rPr>
          <w:rFonts w:ascii="宋体" w:hAnsi="宋体"/>
          <w:szCs w:val="21"/>
        </w:rPr>
      </w:pPr>
    </w:p>
    <w:p w14:paraId="03EFAC55">
      <w:pPr>
        <w:rPr>
          <w:rFonts w:hint="eastAsia" w:ascii="宋体" w:hAnsi="宋体"/>
          <w:b/>
          <w:bCs/>
          <w:kern w:val="0"/>
          <w:sz w:val="24"/>
          <w:szCs w:val="20"/>
        </w:rPr>
      </w:pPr>
      <w:r>
        <w:rPr>
          <w:rFonts w:hint="eastAsia" w:ascii="宋体" w:hAnsi="宋体"/>
          <w:b/>
          <w:bCs/>
          <w:kern w:val="0"/>
          <w:sz w:val="24"/>
          <w:szCs w:val="20"/>
        </w:rPr>
        <w:br w:type="page"/>
      </w:r>
    </w:p>
    <w:p w14:paraId="0DDAC345">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48A546D3">
      <w:pPr>
        <w:keepNext/>
        <w:keepLines/>
        <w:adjustRightInd w:val="0"/>
        <w:spacing w:beforeLines="50" w:afterLines="50"/>
        <w:jc w:val="center"/>
        <w:textAlignment w:val="baseline"/>
        <w:outlineLvl w:val="1"/>
        <w:rPr>
          <w:rFonts w:ascii="宋体" w:hAnsi="宋体"/>
          <w:b/>
          <w:bCs/>
          <w:kern w:val="0"/>
          <w:sz w:val="28"/>
          <w:szCs w:val="28"/>
        </w:rPr>
      </w:pPr>
      <w:bookmarkStart w:id="0" w:name="_Toc60560625"/>
      <w:bookmarkStart w:id="1" w:name="_Toc60631620"/>
      <w:bookmarkStart w:id="2" w:name="_Toc73517639"/>
      <w:bookmarkStart w:id="3" w:name="_Toc73518117"/>
      <w:bookmarkStart w:id="4" w:name="_Toc73521547"/>
      <w:bookmarkStart w:id="5" w:name="_Toc100052364"/>
      <w:bookmarkStart w:id="6" w:name="_Toc73521635"/>
      <w:bookmarkStart w:id="7" w:name="_Toc101074876"/>
      <w:r>
        <w:rPr>
          <w:rFonts w:hint="eastAsia" w:ascii="宋体" w:hAnsi="宋体"/>
          <w:b/>
          <w:bCs/>
          <w:kern w:val="0"/>
          <w:sz w:val="28"/>
          <w:szCs w:val="28"/>
        </w:rPr>
        <w:t>一、对通用条款的补充内容</w:t>
      </w:r>
    </w:p>
    <w:bookmarkEnd w:id="0"/>
    <w:bookmarkEnd w:id="1"/>
    <w:bookmarkEnd w:id="2"/>
    <w:bookmarkEnd w:id="3"/>
    <w:bookmarkEnd w:id="4"/>
    <w:bookmarkEnd w:id="5"/>
    <w:bookmarkEnd w:id="6"/>
    <w:bookmarkEnd w:id="7"/>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3EA5A8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086B7641">
            <w:pPr>
              <w:jc w:val="center"/>
              <w:rPr>
                <w:rFonts w:ascii="宋体" w:hAnsi="宋体"/>
                <w:b/>
                <w:bCs/>
                <w:szCs w:val="24"/>
              </w:rPr>
            </w:pPr>
            <w:r>
              <w:rPr>
                <w:rFonts w:hint="eastAsia" w:ascii="宋体" w:hAnsi="宋体"/>
                <w:b/>
                <w:bCs/>
                <w:szCs w:val="24"/>
              </w:rPr>
              <w:t>序号</w:t>
            </w:r>
          </w:p>
        </w:tc>
        <w:tc>
          <w:tcPr>
            <w:tcW w:w="2160" w:type="dxa"/>
            <w:vAlign w:val="center"/>
          </w:tcPr>
          <w:p w14:paraId="10780A5F">
            <w:pPr>
              <w:jc w:val="center"/>
              <w:rPr>
                <w:rFonts w:ascii="宋体" w:hAnsi="宋体"/>
                <w:b/>
                <w:bCs/>
                <w:szCs w:val="24"/>
              </w:rPr>
            </w:pPr>
            <w:r>
              <w:rPr>
                <w:rFonts w:hint="eastAsia" w:ascii="宋体" w:hAnsi="宋体"/>
                <w:b/>
                <w:bCs/>
                <w:szCs w:val="24"/>
              </w:rPr>
              <w:t>内   容</w:t>
            </w:r>
          </w:p>
        </w:tc>
        <w:tc>
          <w:tcPr>
            <w:tcW w:w="5400" w:type="dxa"/>
            <w:vAlign w:val="center"/>
          </w:tcPr>
          <w:p w14:paraId="4FD576BF">
            <w:pPr>
              <w:jc w:val="center"/>
              <w:rPr>
                <w:rFonts w:ascii="宋体" w:hAnsi="宋体"/>
                <w:b/>
                <w:bCs/>
                <w:szCs w:val="24"/>
              </w:rPr>
            </w:pPr>
            <w:r>
              <w:rPr>
                <w:rFonts w:hint="eastAsia" w:ascii="宋体" w:hAnsi="宋体"/>
                <w:b/>
                <w:bCs/>
                <w:szCs w:val="24"/>
              </w:rPr>
              <w:t>规      定</w:t>
            </w:r>
          </w:p>
        </w:tc>
      </w:tr>
      <w:tr w14:paraId="22063A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47052309">
            <w:pPr>
              <w:jc w:val="center"/>
              <w:rPr>
                <w:rFonts w:ascii="宋体" w:hAnsi="宋体"/>
                <w:szCs w:val="24"/>
              </w:rPr>
            </w:pPr>
            <w:r>
              <w:rPr>
                <w:rFonts w:hint="eastAsia" w:ascii="宋体" w:hAnsi="宋体"/>
                <w:szCs w:val="24"/>
              </w:rPr>
              <w:t>1</w:t>
            </w:r>
          </w:p>
        </w:tc>
        <w:tc>
          <w:tcPr>
            <w:tcW w:w="2160" w:type="dxa"/>
            <w:vAlign w:val="center"/>
          </w:tcPr>
          <w:p w14:paraId="0B046D36">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1BB9E4CE">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37CA20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664BD1C2">
            <w:pPr>
              <w:jc w:val="center"/>
              <w:rPr>
                <w:rFonts w:ascii="宋体" w:hAnsi="宋体"/>
                <w:szCs w:val="24"/>
              </w:rPr>
            </w:pPr>
            <w:r>
              <w:rPr>
                <w:rFonts w:hint="eastAsia" w:ascii="宋体" w:hAnsi="宋体"/>
                <w:szCs w:val="24"/>
              </w:rPr>
              <w:t>2</w:t>
            </w:r>
          </w:p>
        </w:tc>
        <w:tc>
          <w:tcPr>
            <w:tcW w:w="2160" w:type="dxa"/>
            <w:vAlign w:val="center"/>
          </w:tcPr>
          <w:p w14:paraId="314ADD8E">
            <w:pPr>
              <w:jc w:val="center"/>
              <w:rPr>
                <w:rFonts w:ascii="宋体" w:hAnsi="宋体"/>
                <w:szCs w:val="24"/>
              </w:rPr>
            </w:pPr>
            <w:r>
              <w:rPr>
                <w:rFonts w:hint="eastAsia" w:ascii="宋体" w:hAnsi="宋体"/>
                <w:szCs w:val="24"/>
              </w:rPr>
              <w:t>投标有效期</w:t>
            </w:r>
          </w:p>
        </w:tc>
        <w:tc>
          <w:tcPr>
            <w:tcW w:w="5400" w:type="dxa"/>
            <w:vAlign w:val="center"/>
          </w:tcPr>
          <w:p w14:paraId="28D7AF0E">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054194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135EB724">
            <w:pPr>
              <w:jc w:val="center"/>
              <w:rPr>
                <w:rFonts w:ascii="宋体" w:hAnsi="宋体"/>
                <w:szCs w:val="24"/>
              </w:rPr>
            </w:pPr>
            <w:r>
              <w:rPr>
                <w:rFonts w:hint="eastAsia" w:ascii="宋体" w:hAnsi="宋体"/>
                <w:szCs w:val="24"/>
              </w:rPr>
              <w:t>3</w:t>
            </w:r>
          </w:p>
        </w:tc>
        <w:tc>
          <w:tcPr>
            <w:tcW w:w="2160" w:type="dxa"/>
            <w:vAlign w:val="center"/>
          </w:tcPr>
          <w:p w14:paraId="46E9B8BD">
            <w:pPr>
              <w:jc w:val="center"/>
              <w:rPr>
                <w:rFonts w:ascii="宋体" w:hAnsi="宋体"/>
                <w:szCs w:val="24"/>
              </w:rPr>
            </w:pPr>
            <w:r>
              <w:rPr>
                <w:rFonts w:hint="eastAsia" w:ascii="宋体" w:hAnsi="宋体"/>
                <w:szCs w:val="24"/>
              </w:rPr>
              <w:t>投标人的替代方案</w:t>
            </w:r>
          </w:p>
        </w:tc>
        <w:tc>
          <w:tcPr>
            <w:tcW w:w="5400" w:type="dxa"/>
            <w:vAlign w:val="center"/>
          </w:tcPr>
          <w:p w14:paraId="5B5CE8A7">
            <w:pPr>
              <w:rPr>
                <w:rFonts w:ascii="宋体" w:hAnsi="宋体"/>
                <w:szCs w:val="24"/>
              </w:rPr>
            </w:pPr>
            <w:r>
              <w:rPr>
                <w:rFonts w:hint="eastAsia" w:ascii="宋体" w:hAnsi="宋体"/>
                <w:szCs w:val="24"/>
              </w:rPr>
              <w:t>不允许</w:t>
            </w:r>
          </w:p>
        </w:tc>
      </w:tr>
      <w:tr w14:paraId="59FE2C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36A1C7E2">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3FFBB985">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474903D6">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764022BF">
            <w:pPr>
              <w:spacing w:line="360" w:lineRule="exact"/>
              <w:rPr>
                <w:rFonts w:asciiTheme="minorEastAsia" w:hAnsiTheme="minorEastAsia" w:eastAsiaTheme="minorEastAsia"/>
                <w:szCs w:val="20"/>
              </w:rPr>
            </w:pPr>
            <w:r>
              <w:rPr>
                <w:rFonts w:hint="eastAsia" w:ascii="宋体"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u w:val="single"/>
                <w:lang w:val="en-US" w:eastAsia="zh-CN"/>
              </w:rPr>
              <w:t>11</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rPr>
              <w:t>%。</w:t>
            </w:r>
          </w:p>
          <w:p w14:paraId="2BD2E046">
            <w:pPr>
              <w:spacing w:line="360" w:lineRule="exact"/>
              <w:rPr>
                <w:rFonts w:ascii="宋体" w:hAnsi="宋体"/>
              </w:rPr>
            </w:pPr>
            <w:r>
              <w:rPr>
                <w:rFonts w:hint="eastAsia" w:ascii="Times New Roman" w:hAnsi="宋体"/>
                <w:szCs w:val="24"/>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0  </w:t>
            </w:r>
            <w:r>
              <w:rPr>
                <w:rFonts w:hint="eastAsia" w:asciiTheme="minorEastAsia" w:hAnsiTheme="minorEastAsia" w:eastAsiaTheme="minorEastAsia"/>
                <w:szCs w:val="24"/>
              </w:rPr>
              <w:t>%，收取</w:t>
            </w:r>
            <w:r>
              <w:rPr>
                <w:rFonts w:hint="eastAsia" w:asciiTheme="minorEastAsia" w:hAnsiTheme="minorEastAsia" w:eastAsiaTheme="minorEastAsia"/>
                <w:szCs w:val="24"/>
                <w:lang w:eastAsia="zh-CN"/>
              </w:rPr>
              <w:t>代理服务费</w:t>
            </w:r>
            <w:r>
              <w:rPr>
                <w:rFonts w:hint="eastAsia" w:asciiTheme="minorEastAsia" w:hAnsiTheme="minorEastAsia" w:eastAsiaTheme="minorEastAsia"/>
                <w:szCs w:val="24"/>
              </w:rPr>
              <w:t>：人民币</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元。</w:t>
            </w:r>
          </w:p>
        </w:tc>
      </w:tr>
      <w:tr w14:paraId="0756A6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6B06AC7E">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17B7E012">
            <w:pPr>
              <w:jc w:val="center"/>
              <w:rPr>
                <w:rFonts w:ascii="宋体" w:hAnsi="宋体"/>
                <w:szCs w:val="24"/>
              </w:rPr>
            </w:pPr>
            <w:r>
              <w:rPr>
                <w:rFonts w:hint="eastAsia" w:ascii="宋体" w:hAnsi="宋体"/>
                <w:szCs w:val="24"/>
              </w:rPr>
              <w:t>履约保证金</w:t>
            </w:r>
          </w:p>
        </w:tc>
        <w:tc>
          <w:tcPr>
            <w:tcW w:w="5400" w:type="dxa"/>
            <w:vAlign w:val="center"/>
          </w:tcPr>
          <w:p w14:paraId="08A5D827">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5A74D67D">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20BC5F63">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6A14B810">
            <w:pPr>
              <w:spacing w:line="360" w:lineRule="exact"/>
              <w:rPr>
                <w:rFonts w:ascii="宋体" w:hAnsi="宋体"/>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14:paraId="6AEA9746">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76093FB9">
      <w:pPr>
        <w:rPr>
          <w:rFonts w:ascii="Times New Roman" w:hAnsi="Times New Roman"/>
          <w:b/>
          <w:szCs w:val="24"/>
        </w:rPr>
      </w:pPr>
    </w:p>
    <w:p w14:paraId="028B17DD">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8"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38A9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5" w:type="dxa"/>
            <w:vAlign w:val="center"/>
          </w:tcPr>
          <w:p w14:paraId="763BC810">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02BA06B2">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67A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2F9AD80">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3E83EB19">
            <w:pPr>
              <w:keepNext/>
              <w:keepLines/>
              <w:tabs>
                <w:tab w:val="left" w:pos="765"/>
              </w:tabs>
              <w:spacing w:line="376" w:lineRule="auto"/>
              <w:outlineLvl w:val="3"/>
              <w:rPr>
                <w:rFonts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r>
    </w:tbl>
    <w:p w14:paraId="6F2A70AF">
      <w:pPr>
        <w:adjustRightInd w:val="0"/>
        <w:snapToGrid w:val="0"/>
        <w:spacing w:line="360" w:lineRule="auto"/>
        <w:ind w:firstLine="482" w:firstLineChars="200"/>
      </w:pPr>
      <w:r>
        <w:rPr>
          <w:rFonts w:hint="eastAsia" w:ascii="黑体"/>
          <w:b/>
          <w:kern w:val="0"/>
          <w:sz w:val="24"/>
        </w:rPr>
        <w:t>注：上表所列内容为不可负偏离的实质性条款。</w:t>
      </w:r>
    </w:p>
    <w:bookmarkEnd w:id="8"/>
    <w:p w14:paraId="4AF4FBA0">
      <w:pPr>
        <w:pStyle w:val="18"/>
        <w:jc w:val="center"/>
        <w:rPr>
          <w:rFonts w:ascii="宋体" w:hAnsi="宋体"/>
          <w:sz w:val="28"/>
          <w:szCs w:val="28"/>
        </w:rPr>
      </w:pPr>
      <w:r>
        <w:rPr>
          <w:rFonts w:hint="eastAsia" w:ascii="宋体" w:hAnsi="宋体"/>
          <w:sz w:val="28"/>
          <w:szCs w:val="28"/>
        </w:rPr>
        <w:t>三、项目概况</w:t>
      </w:r>
    </w:p>
    <w:p w14:paraId="1C3A5D36">
      <w:pPr>
        <w:pStyle w:val="18"/>
      </w:pPr>
      <w:r>
        <w:rPr>
          <w:rFonts w:hint="eastAsia"/>
        </w:rPr>
        <w:t>（一）采购需求</w:t>
      </w:r>
    </w:p>
    <w:tbl>
      <w:tblPr>
        <w:tblStyle w:val="42"/>
        <w:tblW w:w="9796" w:type="dxa"/>
        <w:jc w:val="center"/>
        <w:tblLayout w:type="fixed"/>
        <w:tblCellMar>
          <w:top w:w="15" w:type="dxa"/>
          <w:left w:w="15" w:type="dxa"/>
          <w:bottom w:w="15" w:type="dxa"/>
          <w:right w:w="15" w:type="dxa"/>
        </w:tblCellMar>
      </w:tblPr>
      <w:tblGrid>
        <w:gridCol w:w="866"/>
        <w:gridCol w:w="3685"/>
        <w:gridCol w:w="921"/>
        <w:gridCol w:w="922"/>
        <w:gridCol w:w="1701"/>
        <w:gridCol w:w="1701"/>
      </w:tblGrid>
      <w:tr w14:paraId="1AE102AF">
        <w:tblPrEx>
          <w:tblCellMar>
            <w:top w:w="15" w:type="dxa"/>
            <w:left w:w="15" w:type="dxa"/>
            <w:bottom w:w="15" w:type="dxa"/>
            <w:right w:w="15" w:type="dxa"/>
          </w:tblCellMar>
        </w:tblPrEx>
        <w:trPr>
          <w:trHeight w:val="689" w:hRule="atLeast"/>
          <w:jc w:val="center"/>
        </w:trPr>
        <w:tc>
          <w:tcPr>
            <w:tcW w:w="866" w:type="dxa"/>
            <w:tcBorders>
              <w:top w:val="single" w:color="000000" w:sz="4" w:space="0"/>
              <w:left w:val="single" w:color="000000" w:sz="4" w:space="0"/>
              <w:right w:val="single" w:color="000000" w:sz="4" w:space="0"/>
            </w:tcBorders>
            <w:vAlign w:val="center"/>
          </w:tcPr>
          <w:p w14:paraId="0BE8B4F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0084E9D9">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5DFCB2A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2511962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3130BEC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1403D33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522A4548">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43913CCE">
        <w:tblPrEx>
          <w:tblCellMar>
            <w:top w:w="15" w:type="dxa"/>
            <w:left w:w="15" w:type="dxa"/>
            <w:bottom w:w="15" w:type="dxa"/>
            <w:right w:w="15" w:type="dxa"/>
          </w:tblCellMar>
        </w:tblPrEx>
        <w:trPr>
          <w:trHeight w:val="799" w:hRule="atLeast"/>
          <w:jc w:val="center"/>
        </w:trPr>
        <w:tc>
          <w:tcPr>
            <w:tcW w:w="866" w:type="dxa"/>
            <w:tcBorders>
              <w:top w:val="single" w:color="000000" w:sz="4" w:space="0"/>
              <w:left w:val="single" w:color="000000" w:sz="4" w:space="0"/>
              <w:bottom w:val="single" w:color="000000" w:sz="4" w:space="0"/>
              <w:right w:val="single" w:color="000000" w:sz="4" w:space="0"/>
            </w:tcBorders>
            <w:vAlign w:val="center"/>
          </w:tcPr>
          <w:p w14:paraId="19F27E44">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13A668B5">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eastAsia="宋体" w:cs="宋体"/>
                <w:szCs w:val="21"/>
                <w:lang w:eastAsia="zh-CN"/>
              </w:rPr>
              <w:t>“圳品”标准研制及体系建设项目</w:t>
            </w:r>
          </w:p>
        </w:tc>
        <w:tc>
          <w:tcPr>
            <w:tcW w:w="921" w:type="dxa"/>
            <w:tcBorders>
              <w:top w:val="single" w:color="000000" w:sz="4" w:space="0"/>
              <w:left w:val="single" w:color="000000" w:sz="4" w:space="0"/>
              <w:bottom w:val="single" w:color="000000" w:sz="4" w:space="0"/>
              <w:right w:val="single" w:color="000000" w:sz="4" w:space="0"/>
            </w:tcBorders>
            <w:vAlign w:val="center"/>
          </w:tcPr>
          <w:p w14:paraId="526072F1">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362ACABB">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597F422">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cs="宋体"/>
                <w:szCs w:val="21"/>
                <w:lang w:eastAsia="zh-CN"/>
              </w:rPr>
              <w:t>5,462,120.00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54D812B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18F5CDD5">
      <w:pPr>
        <w:pStyle w:val="18"/>
      </w:pPr>
      <w:r>
        <w:rPr>
          <w:rFonts w:hint="eastAsia"/>
        </w:rPr>
        <w:t>（二）</w:t>
      </w:r>
      <w:r>
        <w:rPr>
          <w:rFonts w:hint="eastAsia"/>
          <w:lang w:val="en-US" w:eastAsia="zh-CN"/>
        </w:rPr>
        <w:t>采购项目概况</w:t>
      </w:r>
    </w:p>
    <w:p w14:paraId="27D817AC">
      <w:pPr>
        <w:pStyle w:val="18"/>
        <w:ind w:firstLine="424" w:firstLineChars="202"/>
        <w:rPr>
          <w:b w:val="0"/>
          <w:sz w:val="21"/>
          <w:szCs w:val="21"/>
        </w:rPr>
      </w:pPr>
      <w:r>
        <w:rPr>
          <w:rFonts w:hint="eastAsia"/>
          <w:b w:val="0"/>
          <w:sz w:val="21"/>
          <w:szCs w:val="21"/>
          <w:lang w:val="en-US" w:eastAsia="zh-CN"/>
        </w:rPr>
        <w:t>按照《中共深圳市委办公厅 深圳市人民政府办公厅印发&lt;关于深化改革加强食品安全工作的实施方案&gt;的通知》《深圳市国民经济和社会发展第十四个五年规划和二〇三五年远景目标纲要》《深圳市第七次党代表大会报告》《深圳市人民政府关于印发2026年民生实事项目的通知》系列文件中的部署和要求，聚焦“圳品”标准研制、产品评价、监督检查（指产品获证后的符合性核验）、抽样检测、追溯管理、品质保障、影响力提升、效益评估，引领食品产业发展等工作要求，持续推动“圳品”工程可持续发展，为打造高标准食品城市品牌、全链条保障市民“舌尖上的安全”提供实践范例。</w:t>
      </w:r>
    </w:p>
    <w:p w14:paraId="14A6C2F0">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603E6F07">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62825259">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62073348">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1EE71C2D">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6B94CF40">
      <w:pPr>
        <w:autoSpaceDE w:val="0"/>
        <w:autoSpaceDN w:val="0"/>
        <w:adjustRightInd w:val="0"/>
        <w:spacing w:line="360" w:lineRule="auto"/>
        <w:ind w:firstLine="424" w:firstLineChars="176"/>
        <w:jc w:val="left"/>
        <w:rPr>
          <w:rFonts w:ascii="宋体" w:hAnsi="宋体"/>
          <w:b/>
          <w:bCs/>
          <w:kern w:val="0"/>
          <w:sz w:val="24"/>
          <w:szCs w:val="20"/>
        </w:rPr>
      </w:pPr>
    </w:p>
    <w:p w14:paraId="289BEAEA">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0F996DCC">
      <w:pPr>
        <w:spacing w:line="360" w:lineRule="auto"/>
        <w:ind w:firstLine="420" w:firstLineChars="200"/>
        <w:jc w:val="left"/>
        <w:rPr>
          <w:rFonts w:hint="eastAsia" w:ascii="宋体" w:hAnsi="宋体"/>
          <w:b/>
          <w:bCs/>
          <w:szCs w:val="21"/>
          <w:highlight w:val="yellow"/>
        </w:rPr>
      </w:pPr>
      <w:r>
        <w:rPr>
          <w:rFonts w:hint="eastAsia" w:ascii="宋体" w:hAnsi="宋体"/>
          <w:szCs w:val="21"/>
          <w:highlight w:val="yellow"/>
        </w:rPr>
        <w:t>★</w:t>
      </w:r>
      <w:r>
        <w:rPr>
          <w:rFonts w:hint="eastAsia" w:ascii="宋体" w:hAnsi="宋体"/>
          <w:b/>
          <w:bCs/>
          <w:szCs w:val="21"/>
          <w:highlight w:val="yellow"/>
          <w:lang w:val="en-US" w:eastAsia="zh-CN"/>
        </w:rPr>
        <w:t>1.</w:t>
      </w:r>
      <w:r>
        <w:rPr>
          <w:rFonts w:hint="eastAsia" w:ascii="宋体" w:hAnsi="宋体"/>
          <w:b/>
          <w:bCs/>
          <w:szCs w:val="21"/>
          <w:highlight w:val="yellow"/>
        </w:rPr>
        <w:t>服务总体要求</w:t>
      </w:r>
    </w:p>
    <w:p w14:paraId="1D6DC71B">
      <w:pPr>
        <w:spacing w:line="360" w:lineRule="auto"/>
        <w:ind w:firstLine="424" w:firstLineChars="202"/>
        <w:rPr>
          <w:rFonts w:hint="eastAsia" w:ascii="宋体" w:hAnsi="宋体"/>
          <w:szCs w:val="21"/>
          <w:highlight w:val="yellow"/>
        </w:rPr>
      </w:pPr>
      <w:r>
        <w:rPr>
          <w:rFonts w:hint="eastAsia" w:ascii="宋体" w:hAnsi="宋体"/>
          <w:szCs w:val="21"/>
          <w:highlight w:val="yellow"/>
        </w:rPr>
        <w:t>中标供应商须根据本项目的实际情况，为本项目指定合格的项目负责人，并配备不少于60人的项目团队（含1名项目负责人），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采购人监督，确保项目工作高质量完成。其服务主要内容为“圳品”标准制定（含修订）、“圳品”评价与监督依据文件（包含申报制度文件、评价制度、检测制度、监督制度、暂停制度、体系创新等文件）制定（含修订）、“圳品”标准与体系认证创新性研究、评价档案审查与评审、监督检查档案审查与结果处理、加强追溯体系建设。通过上述服务内容的不断完善，确保“圳品”标准科学先进、流程管理规范有效、制度体系日趋完善。</w:t>
      </w:r>
    </w:p>
    <w:p w14:paraId="395099DC">
      <w:pPr>
        <w:spacing w:line="360" w:lineRule="auto"/>
        <w:ind w:firstLine="426" w:firstLineChars="202"/>
        <w:rPr>
          <w:rFonts w:hint="eastAsia" w:ascii="宋体" w:hAnsi="宋体"/>
          <w:b/>
          <w:bCs/>
          <w:szCs w:val="21"/>
        </w:rPr>
      </w:pPr>
      <w:r>
        <w:rPr>
          <w:rFonts w:hint="eastAsia" w:ascii="宋体" w:hAnsi="宋体"/>
          <w:b/>
          <w:bCs/>
          <w:szCs w:val="21"/>
          <w:lang w:val="en-US" w:eastAsia="zh-CN"/>
        </w:rPr>
        <w:t>2.</w:t>
      </w:r>
      <w:r>
        <w:rPr>
          <w:rFonts w:hint="eastAsia" w:ascii="宋体" w:hAnsi="宋体"/>
          <w:b/>
          <w:bCs/>
          <w:szCs w:val="21"/>
        </w:rPr>
        <w:t>服务标的数量和服务需求</w:t>
      </w:r>
    </w:p>
    <w:p w14:paraId="0CFBD534">
      <w:pPr>
        <w:spacing w:line="360" w:lineRule="auto"/>
        <w:ind w:firstLine="424" w:firstLineChars="202"/>
        <w:rPr>
          <w:rFonts w:hint="eastAsia" w:ascii="宋体" w:hAnsi="宋体"/>
          <w:szCs w:val="21"/>
        </w:rPr>
      </w:pPr>
      <w:r>
        <w:rPr>
          <w:rFonts w:hint="eastAsia" w:ascii="宋体" w:hAnsi="宋体"/>
          <w:szCs w:val="21"/>
        </w:rPr>
        <w:t>1)“圳品”标准体系建设</w:t>
      </w:r>
    </w:p>
    <w:p w14:paraId="63E8B693">
      <w:pPr>
        <w:spacing w:line="360" w:lineRule="auto"/>
        <w:ind w:firstLine="424" w:firstLineChars="202"/>
        <w:rPr>
          <w:rFonts w:hint="eastAsia" w:ascii="宋体" w:hAnsi="宋体"/>
          <w:szCs w:val="21"/>
        </w:rPr>
      </w:pPr>
      <w:r>
        <w:rPr>
          <w:rFonts w:hint="eastAsia" w:ascii="宋体" w:hAnsi="宋体"/>
          <w:szCs w:val="21"/>
        </w:rPr>
        <w:t>a.</w:t>
      </w:r>
      <w:bookmarkStart w:id="9" w:name="OLE_LINK3"/>
      <w:r>
        <w:rPr>
          <w:rFonts w:hint="eastAsia" w:ascii="宋体" w:hAnsi="宋体"/>
          <w:szCs w:val="21"/>
        </w:rPr>
        <w:t>制定（含修订）</w:t>
      </w:r>
      <w:bookmarkEnd w:id="9"/>
      <w:r>
        <w:rPr>
          <w:rFonts w:hint="eastAsia" w:ascii="宋体" w:hAnsi="宋体"/>
          <w:szCs w:val="21"/>
        </w:rPr>
        <w:t>“圳品”标准50项</w:t>
      </w:r>
    </w:p>
    <w:p w14:paraId="5F7B1C25">
      <w:pPr>
        <w:spacing w:line="360" w:lineRule="auto"/>
        <w:ind w:firstLine="424" w:firstLineChars="202"/>
        <w:rPr>
          <w:rFonts w:hint="eastAsia" w:ascii="宋体" w:hAnsi="宋体"/>
          <w:szCs w:val="21"/>
        </w:rPr>
      </w:pPr>
      <w:r>
        <w:rPr>
          <w:rFonts w:hint="eastAsia" w:ascii="宋体" w:hAnsi="宋体"/>
          <w:szCs w:val="21"/>
        </w:rPr>
        <w:t>为满足“圳品”工作需求，持续开展“圳品”标准研制工作，制定“圳品”标准10项，修订“圳品”标准40项，逐步扩大标准覆盖范围、丰富标准类型，并持续更新标准以保持其先进性，全力支撑“圳品”工作。</w:t>
      </w:r>
    </w:p>
    <w:p w14:paraId="16EFCD58">
      <w:pPr>
        <w:spacing w:line="360" w:lineRule="auto"/>
        <w:ind w:firstLine="424" w:firstLineChars="202"/>
        <w:rPr>
          <w:rFonts w:hint="eastAsia" w:ascii="宋体" w:hAnsi="宋体"/>
          <w:szCs w:val="21"/>
        </w:rPr>
      </w:pPr>
      <w:r>
        <w:rPr>
          <w:rFonts w:hint="eastAsia" w:ascii="宋体" w:hAnsi="宋体"/>
          <w:szCs w:val="21"/>
        </w:rPr>
        <w:t>b.制定（含修订）评价与监督依据文件50个</w:t>
      </w:r>
    </w:p>
    <w:p w14:paraId="5351BEE6">
      <w:pPr>
        <w:spacing w:line="360" w:lineRule="auto"/>
        <w:ind w:firstLine="424" w:firstLineChars="202"/>
        <w:rPr>
          <w:rFonts w:hint="eastAsia" w:ascii="宋体" w:hAnsi="宋体"/>
          <w:szCs w:val="21"/>
        </w:rPr>
      </w:pPr>
      <w:r>
        <w:rPr>
          <w:rFonts w:hint="eastAsia" w:ascii="宋体" w:hAnsi="宋体"/>
          <w:szCs w:val="21"/>
        </w:rPr>
        <w:t>结合“圳品”评价模式、实际情况以及运行过程中产生的问题，充分运用调研走访、资料分析等手段，基于“圳品”申报、评价、检测、证后监督等需求，优化制度性文件（包含申报制度、评价制度、检测制度、监督制度、暂停制度、体系创新等文件），制定“圳品”评价监督依据文件10个（包含申报制度、评价制度、检测制度、监督制度、体系创新等文件），修订“圳品”评价监督依据文件40个（包含申报指南、评价制度、检测制度、监督制度、暂停制度、体系创新等文件），为“圳品”评价、检测、监督提供具有可操作性的技术支撑。</w:t>
      </w:r>
    </w:p>
    <w:p w14:paraId="6DD4B8F6">
      <w:pPr>
        <w:spacing w:line="360" w:lineRule="auto"/>
        <w:ind w:firstLine="424" w:firstLineChars="202"/>
        <w:rPr>
          <w:rFonts w:hint="eastAsia" w:ascii="宋体" w:hAnsi="宋体"/>
          <w:szCs w:val="21"/>
        </w:rPr>
      </w:pPr>
      <w:r>
        <w:rPr>
          <w:rFonts w:hint="eastAsia" w:ascii="宋体" w:hAnsi="宋体"/>
          <w:szCs w:val="21"/>
        </w:rPr>
        <w:t>2）提升评价与监督机构“圳品”审核能力</w:t>
      </w:r>
    </w:p>
    <w:p w14:paraId="0EF53817">
      <w:pPr>
        <w:spacing w:line="360" w:lineRule="auto"/>
        <w:ind w:firstLine="424" w:firstLineChars="202"/>
        <w:rPr>
          <w:rFonts w:hint="eastAsia" w:ascii="宋体" w:hAnsi="宋体"/>
          <w:szCs w:val="21"/>
        </w:rPr>
      </w:pPr>
      <w:r>
        <w:rPr>
          <w:rFonts w:hint="eastAsia" w:ascii="宋体" w:hAnsi="宋体"/>
          <w:szCs w:val="21"/>
        </w:rPr>
        <w:t>面向“圳品”技术机构的评价人员、抽样检测人员等，组织开展不少于2场“圳品”评价与监督依据文件现场专题培训，推动评价与监督机构的工作人员准确理解和应用评价与监督依据文件，提高现场评价的专业性和规范性，保障评价与监督过程、结果的合规性、公正性、科学性。</w:t>
      </w:r>
    </w:p>
    <w:p w14:paraId="1AE02EE7">
      <w:pPr>
        <w:spacing w:line="360" w:lineRule="auto"/>
        <w:ind w:firstLine="424" w:firstLineChars="202"/>
        <w:rPr>
          <w:rFonts w:hint="eastAsia" w:ascii="宋体" w:hAnsi="宋体"/>
          <w:szCs w:val="21"/>
        </w:rPr>
      </w:pPr>
      <w:r>
        <w:rPr>
          <w:rFonts w:hint="eastAsia" w:ascii="宋体" w:hAnsi="宋体"/>
          <w:szCs w:val="21"/>
        </w:rPr>
        <w:t>3）“圳品”标准与体系认证创新性研究</w:t>
      </w:r>
    </w:p>
    <w:p w14:paraId="63398904">
      <w:pPr>
        <w:spacing w:line="360" w:lineRule="auto"/>
        <w:ind w:firstLine="424" w:firstLineChars="202"/>
        <w:rPr>
          <w:rFonts w:hint="eastAsia" w:ascii="宋体" w:hAnsi="宋体"/>
          <w:szCs w:val="21"/>
        </w:rPr>
      </w:pPr>
      <w:r>
        <w:rPr>
          <w:rFonts w:hint="eastAsia" w:ascii="宋体" w:hAnsi="宋体"/>
          <w:szCs w:val="21"/>
        </w:rPr>
        <w:t>a.“圳品”标准研究</w:t>
      </w:r>
    </w:p>
    <w:p w14:paraId="023D7062">
      <w:pPr>
        <w:spacing w:line="360" w:lineRule="auto"/>
        <w:ind w:firstLine="424" w:firstLineChars="202"/>
        <w:rPr>
          <w:rFonts w:hint="eastAsia" w:ascii="宋体" w:hAnsi="宋体"/>
          <w:szCs w:val="21"/>
        </w:rPr>
      </w:pPr>
      <w:r>
        <w:rPr>
          <w:rFonts w:hint="eastAsia" w:ascii="宋体" w:hAnsi="宋体"/>
          <w:szCs w:val="21"/>
        </w:rPr>
        <w:t>围绕“圳品”标准研制提升开展系统研究，重点研究标准研制能力与质量提升；深入开展“圳品标准”与各层级标准的协同与转化路径研究，探索高效转化路径，最终形成研究报告，为“圳品”标准体系高质量发展提供技术支撑。</w:t>
      </w:r>
    </w:p>
    <w:p w14:paraId="0CFB98E8">
      <w:pPr>
        <w:spacing w:line="360" w:lineRule="auto"/>
        <w:ind w:firstLine="424" w:firstLineChars="202"/>
        <w:rPr>
          <w:rFonts w:hint="eastAsia" w:ascii="宋体" w:hAnsi="宋体"/>
          <w:szCs w:val="21"/>
        </w:rPr>
      </w:pPr>
      <w:r>
        <w:rPr>
          <w:rFonts w:hint="eastAsia" w:ascii="宋体" w:hAnsi="宋体"/>
          <w:szCs w:val="21"/>
        </w:rPr>
        <w:t>b.“圳品”体系认证创新性研究</w:t>
      </w:r>
    </w:p>
    <w:p w14:paraId="0D016BD6">
      <w:pPr>
        <w:spacing w:line="360" w:lineRule="auto"/>
        <w:ind w:firstLine="424" w:firstLineChars="202"/>
        <w:rPr>
          <w:rFonts w:hint="eastAsia" w:ascii="宋体" w:hAnsi="宋体"/>
          <w:szCs w:val="21"/>
        </w:rPr>
      </w:pPr>
      <w:r>
        <w:rPr>
          <w:rFonts w:hint="eastAsia" w:ascii="宋体" w:hAnsi="宋体"/>
          <w:szCs w:val="21"/>
        </w:rPr>
        <w:t>聚焦“圳品”品牌建设与体系认证升级，围绕认证标准、流程机制、产业赋能等方面系统性创新研究。通过调研分析、对标先进、实证优化，形成可落地、可推广的创新路径与建议，形成《“圳品”体系认证创新性研究报告》，为“圳品”体系提质增效提供支撑。</w:t>
      </w:r>
    </w:p>
    <w:p w14:paraId="7BCD27FF">
      <w:pPr>
        <w:spacing w:line="360" w:lineRule="auto"/>
        <w:ind w:firstLine="424" w:firstLineChars="202"/>
        <w:rPr>
          <w:rFonts w:hint="eastAsia" w:ascii="宋体" w:hAnsi="宋体"/>
          <w:szCs w:val="21"/>
        </w:rPr>
      </w:pPr>
      <w:r>
        <w:rPr>
          <w:rFonts w:hint="eastAsia" w:ascii="宋体" w:hAnsi="宋体"/>
          <w:szCs w:val="21"/>
        </w:rPr>
        <w:t>4）“圳品”评审专家库管理</w:t>
      </w:r>
    </w:p>
    <w:p w14:paraId="62A1F9DD">
      <w:pPr>
        <w:spacing w:line="360" w:lineRule="auto"/>
        <w:ind w:firstLine="424" w:firstLineChars="202"/>
        <w:rPr>
          <w:rFonts w:hint="eastAsia" w:ascii="宋体" w:hAnsi="宋体"/>
          <w:szCs w:val="21"/>
        </w:rPr>
      </w:pPr>
      <w:r>
        <w:rPr>
          <w:rFonts w:hint="eastAsia" w:ascii="宋体" w:hAnsi="宋体"/>
          <w:szCs w:val="21"/>
        </w:rPr>
        <w:t>根据“圳品”申报环节及监督环节实际工作需要，动态管理“圳品”评审专家库。</w:t>
      </w:r>
    </w:p>
    <w:p w14:paraId="39AE28F6">
      <w:pPr>
        <w:spacing w:line="360" w:lineRule="auto"/>
        <w:ind w:firstLine="424" w:firstLineChars="202"/>
        <w:rPr>
          <w:rFonts w:hint="eastAsia" w:ascii="宋体" w:hAnsi="宋体"/>
          <w:szCs w:val="21"/>
        </w:rPr>
      </w:pPr>
      <w:r>
        <w:rPr>
          <w:rFonts w:hint="eastAsia" w:ascii="宋体" w:hAnsi="宋体"/>
          <w:szCs w:val="21"/>
        </w:rPr>
        <w:t>5）组织实施评价档案审查与评审</w:t>
      </w:r>
    </w:p>
    <w:p w14:paraId="66DC0CF3">
      <w:pPr>
        <w:spacing w:line="360" w:lineRule="auto"/>
        <w:ind w:firstLine="424" w:firstLineChars="202"/>
        <w:rPr>
          <w:rFonts w:hint="eastAsia" w:ascii="宋体" w:hAnsi="宋体"/>
          <w:szCs w:val="21"/>
        </w:rPr>
      </w:pPr>
      <w:r>
        <w:rPr>
          <w:rFonts w:hint="eastAsia" w:ascii="宋体" w:hAnsi="宋体"/>
          <w:szCs w:val="21"/>
        </w:rPr>
        <w:t>a.组织实施400个“圳品”产品评价档案审查</w:t>
      </w:r>
    </w:p>
    <w:p w14:paraId="7DAFDE78">
      <w:pPr>
        <w:spacing w:line="360" w:lineRule="auto"/>
        <w:ind w:firstLine="424" w:firstLineChars="202"/>
        <w:rPr>
          <w:rFonts w:hint="eastAsia" w:ascii="宋体" w:hAnsi="宋体"/>
          <w:szCs w:val="21"/>
        </w:rPr>
      </w:pPr>
      <w:r>
        <w:rPr>
          <w:rFonts w:hint="eastAsia" w:ascii="宋体" w:hAnsi="宋体"/>
          <w:szCs w:val="21"/>
        </w:rPr>
        <w:t>依据“圳品”评价与监督依据文件，对“圳品”技术机构产生的400个“圳品”产品的评价档案及相关材料完整性、规范性、程序合规性等实施精准审查。每套档案出具审查意见，承担审查责任，并做好与“圳品”技术机构的对接反馈，“圳品”技术机构依据档案审查意见对档案进行整改。核验其整改情况，决定是否通过，推进下一步，确保“圳品”产品档案合规。</w:t>
      </w:r>
    </w:p>
    <w:p w14:paraId="06F41442">
      <w:pPr>
        <w:spacing w:line="360" w:lineRule="auto"/>
        <w:ind w:firstLine="424" w:firstLineChars="202"/>
        <w:rPr>
          <w:rFonts w:hint="eastAsia" w:ascii="宋体" w:hAnsi="宋体"/>
          <w:szCs w:val="21"/>
        </w:rPr>
      </w:pPr>
      <w:r>
        <w:rPr>
          <w:rFonts w:hint="eastAsia" w:ascii="宋体" w:hAnsi="宋体"/>
          <w:szCs w:val="21"/>
        </w:rPr>
        <w:t>b.组织实施“圳品”申报环节专家评审</w:t>
      </w:r>
    </w:p>
    <w:p w14:paraId="2DFC6F90">
      <w:pPr>
        <w:spacing w:line="360" w:lineRule="auto"/>
        <w:ind w:firstLine="424" w:firstLineChars="202"/>
        <w:rPr>
          <w:rFonts w:hint="eastAsia" w:ascii="宋体" w:hAnsi="宋体"/>
          <w:szCs w:val="21"/>
        </w:rPr>
      </w:pPr>
      <w:r>
        <w:rPr>
          <w:rFonts w:hint="eastAsia" w:ascii="宋体" w:hAnsi="宋体"/>
          <w:szCs w:val="21"/>
        </w:rPr>
        <w:t>组织“圳品”申报环节专家评审会，邀请专家对产品评价档案的完整性、不符合项整改的有效性、评价人员现场评价的合规性等方面进行评审，评审产品是否符合“圳品”标准的要求，并出具专家评审意见。</w:t>
      </w:r>
    </w:p>
    <w:p w14:paraId="0E8F7910">
      <w:pPr>
        <w:spacing w:line="360" w:lineRule="auto"/>
        <w:ind w:firstLine="424" w:firstLineChars="202"/>
        <w:rPr>
          <w:rFonts w:hint="eastAsia" w:ascii="宋体" w:hAnsi="宋体"/>
          <w:szCs w:val="21"/>
        </w:rPr>
      </w:pPr>
      <w:r>
        <w:rPr>
          <w:rFonts w:hint="eastAsia" w:ascii="宋体" w:hAnsi="宋体"/>
          <w:szCs w:val="21"/>
        </w:rPr>
        <w:t>c.产品档案整理</w:t>
      </w:r>
    </w:p>
    <w:p w14:paraId="25CDEC4E">
      <w:pPr>
        <w:spacing w:line="360" w:lineRule="auto"/>
        <w:ind w:firstLine="424" w:firstLineChars="202"/>
        <w:rPr>
          <w:rFonts w:hint="eastAsia" w:ascii="宋体" w:hAnsi="宋体"/>
          <w:szCs w:val="21"/>
        </w:rPr>
      </w:pPr>
      <w:r>
        <w:rPr>
          <w:rFonts w:hint="eastAsia" w:ascii="宋体" w:hAnsi="宋体"/>
          <w:szCs w:val="21"/>
        </w:rPr>
        <w:t>对“圳品”生成过程中产生的档案进行收集、归档以及统计分析，以应对各类核查。</w:t>
      </w:r>
    </w:p>
    <w:p w14:paraId="72D42919">
      <w:pPr>
        <w:spacing w:line="360" w:lineRule="auto"/>
        <w:ind w:firstLine="424" w:firstLineChars="202"/>
        <w:rPr>
          <w:rFonts w:hint="eastAsia" w:ascii="宋体" w:hAnsi="宋体"/>
          <w:szCs w:val="21"/>
        </w:rPr>
      </w:pPr>
      <w:r>
        <w:rPr>
          <w:rFonts w:hint="eastAsia" w:ascii="宋体" w:hAnsi="宋体"/>
          <w:szCs w:val="21"/>
        </w:rPr>
        <w:t>6)组织实施监督档案审查与结果处理</w:t>
      </w:r>
    </w:p>
    <w:p w14:paraId="6D90BD81">
      <w:pPr>
        <w:spacing w:line="360" w:lineRule="auto"/>
        <w:ind w:firstLine="424" w:firstLineChars="202"/>
        <w:rPr>
          <w:rFonts w:hint="eastAsia" w:ascii="宋体" w:hAnsi="宋体"/>
          <w:szCs w:val="21"/>
        </w:rPr>
      </w:pPr>
      <w:r>
        <w:rPr>
          <w:rFonts w:hint="eastAsia" w:ascii="宋体" w:hAnsi="宋体"/>
          <w:szCs w:val="21"/>
        </w:rPr>
        <w:t>a.组织实施369个产品监督档案审查</w:t>
      </w:r>
    </w:p>
    <w:p w14:paraId="60DDF5AD">
      <w:pPr>
        <w:spacing w:line="360" w:lineRule="auto"/>
        <w:ind w:firstLine="424" w:firstLineChars="202"/>
        <w:rPr>
          <w:rFonts w:hint="eastAsia" w:ascii="宋体" w:hAnsi="宋体"/>
          <w:szCs w:val="21"/>
        </w:rPr>
      </w:pPr>
      <w:r>
        <w:rPr>
          <w:rFonts w:hint="eastAsia" w:ascii="宋体" w:hAnsi="宋体"/>
          <w:szCs w:val="21"/>
        </w:rPr>
        <w:t>依据“圳品”评价与监督依据文件，对“圳品”技术机构提交的369个“圳品”产品相关的档案完整性、规范性、合规性等实施档案审查。每套档案出具审查意见，审查通过后进入专家评审阶段，保障“圳品”产品监督检查工作的严谨性与科学性。</w:t>
      </w:r>
    </w:p>
    <w:p w14:paraId="38C96A1B">
      <w:pPr>
        <w:spacing w:line="360" w:lineRule="auto"/>
        <w:ind w:firstLine="424" w:firstLineChars="202"/>
        <w:rPr>
          <w:rFonts w:hint="eastAsia" w:ascii="宋体" w:hAnsi="宋体"/>
          <w:szCs w:val="21"/>
        </w:rPr>
      </w:pPr>
      <w:r>
        <w:rPr>
          <w:rFonts w:hint="eastAsia" w:ascii="宋体" w:hAnsi="宋体"/>
          <w:szCs w:val="21"/>
        </w:rPr>
        <w:t>b.组织实施“圳品”监督环节专家评审</w:t>
      </w:r>
    </w:p>
    <w:p w14:paraId="61044465">
      <w:pPr>
        <w:spacing w:line="360" w:lineRule="auto"/>
        <w:ind w:firstLine="424" w:firstLineChars="202"/>
        <w:rPr>
          <w:rFonts w:hint="eastAsia" w:ascii="宋体" w:hAnsi="宋体"/>
          <w:szCs w:val="21"/>
        </w:rPr>
      </w:pPr>
      <w:r>
        <w:rPr>
          <w:rFonts w:hint="eastAsia" w:ascii="宋体" w:hAnsi="宋体"/>
          <w:szCs w:val="21"/>
        </w:rPr>
        <w:t>组织“圳品”监督环节专家评审会，邀请专家对产品监督档案的完整性、不符合项整改的有效性、监督人员现场监督工作的合规性等方面进行评审，评审获证后产品是否符合“圳品”标准的要求，并出具专家评审意见。</w:t>
      </w:r>
    </w:p>
    <w:p w14:paraId="0C94A6A7">
      <w:pPr>
        <w:spacing w:line="360" w:lineRule="auto"/>
        <w:ind w:firstLine="424" w:firstLineChars="202"/>
        <w:rPr>
          <w:rFonts w:hint="eastAsia" w:ascii="宋体" w:hAnsi="宋体"/>
          <w:szCs w:val="21"/>
        </w:rPr>
      </w:pPr>
      <w:r>
        <w:rPr>
          <w:rFonts w:hint="eastAsia" w:ascii="宋体" w:hAnsi="宋体"/>
          <w:szCs w:val="21"/>
        </w:rPr>
        <w:t>c.监督检查结果处理</w:t>
      </w:r>
    </w:p>
    <w:p w14:paraId="2CAA9C84">
      <w:pPr>
        <w:spacing w:line="360" w:lineRule="auto"/>
        <w:ind w:firstLine="424" w:firstLineChars="202"/>
        <w:rPr>
          <w:rFonts w:hint="eastAsia" w:ascii="宋体" w:hAnsi="宋体"/>
          <w:szCs w:val="21"/>
        </w:rPr>
      </w:pPr>
      <w:r>
        <w:rPr>
          <w:rFonts w:hint="eastAsia" w:ascii="宋体" w:hAnsi="宋体"/>
          <w:szCs w:val="21"/>
        </w:rPr>
        <w:t>根据监督检查结论，对符合要求的获证产品出具《“圳品”监督检查结论告知书》；对于符合暂停情形的产品依制度报送有关情况并提请启动暂停工作流程；对符合《供深食品标准工作委员会“圳品”退出工作制度（试行）》规定退出情形的产品，提请供深食品标准工作委员会审议，通过审议后，履行退出处理程序。</w:t>
      </w:r>
    </w:p>
    <w:p w14:paraId="31231362">
      <w:pPr>
        <w:spacing w:line="360" w:lineRule="auto"/>
        <w:ind w:firstLine="424" w:firstLineChars="202"/>
        <w:rPr>
          <w:rFonts w:hint="eastAsia" w:ascii="宋体" w:hAnsi="宋体"/>
          <w:szCs w:val="21"/>
        </w:rPr>
      </w:pPr>
      <w:r>
        <w:rPr>
          <w:rFonts w:hint="eastAsia" w:ascii="宋体" w:hAnsi="宋体"/>
          <w:szCs w:val="21"/>
        </w:rPr>
        <w:t>d.监督检查档案整理</w:t>
      </w:r>
    </w:p>
    <w:p w14:paraId="2A6BE4AC">
      <w:pPr>
        <w:spacing w:line="360" w:lineRule="auto"/>
        <w:ind w:firstLine="424" w:firstLineChars="202"/>
        <w:rPr>
          <w:rFonts w:hint="eastAsia" w:ascii="宋体" w:hAnsi="宋体"/>
          <w:szCs w:val="21"/>
        </w:rPr>
      </w:pPr>
      <w:r>
        <w:rPr>
          <w:rFonts w:hint="eastAsia" w:ascii="宋体" w:hAnsi="宋体"/>
          <w:szCs w:val="21"/>
        </w:rPr>
        <w:t>对监督检查过程中生成的档案及相关资料进行收集、归档，应对各类核查。</w:t>
      </w:r>
    </w:p>
    <w:p w14:paraId="61C02393">
      <w:pPr>
        <w:spacing w:line="360" w:lineRule="auto"/>
        <w:ind w:firstLine="424" w:firstLineChars="202"/>
        <w:rPr>
          <w:rFonts w:hint="eastAsia" w:ascii="宋体" w:hAnsi="宋体"/>
          <w:szCs w:val="21"/>
        </w:rPr>
      </w:pPr>
      <w:r>
        <w:rPr>
          <w:rFonts w:hint="eastAsia" w:ascii="宋体" w:hAnsi="宋体"/>
          <w:szCs w:val="21"/>
        </w:rPr>
        <w:t>7)完善“圳品”全链条数据管理体系</w:t>
      </w:r>
    </w:p>
    <w:p w14:paraId="4BFAE123">
      <w:pPr>
        <w:spacing w:line="360" w:lineRule="auto"/>
        <w:ind w:firstLine="424" w:firstLineChars="202"/>
        <w:rPr>
          <w:rFonts w:hint="eastAsia" w:ascii="宋体" w:hAnsi="宋体"/>
          <w:szCs w:val="21"/>
        </w:rPr>
      </w:pPr>
      <w:r>
        <w:rPr>
          <w:rFonts w:hint="eastAsia" w:ascii="宋体" w:hAnsi="宋体"/>
          <w:szCs w:val="21"/>
        </w:rPr>
        <w:t>开展“圳品”申报、评价、监督信息处理，加强“圳品”追溯信息化应用，针对“圳品”企业开展信息化追溯技术辅导，采集“圳品”全链条台账数据不少于80万条，完善“圳品”从生产到流通到终端消费的全链条追溯体系，强化可追溯性在全链条环节的综合应用，完成不少于10个“圳品”追溯应用案例。</w:t>
      </w:r>
    </w:p>
    <w:p w14:paraId="23EB028C">
      <w:pPr>
        <w:spacing w:line="360" w:lineRule="auto"/>
        <w:ind w:firstLine="424" w:firstLineChars="202"/>
        <w:rPr>
          <w:rFonts w:hint="eastAsia" w:ascii="宋体" w:hAnsi="宋体"/>
          <w:szCs w:val="21"/>
        </w:rPr>
      </w:pPr>
      <w:r>
        <w:rPr>
          <w:rFonts w:hint="eastAsia" w:ascii="宋体" w:hAnsi="宋体"/>
          <w:szCs w:val="21"/>
        </w:rPr>
        <w:t>8）人员要求</w:t>
      </w:r>
    </w:p>
    <w:p w14:paraId="4FACBB81">
      <w:pPr>
        <w:spacing w:line="360" w:lineRule="auto"/>
        <w:ind w:firstLine="424" w:firstLineChars="202"/>
        <w:rPr>
          <w:rFonts w:hint="eastAsia" w:ascii="宋体" w:hAnsi="宋体"/>
          <w:szCs w:val="21"/>
        </w:rPr>
      </w:pPr>
      <w:r>
        <w:rPr>
          <w:rFonts w:hint="eastAsia" w:ascii="宋体" w:hAnsi="宋体"/>
          <w:szCs w:val="21"/>
        </w:rPr>
        <w:t>为有效完成“圳品”标准制定（含修订）、组织实施评价档案审查与评审工作、组织实施监督档案审查与结果处理、完善“圳品”全链条数据管理体系等工作，投标人应组建不少于60人的项目团队。</w:t>
      </w:r>
    </w:p>
    <w:p w14:paraId="11DB8753">
      <w:pPr>
        <w:keepNext/>
        <w:keepLines/>
        <w:adjustRightInd w:val="0"/>
        <w:spacing w:beforeLines="50" w:afterLines="50"/>
        <w:jc w:val="center"/>
        <w:textAlignment w:val="baseline"/>
        <w:outlineLvl w:val="1"/>
        <w:rPr>
          <w:rFonts w:ascii="宋体" w:hAnsi="宋体"/>
          <w:b/>
          <w:bCs/>
          <w:kern w:val="0"/>
          <w:sz w:val="28"/>
          <w:szCs w:val="28"/>
        </w:rPr>
      </w:pPr>
    </w:p>
    <w:p w14:paraId="7EF2821B">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五、项目商务要求</w:t>
      </w:r>
    </w:p>
    <w:p w14:paraId="27E8A03B">
      <w:pPr>
        <w:spacing w:line="360" w:lineRule="auto"/>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lang w:val="en-US" w:eastAsia="zh-CN"/>
        </w:rPr>
        <w:t>1.</w:t>
      </w:r>
      <w:r>
        <w:rPr>
          <w:rFonts w:hint="eastAsia" w:asciiTheme="minorEastAsia" w:hAnsiTheme="minorEastAsia" w:eastAsiaTheme="minorEastAsia"/>
          <w:b/>
          <w:highlight w:val="yellow"/>
        </w:rPr>
        <w:t>服务期限：</w:t>
      </w:r>
    </w:p>
    <w:p w14:paraId="083E2A14">
      <w:pPr>
        <w:spacing w:line="360" w:lineRule="auto"/>
        <w:ind w:firstLine="422" w:firstLineChars="200"/>
        <w:rPr>
          <w:rFonts w:asciiTheme="minorEastAsia" w:hAnsiTheme="minorEastAsia" w:eastAsiaTheme="minorEastAsia"/>
          <w:b/>
          <w:highlight w:val="yellow"/>
        </w:rPr>
      </w:pPr>
      <w:r>
        <w:rPr>
          <w:rFonts w:hint="eastAsia" w:asciiTheme="minorEastAsia" w:hAnsiTheme="minorEastAsia" w:eastAsiaTheme="minorEastAsia"/>
          <w:b/>
          <w:highlight w:val="yellow"/>
        </w:rPr>
        <w:t>合同签订之日起至2026年12月31日前完成。</w:t>
      </w:r>
    </w:p>
    <w:p w14:paraId="151CBAA0">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2.付款方式</w:t>
      </w:r>
      <w:r>
        <w:rPr>
          <w:rFonts w:hint="eastAsia" w:asciiTheme="minorEastAsia" w:hAnsiTheme="minorEastAsia" w:eastAsiaTheme="minorEastAsia"/>
          <w:b/>
        </w:rPr>
        <w:t>：</w:t>
      </w:r>
    </w:p>
    <w:p w14:paraId="6719511A">
      <w:pPr>
        <w:spacing w:line="360" w:lineRule="auto"/>
        <w:ind w:firstLine="424" w:firstLineChars="202"/>
        <w:rPr>
          <w:rFonts w:asciiTheme="minorEastAsia" w:hAnsiTheme="minorEastAsia" w:eastAsiaTheme="minorEastAsia"/>
          <w:b/>
        </w:rPr>
      </w:pPr>
      <w:r>
        <w:rPr>
          <w:rFonts w:hint="eastAsia" w:ascii="宋体" w:hAnsi="宋体"/>
          <w:szCs w:val="21"/>
        </w:rPr>
        <w:t>分期付款：采购方在合同签订后，且收到中标方提供符合国家财税有关规定发票后10个工作日内支付合同总额的50%作为首期款，余款按进度支付。</w:t>
      </w:r>
    </w:p>
    <w:p w14:paraId="4D9024AE">
      <w:pPr>
        <w:spacing w:line="360" w:lineRule="auto"/>
        <w:jc w:val="left"/>
        <w:rPr>
          <w:rFonts w:ascii="宋体" w:hAnsi="宋体"/>
          <w:b/>
          <w:bCs/>
          <w:szCs w:val="21"/>
        </w:rPr>
      </w:pPr>
      <w:r>
        <w:rPr>
          <w:rFonts w:hint="eastAsia" w:ascii="宋体" w:hAnsi="宋体"/>
          <w:b/>
          <w:bCs/>
          <w:szCs w:val="21"/>
          <w:lang w:val="en-US" w:eastAsia="zh-CN"/>
        </w:rPr>
        <w:t>3.</w:t>
      </w:r>
      <w:r>
        <w:rPr>
          <w:rFonts w:hint="eastAsia" w:ascii="宋体" w:hAnsi="宋体"/>
          <w:b/>
          <w:bCs/>
          <w:szCs w:val="21"/>
        </w:rPr>
        <w:t>报价要求：总价报价：</w:t>
      </w:r>
    </w:p>
    <w:p w14:paraId="2DDC0C71">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固定总价（即供应商进行总价报价）</w:t>
      </w:r>
      <w:r>
        <w:rPr>
          <w:rFonts w:hint="eastAsia" w:ascii="宋体" w:hAnsi="宋体"/>
          <w:szCs w:val="21"/>
          <w:lang w:eastAsia="zh-CN"/>
        </w:rPr>
        <w:t>，</w:t>
      </w:r>
      <w:r>
        <w:rPr>
          <w:rFonts w:hint="eastAsia" w:ascii="宋体" w:hAnsi="宋体"/>
          <w:szCs w:val="21"/>
        </w:rPr>
        <w:t>本项目服务费采用包干制，应包括服务成本、法定税费和利润。由投标人根据采购文件所提供的资料自行测算投标报价；一经中标，报价总作为中标人与采购人签定的合同金额，合同期限内不做调整。</w:t>
      </w:r>
    </w:p>
    <w:p w14:paraId="6DD60DBC">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投标人应当根据本单位的成本、利润、税费等情况自行决定报价。</w:t>
      </w:r>
    </w:p>
    <w:p w14:paraId="47D9D876">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投标人的报价不得超过项目预算金额，否则作投标无效处理。</w:t>
      </w:r>
    </w:p>
    <w:p w14:paraId="0B5207C1">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投标人的报价，应当是本项目采购范围和采购文件及合同条款上所列的各项内容中所述的全部，不得以任何理由予以重复。</w:t>
      </w:r>
    </w:p>
    <w:p w14:paraId="65002544">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5</w:t>
      </w:r>
      <w:r>
        <w:rPr>
          <w:rFonts w:hint="eastAsia" w:ascii="宋体" w:hAnsi="宋体"/>
          <w:szCs w:val="21"/>
          <w:lang w:eastAsia="zh-CN"/>
        </w:rPr>
        <w:t>）</w:t>
      </w:r>
      <w:r>
        <w:rPr>
          <w:rFonts w:hint="eastAsia" w:ascii="宋体" w:hAnsi="宋体"/>
          <w:szCs w:val="21"/>
        </w:rPr>
        <w:t>除非采购人通过修改采购文件予以更正，否则，投标人应毫无例外地按响应文件所列的清单中项目和数量填报综合单价或合价。投标人未填综合单价或合价的项目，在实施后，将不获得支付，并视作该项费用已包括在其他有价款的综合单价或合价内。</w:t>
      </w:r>
    </w:p>
    <w:p w14:paraId="51A29DB5">
      <w:pPr>
        <w:spacing w:line="360" w:lineRule="auto"/>
        <w:jc w:val="left"/>
      </w:pPr>
      <w:r>
        <w:rPr>
          <w:rFonts w:hint="eastAsia" w:ascii="宋体" w:hAnsi="宋体"/>
          <w:szCs w:val="21"/>
          <w:lang w:eastAsia="zh-CN"/>
        </w:rPr>
        <w:t>（</w:t>
      </w:r>
      <w:r>
        <w:rPr>
          <w:rFonts w:hint="eastAsia" w:ascii="宋体" w:hAnsi="宋体"/>
          <w:szCs w:val="21"/>
          <w:lang w:val="en-US" w:eastAsia="zh-CN"/>
        </w:rPr>
        <w:t>6</w:t>
      </w:r>
      <w:r>
        <w:rPr>
          <w:rFonts w:hint="eastAsia" w:ascii="宋体" w:hAnsi="宋体"/>
          <w:szCs w:val="21"/>
          <w:lang w:eastAsia="zh-CN"/>
        </w:rPr>
        <w:t>）</w:t>
      </w:r>
      <w:r>
        <w:rPr>
          <w:rFonts w:hint="eastAsia" w:ascii="宋体" w:hAnsi="宋体"/>
          <w:szCs w:val="21"/>
        </w:rPr>
        <w:t>投标人不得期望通过索赔等方式获取补偿，否则，除可能遭到拒绝外，还可能将被作为不良行为记录在案，并可能影响其以后参加政府采购的项目投标。各投标人在报价时，应充分考虑报价的风险。</w:t>
      </w:r>
    </w:p>
    <w:p w14:paraId="34EBD9A6">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4.售后服务</w:t>
      </w:r>
      <w:r>
        <w:rPr>
          <w:rFonts w:hint="eastAsia" w:asciiTheme="minorEastAsia" w:hAnsiTheme="minorEastAsia" w:eastAsiaTheme="minorEastAsia"/>
          <w:b/>
        </w:rPr>
        <w:t>：</w:t>
      </w:r>
    </w:p>
    <w:p w14:paraId="5A809094">
      <w:pPr>
        <w:spacing w:line="360" w:lineRule="auto"/>
        <w:ind w:firstLine="420" w:firstLineChars="200"/>
        <w:jc w:val="left"/>
        <w:rPr>
          <w:rFonts w:ascii="宋体" w:hAnsi="宋体"/>
          <w:szCs w:val="21"/>
        </w:rPr>
      </w:pPr>
      <w:r>
        <w:rPr>
          <w:rFonts w:hint="eastAsia" w:ascii="宋体" w:hAnsi="宋体"/>
          <w:szCs w:val="21"/>
        </w:rPr>
        <w:t>中标供应商在服务期满一年内需在采购人有需要时负责对本项目相关情况进行解释、说明，提供相应的修正服务。</w:t>
      </w:r>
    </w:p>
    <w:p w14:paraId="0922A3D1">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5.</w:t>
      </w:r>
      <w:r>
        <w:rPr>
          <w:rFonts w:hint="eastAsia" w:asciiTheme="minorEastAsia" w:hAnsiTheme="minorEastAsia" w:eastAsiaTheme="minorEastAsia"/>
          <w:b/>
        </w:rPr>
        <w:t>合同的变更：</w:t>
      </w:r>
    </w:p>
    <w:p w14:paraId="2A3569F8">
      <w:pPr>
        <w:spacing w:line="360" w:lineRule="auto"/>
        <w:ind w:firstLine="420" w:firstLineChars="200"/>
        <w:jc w:val="left"/>
        <w:rPr>
          <w:rFonts w:ascii="宋体" w:hAnsi="宋体"/>
          <w:szCs w:val="21"/>
        </w:rPr>
      </w:pPr>
      <w:r>
        <w:rPr>
          <w:rFonts w:hint="eastAsia" w:ascii="宋体" w:hAnsi="宋体"/>
          <w:szCs w:val="21"/>
        </w:rPr>
        <w:t>采购人和中标供应商双方不得擅自变更合同；若合同继续履行将损害国家利益和社会公共利益，则双方应当变更合同。</w:t>
      </w:r>
    </w:p>
    <w:p w14:paraId="1DB360F4">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6.</w:t>
      </w:r>
      <w:r>
        <w:rPr>
          <w:rFonts w:hint="eastAsia" w:asciiTheme="minorEastAsia" w:hAnsiTheme="minorEastAsia" w:eastAsiaTheme="minorEastAsia"/>
          <w:b/>
        </w:rPr>
        <w:t>合同解除：</w:t>
      </w:r>
    </w:p>
    <w:p w14:paraId="4E420C1E">
      <w:pPr>
        <w:spacing w:line="288" w:lineRule="auto"/>
        <w:ind w:firstLine="420" w:firstLineChars="200"/>
        <w:rPr>
          <w:rFonts w:ascii="宋体" w:hAnsi="宋体" w:cs="楷体"/>
          <w:bCs/>
          <w:szCs w:val="24"/>
        </w:rPr>
      </w:pPr>
      <w:r>
        <w:rPr>
          <w:rFonts w:hint="eastAsia" w:ascii="宋体" w:hAnsi="宋体" w:cs="楷体"/>
          <w:bCs/>
          <w:szCs w:val="24"/>
        </w:rPr>
        <w:t>经双方协商一致或一方依据本合同第十三条违约责任行使解除权并书面通知对方后，双方合同关系解除，合同终止履行，未履行部分不再履行，已履行部分按合同有关结算及违约赔偿条款处理。</w:t>
      </w:r>
    </w:p>
    <w:p w14:paraId="5311169C">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7.</w:t>
      </w:r>
      <w:r>
        <w:rPr>
          <w:rFonts w:hint="eastAsia" w:asciiTheme="minorEastAsia" w:hAnsiTheme="minorEastAsia" w:eastAsiaTheme="minorEastAsia"/>
          <w:b/>
        </w:rPr>
        <w:t>违约责任：</w:t>
      </w:r>
    </w:p>
    <w:p w14:paraId="3A2F9F88">
      <w:pPr>
        <w:spacing w:line="360" w:lineRule="auto"/>
        <w:ind w:firstLine="420" w:firstLineChars="200"/>
        <w:rPr>
          <w:rFonts w:hint="eastAsia" w:ascii="宋体" w:hAnsi="宋体" w:cs="楷体"/>
          <w:bCs/>
          <w:szCs w:val="24"/>
        </w:rPr>
      </w:pPr>
      <w:r>
        <w:rPr>
          <w:rFonts w:hint="eastAsia" w:ascii="宋体" w:hAnsi="宋体" w:cs="楷体"/>
          <w:bCs/>
          <w:szCs w:val="24"/>
        </w:rPr>
        <w:t>①中标供应商未在约定期限内完成项目内容并提交成果的，每延迟一日按照合同总金额千分之一的标准向采购人支付违约金。延迟超过十日的，采购人有权解除合同并要求中标供应商返还已经支付的款项，未支付的不再支付。</w:t>
      </w:r>
    </w:p>
    <w:p w14:paraId="0EA37D7E">
      <w:pPr>
        <w:spacing w:line="360" w:lineRule="auto"/>
        <w:ind w:firstLine="420" w:firstLineChars="200"/>
        <w:rPr>
          <w:rFonts w:hint="eastAsia" w:ascii="宋体" w:hAnsi="宋体" w:cs="楷体"/>
          <w:bCs/>
          <w:szCs w:val="24"/>
        </w:rPr>
      </w:pPr>
      <w:r>
        <w:rPr>
          <w:rFonts w:hint="eastAsia" w:ascii="宋体" w:hAnsi="宋体" w:cs="楷体"/>
          <w:bCs/>
          <w:szCs w:val="24"/>
        </w:rPr>
        <w:t>②中标供应商交付的成果验收不合格的，经采购人要求整改再次验收仍不合格的或中标供应商提交的成果存在虚假、违法违规、重大错误的，采购人有权立即解除合同、要求中标供应商返还已经支付的款项并支付合同总额20%的违约金。</w:t>
      </w:r>
    </w:p>
    <w:p w14:paraId="727543C0">
      <w:pPr>
        <w:spacing w:line="360" w:lineRule="auto"/>
        <w:ind w:firstLine="420" w:firstLineChars="200"/>
        <w:rPr>
          <w:rFonts w:hint="eastAsia" w:ascii="宋体" w:hAnsi="宋体" w:cs="楷体"/>
          <w:bCs/>
          <w:szCs w:val="24"/>
        </w:rPr>
      </w:pPr>
      <w:r>
        <w:rPr>
          <w:rFonts w:hint="eastAsia" w:ascii="宋体" w:hAnsi="宋体" w:cs="楷体"/>
          <w:bCs/>
          <w:szCs w:val="24"/>
        </w:rPr>
        <w:t>③因中标供应商实施本项目过程中侵犯第三人合法权益或者违约导致采购人承担赔偿责任的，采购人在承担赔偿责任后有权向中标供应商追偿，同时，采购人有权解除合同、要求中标供应商返还已经支付的款项并支付合同总额20%的违约金。</w:t>
      </w:r>
    </w:p>
    <w:p w14:paraId="035C9B2D">
      <w:pPr>
        <w:spacing w:line="360" w:lineRule="auto"/>
        <w:ind w:firstLine="420" w:firstLineChars="200"/>
        <w:rPr>
          <w:rFonts w:hint="eastAsia" w:ascii="宋体" w:hAnsi="宋体" w:cs="楷体"/>
          <w:bCs/>
          <w:szCs w:val="24"/>
        </w:rPr>
      </w:pPr>
      <w:r>
        <w:rPr>
          <w:rFonts w:hint="eastAsia" w:ascii="宋体" w:hAnsi="宋体" w:cs="楷体"/>
          <w:bCs/>
          <w:szCs w:val="24"/>
        </w:rPr>
        <w:t>④中标供应商签订合同后，实际配备的工作人员与投标文件的承诺不一致的，或实施本项目时已不符合招标文件要求的，采购人有权解除合同，并要求中标供应商向采购人支付合同总额20%的违约金。</w:t>
      </w:r>
    </w:p>
    <w:p w14:paraId="61EE4923">
      <w:pPr>
        <w:spacing w:line="360" w:lineRule="auto"/>
        <w:ind w:firstLine="420" w:firstLineChars="200"/>
        <w:rPr>
          <w:rFonts w:hint="eastAsia" w:ascii="宋体" w:hAnsi="宋体" w:cs="楷体"/>
          <w:bCs/>
          <w:szCs w:val="24"/>
        </w:rPr>
      </w:pPr>
      <w:r>
        <w:rPr>
          <w:rFonts w:hint="eastAsia" w:ascii="宋体" w:hAnsi="宋体" w:cs="楷体"/>
          <w:bCs/>
          <w:szCs w:val="24"/>
        </w:rPr>
        <w:t>⑤中标供应商无正当理由解除合同的，应向采购人支付合同总额20%的违约金。</w:t>
      </w:r>
    </w:p>
    <w:p w14:paraId="5D7BE570">
      <w:pPr>
        <w:spacing w:line="360" w:lineRule="auto"/>
        <w:ind w:firstLine="420" w:firstLineChars="200"/>
        <w:rPr>
          <w:rFonts w:ascii="宋体" w:hAnsi="宋体" w:cs="楷体"/>
          <w:bCs/>
          <w:szCs w:val="24"/>
        </w:rPr>
      </w:pPr>
      <w:r>
        <w:rPr>
          <w:rFonts w:hint="eastAsia" w:ascii="宋体" w:hAnsi="宋体" w:cs="楷体"/>
          <w:bCs/>
          <w:szCs w:val="24"/>
        </w:rPr>
        <w:t>⑥中标供应商未经采购人同意，将本合同项目的任务全部或者一部分转包或分包给第三人，采购人有权解除合同、要求中标供应商返还已经支付的款项并支付合同总额20%的违约金。</w:t>
      </w:r>
    </w:p>
    <w:p w14:paraId="3AEA83BF">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8.保密要求：</w:t>
      </w:r>
    </w:p>
    <w:p w14:paraId="329980BD">
      <w:pPr>
        <w:spacing w:line="360" w:lineRule="auto"/>
        <w:ind w:firstLine="420" w:firstLineChars="200"/>
        <w:rPr>
          <w:rFonts w:hint="eastAsia" w:ascii="宋体" w:hAnsi="宋体" w:cs="楷体"/>
          <w:bCs/>
          <w:szCs w:val="24"/>
          <w:lang w:eastAsia="zh-CN"/>
        </w:rPr>
      </w:pPr>
      <w:r>
        <w:rPr>
          <w:rFonts w:hint="eastAsia" w:ascii="宋体" w:hAnsi="宋体" w:cs="楷体"/>
          <w:bCs/>
          <w:szCs w:val="24"/>
        </w:rPr>
        <w:t>采购人和中标供应商双方对知悉对方的财务、技术、专项数据、合同价款、未披露的政策、诉讼方案以及为实施项目提供给对方的文件或信息的内容等负有保密义务。未经信息披露方书面事先同意，不得向本合同以外的任何第三方披露。资料接受方可仅为本合同目的向其确有知悉必要的雇员披露对方提供的保密资料，但同时须指示其雇员遵守本条规定的保密及不披露义务。双方应仅为本合同目的而复制和使用保密资料。合同履行完毕或者终止不视为解除保密义务，双方仍应承担保密义务</w:t>
      </w:r>
      <w:r>
        <w:rPr>
          <w:rFonts w:hint="eastAsia" w:ascii="宋体" w:hAnsi="宋体" w:cs="楷体"/>
          <w:bCs/>
          <w:szCs w:val="24"/>
          <w:lang w:eastAsia="zh-CN"/>
        </w:rPr>
        <w:t>。</w:t>
      </w:r>
    </w:p>
    <w:p w14:paraId="045EBBBA">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9.知识产权：</w:t>
      </w:r>
    </w:p>
    <w:p w14:paraId="4C011122">
      <w:pPr>
        <w:spacing w:line="360" w:lineRule="auto"/>
        <w:ind w:firstLine="420" w:firstLineChars="200"/>
        <w:rPr>
          <w:rFonts w:hint="eastAsia" w:ascii="宋体" w:hAnsi="宋体" w:eastAsia="宋体" w:cs="楷体"/>
          <w:bCs/>
          <w:szCs w:val="24"/>
          <w:lang w:val="en-US" w:eastAsia="zh-CN"/>
        </w:rPr>
      </w:pPr>
      <w:r>
        <w:rPr>
          <w:rFonts w:hint="eastAsia" w:ascii="宋体" w:hAnsi="宋体" w:cs="楷体"/>
          <w:bCs/>
          <w:szCs w:val="24"/>
        </w:rPr>
        <w:t>中标供应商在项目实施过程中不得侵犯第三人知识产权以及其他权益。需要使用第三人知识产权的，中标供应商取得权利人许可或者授权并由中标供应商承担费用。除第三人依法享有知识产权的除外，中标供应商实施本项目所形成成果的知识产权归采购人所有，未经采购人许可，中标供应商不得随意使用</w:t>
      </w:r>
      <w:r>
        <w:rPr>
          <w:rFonts w:hint="eastAsia" w:ascii="宋体" w:hAnsi="宋体" w:cs="楷体"/>
          <w:bCs/>
          <w:szCs w:val="24"/>
          <w:lang w:eastAsia="zh-CN"/>
        </w:rPr>
        <w:t>。</w:t>
      </w:r>
    </w:p>
    <w:p w14:paraId="55D23947">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10.履约验收内容及验收标准：</w:t>
      </w:r>
    </w:p>
    <w:p w14:paraId="6245DCCE">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1)“圳品”标准体系建设</w:t>
      </w:r>
    </w:p>
    <w:p w14:paraId="502B5010">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a.制定（含修订）“圳品”标准：50项，其中制定10项，修订40项。</w:t>
      </w:r>
    </w:p>
    <w:p w14:paraId="4CAB6066">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b.制定（含修订）评价/监督文件：50个，其中制定10个，修订40个。</w:t>
      </w:r>
    </w:p>
    <w:p w14:paraId="5005DEF7">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2）评价与监督机构“圳品”审核能力提升</w:t>
      </w:r>
    </w:p>
    <w:p w14:paraId="7DF9A81B">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a.“圳品”评价与监督依据文件专题培训2场。</w:t>
      </w:r>
    </w:p>
    <w:p w14:paraId="797A6B7B">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3)“圳品”标准与体系认证创新性研究</w:t>
      </w:r>
    </w:p>
    <w:p w14:paraId="3567F0FC">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a.“圳品”标准研究报告：4份。</w:t>
      </w:r>
    </w:p>
    <w:p w14:paraId="4BFE242B">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b.“圳品”体系认证创新性研究报告：1份。</w:t>
      </w:r>
    </w:p>
    <w:p w14:paraId="7F316F88">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4)“圳品”评审专家库管理</w:t>
      </w:r>
    </w:p>
    <w:p w14:paraId="78E1719D">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a.“圳品”评审专家库：1个。</w:t>
      </w:r>
    </w:p>
    <w:p w14:paraId="346091C6">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5）组织实施评价档案审查与评审</w:t>
      </w:r>
    </w:p>
    <w:p w14:paraId="0789169B">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a.400个产品评价档案审查材料：1套。</w:t>
      </w:r>
    </w:p>
    <w:p w14:paraId="41D306A2">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b.专家评审会材料：1套。</w:t>
      </w:r>
    </w:p>
    <w:p w14:paraId="65D53133">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6)组织实施监督档案审查与结果处理</w:t>
      </w:r>
    </w:p>
    <w:p w14:paraId="6DD75A8A">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a.369个产品监督档案审查材料:1套。</w:t>
      </w:r>
    </w:p>
    <w:p w14:paraId="576B05A5">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b.专家评审会材料：1套。</w:t>
      </w:r>
    </w:p>
    <w:p w14:paraId="0D26B80B">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c.监督检查结果处理材料：1套。</w:t>
      </w:r>
    </w:p>
    <w:p w14:paraId="52971655">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7)“圳品”全链条数据管理体系</w:t>
      </w:r>
    </w:p>
    <w:p w14:paraId="4A543C41">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a.“圳品”全链条台账数据：80万条</w:t>
      </w:r>
    </w:p>
    <w:p w14:paraId="62A6125C">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b.“圳品”追溯应用案例：10个。</w:t>
      </w:r>
    </w:p>
    <w:p w14:paraId="5835EE21">
      <w:pPr>
        <w:spacing w:line="360" w:lineRule="auto"/>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8）项目成果提交形式为纸质1套和电子版1套</w:t>
      </w:r>
    </w:p>
    <w:p w14:paraId="5A0F1A3B">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11.</w:t>
      </w:r>
      <w:r>
        <w:rPr>
          <w:rFonts w:hint="eastAsia" w:asciiTheme="minorEastAsia" w:hAnsiTheme="minorEastAsia" w:eastAsiaTheme="minorEastAsia"/>
          <w:b/>
        </w:rPr>
        <w:t>服务地点：</w:t>
      </w:r>
    </w:p>
    <w:p w14:paraId="6548818A">
      <w:pPr>
        <w:spacing w:line="360" w:lineRule="auto"/>
        <w:ind w:firstLine="424" w:firstLineChars="202"/>
        <w:rPr>
          <w:rFonts w:asciiTheme="minorEastAsia" w:hAnsiTheme="minorEastAsia" w:eastAsiaTheme="minorEastAsia"/>
          <w:b/>
        </w:rPr>
      </w:pPr>
      <w:r>
        <w:rPr>
          <w:rFonts w:hint="eastAsia" w:ascii="宋体" w:hAnsi="宋体"/>
          <w:szCs w:val="21"/>
        </w:rPr>
        <w:t>深圳市。</w:t>
      </w:r>
    </w:p>
    <w:p w14:paraId="4F67ADD0">
      <w:pPr>
        <w:spacing w:beforeLines="25" w:afterLines="25"/>
        <w:rPr>
          <w:rFonts w:ascii="宋体" w:hAnsi="宋体"/>
          <w:szCs w:val="21"/>
        </w:rPr>
      </w:pPr>
    </w:p>
    <w:p w14:paraId="0846D262">
      <w:pPr>
        <w:keepNext/>
        <w:keepLines/>
        <w:widowControl w:val="0"/>
        <w:suppressLineNumbers w:val="0"/>
        <w:adjustRightInd w:val="0"/>
        <w:spacing w:before="0" w:beforeLines="50" w:beforeAutospacing="0" w:after="0" w:afterLines="50" w:afterAutospacing="0"/>
        <w:ind w:left="0" w:right="0"/>
        <w:jc w:val="center"/>
        <w:textAlignment w:val="baseline"/>
        <w:outlineLvl w:val="1"/>
        <w:rPr>
          <w:rFonts w:hint="eastAsia" w:ascii="宋体" w:hAnsi="宋体" w:eastAsia="宋体" w:cs="Times New Roman"/>
          <w:b/>
          <w:bCs/>
          <w:kern w:val="0"/>
          <w:sz w:val="28"/>
          <w:szCs w:val="28"/>
          <w:vertAlign w:val="baseline"/>
        </w:rPr>
      </w:pPr>
      <w:r>
        <w:rPr>
          <w:rFonts w:hint="eastAsia" w:ascii="宋体" w:hAnsi="宋体" w:cs="宋体"/>
          <w:b/>
          <w:bCs/>
          <w:kern w:val="0"/>
          <w:sz w:val="28"/>
          <w:szCs w:val="28"/>
          <w:vertAlign w:val="baseline"/>
          <w:lang w:val="en-US" w:eastAsia="zh-CN" w:bidi="ar"/>
        </w:rPr>
        <w:t>六</w:t>
      </w:r>
      <w:r>
        <w:rPr>
          <w:rFonts w:hint="eastAsia" w:ascii="宋体" w:hAnsi="宋体" w:eastAsia="宋体" w:cs="宋体"/>
          <w:b/>
          <w:bCs/>
          <w:kern w:val="0"/>
          <w:sz w:val="28"/>
          <w:szCs w:val="28"/>
          <w:vertAlign w:val="baseline"/>
          <w:lang w:val="en-US" w:eastAsia="zh-CN" w:bidi="ar"/>
        </w:rPr>
        <w:t>、投标/响应方案要求</w:t>
      </w:r>
    </w:p>
    <w:p w14:paraId="7A41F24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投标人应在满足★必备指标项要求的前提下，根据项目特点和采购需求，制定以下更为完整、详细、可操作性强的方案。</w:t>
      </w:r>
    </w:p>
    <w:p w14:paraId="1369AC9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（一）提供项目</w:t>
      </w:r>
      <w:r>
        <w:rPr>
          <w:rFonts w:hint="eastAsia" w:ascii="宋体" w:hAnsi="宋体" w:cs="宋体"/>
          <w:szCs w:val="21"/>
        </w:rPr>
        <w:t>实施方案</w:t>
      </w:r>
      <w:r>
        <w:rPr>
          <w:rFonts w:hint="eastAsia" w:ascii="宋体" w:hAnsi="宋体" w:eastAsia="宋体" w:cs="宋体"/>
          <w:kern w:val="2"/>
          <w:sz w:val="21"/>
          <w:szCs w:val="21"/>
          <w:lang w:val="en-US" w:eastAsia="zh-CN" w:bidi="ar"/>
        </w:rPr>
        <w:t>，内容包含但不限于：</w:t>
      </w:r>
    </w:p>
    <w:p w14:paraId="4AB30ED5">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（1）实施总体思路（包括但不限于项目概况分析、总体思路等）；</w:t>
      </w:r>
    </w:p>
    <w:p w14:paraId="2D297E4D">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（2）实施流程（包括但不限于依据文件、实施步骤、工作纪律、保障机制等）；</w:t>
      </w:r>
    </w:p>
    <w:p w14:paraId="2488A93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（3）实施方法及内容；</w:t>
      </w:r>
    </w:p>
    <w:p w14:paraId="22393CF5">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（4）工作进度安排（制定详细时间安排）；</w:t>
      </w:r>
    </w:p>
    <w:p w14:paraId="448FB8BA">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（5）项目成果交付。</w:t>
      </w:r>
    </w:p>
    <w:p w14:paraId="773F9586">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提供国内外食品安全标准与技术法规比对现状综述，包括但不限于CAC、欧盟、美国、日本、香港、澳门等组织或国家或地区，综述内容包含对各组织或国家的食品安全标准与法规体系的研究，并与中国进行差异性分析。</w:t>
      </w:r>
    </w:p>
    <w:p w14:paraId="5FCAC11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（二）提供</w:t>
      </w:r>
      <w:r>
        <w:rPr>
          <w:rFonts w:hint="eastAsia" w:ascii="宋体" w:hAnsi="宋体" w:cs="宋体"/>
          <w:szCs w:val="21"/>
        </w:rPr>
        <w:t>项目重点难点分析、应对措施及相关的合理化建议</w:t>
      </w:r>
      <w:r>
        <w:rPr>
          <w:rFonts w:hint="eastAsia" w:ascii="宋体" w:hAnsi="宋体" w:eastAsia="宋体" w:cs="宋体"/>
          <w:kern w:val="2"/>
          <w:sz w:val="21"/>
          <w:szCs w:val="21"/>
          <w:lang w:val="en-US" w:eastAsia="zh-CN" w:bidi="ar"/>
        </w:rPr>
        <w:t>，内容包含但不限于：</w:t>
      </w:r>
    </w:p>
    <w:p w14:paraId="22F1342D">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（1）项目的重点难点分析（包括但不限于对政策实施相关的准确性把握、沟通协调、组织活动、数据整理等）；</w:t>
      </w:r>
    </w:p>
    <w:p w14:paraId="665DFCA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（2）针对性项目重点难点的应对措施（针对现行“圳品”标准以及工作制度体系运行中存在的问题及取得的成效进行分析，制定相应的工作规划及应对措施）；</w:t>
      </w:r>
    </w:p>
    <w:p w14:paraId="3D0A97C7">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（3）项目重点难点相关解决方案和合理化建议（对标准引领的效能及制度体系的创新开展指导和建议）。</w:t>
      </w:r>
    </w:p>
    <w:p w14:paraId="3AB44873">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投标人具有开展国内外食品分类系统研究的经验和能力，包括但不限于香港、澳门、欧盟等。</w:t>
      </w:r>
    </w:p>
    <w:p w14:paraId="59EB4821">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w:t>
      </w:r>
      <w:r>
        <w:rPr>
          <w:rFonts w:hint="eastAsia" w:ascii="宋体" w:hAnsi="宋体" w:cs="宋体"/>
          <w:kern w:val="2"/>
          <w:sz w:val="21"/>
          <w:szCs w:val="21"/>
          <w:lang w:val="en-US" w:eastAsia="zh-CN" w:bidi="ar"/>
        </w:rPr>
        <w:t>三</w:t>
      </w:r>
      <w:r>
        <w:rPr>
          <w:rFonts w:hint="eastAsia" w:ascii="宋体" w:hAnsi="宋体" w:eastAsia="宋体" w:cs="宋体"/>
          <w:kern w:val="2"/>
          <w:sz w:val="21"/>
          <w:szCs w:val="21"/>
          <w:lang w:val="en-US" w:eastAsia="zh-CN" w:bidi="ar"/>
        </w:rPr>
        <w:t>）提供</w:t>
      </w:r>
      <w:r>
        <w:rPr>
          <w:rFonts w:hint="eastAsia" w:ascii="宋体" w:hAnsi="宋体" w:cs="宋体"/>
          <w:szCs w:val="21"/>
        </w:rPr>
        <w:t>质量（完成时间、安全、环保）保障措施及方案</w:t>
      </w:r>
      <w:r>
        <w:rPr>
          <w:rFonts w:hint="eastAsia" w:ascii="宋体" w:hAnsi="宋体" w:eastAsia="宋体" w:cs="宋体"/>
          <w:kern w:val="2"/>
          <w:sz w:val="21"/>
          <w:szCs w:val="21"/>
          <w:lang w:val="en-US" w:eastAsia="zh-CN" w:bidi="ar"/>
        </w:rPr>
        <w:t>，内容包含但不限于：</w:t>
      </w:r>
    </w:p>
    <w:p w14:paraId="104AEEC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1.保障项目质量的人力资源方案;</w:t>
      </w:r>
    </w:p>
    <w:p w14:paraId="2DAB2620">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2.保障项目质量的设备、技术等资源方案；</w:t>
      </w:r>
    </w:p>
    <w:p w14:paraId="1A07AE36">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3.保障项目质量的内部监督工作方案；</w:t>
      </w:r>
    </w:p>
    <w:p w14:paraId="1BB43E87">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4.保障项目质量的紧急资源调配以及应急响应工作方案；</w:t>
      </w:r>
    </w:p>
    <w:p w14:paraId="7008324F">
      <w:pPr>
        <w:keepNext w:val="0"/>
        <w:keepLines w:val="0"/>
        <w:widowControl w:val="0"/>
        <w:suppressLineNumbers w:val="0"/>
        <w:spacing w:before="0" w:beforeAutospacing="0" w:after="0" w:afterAutospacing="0" w:line="360" w:lineRule="auto"/>
        <w:ind w:left="0" w:leftChars="0" w:right="0" w:firstLine="420" w:firstLineChars="200"/>
        <w:jc w:val="left"/>
        <w:rPr>
          <w:rFonts w:ascii="宋体" w:hAnsi="宋体"/>
          <w:szCs w:val="21"/>
        </w:rPr>
      </w:pPr>
      <w:r>
        <w:rPr>
          <w:rFonts w:hint="eastAsia" w:ascii="宋体" w:hAnsi="宋体" w:eastAsia="宋体" w:cs="宋体"/>
          <w:kern w:val="2"/>
          <w:sz w:val="21"/>
          <w:szCs w:val="21"/>
          <w:lang w:val="en-US" w:eastAsia="zh-CN" w:bidi="ar"/>
        </w:rPr>
        <w:t>5.保障项目质量的安全措施（包括但不限于舆情处置、突发情况处理、数据安全、操作安全等内容）。</w:t>
      </w:r>
      <w:r>
        <w:rPr>
          <w:rFonts w:ascii="宋体" w:hAnsi="宋体"/>
          <w:szCs w:val="21"/>
        </w:rPr>
        <w:br w:type="page"/>
      </w:r>
    </w:p>
    <w:p w14:paraId="492CD520">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202D33FA">
      <w:pPr>
        <w:rPr>
          <w:rFonts w:ascii="Times New Roman" w:hAnsi="Times New Roman"/>
          <w:b/>
          <w:bCs/>
          <w:sz w:val="24"/>
          <w:szCs w:val="32"/>
        </w:rPr>
      </w:pPr>
      <w:r>
        <w:rPr>
          <w:rFonts w:hint="eastAsia" w:ascii="Times New Roman" w:hAnsi="Times New Roman"/>
          <w:b/>
          <w:bCs/>
          <w:sz w:val="24"/>
          <w:szCs w:val="32"/>
        </w:rPr>
        <w:t>特别提醒：</w:t>
      </w:r>
    </w:p>
    <w:p w14:paraId="74EDECB6">
      <w:pPr>
        <w:rPr>
          <w:rFonts w:ascii="Times New Roman" w:hAnsi="Times New Roman"/>
          <w:b/>
          <w:bCs/>
          <w:sz w:val="24"/>
          <w:szCs w:val="32"/>
        </w:rPr>
      </w:pPr>
    </w:p>
    <w:p w14:paraId="3A16F6BE">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354AACC0">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16F2548A">
      <w:pPr>
        <w:widowControl/>
        <w:jc w:val="center"/>
        <w:rPr>
          <w:rFonts w:ascii="宋体" w:hAnsi="宋体" w:cs="宋体" w:eastAsiaTheme="minorEastAsia"/>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6230"/>
            <wp:effectExtent l="0" t="0" r="0" b="0"/>
            <wp:docPr id="2"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图形用户界面, 应用程序&#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8755" cy="4126230"/>
                    </a:xfrm>
                    <a:prstGeom prst="rect">
                      <a:avLst/>
                    </a:prstGeom>
                    <a:noFill/>
                    <a:ln>
                      <a:noFill/>
                    </a:ln>
                  </pic:spPr>
                </pic:pic>
              </a:graphicData>
            </a:graphic>
          </wp:inline>
        </w:drawing>
      </w:r>
    </w:p>
    <w:p w14:paraId="3C8CCC59">
      <w:pPr>
        <w:widowControl/>
        <w:jc w:val="center"/>
        <w:rPr>
          <w:rFonts w:ascii="仿宋_GB2312" w:hAnsi="Times New Roman" w:eastAsia="仿宋_GB2312"/>
          <w:kern w:val="0"/>
          <w:sz w:val="24"/>
          <w:szCs w:val="24"/>
          <w:highlight w:val="green"/>
        </w:rPr>
      </w:pPr>
    </w:p>
    <w:p w14:paraId="6FBBADD0">
      <w:pPr>
        <w:widowControl/>
        <w:ind w:firstLine="480" w:firstLineChars="200"/>
        <w:jc w:val="left"/>
        <w:rPr>
          <w:rFonts w:ascii="仿宋_GB2312" w:hAnsi="Times New Roman" w:eastAsia="仿宋_GB2312"/>
          <w:b/>
          <w:kern w:val="0"/>
          <w:sz w:val="24"/>
          <w:szCs w:val="24"/>
        </w:rPr>
      </w:pPr>
      <w:bookmarkStart w:id="10"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10"/>
    <w:p w14:paraId="40A04506">
      <w:pPr>
        <w:rPr>
          <w:rFonts w:ascii="仿宋_GB2312" w:hAnsi="Times New Roman" w:eastAsia="仿宋_GB2312"/>
          <w:sz w:val="24"/>
          <w:szCs w:val="24"/>
        </w:rPr>
      </w:pPr>
    </w:p>
    <w:p w14:paraId="72ED782D">
      <w:pPr>
        <w:rPr>
          <w:rFonts w:hint="eastAsia" w:ascii="宋体" w:hAnsi="宋体"/>
          <w:sz w:val="24"/>
        </w:rPr>
      </w:pPr>
      <w:r>
        <w:rPr>
          <w:rFonts w:hint="eastAsia" w:ascii="宋体" w:hAnsi="宋体"/>
          <w:sz w:val="24"/>
        </w:rPr>
        <w:br w:type="page"/>
      </w:r>
    </w:p>
    <w:p w14:paraId="0CE16D0E">
      <w:pPr>
        <w:rPr>
          <w:rFonts w:hint="eastAsia" w:ascii="宋体" w:hAnsi="宋体"/>
          <w:sz w:val="24"/>
        </w:rPr>
      </w:pPr>
      <w:r>
        <w:rPr>
          <w:rFonts w:hint="eastAsia" w:ascii="宋体" w:hAnsi="宋体"/>
          <w:sz w:val="24"/>
        </w:rPr>
        <w:t>投标文件组成：</w:t>
      </w:r>
    </w:p>
    <w:p w14:paraId="46739B78">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14356E41">
      <w:pPr>
        <w:rPr>
          <w:rFonts w:hint="eastAsia" w:ascii="宋体" w:hAnsi="宋体"/>
          <w:sz w:val="24"/>
          <w:lang w:eastAsia="zh-CN"/>
        </w:rPr>
      </w:pPr>
    </w:p>
    <w:p w14:paraId="208BEAA7">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0FD27116">
      <w:pPr>
        <w:spacing w:beforeLines="25" w:afterLines="25"/>
        <w:ind w:firstLine="991" w:firstLineChars="472"/>
        <w:rPr>
          <w:rFonts w:ascii="宋体" w:hAnsi="宋体"/>
          <w:szCs w:val="21"/>
        </w:rPr>
      </w:pPr>
      <w:r>
        <w:rPr>
          <w:rFonts w:hint="eastAsia" w:ascii="宋体" w:hAnsi="宋体"/>
          <w:szCs w:val="21"/>
        </w:rPr>
        <w:t>（1）投标函</w:t>
      </w:r>
    </w:p>
    <w:p w14:paraId="30AEC3B4">
      <w:pPr>
        <w:spacing w:beforeLines="25" w:afterLines="25"/>
        <w:ind w:firstLine="991" w:firstLineChars="472"/>
        <w:rPr>
          <w:rFonts w:ascii="宋体" w:hAnsi="宋体"/>
          <w:szCs w:val="21"/>
        </w:rPr>
      </w:pPr>
      <w:r>
        <w:rPr>
          <w:rFonts w:hint="eastAsia" w:ascii="宋体" w:hAnsi="宋体"/>
          <w:szCs w:val="21"/>
        </w:rPr>
        <w:t>（2）资格响应文件</w:t>
      </w:r>
    </w:p>
    <w:p w14:paraId="1116B9B1">
      <w:pPr>
        <w:spacing w:beforeLines="25" w:afterLines="25"/>
        <w:ind w:firstLine="991" w:firstLineChars="472"/>
        <w:rPr>
          <w:rFonts w:ascii="宋体" w:hAnsi="宋体"/>
          <w:szCs w:val="21"/>
        </w:rPr>
      </w:pPr>
      <w:r>
        <w:rPr>
          <w:rFonts w:hint="eastAsia" w:ascii="宋体" w:hAnsi="宋体"/>
          <w:szCs w:val="21"/>
        </w:rPr>
        <w:t>（3）投标人情况介绍</w:t>
      </w:r>
    </w:p>
    <w:p w14:paraId="7935157C">
      <w:pPr>
        <w:spacing w:beforeLines="25" w:afterLines="25"/>
        <w:ind w:firstLine="991" w:firstLineChars="472"/>
        <w:rPr>
          <w:rFonts w:hint="eastAsia" w:ascii="宋体" w:hAnsi="宋体"/>
          <w:szCs w:val="21"/>
        </w:rPr>
      </w:pPr>
      <w:r>
        <w:rPr>
          <w:rFonts w:hint="eastAsia" w:ascii="宋体" w:hAnsi="宋体"/>
          <w:szCs w:val="21"/>
        </w:rPr>
        <w:t>（4）中小企业声明函等符合政府采购扶持政策的证明材料</w:t>
      </w:r>
    </w:p>
    <w:p w14:paraId="1A2768EF">
      <w:pPr>
        <w:spacing w:beforeLines="25" w:afterLines="25"/>
        <w:ind w:firstLine="991" w:firstLineChars="472"/>
        <w:rPr>
          <w:rFonts w:hint="eastAsia" w:asciiTheme="minorEastAsia" w:hAnsiTheme="minorEastAsia" w:eastAsiaTheme="minorEastAsia"/>
          <w:szCs w:val="21"/>
          <w:lang w:eastAsia="zh-CN"/>
        </w:rPr>
      </w:pP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lang w:val="en-US" w:eastAsia="zh-CN"/>
        </w:rPr>
        <w:t>5</w:t>
      </w:r>
      <w:r>
        <w:rPr>
          <w:rFonts w:hint="eastAsia" w:cs="仿宋" w:asciiTheme="minorEastAsia" w:hAnsiTheme="minorEastAsia" w:eastAsiaTheme="minorEastAsia"/>
          <w:szCs w:val="21"/>
          <w:lang w:eastAsia="zh-CN"/>
        </w:rPr>
        <w:t>）</w:t>
      </w:r>
      <w:r>
        <w:rPr>
          <w:rFonts w:hint="eastAsia" w:ascii="宋体" w:hAnsi="宋体"/>
          <w:szCs w:val="21"/>
        </w:rPr>
        <w:t>供应商认证情况</w:t>
      </w:r>
    </w:p>
    <w:p w14:paraId="40ACEFB7">
      <w:pPr>
        <w:spacing w:beforeLines="25" w:afterLines="25"/>
        <w:ind w:firstLine="991" w:firstLineChars="472"/>
        <w:rPr>
          <w:rFonts w:hint="eastAsia" w:asciiTheme="minorEastAsia" w:hAnsiTheme="minorEastAsia" w:eastAsiaTheme="minorEastAsia"/>
          <w:kern w:val="0"/>
          <w:szCs w:val="21"/>
          <w:lang w:val="zh-CN"/>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lang w:eastAsia="zh-CN"/>
        </w:rPr>
        <w:t>）</w:t>
      </w:r>
      <w:r>
        <w:rPr>
          <w:rFonts w:hint="eastAsia" w:ascii="宋体" w:hAnsi="宋体" w:cs="宋体"/>
          <w:szCs w:val="21"/>
        </w:rPr>
        <w:t>供应商获奖情况</w:t>
      </w:r>
    </w:p>
    <w:p w14:paraId="4FD17E75">
      <w:pPr>
        <w:rPr>
          <w:rFonts w:ascii="宋体" w:hAnsi="宋体"/>
          <w:sz w:val="24"/>
          <w:szCs w:val="24"/>
        </w:rPr>
      </w:pPr>
    </w:p>
    <w:p w14:paraId="0B41693F">
      <w:pPr>
        <w:ind w:firstLine="424" w:firstLineChars="202"/>
        <w:rPr>
          <w:rFonts w:ascii="宋体" w:hAnsi="宋体"/>
          <w:szCs w:val="21"/>
        </w:rPr>
      </w:pPr>
    </w:p>
    <w:p w14:paraId="45BF629C">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6E7F81B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7</w:t>
      </w:r>
      <w:r>
        <w:rPr>
          <w:rFonts w:hint="eastAsia" w:ascii="宋体" w:hAnsi="宋体"/>
          <w:szCs w:val="21"/>
        </w:rPr>
        <w:t>）政府采购违法行为风险知悉确认书</w:t>
      </w:r>
    </w:p>
    <w:p w14:paraId="102712D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）法定代表人（负责人）资格证明书</w:t>
      </w:r>
    </w:p>
    <w:p w14:paraId="0E4EFEF2">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）投标文件签署授权委托书</w:t>
      </w:r>
    </w:p>
    <w:p w14:paraId="03E6888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）实质性条款响应情况表</w:t>
      </w:r>
    </w:p>
    <w:p w14:paraId="54BA63FE">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）详细分项报价清单</w:t>
      </w:r>
    </w:p>
    <w:p w14:paraId="45F6EFE0">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12</w:t>
      </w:r>
      <w:r>
        <w:rPr>
          <w:rFonts w:hint="eastAsia" w:ascii="宋体" w:hAnsi="宋体"/>
          <w:szCs w:val="21"/>
        </w:rPr>
        <w:t>）服务要求</w:t>
      </w:r>
      <w:r>
        <w:rPr>
          <w:rFonts w:ascii="宋体" w:hAnsi="宋体"/>
          <w:szCs w:val="21"/>
        </w:rPr>
        <w:t>偏离表</w:t>
      </w:r>
    </w:p>
    <w:p w14:paraId="43DC5094">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13</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17A50B93">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4</w:t>
      </w:r>
      <w:r>
        <w:rPr>
          <w:rFonts w:hint="eastAsia" w:ascii="宋体" w:hAnsi="宋体"/>
          <w:szCs w:val="21"/>
        </w:rPr>
        <w:t>）</w:t>
      </w:r>
      <w:r>
        <w:rPr>
          <w:rFonts w:hint="eastAsia" w:ascii="宋体" w:hAnsi="宋体" w:cs="宋体"/>
          <w:szCs w:val="21"/>
        </w:rPr>
        <w:t>实施方案</w:t>
      </w:r>
    </w:p>
    <w:p w14:paraId="4E2F2F9B">
      <w:pPr>
        <w:spacing w:beforeLines="25" w:afterLines="25"/>
        <w:ind w:firstLine="991" w:firstLineChars="472"/>
        <w:rPr>
          <w:rFonts w:hint="eastAsia" w:ascii="宋体" w:hAnsi="宋体" w:cs="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w:t>
      </w:r>
      <w:r>
        <w:rPr>
          <w:rFonts w:hint="eastAsia" w:ascii="宋体" w:hAnsi="宋体" w:cs="宋体"/>
          <w:szCs w:val="21"/>
        </w:rPr>
        <w:t>项目重点难点分析、应对措施及相关的合理化建议</w:t>
      </w:r>
    </w:p>
    <w:p w14:paraId="43F7C9C7">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6</w:t>
      </w:r>
      <w:r>
        <w:rPr>
          <w:rFonts w:hint="eastAsia" w:ascii="宋体" w:hAnsi="宋体"/>
          <w:szCs w:val="21"/>
        </w:rPr>
        <w:t>）</w:t>
      </w:r>
      <w:r>
        <w:rPr>
          <w:rFonts w:hint="eastAsia" w:ascii="宋体" w:hAnsi="宋体" w:cs="宋体"/>
          <w:szCs w:val="21"/>
        </w:rPr>
        <w:t>质量（完成时间、安全、环保）保障措施及方案</w:t>
      </w:r>
    </w:p>
    <w:p w14:paraId="0FB028FD">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w:t>
      </w:r>
      <w:r>
        <w:rPr>
          <w:rFonts w:hint="eastAsia" w:ascii="宋体" w:hAnsi="宋体" w:cs="宋体"/>
          <w:szCs w:val="21"/>
        </w:rPr>
        <w:t>项目完成（服务期满）后的服务承诺</w:t>
      </w:r>
    </w:p>
    <w:p w14:paraId="4FDA432A">
      <w:pPr>
        <w:spacing w:beforeLines="25" w:afterLines="25"/>
        <w:ind w:firstLine="991" w:firstLineChars="472"/>
        <w:rPr>
          <w:rFonts w:hint="eastAsia" w:ascii="宋体" w:hAnsi="宋体" w:cs="宋体"/>
          <w:szCs w:val="21"/>
        </w:rPr>
      </w:pPr>
      <w:r>
        <w:rPr>
          <w:rFonts w:hint="eastAsia" w:ascii="宋体" w:hAnsi="宋体"/>
          <w:szCs w:val="21"/>
          <w:lang w:eastAsia="zh-CN"/>
        </w:rPr>
        <w:t>（</w:t>
      </w:r>
      <w:r>
        <w:rPr>
          <w:rFonts w:hint="eastAsia" w:ascii="宋体" w:hAnsi="宋体"/>
          <w:szCs w:val="21"/>
          <w:lang w:val="en-US" w:eastAsia="zh-CN"/>
        </w:rPr>
        <w:t>18</w:t>
      </w:r>
      <w:r>
        <w:rPr>
          <w:rFonts w:hint="eastAsia" w:ascii="宋体" w:hAnsi="宋体"/>
          <w:szCs w:val="21"/>
          <w:lang w:eastAsia="zh-CN"/>
        </w:rPr>
        <w:t>）</w:t>
      </w:r>
      <w:r>
        <w:rPr>
          <w:rFonts w:hint="eastAsia" w:ascii="宋体" w:hAnsi="宋体" w:cs="宋体"/>
          <w:szCs w:val="21"/>
        </w:rPr>
        <w:t>违约承诺</w:t>
      </w:r>
    </w:p>
    <w:p w14:paraId="5BEFA695">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19</w:t>
      </w:r>
      <w:r>
        <w:rPr>
          <w:rFonts w:hint="eastAsia" w:ascii="宋体" w:hAnsi="宋体" w:cs="宋体"/>
          <w:szCs w:val="21"/>
          <w:lang w:eastAsia="zh-CN"/>
        </w:rPr>
        <w:t>）</w:t>
      </w:r>
      <w:r>
        <w:rPr>
          <w:rFonts w:hint="eastAsia" w:ascii="宋体" w:hAnsi="宋体" w:cs="宋体"/>
          <w:szCs w:val="21"/>
        </w:rPr>
        <w:t>拟安排的项目负责人情况（仅限一人）</w:t>
      </w:r>
    </w:p>
    <w:p w14:paraId="22A5F90A">
      <w:pPr>
        <w:spacing w:beforeLines="25" w:afterLines="25"/>
        <w:ind w:firstLine="991" w:firstLineChars="472"/>
        <w:rPr>
          <w:rFonts w:asciiTheme="minorEastAsia" w:hAnsiTheme="minorEastAsia" w:eastAsiaTheme="minorEastAsia"/>
          <w:szCs w:val="21"/>
        </w:rPr>
      </w:pPr>
      <w:r>
        <w:rPr>
          <w:rFonts w:hint="eastAsia" w:ascii="宋体" w:hAnsi="宋体"/>
          <w:szCs w:val="21"/>
        </w:rPr>
        <w:t>（</w:t>
      </w:r>
      <w:r>
        <w:rPr>
          <w:rFonts w:hint="eastAsia" w:ascii="宋体" w:hAnsi="宋体"/>
          <w:szCs w:val="21"/>
          <w:lang w:val="en-US" w:eastAsia="zh-CN"/>
        </w:rPr>
        <w:t>22</w:t>
      </w:r>
      <w:r>
        <w:rPr>
          <w:rFonts w:hint="eastAsia" w:ascii="宋体" w:hAnsi="宋体"/>
          <w:szCs w:val="21"/>
        </w:rPr>
        <w:t>）</w:t>
      </w:r>
      <w:r>
        <w:rPr>
          <w:rFonts w:hint="eastAsia" w:ascii="宋体" w:hAnsi="宋体" w:cs="宋体"/>
          <w:szCs w:val="21"/>
        </w:rPr>
        <w:t>供应商同类项目业绩情况</w:t>
      </w:r>
    </w:p>
    <w:p w14:paraId="2F742266">
      <w:pPr>
        <w:spacing w:beforeLines="25" w:afterLines="25"/>
        <w:ind w:firstLine="991" w:firstLineChars="472"/>
        <w:rPr>
          <w:rFonts w:hint="eastAsia" w:ascii="宋体" w:hAnsi="宋体" w:cs="宋体"/>
          <w:szCs w:val="21"/>
        </w:rPr>
      </w:pPr>
      <w:r>
        <w:rPr>
          <w:rFonts w:hint="eastAsia" w:ascii="宋体" w:hAnsi="宋体"/>
          <w:szCs w:val="21"/>
          <w:lang w:eastAsia="zh-CN"/>
        </w:rPr>
        <w:t>（</w:t>
      </w:r>
      <w:r>
        <w:rPr>
          <w:rFonts w:hint="eastAsia" w:ascii="宋体" w:hAnsi="宋体"/>
          <w:szCs w:val="21"/>
          <w:lang w:val="en-US" w:eastAsia="zh-CN"/>
        </w:rPr>
        <w:t>20</w:t>
      </w:r>
      <w:r>
        <w:rPr>
          <w:rFonts w:hint="eastAsia" w:ascii="宋体" w:hAnsi="宋体"/>
          <w:szCs w:val="21"/>
          <w:lang w:eastAsia="zh-CN"/>
        </w:rPr>
        <w:t>）</w:t>
      </w:r>
      <w:r>
        <w:rPr>
          <w:rFonts w:hint="eastAsia" w:ascii="宋体" w:hAnsi="宋体" w:cs="宋体"/>
          <w:szCs w:val="21"/>
        </w:rPr>
        <w:t>拟安排的项目主要团队成员（主要技术人员）情况（项目负责人除外）</w:t>
      </w:r>
    </w:p>
    <w:p w14:paraId="16B1F28E">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21</w:t>
      </w:r>
      <w:r>
        <w:rPr>
          <w:rFonts w:hint="eastAsia" w:ascii="宋体" w:hAnsi="宋体" w:cs="宋体"/>
          <w:szCs w:val="21"/>
          <w:lang w:eastAsia="zh-CN"/>
        </w:rPr>
        <w:t>）</w:t>
      </w:r>
      <w:r>
        <w:rPr>
          <w:rFonts w:hint="eastAsia" w:ascii="宋体" w:hAnsi="宋体" w:cs="宋体"/>
          <w:szCs w:val="21"/>
        </w:rPr>
        <w:t>供应商同类项目业绩情况</w:t>
      </w:r>
    </w:p>
    <w:p w14:paraId="67AEE60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22</w:t>
      </w:r>
      <w:r>
        <w:rPr>
          <w:rFonts w:hint="eastAsia" w:ascii="宋体" w:hAnsi="宋体"/>
          <w:szCs w:val="21"/>
        </w:rPr>
        <w:t>）招标文件要求的其它内容或投标人认为需要补充的资料</w:t>
      </w:r>
    </w:p>
    <w:p w14:paraId="3F4D7487">
      <w:pPr>
        <w:spacing w:beforeLines="25" w:afterLines="25"/>
        <w:rPr>
          <w:rFonts w:ascii="宋体" w:hAnsi="宋体"/>
          <w:szCs w:val="21"/>
        </w:rPr>
      </w:pPr>
    </w:p>
    <w:p w14:paraId="1A2F37B6">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14:paraId="37B3C815">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14:paraId="67D01F29">
      <w:pPr>
        <w:widowControl/>
        <w:ind w:firstLine="487" w:firstLineChars="202"/>
        <w:jc w:val="left"/>
        <w:rPr>
          <w:rFonts w:hint="eastAsia"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14:paraId="15F0FFC8">
      <w:pPr>
        <w:widowControl/>
        <w:jc w:val="left"/>
        <w:rPr>
          <w:rFonts w:hint="default" w:ascii="宋体" w:hAnsi="宋体" w:eastAsiaTheme="minorEastAsia"/>
          <w:b/>
          <w:color w:val="FF0000"/>
          <w:kern w:val="0"/>
          <w:sz w:val="24"/>
          <w:szCs w:val="21"/>
          <w:lang w:val="en-US" w:eastAsia="zh-CN"/>
        </w:rPr>
      </w:pPr>
    </w:p>
    <w:p w14:paraId="2910E1B1">
      <w:pPr>
        <w:widowControl/>
        <w:jc w:val="left"/>
        <w:rPr>
          <w:rFonts w:ascii="宋体" w:hAnsi="宋体"/>
          <w:szCs w:val="21"/>
        </w:rPr>
      </w:pPr>
      <w:r>
        <w:rPr>
          <w:rFonts w:ascii="宋体" w:hAnsi="宋体"/>
          <w:szCs w:val="21"/>
        </w:rPr>
        <w:br w:type="page"/>
      </w:r>
    </w:p>
    <w:p w14:paraId="73223F12">
      <w:pPr>
        <w:pStyle w:val="3"/>
        <w:spacing w:before="120" w:after="120"/>
        <w:jc w:val="center"/>
        <w:rPr>
          <w:rFonts w:hint="eastAsia" w:ascii="宋体" w:hAnsi="宋体" w:eastAsia="宋体" w:cs="宋体"/>
          <w:bCs w:val="0"/>
          <w:sz w:val="28"/>
          <w:szCs w:val="28"/>
        </w:rPr>
      </w:pPr>
      <w:r>
        <w:rPr>
          <w:rFonts w:hint="eastAsia" w:ascii="宋体" w:hAnsi="宋体" w:eastAsia="宋体" w:cs="宋体"/>
          <w:bCs w:val="0"/>
          <w:sz w:val="28"/>
          <w:szCs w:val="28"/>
          <w:lang w:eastAsia="zh-CN"/>
        </w:rPr>
        <w:t>温馨提示</w:t>
      </w:r>
    </w:p>
    <w:p w14:paraId="606C5E3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p>
    <w:p w14:paraId="5C9AA8BE">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eastAsia="zh-CN"/>
        </w:rPr>
        <w:t>、投标（响应）文件必须在提交投标（响应）文件截止时间前上传，并在规定时间内完成在线解密。为避免因系统拥堵影响文件上传或解密，导致失去投标（响应）资格，建议</w:t>
      </w:r>
      <w:r>
        <w:rPr>
          <w:rFonts w:hint="eastAsia" w:ascii="宋体" w:hAnsi="宋体" w:eastAsia="宋体" w:cs="宋体"/>
          <w:b/>
          <w:bCs/>
          <w:sz w:val="21"/>
          <w:szCs w:val="21"/>
          <w:u w:val="single"/>
          <w:lang w:eastAsia="zh-CN"/>
        </w:rPr>
        <w:t>适当提前上传文件，尽早登陆系统解密</w:t>
      </w:r>
      <w:r>
        <w:rPr>
          <w:rFonts w:hint="eastAsia" w:ascii="宋体" w:hAnsi="宋体" w:eastAsia="宋体" w:cs="宋体"/>
          <w:sz w:val="21"/>
          <w:szCs w:val="21"/>
          <w:highlight w:val="none"/>
        </w:rPr>
        <w:t>。</w:t>
      </w:r>
    </w:p>
    <w:p w14:paraId="4C33976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2、分项报价表中的各子项单价金额×数量应等同于单项汇总金额，单项汇总金额的合计金额应等同于投标（响应）总价，并与开标一览表的投标报价相同。请仔细阅读采购文件中的投标（响应）报价要求，</w:t>
      </w:r>
      <w:r>
        <w:rPr>
          <w:rFonts w:hint="eastAsia" w:ascii="宋体" w:hAnsi="宋体" w:eastAsia="宋体" w:cs="宋体"/>
          <w:b/>
          <w:bCs/>
          <w:sz w:val="21"/>
          <w:szCs w:val="21"/>
          <w:u w:val="single"/>
          <w:lang w:val="en-US" w:eastAsia="zh-CN"/>
        </w:rPr>
        <w:t>严格按照报价要求进行报价响应</w:t>
      </w:r>
      <w:r>
        <w:rPr>
          <w:rFonts w:hint="eastAsia" w:ascii="宋体" w:hAnsi="宋体" w:eastAsia="宋体" w:cs="宋体"/>
          <w:sz w:val="21"/>
          <w:szCs w:val="21"/>
          <w:lang w:val="en-US" w:eastAsia="zh-CN"/>
        </w:rPr>
        <w:t>。</w:t>
      </w:r>
    </w:p>
    <w:p w14:paraId="73F1552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i w:val="0"/>
          <w:iCs w:val="0"/>
          <w:caps w:val="0"/>
          <w:color w:val="000000"/>
          <w:spacing w:val="0"/>
          <w:sz w:val="21"/>
          <w:szCs w:val="21"/>
          <w:u w:val="none"/>
          <w:shd w:val="clear" w:fill="FFFFFF"/>
          <w:vertAlign w:val="baseline"/>
          <w:lang w:eastAsia="zh-CN"/>
        </w:rPr>
      </w:pPr>
      <w:r>
        <w:rPr>
          <w:rFonts w:hint="eastAsia" w:ascii="宋体" w:hAnsi="宋体" w:eastAsia="宋体" w:cs="宋体"/>
          <w:sz w:val="21"/>
          <w:szCs w:val="21"/>
          <w:lang w:val="en-US" w:eastAsia="zh-CN"/>
        </w:rPr>
        <w:t>3、投标（响应）文件中的投标函、承诺函、声明函（含《中小企业声明函》、《关于符合本国产品标准的声明函》等）应按要求填写完整、规范。请仔细检查</w:t>
      </w:r>
      <w:r>
        <w:rPr>
          <w:rFonts w:hint="eastAsia" w:ascii="宋体" w:hAnsi="宋体" w:eastAsia="宋体" w:cs="宋体"/>
          <w:b/>
          <w:bCs/>
          <w:sz w:val="21"/>
          <w:szCs w:val="21"/>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eastAsia="宋体" w:cs="宋体"/>
          <w:b/>
          <w:bCs/>
          <w:i w:val="0"/>
          <w:iCs w:val="0"/>
          <w:caps w:val="0"/>
          <w:color w:val="000000"/>
          <w:spacing w:val="0"/>
          <w:sz w:val="21"/>
          <w:szCs w:val="21"/>
          <w:u w:val="single"/>
          <w:shd w:val="clear" w:fill="FFFFFF"/>
          <w:vertAlign w:val="baseline"/>
          <w:lang w:eastAsia="zh-CN"/>
        </w:rPr>
        <w:t>名、</w:t>
      </w:r>
      <w:r>
        <w:rPr>
          <w:rStyle w:val="48"/>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48"/>
          <w:rFonts w:hint="eastAsia" w:ascii="宋体" w:hAnsi="宋体" w:eastAsia="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宋体" w:hAnsi="宋体" w:eastAsia="宋体" w:cs="宋体"/>
          <w:b/>
          <w:bCs/>
          <w:sz w:val="21"/>
          <w:szCs w:val="21"/>
          <w:u w:val="single"/>
          <w:lang w:val="en-US" w:eastAsia="zh-CN"/>
        </w:rPr>
        <w:t>中小微企业类型的选择是否符合相关行业划分标准</w:t>
      </w:r>
      <w:r>
        <w:rPr>
          <w:rStyle w:val="48"/>
          <w:rFonts w:hint="eastAsia" w:ascii="宋体" w:hAnsi="宋体" w:eastAsia="宋体" w:cs="宋体"/>
          <w:i w:val="0"/>
          <w:iCs w:val="0"/>
          <w:caps w:val="0"/>
          <w:color w:val="000000"/>
          <w:spacing w:val="0"/>
          <w:sz w:val="21"/>
          <w:szCs w:val="21"/>
          <w:u w:val="none"/>
          <w:shd w:val="clear" w:fill="FFFFFF"/>
          <w:vertAlign w:val="baseline"/>
          <w:lang w:eastAsia="zh-CN"/>
        </w:rPr>
        <w:t>。</w:t>
      </w:r>
    </w:p>
    <w:p w14:paraId="1205262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4、请仔细阅读采购文件中关于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资格性、符合性审查条款</w:t>
      </w: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0E853E6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5、请如实填写《供应商基本情况表》中的人员情况和关联关系情况，并按要求（如有）提供社保、股权或管理关系证明材料</w:t>
      </w:r>
      <w:r>
        <w:rPr>
          <w:rFonts w:hint="eastAsia" w:ascii="宋体" w:hAnsi="宋体" w:eastAsia="宋体" w:cs="宋体"/>
          <w:b w:val="0"/>
          <w:bCs w:val="0"/>
          <w:sz w:val="21"/>
          <w:szCs w:val="21"/>
          <w:lang w:eastAsia="zh-CN"/>
        </w:rPr>
        <w:t>，无法提供社保证明的，应按要求提供情况说明。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eastAsia="宋体" w:cs="宋体"/>
          <w:b/>
          <w:bCs/>
          <w:sz w:val="21"/>
          <w:szCs w:val="21"/>
          <w:u w:val="single"/>
          <w:lang w:eastAsia="zh-CN"/>
        </w:rPr>
        <w:t>人员和关联关系情况应与证明材料相符</w:t>
      </w:r>
      <w:r>
        <w:rPr>
          <w:rFonts w:hint="eastAsia" w:ascii="宋体" w:hAnsi="宋体" w:eastAsia="宋体" w:cs="宋体"/>
          <w:b w:val="0"/>
          <w:bCs w:val="0"/>
          <w:sz w:val="21"/>
          <w:szCs w:val="21"/>
          <w:lang w:eastAsia="zh-CN"/>
        </w:rPr>
        <w:t>。</w:t>
      </w:r>
    </w:p>
    <w:p w14:paraId="655981B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eastAsia="zh-CN"/>
        </w:rPr>
      </w:pPr>
      <w:r>
        <w:rPr>
          <w:rFonts w:hint="eastAsia" w:ascii="宋体" w:hAnsi="宋体" w:eastAsia="宋体" w:cs="宋体"/>
          <w:b w:val="0"/>
          <w:bCs w:val="0"/>
          <w:sz w:val="21"/>
          <w:szCs w:val="21"/>
          <w:lang w:val="en-US" w:eastAsia="zh-CN"/>
        </w:rPr>
        <w:t>6、</w:t>
      </w:r>
      <w:r>
        <w:rPr>
          <w:rFonts w:hint="eastAsia" w:ascii="宋体" w:hAnsi="宋体" w:eastAsia="宋体" w:cs="宋体"/>
          <w:snapToGrid w:val="0"/>
          <w:kern w:val="0"/>
          <w:sz w:val="21"/>
          <w:szCs w:val="21"/>
          <w:lang w:eastAsia="zh-CN"/>
        </w:rPr>
        <w:t>属于</w:t>
      </w:r>
      <w:r>
        <w:rPr>
          <w:rFonts w:hint="eastAsia" w:ascii="宋体" w:hAnsi="宋体" w:eastAsia="宋体" w:cs="宋体"/>
          <w:b/>
          <w:bCs/>
          <w:snapToGrid w:val="0"/>
          <w:kern w:val="0"/>
          <w:sz w:val="21"/>
          <w:szCs w:val="21"/>
          <w:u w:val="single"/>
          <w:lang w:eastAsia="zh-CN"/>
        </w:rPr>
        <w:t>异常低价</w:t>
      </w:r>
      <w:r>
        <w:rPr>
          <w:rFonts w:hint="eastAsia" w:ascii="宋体" w:hAnsi="宋体" w:eastAsia="宋体" w:cs="宋体"/>
          <w:b/>
          <w:bCs/>
          <w:snapToGrid w:val="0"/>
          <w:kern w:val="0"/>
          <w:sz w:val="21"/>
          <w:szCs w:val="21"/>
          <w:u w:val="single"/>
        </w:rPr>
        <w:t>审查</w:t>
      </w:r>
      <w:r>
        <w:rPr>
          <w:rFonts w:hint="eastAsia" w:ascii="宋体" w:hAnsi="宋体" w:eastAsia="宋体" w:cs="宋体"/>
          <w:b/>
          <w:bCs/>
          <w:snapToGrid w:val="0"/>
          <w:kern w:val="0"/>
          <w:sz w:val="21"/>
          <w:szCs w:val="21"/>
          <w:u w:val="single"/>
          <w:lang w:eastAsia="zh-CN"/>
        </w:rPr>
        <w:t>第3项情形</w:t>
      </w:r>
      <w:r>
        <w:rPr>
          <w:rFonts w:hint="eastAsia" w:ascii="宋体" w:hAnsi="宋体" w:eastAsia="宋体" w:cs="宋体"/>
          <w:snapToGrid w:val="0"/>
          <w:kern w:val="0"/>
          <w:sz w:val="21"/>
          <w:szCs w:val="21"/>
          <w:lang w:eastAsia="zh-CN"/>
        </w:rPr>
        <w:t>的，建议随投标（响应）文件一并提交报价相关书面说明及必要的证明材料。</w:t>
      </w:r>
    </w:p>
    <w:p w14:paraId="42D0284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val="en-US" w:eastAsia="zh-CN"/>
        </w:rPr>
      </w:pPr>
    </w:p>
    <w:p w14:paraId="3718E75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（以上提示内容为编制投标/响应文件的常规提醒，如与采购文件具体要求存在不一致或矛盾之处，以采购文件具体要求为准。）</w:t>
      </w:r>
    </w:p>
    <w:p w14:paraId="095349E5">
      <w:pPr>
        <w:rPr>
          <w:rFonts w:hint="eastAsia" w:ascii="仿宋_GB2312" w:hAnsi="Times New Roman" w:eastAsia="仿宋_GB2312"/>
          <w:b/>
          <w:color w:val="FF0000"/>
          <w:sz w:val="30"/>
          <w:szCs w:val="30"/>
        </w:rPr>
      </w:pPr>
      <w:r>
        <w:rPr>
          <w:rFonts w:hint="eastAsia" w:ascii="仿宋_GB2312" w:hAnsi="Times New Roman" w:eastAsia="仿宋_GB2312"/>
          <w:b/>
          <w:color w:val="FF0000"/>
          <w:sz w:val="30"/>
          <w:szCs w:val="30"/>
        </w:rPr>
        <w:br w:type="page"/>
      </w:r>
    </w:p>
    <w:p w14:paraId="5DB6F7A1">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2046BB6F">
      <w:pPr>
        <w:pStyle w:val="3"/>
        <w:jc w:val="center"/>
        <w:rPr>
          <w:rFonts w:ascii="黑体" w:eastAsia="黑体"/>
          <w:b w:val="0"/>
          <w:sz w:val="24"/>
        </w:rPr>
      </w:pPr>
      <w:r>
        <w:rPr>
          <w:rFonts w:hint="eastAsia" w:ascii="黑体" w:eastAsia="黑体"/>
          <w:b w:val="0"/>
          <w:sz w:val="24"/>
        </w:rPr>
        <w:t>一、投标函</w:t>
      </w:r>
    </w:p>
    <w:p w14:paraId="43B4EC3D">
      <w:pPr>
        <w:spacing w:line="360" w:lineRule="auto"/>
        <w:rPr>
          <w:rFonts w:ascii="宋体" w:hAnsi="宋体"/>
          <w:szCs w:val="21"/>
        </w:rPr>
      </w:pPr>
      <w:r>
        <w:rPr>
          <w:rFonts w:hint="eastAsia" w:ascii="宋体" w:hAnsi="宋体"/>
          <w:szCs w:val="21"/>
        </w:rPr>
        <w:t xml:space="preserve">深圳市中正招标有限公司：  </w:t>
      </w:r>
    </w:p>
    <w:p w14:paraId="3845FF17">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5ED141A8">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6562E10A">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3C8A6ECF">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562B8B4F">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3E410A47">
      <w:pPr>
        <w:spacing w:afterLines="50"/>
        <w:ind w:firstLine="411" w:firstLineChars="196"/>
        <w:rPr>
          <w:rFonts w:ascii="宋体" w:hAnsi="宋体"/>
          <w:szCs w:val="21"/>
        </w:rPr>
      </w:pPr>
      <w:r>
        <w:rPr>
          <w:rFonts w:hint="eastAsia" w:ascii="宋体" w:hAnsi="宋体"/>
          <w:szCs w:val="21"/>
        </w:rPr>
        <w:t>6.</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0DC4582">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729077FF">
      <w:pPr>
        <w:ind w:left="540" w:leftChars="257"/>
        <w:rPr>
          <w:szCs w:val="21"/>
          <w:u w:val="single"/>
        </w:rPr>
      </w:pPr>
      <w:r>
        <w:rPr>
          <w:rFonts w:hint="eastAsia"/>
          <w:szCs w:val="21"/>
        </w:rPr>
        <w:t>法定代表人或其委托代理人：</w:t>
      </w:r>
      <w:r>
        <w:rPr>
          <w:rFonts w:hint="eastAsia"/>
          <w:szCs w:val="21"/>
          <w:u w:val="single"/>
        </w:rPr>
        <w:t xml:space="preserve">                   </w:t>
      </w:r>
    </w:p>
    <w:p w14:paraId="4D8815CC">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656A4EC6">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0F194206">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62BCD21">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26402D93">
      <w:pPr>
        <w:ind w:firstLine="616" w:firstLineChars="257"/>
        <w:rPr>
          <w:sz w:val="24"/>
        </w:rPr>
      </w:pPr>
    </w:p>
    <w:p w14:paraId="34E972C0">
      <w:pPr>
        <w:rPr>
          <w:rFonts w:ascii="宋体" w:hAnsi="宋体"/>
          <w:szCs w:val="21"/>
        </w:rPr>
      </w:pPr>
      <w:r>
        <w:rPr>
          <w:rFonts w:hint="eastAsia"/>
          <w:szCs w:val="21"/>
          <w:u w:val="single"/>
        </w:rPr>
        <w:t>（备注：如联合体投标，投标人一栏仅需填写牵头人的名称）</w:t>
      </w:r>
    </w:p>
    <w:p w14:paraId="299A281E">
      <w:pPr>
        <w:ind w:firstLine="616" w:firstLineChars="257"/>
        <w:rPr>
          <w:sz w:val="24"/>
        </w:rPr>
      </w:pPr>
      <w:r>
        <w:rPr>
          <w:rFonts w:hint="eastAsia"/>
          <w:sz w:val="24"/>
        </w:rPr>
        <w:t xml:space="preserve">                          </w:t>
      </w:r>
    </w:p>
    <w:p w14:paraId="09C5103E">
      <w:pPr>
        <w:pStyle w:val="3"/>
        <w:jc w:val="center"/>
        <w:rPr>
          <w:rFonts w:ascii="黑体" w:eastAsia="黑体"/>
          <w:b w:val="0"/>
          <w:sz w:val="24"/>
        </w:rPr>
      </w:pPr>
      <w:r>
        <w:rPr>
          <w:rFonts w:hint="eastAsia" w:ascii="黑体" w:eastAsia="黑体"/>
          <w:b w:val="0"/>
          <w:sz w:val="24"/>
        </w:rPr>
        <w:t>二、资格响应文件</w:t>
      </w:r>
    </w:p>
    <w:p w14:paraId="77D1884A">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3682A00F">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4BF55C75">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3BF78E79">
      <w:pPr>
        <w:rPr>
          <w:szCs w:val="21"/>
          <w:u w:val="single"/>
        </w:rPr>
      </w:pPr>
    </w:p>
    <w:p w14:paraId="555AF857">
      <w:pPr>
        <w:rPr>
          <w:rFonts w:ascii="宋体" w:hAnsi="宋体"/>
          <w:szCs w:val="21"/>
        </w:rPr>
      </w:pPr>
      <w:r>
        <w:rPr>
          <w:rFonts w:hint="eastAsia"/>
          <w:szCs w:val="21"/>
          <w:u w:val="single"/>
        </w:rPr>
        <w:t>（备注：如联合体投标，联合体各方均应按要求提供资格响应文件）</w:t>
      </w:r>
    </w:p>
    <w:p w14:paraId="45D8CCA3">
      <w:pPr>
        <w:pStyle w:val="3"/>
        <w:jc w:val="center"/>
        <w:rPr>
          <w:rFonts w:ascii="黑体" w:eastAsia="黑体"/>
          <w:b w:val="0"/>
          <w:sz w:val="24"/>
        </w:rPr>
      </w:pPr>
    </w:p>
    <w:p w14:paraId="130CC16D">
      <w:pPr>
        <w:pStyle w:val="3"/>
        <w:jc w:val="center"/>
        <w:rPr>
          <w:rFonts w:ascii="黑体" w:eastAsia="黑体"/>
          <w:b w:val="0"/>
          <w:sz w:val="24"/>
        </w:rPr>
      </w:pPr>
      <w:r>
        <w:rPr>
          <w:rFonts w:hint="eastAsia" w:ascii="黑体" w:eastAsia="黑体"/>
          <w:b w:val="0"/>
          <w:sz w:val="24"/>
        </w:rPr>
        <w:t>政府采购投标及履约承诺函</w:t>
      </w:r>
    </w:p>
    <w:p w14:paraId="1969B0FE">
      <w:pPr>
        <w:rPr>
          <w:rFonts w:ascii="宋体" w:hAnsi="宋体"/>
          <w:szCs w:val="21"/>
        </w:rPr>
      </w:pPr>
      <w:r>
        <w:rPr>
          <w:rFonts w:hint="eastAsia" w:ascii="宋体" w:hAnsi="宋体"/>
          <w:szCs w:val="21"/>
        </w:rPr>
        <w:t>深圳市中正招标有限公司：</w:t>
      </w:r>
    </w:p>
    <w:p w14:paraId="4F1B9F86">
      <w:pPr>
        <w:ind w:right="-815" w:firstLine="420" w:firstLineChars="200"/>
        <w:rPr>
          <w:rFonts w:ascii="宋体" w:hAnsi="宋体"/>
          <w:szCs w:val="21"/>
        </w:rPr>
      </w:pPr>
      <w:r>
        <w:rPr>
          <w:rFonts w:hint="eastAsia" w:ascii="宋体" w:hAnsi="宋体"/>
          <w:szCs w:val="21"/>
        </w:rPr>
        <w:t>我单位承诺：</w:t>
      </w:r>
    </w:p>
    <w:p w14:paraId="5CCABA37">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408A5231">
      <w:pPr>
        <w:ind w:firstLine="424" w:firstLineChars="202"/>
        <w:rPr>
          <w:rFonts w:ascii="宋体" w:hAnsi="宋体"/>
          <w:szCs w:val="21"/>
        </w:rPr>
      </w:pPr>
      <w:r>
        <w:rPr>
          <w:rFonts w:hint="eastAsia" w:ascii="宋体" w:hAnsi="宋体"/>
          <w:szCs w:val="21"/>
        </w:rPr>
        <w:t>（一）具有独立承担民事责任的能力；</w:t>
      </w:r>
    </w:p>
    <w:p w14:paraId="7D8CD6E5">
      <w:pPr>
        <w:ind w:firstLine="424" w:firstLineChars="202"/>
        <w:rPr>
          <w:rFonts w:ascii="宋体" w:hAnsi="宋体"/>
          <w:szCs w:val="21"/>
        </w:rPr>
      </w:pPr>
      <w:r>
        <w:rPr>
          <w:rFonts w:hint="eastAsia" w:ascii="宋体" w:hAnsi="宋体"/>
          <w:szCs w:val="21"/>
        </w:rPr>
        <w:t>（二）具有良好的商业信誉和健全的财务会计制度；</w:t>
      </w:r>
    </w:p>
    <w:p w14:paraId="4F81C04F">
      <w:pPr>
        <w:ind w:firstLine="424" w:firstLineChars="202"/>
        <w:rPr>
          <w:rFonts w:ascii="宋体" w:hAnsi="宋体"/>
          <w:szCs w:val="21"/>
        </w:rPr>
      </w:pPr>
      <w:r>
        <w:rPr>
          <w:rFonts w:hint="eastAsia" w:ascii="宋体" w:hAnsi="宋体"/>
          <w:szCs w:val="21"/>
        </w:rPr>
        <w:t>（三）具有履行合同所必需的设备和专业技术能力；</w:t>
      </w:r>
    </w:p>
    <w:p w14:paraId="2AC3D777">
      <w:pPr>
        <w:ind w:firstLine="424" w:firstLineChars="202"/>
        <w:rPr>
          <w:rFonts w:ascii="宋体" w:hAnsi="宋体"/>
          <w:szCs w:val="21"/>
        </w:rPr>
      </w:pPr>
      <w:r>
        <w:rPr>
          <w:rFonts w:hint="eastAsia" w:ascii="宋体" w:hAnsi="宋体"/>
          <w:szCs w:val="21"/>
        </w:rPr>
        <w:t>（四）有依法缴纳税收和社会保障资金的良好记录；</w:t>
      </w:r>
    </w:p>
    <w:p w14:paraId="530B2CAD">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536227FB">
      <w:pPr>
        <w:ind w:firstLine="424" w:firstLineChars="202"/>
        <w:rPr>
          <w:rFonts w:ascii="宋体" w:hAnsi="宋体"/>
          <w:szCs w:val="21"/>
        </w:rPr>
      </w:pPr>
      <w:r>
        <w:rPr>
          <w:rFonts w:hint="eastAsia" w:ascii="宋体" w:hAnsi="宋体"/>
          <w:szCs w:val="21"/>
        </w:rPr>
        <w:t>（六）法律、行政法规规定的其他条件。</w:t>
      </w:r>
    </w:p>
    <w:p w14:paraId="2CD2304C">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0C72AE87">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17E65F1E">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06126ADC">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7ED9D5B1">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619DFACC">
      <w:pPr>
        <w:ind w:firstLine="424" w:firstLineChars="202"/>
        <w:rPr>
          <w:rFonts w:ascii="宋体" w:hAnsi="宋体"/>
          <w:szCs w:val="21"/>
        </w:rPr>
      </w:pPr>
      <w:r>
        <w:rPr>
          <w:rFonts w:hint="eastAsia" w:ascii="宋体" w:hAnsi="宋体"/>
          <w:szCs w:val="21"/>
        </w:rPr>
        <w:t>（1）投标供应商之间相互约定给予未中标的供应商利益补偿；</w:t>
      </w:r>
    </w:p>
    <w:p w14:paraId="5786C11C">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45A70485">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3819C5A6">
      <w:pPr>
        <w:ind w:firstLine="424" w:firstLineChars="202"/>
        <w:rPr>
          <w:rFonts w:ascii="宋体" w:hAnsi="宋体"/>
          <w:szCs w:val="21"/>
        </w:rPr>
      </w:pPr>
      <w:r>
        <w:rPr>
          <w:rFonts w:hint="eastAsia" w:ascii="宋体" w:hAnsi="宋体"/>
          <w:szCs w:val="21"/>
        </w:rPr>
        <w:t>（4）不同投标供应商的投标文件或部分投标文件相互混装；</w:t>
      </w:r>
    </w:p>
    <w:p w14:paraId="0AE9816F">
      <w:pPr>
        <w:ind w:firstLine="424" w:firstLineChars="202"/>
        <w:rPr>
          <w:rFonts w:ascii="宋体" w:hAnsi="宋体"/>
          <w:szCs w:val="21"/>
        </w:rPr>
      </w:pPr>
      <w:r>
        <w:rPr>
          <w:rFonts w:hint="eastAsia" w:ascii="宋体" w:hAnsi="宋体"/>
          <w:szCs w:val="21"/>
        </w:rPr>
        <w:t>（5）不同投标供应商的投标文件内容存在非正常一致；</w:t>
      </w:r>
    </w:p>
    <w:p w14:paraId="63115EDB">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28FF3C24">
      <w:pPr>
        <w:ind w:firstLine="424" w:firstLineChars="202"/>
        <w:rPr>
          <w:rFonts w:ascii="宋体" w:hAnsi="宋体"/>
          <w:szCs w:val="21"/>
        </w:rPr>
      </w:pPr>
      <w:r>
        <w:rPr>
          <w:rFonts w:hint="eastAsia" w:ascii="宋体" w:hAnsi="宋体"/>
          <w:szCs w:val="21"/>
        </w:rPr>
        <w:t>（7）主管部门依照法律、法规认定的其他情形。</w:t>
      </w:r>
    </w:p>
    <w:p w14:paraId="44B7727F">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1CC992F4">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C412388">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4899F1E8">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3589829C">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5AC91396">
      <w:pPr>
        <w:ind w:firstLine="424" w:firstLineChars="202"/>
        <w:rPr>
          <w:rFonts w:ascii="宋体" w:hAnsi="宋体"/>
          <w:szCs w:val="21"/>
        </w:rPr>
      </w:pPr>
    </w:p>
    <w:p w14:paraId="57E28D84">
      <w:pPr>
        <w:jc w:val="center"/>
      </w:pPr>
      <w:r>
        <w:rPr>
          <w:rFonts w:hint="eastAsia"/>
          <w:szCs w:val="21"/>
        </w:rPr>
        <w:t xml:space="preserve">                             投标人：</w:t>
      </w:r>
    </w:p>
    <w:p w14:paraId="74CDBB49">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4169A2C">
      <w:pPr>
        <w:ind w:firstLine="424" w:firstLineChars="202"/>
        <w:rPr>
          <w:rFonts w:ascii="宋体" w:hAnsi="宋体"/>
          <w:szCs w:val="21"/>
        </w:rPr>
      </w:pPr>
    </w:p>
    <w:p w14:paraId="4F92FF2A"/>
    <w:p w14:paraId="2B11D7A0">
      <w:pPr>
        <w:rPr>
          <w:rFonts w:ascii="宋体" w:hAnsi="宋体"/>
          <w:szCs w:val="21"/>
        </w:rPr>
      </w:pPr>
      <w:r>
        <w:rPr>
          <w:rFonts w:hint="eastAsia"/>
          <w:szCs w:val="21"/>
          <w:u w:val="single"/>
        </w:rPr>
        <w:t>（备注：如联合体投标，投标人一栏需填写联合体各方的名称）</w:t>
      </w:r>
    </w:p>
    <w:p w14:paraId="5443D70D"/>
    <w:p w14:paraId="6A7FC14E">
      <w:pPr>
        <w:ind w:firstLine="420" w:firstLineChars="200"/>
        <w:rPr>
          <w:rFonts w:cs="Courier New"/>
          <w:snapToGrid w:val="0"/>
          <w:szCs w:val="18"/>
        </w:rPr>
      </w:pPr>
    </w:p>
    <w:p w14:paraId="54E502E6">
      <w:pPr>
        <w:pStyle w:val="3"/>
        <w:jc w:val="center"/>
        <w:rPr>
          <w:rFonts w:ascii="黑体" w:eastAsia="黑体"/>
          <w:b w:val="0"/>
          <w:sz w:val="24"/>
        </w:rPr>
      </w:pPr>
      <w:r>
        <w:rPr>
          <w:rFonts w:hint="eastAsia" w:ascii="黑体" w:eastAsia="黑体"/>
          <w:b w:val="0"/>
          <w:sz w:val="24"/>
        </w:rPr>
        <w:t>三、投标人情况介绍</w:t>
      </w:r>
    </w:p>
    <w:p w14:paraId="24EFBBC9">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4D67CF5A">
      <w:pPr>
        <w:ind w:left="632" w:hanging="632" w:hangingChars="300"/>
        <w:rPr>
          <w:b/>
          <w:bCs/>
        </w:rPr>
      </w:pPr>
    </w:p>
    <w:p w14:paraId="7A37D742">
      <w:pPr>
        <w:rPr>
          <w:rFonts w:ascii="宋体" w:hAnsi="宋体"/>
          <w:szCs w:val="21"/>
        </w:rPr>
      </w:pPr>
      <w:r>
        <w:rPr>
          <w:rFonts w:hint="eastAsia"/>
          <w:szCs w:val="21"/>
          <w:u w:val="single"/>
        </w:rPr>
        <w:t>（备注：如联合体投标，联合体各方均需提供情况介绍）</w:t>
      </w:r>
    </w:p>
    <w:p w14:paraId="1034E689">
      <w:pPr>
        <w:ind w:left="632" w:hanging="632" w:hangingChars="300"/>
        <w:rPr>
          <w:b/>
          <w:bCs/>
        </w:rPr>
      </w:pPr>
    </w:p>
    <w:p w14:paraId="6E976FD3">
      <w:pPr>
        <w:ind w:left="632" w:hanging="632" w:hangingChars="300"/>
        <w:rPr>
          <w:b/>
          <w:bCs/>
        </w:rPr>
      </w:pPr>
    </w:p>
    <w:p w14:paraId="06B7F84D">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73FA4244">
      <w:pPr>
        <w:jc w:val="left"/>
        <w:outlineLvl w:val="3"/>
        <w:rPr>
          <w:rFonts w:ascii="黑体" w:hAnsi="宋体" w:eastAsia="黑体"/>
          <w:bCs/>
          <w:kern w:val="0"/>
          <w:sz w:val="24"/>
          <w:szCs w:val="32"/>
        </w:rPr>
      </w:pPr>
    </w:p>
    <w:p w14:paraId="3740C655">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552D038A">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7BF5208">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40B96E6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2BB336E">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1" w:name="_Hlk71925120"/>
      <w:r>
        <w:rPr>
          <w:rFonts w:hint="eastAsia" w:asciiTheme="minorEastAsia" w:hAnsiTheme="minorEastAsia" w:eastAsiaTheme="minorEastAsia"/>
          <w:kern w:val="0"/>
          <w:szCs w:val="21"/>
        </w:rPr>
        <w:t>《关于印发中小企业划型标准规定的通知》（工信部联企业〔2011〕300 号</w:t>
      </w:r>
      <w:bookmarkEnd w:id="11"/>
      <w:r>
        <w:rPr>
          <w:rFonts w:hint="eastAsia" w:asciiTheme="minorEastAsia" w:hAnsiTheme="minorEastAsia" w:eastAsiaTheme="minorEastAsia"/>
          <w:kern w:val="0"/>
          <w:szCs w:val="21"/>
        </w:rPr>
        <w:t>）</w:t>
      </w:r>
    </w:p>
    <w:p w14:paraId="50A289C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286A518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0D5B6B78">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5EA861CC">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14:paraId="08AC295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97F9EE0">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612C448E">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57DCE9CC">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14:paraId="380AE159">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”填写投标（响应）供应商名称】</w:t>
      </w:r>
      <w:r>
        <w:rPr>
          <w:rFonts w:hint="eastAsia" w:ascii="宋体" w:hAnsi="宋体" w:eastAsiaTheme="minorEastAsia" w:cstheme="minorBidi"/>
          <w:kern w:val="0"/>
          <w:szCs w:val="21"/>
          <w:lang w:eastAsia="zh-CN"/>
        </w:rPr>
        <w:t>；</w:t>
      </w:r>
    </w:p>
    <w:p w14:paraId="67915E0F">
      <w:pPr>
        <w:widowControl/>
        <w:snapToGrid w:val="0"/>
        <w:spacing w:line="360" w:lineRule="auto"/>
        <w:ind w:firstLine="424" w:firstLineChars="202"/>
        <w:jc w:val="left"/>
        <w:rPr>
          <w:lang w:val="en-US"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0C78D47D">
      <w:pPr>
        <w:jc w:val="center"/>
        <w:outlineLvl w:val="3"/>
        <w:rPr>
          <w:rFonts w:ascii="黑体" w:hAnsi="宋体" w:eastAsia="黑体"/>
          <w:bCs/>
          <w:kern w:val="0"/>
          <w:sz w:val="24"/>
          <w:szCs w:val="32"/>
        </w:rPr>
      </w:pPr>
    </w:p>
    <w:p w14:paraId="4230D930">
      <w:pPr>
        <w:spacing w:after="60"/>
        <w:jc w:val="center"/>
        <w:outlineLvl w:val="3"/>
        <w:rPr>
          <w:b/>
          <w:sz w:val="24"/>
        </w:rPr>
      </w:pPr>
      <w:r>
        <w:rPr>
          <w:rFonts w:hint="eastAsia"/>
          <w:b/>
          <w:sz w:val="24"/>
        </w:rPr>
        <w:t>1、中小企业声明函</w:t>
      </w:r>
    </w:p>
    <w:p w14:paraId="4E864B7B">
      <w:pPr>
        <w:pStyle w:val="18"/>
        <w:spacing w:line="360" w:lineRule="exact"/>
        <w:ind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服务全部由符合政策要求的中小企业承接</w:t>
      </w:r>
      <w:r>
        <w:rPr>
          <w:rFonts w:asciiTheme="minorEastAsia" w:hAnsiTheme="minorEastAsia" w:eastAsiaTheme="minorEastAsia"/>
          <w:b w:val="0"/>
          <w:sz w:val="21"/>
          <w:szCs w:val="21"/>
        </w:rPr>
        <w:t>。相关企业（含联合体中的中小企业、签订分包意向协议的中小企业）的具体情况如下：</w:t>
      </w:r>
    </w:p>
    <w:p w14:paraId="67C25152">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3D142B08">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06945880">
      <w:pPr>
        <w:pStyle w:val="18"/>
        <w:spacing w:before="11" w:line="360" w:lineRule="exact"/>
        <w:ind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14:paraId="2FA926BB">
      <w:pPr>
        <w:pStyle w:val="18"/>
        <w:spacing w:before="108" w:line="360" w:lineRule="exact"/>
        <w:ind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14:paraId="38CC59FE">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1CD97BFB">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6925291A">
      <w:pPr>
        <w:spacing w:line="360" w:lineRule="exact"/>
        <w:ind w:firstLine="420" w:firstLineChars="200"/>
        <w:rPr>
          <w:rFonts w:asciiTheme="minorEastAsia" w:hAnsiTheme="minorEastAsia" w:eastAsiaTheme="minorEastAsia"/>
          <w:szCs w:val="21"/>
        </w:rPr>
      </w:pPr>
    </w:p>
    <w:p w14:paraId="43A87D9C">
      <w:pPr>
        <w:spacing w:line="360" w:lineRule="exact"/>
        <w:jc w:val="center"/>
        <w:rPr>
          <w:rFonts w:ascii="Times New Roman" w:hAnsi="Times New Roman"/>
          <w:szCs w:val="24"/>
        </w:rPr>
      </w:pPr>
      <w:r>
        <w:rPr>
          <w:rFonts w:hint="eastAsia" w:ascii="Times New Roman" w:hAnsi="Times New Roman"/>
          <w:szCs w:val="21"/>
        </w:rPr>
        <w:t xml:space="preserve">                           企业名称：</w:t>
      </w:r>
    </w:p>
    <w:p w14:paraId="3C96A785">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FDA171">
      <w:pPr>
        <w:spacing w:line="360" w:lineRule="exact"/>
        <w:ind w:firstLine="420" w:firstLineChars="200"/>
        <w:rPr>
          <w:rFonts w:ascii="宋体" w:hAnsi="宋体"/>
          <w:szCs w:val="21"/>
        </w:rPr>
      </w:pPr>
      <w:r>
        <w:rPr>
          <w:rFonts w:hint="eastAsia" w:ascii="宋体" w:hAnsi="宋体"/>
          <w:szCs w:val="21"/>
        </w:rPr>
        <w:t>备注：</w:t>
      </w:r>
    </w:p>
    <w:p w14:paraId="00BE25A9">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7E66A0C2">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38DE75BF">
      <w:pPr>
        <w:spacing w:line="360" w:lineRule="exact"/>
        <w:ind w:firstLine="424" w:firstLineChars="202"/>
        <w:rPr>
          <w:rFonts w:asciiTheme="minorEastAsia" w:hAnsiTheme="minorEastAsia" w:eastAsiaTheme="minorEastAsia" w:cstheme="minorBidi"/>
        </w:rPr>
      </w:pPr>
      <w:r>
        <w:rPr>
          <w:rFonts w:hint="eastAsia" w:asciiTheme="minorEastAsia" w:hAnsiTheme="minorEastAsia" w:eastAsiaTheme="minorEastAsia" w:cstheme="minorBidi"/>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rPr>
        <w:t>《中小企业声明函》中相关企业所属行业应当与采购标的所属行业相一致</w:t>
      </w:r>
      <w:r>
        <w:rPr>
          <w:rFonts w:hint="eastAsia" w:asciiTheme="minorEastAsia" w:hAnsiTheme="minorEastAsia" w:eastAsiaTheme="minorEastAsia" w:cstheme="minorBidi"/>
        </w:rPr>
        <w:t>。</w:t>
      </w:r>
    </w:p>
    <w:p w14:paraId="17F1AF66">
      <w:pPr>
        <w:spacing w:line="360" w:lineRule="exact"/>
        <w:ind w:firstLine="424" w:firstLineChars="202"/>
        <w:rPr>
          <w:rFonts w:asciiTheme="minorHAnsi" w:hAnsiTheme="minorHAnsi" w:eastAsiaTheme="minorEastAsia" w:cstheme="minorBidi"/>
        </w:rPr>
      </w:pPr>
      <w:r>
        <w:rPr>
          <w:rFonts w:hint="eastAsia" w:asciiTheme="minorHAnsi" w:hAnsiTheme="minorHAnsi" w:eastAsiaTheme="minorEastAsia" w:cstheme="minorBidi"/>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1CD3DCE2">
      <w:pPr>
        <w:spacing w:line="360" w:lineRule="exact"/>
        <w:ind w:firstLine="420" w:firstLineChars="200"/>
        <w:rPr>
          <w:rFonts w:ascii="宋体" w:hAnsi="宋体"/>
          <w:szCs w:val="21"/>
        </w:rPr>
      </w:pPr>
    </w:p>
    <w:p w14:paraId="22A37754">
      <w:pPr>
        <w:spacing w:after="60" w:line="360" w:lineRule="exact"/>
        <w:jc w:val="center"/>
        <w:outlineLvl w:val="3"/>
        <w:rPr>
          <w:b/>
          <w:sz w:val="24"/>
        </w:rPr>
      </w:pPr>
      <w:r>
        <w:rPr>
          <w:rFonts w:hint="eastAsia"/>
          <w:b/>
          <w:sz w:val="24"/>
        </w:rPr>
        <w:t>2、监狱企业声明函</w:t>
      </w:r>
    </w:p>
    <w:p w14:paraId="56908FA2">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1C428651">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FB2CF3B">
      <w:pPr>
        <w:spacing w:line="360" w:lineRule="exact"/>
        <w:jc w:val="center"/>
      </w:pPr>
      <w:r>
        <w:rPr>
          <w:rFonts w:hint="eastAsia"/>
          <w:szCs w:val="21"/>
        </w:rPr>
        <w:t xml:space="preserve">                             单位名称：</w:t>
      </w:r>
    </w:p>
    <w:p w14:paraId="279D22A4">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8D82DAD">
      <w:pPr>
        <w:spacing w:line="360" w:lineRule="exact"/>
        <w:ind w:firstLine="645"/>
        <w:rPr>
          <w:rFonts w:ascii="宋体"/>
          <w:b/>
          <w:szCs w:val="21"/>
        </w:rPr>
      </w:pPr>
      <w:r>
        <w:rPr>
          <w:rFonts w:hint="eastAsia" w:ascii="宋体" w:hAnsi="宋体"/>
          <w:szCs w:val="21"/>
        </w:rPr>
        <w:t xml:space="preserve">                                    </w:t>
      </w:r>
    </w:p>
    <w:p w14:paraId="25A37C1F">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4E888584">
      <w:pPr>
        <w:ind w:left="723" w:hanging="723" w:hangingChars="300"/>
        <w:rPr>
          <w:b/>
          <w:sz w:val="24"/>
        </w:rPr>
      </w:pPr>
    </w:p>
    <w:p w14:paraId="7D76C198">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9646E21">
      <w:pPr>
        <w:spacing w:after="60" w:line="360" w:lineRule="exact"/>
        <w:ind w:firstLine="420" w:firstLineChars="200"/>
        <w:rPr>
          <w:rFonts w:ascii="宋体" w:hAnsi="宋体"/>
          <w:szCs w:val="21"/>
        </w:rPr>
      </w:pPr>
      <w:r>
        <w:rPr>
          <w:rFonts w:hint="eastAsia" w:ascii="宋体" w:hAnsi="宋体"/>
          <w:szCs w:val="21"/>
        </w:rPr>
        <w:t xml:space="preserve">                                     </w:t>
      </w:r>
    </w:p>
    <w:p w14:paraId="36850617">
      <w:pPr>
        <w:spacing w:after="60" w:line="360" w:lineRule="exact"/>
        <w:jc w:val="center"/>
        <w:outlineLvl w:val="3"/>
        <w:rPr>
          <w:b/>
          <w:bCs/>
        </w:rPr>
      </w:pPr>
      <w:r>
        <w:rPr>
          <w:rFonts w:hint="eastAsia"/>
          <w:b/>
          <w:sz w:val="24"/>
        </w:rPr>
        <w:t>3、残疾人福利性单位声明函</w:t>
      </w:r>
    </w:p>
    <w:p w14:paraId="69D54C88">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4D17DEBF">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75E3BEFC">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FEAFF83">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1CC74CBA">
      <w:pPr>
        <w:spacing w:line="360" w:lineRule="exact"/>
        <w:jc w:val="center"/>
      </w:pPr>
      <w:r>
        <w:rPr>
          <w:rFonts w:hint="eastAsia"/>
          <w:szCs w:val="21"/>
        </w:rPr>
        <w:t xml:space="preserve">                             单位名称：</w:t>
      </w:r>
    </w:p>
    <w:p w14:paraId="11B9ABBC">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3143581">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4EE4D732">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EB1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39771A9">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38E883F6">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56814F7C">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7C8AAC49">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27BF9814">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242E3133">
            <w:pPr>
              <w:jc w:val="center"/>
              <w:rPr>
                <w:rFonts w:ascii="Times New Roman" w:hAnsi="Times New Roman"/>
                <w:b/>
                <w:szCs w:val="21"/>
              </w:rPr>
            </w:pPr>
            <w:r>
              <w:rPr>
                <w:rFonts w:hint="eastAsia" w:ascii="Times New Roman" w:hAnsi="Times New Roman"/>
                <w:b/>
                <w:szCs w:val="21"/>
              </w:rPr>
              <w:t>备注</w:t>
            </w:r>
          </w:p>
        </w:tc>
      </w:tr>
      <w:tr w14:paraId="7E1F5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51EC1D4">
            <w:pPr>
              <w:rPr>
                <w:rFonts w:ascii="Times New Roman" w:hAnsi="Times New Roman"/>
                <w:szCs w:val="21"/>
              </w:rPr>
            </w:pPr>
          </w:p>
        </w:tc>
        <w:tc>
          <w:tcPr>
            <w:tcW w:w="1213" w:type="dxa"/>
            <w:vMerge w:val="continue"/>
            <w:vAlign w:val="center"/>
          </w:tcPr>
          <w:p w14:paraId="04EE809F">
            <w:pPr>
              <w:rPr>
                <w:rFonts w:ascii="Times New Roman" w:hAnsi="Times New Roman"/>
                <w:szCs w:val="21"/>
              </w:rPr>
            </w:pPr>
          </w:p>
        </w:tc>
        <w:tc>
          <w:tcPr>
            <w:tcW w:w="1840" w:type="dxa"/>
            <w:vMerge w:val="continue"/>
            <w:vAlign w:val="center"/>
          </w:tcPr>
          <w:p w14:paraId="109BF097">
            <w:pPr>
              <w:rPr>
                <w:rFonts w:ascii="Times New Roman" w:hAnsi="Times New Roman"/>
                <w:szCs w:val="21"/>
              </w:rPr>
            </w:pPr>
          </w:p>
        </w:tc>
        <w:tc>
          <w:tcPr>
            <w:tcW w:w="818" w:type="dxa"/>
            <w:vAlign w:val="center"/>
          </w:tcPr>
          <w:p w14:paraId="6F2ACFE6">
            <w:pPr>
              <w:rPr>
                <w:rFonts w:ascii="Times New Roman" w:hAnsi="Times New Roman"/>
                <w:szCs w:val="21"/>
              </w:rPr>
            </w:pPr>
            <w:r>
              <w:rPr>
                <w:rFonts w:hint="eastAsia" w:ascii="Times New Roman" w:hAnsi="Times New Roman"/>
                <w:szCs w:val="21"/>
              </w:rPr>
              <w:t>数量</w:t>
            </w:r>
          </w:p>
        </w:tc>
        <w:tc>
          <w:tcPr>
            <w:tcW w:w="1241" w:type="dxa"/>
            <w:vAlign w:val="center"/>
          </w:tcPr>
          <w:p w14:paraId="491A69A1">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49062507">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2307E469">
            <w:pPr>
              <w:rPr>
                <w:rFonts w:ascii="Times New Roman" w:hAnsi="Times New Roman"/>
                <w:szCs w:val="21"/>
              </w:rPr>
            </w:pPr>
          </w:p>
        </w:tc>
        <w:tc>
          <w:tcPr>
            <w:tcW w:w="720" w:type="dxa"/>
            <w:vMerge w:val="continue"/>
            <w:vAlign w:val="center"/>
          </w:tcPr>
          <w:p w14:paraId="044DDACE">
            <w:pPr>
              <w:rPr>
                <w:rFonts w:ascii="Times New Roman" w:hAnsi="Times New Roman"/>
                <w:szCs w:val="21"/>
              </w:rPr>
            </w:pPr>
          </w:p>
        </w:tc>
      </w:tr>
      <w:tr w14:paraId="5892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16059133">
            <w:pPr>
              <w:jc w:val="center"/>
              <w:rPr>
                <w:rFonts w:ascii="宋体" w:hAnsi="宋体"/>
                <w:szCs w:val="21"/>
              </w:rPr>
            </w:pPr>
            <w:r>
              <w:rPr>
                <w:rFonts w:hint="eastAsia" w:ascii="宋体" w:hAnsi="宋体"/>
                <w:szCs w:val="21"/>
              </w:rPr>
              <w:t>1</w:t>
            </w:r>
          </w:p>
        </w:tc>
        <w:tc>
          <w:tcPr>
            <w:tcW w:w="1213" w:type="dxa"/>
            <w:vAlign w:val="center"/>
          </w:tcPr>
          <w:p w14:paraId="7A37351B">
            <w:pPr>
              <w:jc w:val="center"/>
              <w:rPr>
                <w:rFonts w:ascii="Times New Roman" w:hAnsi="Times New Roman"/>
                <w:szCs w:val="21"/>
              </w:rPr>
            </w:pPr>
          </w:p>
        </w:tc>
        <w:tc>
          <w:tcPr>
            <w:tcW w:w="1840" w:type="dxa"/>
            <w:vAlign w:val="center"/>
          </w:tcPr>
          <w:p w14:paraId="4005D27F">
            <w:pPr>
              <w:jc w:val="center"/>
              <w:rPr>
                <w:rFonts w:ascii="Times New Roman" w:hAnsi="Times New Roman"/>
                <w:szCs w:val="21"/>
              </w:rPr>
            </w:pPr>
          </w:p>
        </w:tc>
        <w:tc>
          <w:tcPr>
            <w:tcW w:w="818" w:type="dxa"/>
            <w:vAlign w:val="center"/>
          </w:tcPr>
          <w:p w14:paraId="688DF69A">
            <w:pPr>
              <w:jc w:val="center"/>
              <w:rPr>
                <w:rFonts w:ascii="Times New Roman" w:hAnsi="Times New Roman"/>
                <w:szCs w:val="21"/>
              </w:rPr>
            </w:pPr>
          </w:p>
        </w:tc>
        <w:tc>
          <w:tcPr>
            <w:tcW w:w="1241" w:type="dxa"/>
            <w:vAlign w:val="center"/>
          </w:tcPr>
          <w:p w14:paraId="3762CE5B">
            <w:pPr>
              <w:jc w:val="center"/>
              <w:rPr>
                <w:rFonts w:ascii="Times New Roman" w:hAnsi="Times New Roman"/>
                <w:szCs w:val="21"/>
              </w:rPr>
            </w:pPr>
          </w:p>
        </w:tc>
        <w:tc>
          <w:tcPr>
            <w:tcW w:w="2292" w:type="dxa"/>
            <w:vAlign w:val="center"/>
          </w:tcPr>
          <w:p w14:paraId="121237B5">
            <w:pPr>
              <w:jc w:val="center"/>
              <w:rPr>
                <w:rFonts w:ascii="Times New Roman" w:hAnsi="Times New Roman"/>
                <w:szCs w:val="21"/>
              </w:rPr>
            </w:pPr>
          </w:p>
        </w:tc>
        <w:tc>
          <w:tcPr>
            <w:tcW w:w="1503" w:type="dxa"/>
            <w:vAlign w:val="center"/>
          </w:tcPr>
          <w:p w14:paraId="1DD3D0F5">
            <w:pPr>
              <w:jc w:val="center"/>
              <w:rPr>
                <w:rFonts w:ascii="Times New Roman" w:hAnsi="Times New Roman"/>
                <w:szCs w:val="21"/>
              </w:rPr>
            </w:pPr>
          </w:p>
        </w:tc>
        <w:tc>
          <w:tcPr>
            <w:tcW w:w="720" w:type="dxa"/>
            <w:vAlign w:val="center"/>
          </w:tcPr>
          <w:p w14:paraId="5A256247">
            <w:pPr>
              <w:jc w:val="center"/>
              <w:rPr>
                <w:rFonts w:ascii="Times New Roman" w:hAnsi="Times New Roman"/>
                <w:szCs w:val="21"/>
              </w:rPr>
            </w:pPr>
          </w:p>
        </w:tc>
      </w:tr>
      <w:tr w14:paraId="39E6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6246DE3C">
            <w:pPr>
              <w:jc w:val="center"/>
              <w:rPr>
                <w:rFonts w:ascii="宋体" w:hAnsi="宋体"/>
                <w:szCs w:val="21"/>
              </w:rPr>
            </w:pPr>
            <w:r>
              <w:rPr>
                <w:rFonts w:hint="eastAsia" w:ascii="宋体" w:hAnsi="宋体"/>
                <w:szCs w:val="21"/>
              </w:rPr>
              <w:t>2</w:t>
            </w:r>
          </w:p>
        </w:tc>
        <w:tc>
          <w:tcPr>
            <w:tcW w:w="1213" w:type="dxa"/>
            <w:vAlign w:val="center"/>
          </w:tcPr>
          <w:p w14:paraId="354C9F3C">
            <w:pPr>
              <w:jc w:val="center"/>
              <w:rPr>
                <w:rFonts w:ascii="Times New Roman" w:hAnsi="Times New Roman"/>
                <w:szCs w:val="21"/>
              </w:rPr>
            </w:pPr>
          </w:p>
        </w:tc>
        <w:tc>
          <w:tcPr>
            <w:tcW w:w="1840" w:type="dxa"/>
            <w:vAlign w:val="center"/>
          </w:tcPr>
          <w:p w14:paraId="13D16F35">
            <w:pPr>
              <w:jc w:val="center"/>
              <w:rPr>
                <w:rFonts w:ascii="Times New Roman" w:hAnsi="Times New Roman"/>
                <w:szCs w:val="21"/>
              </w:rPr>
            </w:pPr>
          </w:p>
        </w:tc>
        <w:tc>
          <w:tcPr>
            <w:tcW w:w="818" w:type="dxa"/>
            <w:vAlign w:val="center"/>
          </w:tcPr>
          <w:p w14:paraId="7A3CAAED">
            <w:pPr>
              <w:jc w:val="center"/>
              <w:rPr>
                <w:rFonts w:ascii="Times New Roman" w:hAnsi="Times New Roman"/>
                <w:szCs w:val="21"/>
              </w:rPr>
            </w:pPr>
          </w:p>
        </w:tc>
        <w:tc>
          <w:tcPr>
            <w:tcW w:w="1241" w:type="dxa"/>
            <w:vAlign w:val="center"/>
          </w:tcPr>
          <w:p w14:paraId="7D412F32">
            <w:pPr>
              <w:jc w:val="center"/>
              <w:rPr>
                <w:rFonts w:ascii="Times New Roman" w:hAnsi="Times New Roman"/>
                <w:szCs w:val="21"/>
              </w:rPr>
            </w:pPr>
          </w:p>
        </w:tc>
        <w:tc>
          <w:tcPr>
            <w:tcW w:w="2292" w:type="dxa"/>
            <w:vAlign w:val="center"/>
          </w:tcPr>
          <w:p w14:paraId="325B8691">
            <w:pPr>
              <w:jc w:val="center"/>
              <w:rPr>
                <w:rFonts w:ascii="Times New Roman" w:hAnsi="Times New Roman"/>
                <w:szCs w:val="21"/>
              </w:rPr>
            </w:pPr>
          </w:p>
        </w:tc>
        <w:tc>
          <w:tcPr>
            <w:tcW w:w="1503" w:type="dxa"/>
            <w:vAlign w:val="center"/>
          </w:tcPr>
          <w:p w14:paraId="7A5FABD8">
            <w:pPr>
              <w:jc w:val="center"/>
              <w:rPr>
                <w:rFonts w:ascii="Times New Roman" w:hAnsi="Times New Roman"/>
                <w:szCs w:val="21"/>
              </w:rPr>
            </w:pPr>
          </w:p>
        </w:tc>
        <w:tc>
          <w:tcPr>
            <w:tcW w:w="720" w:type="dxa"/>
            <w:vAlign w:val="center"/>
          </w:tcPr>
          <w:p w14:paraId="3918558A">
            <w:pPr>
              <w:jc w:val="center"/>
              <w:rPr>
                <w:rFonts w:ascii="Times New Roman" w:hAnsi="Times New Roman"/>
                <w:szCs w:val="21"/>
              </w:rPr>
            </w:pPr>
          </w:p>
        </w:tc>
      </w:tr>
    </w:tbl>
    <w:p w14:paraId="2B27CBC9">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28CF6201">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3B0EDCC7">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3A7FC8B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4314A68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E81EE0D">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48"/>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829E21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483E92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2A19E5B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1B4AEC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1C7EFC8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　        </w:t>
      </w:r>
    </w:p>
    <w:p w14:paraId="658EB84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5A99206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517EBBC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299023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7C189A1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4909699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546EB9E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16D9952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fill="FFFFFF"/>
          <w:vertAlign w:val="baseline"/>
          <w:lang w:val="en-US" w:eastAsia="zh-CN"/>
        </w:rPr>
        <w:t>。</w:t>
      </w:r>
    </w:p>
    <w:p w14:paraId="7589C2A9">
      <w:pPr>
        <w:spacing w:line="360" w:lineRule="auto"/>
        <w:rPr>
          <w:rFonts w:hint="eastAsia" w:ascii="宋体" w:hAnsi="宋体"/>
          <w:szCs w:val="21"/>
        </w:rPr>
      </w:pPr>
    </w:p>
    <w:p w14:paraId="350CAD52">
      <w:pPr>
        <w:jc w:val="center"/>
        <w:rPr>
          <w:rFonts w:hint="eastAsia" w:ascii="黑体" w:hAnsi="宋体" w:eastAsia="黑体"/>
          <w:bCs/>
          <w:kern w:val="0"/>
          <w:sz w:val="24"/>
          <w:szCs w:val="24"/>
        </w:rPr>
      </w:pPr>
    </w:p>
    <w:p w14:paraId="19DD9F7E">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703430D1">
      <w:pPr>
        <w:jc w:val="center"/>
        <w:rPr>
          <w:rFonts w:hint="eastAsia" w:ascii="黑体" w:hAnsi="宋体" w:eastAsia="黑体"/>
          <w:bCs/>
          <w:kern w:val="0"/>
          <w:sz w:val="24"/>
          <w:szCs w:val="24"/>
          <w:lang w:eastAsia="zh-CN"/>
        </w:rPr>
      </w:pPr>
    </w:p>
    <w:p w14:paraId="392435D8">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31CD605B">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5A4C6EB0">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191FF75E">
      <w:pPr>
        <w:widowControl/>
        <w:autoSpaceDE w:val="0"/>
        <w:autoSpaceDN w:val="0"/>
        <w:spacing w:beforeLines="0" w:line="340" w:lineRule="exact"/>
        <w:ind w:firstLine="406" w:firstLineChars="200"/>
        <w:jc w:val="left"/>
        <w:rPr>
          <w:rFonts w:hint="eastAsia" w:ascii="宋体" w:hAnsi="宋体" w:eastAsia="宋体" w:cs="宋体"/>
          <w:b/>
          <w:bCs/>
          <w:color w:val="auto"/>
          <w:spacing w:val="-4"/>
          <w:kern w:val="0"/>
          <w:sz w:val="21"/>
          <w:szCs w:val="21"/>
        </w:rPr>
      </w:pPr>
    </w:p>
    <w:p w14:paraId="6C3CD24F">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611A01EA">
      <w:pPr>
        <w:spacing w:line="360" w:lineRule="auto"/>
        <w:ind w:firstLine="422" w:firstLineChars="200"/>
        <w:rPr>
          <w:rFonts w:ascii="宋体" w:hAnsi="宋体"/>
          <w:b/>
          <w:bCs/>
          <w:szCs w:val="21"/>
        </w:rPr>
      </w:pPr>
    </w:p>
    <w:p w14:paraId="14C00354">
      <w:pPr>
        <w:rPr>
          <w:rFonts w:ascii="宋体" w:hAnsi="宋体"/>
          <w:szCs w:val="21"/>
        </w:rPr>
      </w:pPr>
      <w:r>
        <w:rPr>
          <w:rFonts w:hint="eastAsia"/>
          <w:szCs w:val="21"/>
          <w:u w:val="single"/>
        </w:rPr>
        <w:t>（备注：如联合体投标，仅需加盖牵头人的公章）</w:t>
      </w:r>
    </w:p>
    <w:p w14:paraId="40F12D0C">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25FB7854">
      <w:pPr>
        <w:ind w:left="0" w:leftChars="0" w:firstLine="480" w:firstLineChars="200"/>
        <w:rPr>
          <w:rFonts w:hint="eastAsia" w:ascii="黑体" w:hAnsi="宋体" w:eastAsia="黑体"/>
          <w:bCs/>
          <w:kern w:val="0"/>
          <w:sz w:val="24"/>
          <w:szCs w:val="32"/>
        </w:rPr>
      </w:pPr>
    </w:p>
    <w:p w14:paraId="24FD56D6">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3228A135">
      <w:pPr>
        <w:rPr>
          <w:rFonts w:ascii="Times New Roman" w:hAnsi="Times New Roman"/>
          <w:sz w:val="24"/>
          <w:szCs w:val="24"/>
        </w:rPr>
      </w:pPr>
    </w:p>
    <w:p w14:paraId="6DF6D4C8">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1953284E">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6A311A90">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736239C4">
      <w:pPr>
        <w:spacing w:line="360" w:lineRule="auto"/>
        <w:rPr>
          <w:rFonts w:ascii="Times New Roman" w:hAnsi="Times New Roman"/>
          <w:b/>
          <w:szCs w:val="21"/>
        </w:rPr>
      </w:pPr>
    </w:p>
    <w:p w14:paraId="3FC624DB">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7CD4E134">
      <w:pPr>
        <w:spacing w:line="360" w:lineRule="auto"/>
        <w:rPr>
          <w:rFonts w:ascii="Times New Roman" w:hAnsi="Times New Roman"/>
          <w:b/>
          <w:sz w:val="24"/>
          <w:szCs w:val="24"/>
        </w:rPr>
      </w:pPr>
    </w:p>
    <w:p w14:paraId="6FD90234">
      <w:pPr>
        <w:rPr>
          <w:rFonts w:ascii="宋体" w:hAnsi="宋体"/>
          <w:szCs w:val="21"/>
        </w:rPr>
      </w:pPr>
      <w:r>
        <w:rPr>
          <w:rFonts w:hint="eastAsia"/>
          <w:szCs w:val="21"/>
          <w:u w:val="single"/>
        </w:rPr>
        <w:t>（备注：如联合体投标，单位一栏仅需填写牵头人的名称）</w:t>
      </w:r>
    </w:p>
    <w:p w14:paraId="36E077AB">
      <w:pPr>
        <w:spacing w:line="360" w:lineRule="auto"/>
        <w:rPr>
          <w:rFonts w:hint="eastAsia" w:ascii="Times New Roman" w:hAnsi="Times New Roman"/>
          <w:b/>
          <w:sz w:val="24"/>
          <w:szCs w:val="24"/>
          <w:lang w:val="en-US" w:eastAsia="zh-CN"/>
        </w:rPr>
      </w:pPr>
    </w:p>
    <w:p w14:paraId="2AD40417">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6D38639A">
      <w:pPr>
        <w:pStyle w:val="51"/>
        <w:rPr>
          <w:rFonts w:hint="eastAsia"/>
        </w:rPr>
      </w:pPr>
    </w:p>
    <w:p w14:paraId="103DC134">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15E453C8">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220051BD">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35410782">
      <w:pPr>
        <w:spacing w:line="360" w:lineRule="auto"/>
        <w:ind w:firstLine="420"/>
        <w:rPr>
          <w:rFonts w:ascii="Times New Roman" w:hAnsi="Times New Roman"/>
          <w:szCs w:val="21"/>
        </w:rPr>
      </w:pPr>
    </w:p>
    <w:p w14:paraId="1DB5149C">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40CCE138">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4AB02AE2">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7383DCBC">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0747C60A">
      <w:pPr>
        <w:spacing w:line="360" w:lineRule="auto"/>
        <w:ind w:left="540" w:leftChars="257"/>
        <w:rPr>
          <w:rFonts w:ascii="Times New Roman" w:hAnsi="Times New Roman"/>
          <w:szCs w:val="21"/>
          <w:u w:val="single"/>
        </w:rPr>
      </w:pPr>
    </w:p>
    <w:p w14:paraId="2BE4003C">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3C5DEFB9">
      <w:pPr>
        <w:rPr>
          <w:szCs w:val="21"/>
          <w:u w:val="single"/>
        </w:rPr>
      </w:pPr>
    </w:p>
    <w:p w14:paraId="5115AADF">
      <w:pPr>
        <w:rPr>
          <w:rFonts w:ascii="宋体" w:hAnsi="宋体"/>
          <w:szCs w:val="21"/>
        </w:rPr>
      </w:pPr>
      <w:r>
        <w:rPr>
          <w:rFonts w:hint="eastAsia"/>
          <w:szCs w:val="21"/>
          <w:u w:val="single"/>
        </w:rPr>
        <w:t>（备注：如联合体投标，投标供应商名称一栏仅需填写牵头人的名称）</w:t>
      </w:r>
    </w:p>
    <w:p w14:paraId="547D9071">
      <w:pPr>
        <w:spacing w:line="360" w:lineRule="auto"/>
        <w:rPr>
          <w:rFonts w:ascii="黑体" w:eastAsia="黑体"/>
          <w:b/>
          <w:sz w:val="24"/>
        </w:rPr>
      </w:pPr>
    </w:p>
    <w:p w14:paraId="6FB393DA">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342F737">
      <w:pPr>
        <w:pStyle w:val="51"/>
      </w:pPr>
    </w:p>
    <w:p w14:paraId="020CEBAC">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4790"/>
        <w:gridCol w:w="3685"/>
      </w:tblGrid>
      <w:tr w14:paraId="3DC5F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2197DBB5">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4790" w:type="dxa"/>
          </w:tcPr>
          <w:p w14:paraId="5966852C">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3685" w:type="dxa"/>
          </w:tcPr>
          <w:p w14:paraId="57782536">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2E41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1F7E7B85">
            <w:pPr>
              <w:adjustRightInd w:val="0"/>
              <w:snapToGrid w:val="0"/>
              <w:spacing w:line="360" w:lineRule="auto"/>
              <w:rPr>
                <w:rFonts w:ascii="宋体" w:hAnsi="宋体"/>
                <w:kern w:val="0"/>
                <w:szCs w:val="21"/>
              </w:rPr>
            </w:pPr>
            <w:r>
              <w:rPr>
                <w:rFonts w:hint="eastAsia" w:ascii="宋体" w:hAnsi="宋体"/>
                <w:kern w:val="0"/>
                <w:szCs w:val="21"/>
              </w:rPr>
              <w:t>1</w:t>
            </w:r>
          </w:p>
        </w:tc>
        <w:tc>
          <w:tcPr>
            <w:tcW w:w="4790" w:type="dxa"/>
          </w:tcPr>
          <w:p w14:paraId="00A9FA60">
            <w:pPr>
              <w:keepNext/>
              <w:keepLines/>
              <w:tabs>
                <w:tab w:val="left" w:pos="765"/>
              </w:tabs>
              <w:spacing w:line="376" w:lineRule="auto"/>
              <w:outlineLvl w:val="3"/>
              <w:rPr>
                <w:rFonts w:ascii="Times New Roman"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c>
          <w:tcPr>
            <w:tcW w:w="3685" w:type="dxa"/>
          </w:tcPr>
          <w:p w14:paraId="67C6C895">
            <w:pPr>
              <w:adjustRightInd w:val="0"/>
              <w:snapToGrid w:val="0"/>
              <w:spacing w:line="360" w:lineRule="auto"/>
              <w:rPr>
                <w:rFonts w:ascii="宋体" w:hAnsi="宋体"/>
                <w:kern w:val="0"/>
                <w:szCs w:val="21"/>
              </w:rPr>
            </w:pPr>
          </w:p>
        </w:tc>
      </w:tr>
    </w:tbl>
    <w:p w14:paraId="3F6019E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bCs/>
          <w:kern w:val="0"/>
          <w:szCs w:val="21"/>
          <w:highlight w:val="yellow"/>
        </w:rPr>
        <w:t>“第一册  专用条款/第二章  招标项目需求”</w:t>
      </w:r>
      <w:r>
        <w:rPr>
          <w:rFonts w:hint="eastAsia" w:asciiTheme="minorEastAsia" w:hAnsiTheme="minorEastAsia" w:eastAsiaTheme="minorEastAsia"/>
          <w:bCs/>
          <w:kern w:val="0"/>
          <w:szCs w:val="21"/>
        </w:rPr>
        <w:t>中的不可负偏离的实质性条款，即“实质性条款”。</w:t>
      </w:r>
    </w:p>
    <w:p w14:paraId="5EFF77D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14:paraId="3E4A095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p>
    <w:p w14:paraId="754F9F61">
      <w:pPr>
        <w:keepNext/>
        <w:keepLines/>
        <w:tabs>
          <w:tab w:val="left" w:pos="765"/>
        </w:tabs>
        <w:spacing w:line="376" w:lineRule="auto"/>
        <w:outlineLvl w:val="3"/>
        <w:rPr>
          <w:rFonts w:asciiTheme="minorEastAsia" w:hAnsiTheme="minorEastAsia" w:eastAsiaTheme="minorEastAsia"/>
          <w:bCs/>
          <w:kern w:val="0"/>
          <w:szCs w:val="21"/>
          <w:highlight w:val="yellow"/>
        </w:rPr>
      </w:pPr>
      <w:r>
        <w:rPr>
          <w:rFonts w:hint="eastAsia" w:asciiTheme="minorEastAsia" w:hAnsiTheme="minorEastAsia" w:eastAsiaTheme="minorEastAsia"/>
          <w:bCs/>
          <w:kern w:val="0"/>
          <w:szCs w:val="21"/>
          <w:highlight w:val="yellow"/>
        </w:rPr>
        <w:t>4.标★的条款要求提供证明材料的，应</w:t>
      </w:r>
      <w:r>
        <w:rPr>
          <w:rFonts w:hint="eastAsia" w:asciiTheme="minorEastAsia" w:hAnsiTheme="minorEastAsia" w:eastAsiaTheme="minorEastAsia"/>
          <w:bCs/>
          <w:kern w:val="0"/>
          <w:szCs w:val="21"/>
          <w:highlight w:val="yellow"/>
          <w:lang w:eastAsia="zh-CN"/>
        </w:rPr>
        <w:t>将证明材料</w:t>
      </w:r>
      <w:r>
        <w:rPr>
          <w:rFonts w:hint="eastAsia" w:asciiTheme="minorEastAsia" w:hAnsiTheme="minorEastAsia" w:eastAsiaTheme="minorEastAsia"/>
          <w:bCs/>
          <w:kern w:val="0"/>
          <w:szCs w:val="21"/>
          <w:highlight w:val="yellow"/>
        </w:rPr>
        <w:t>附在本表后，未提供证明材料或证明材料与响应情况不相符的，按负偏离处理。</w:t>
      </w:r>
    </w:p>
    <w:p w14:paraId="4EC6FA9E">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0D02CF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1ED70707">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序号</w:t>
            </w:r>
          </w:p>
        </w:tc>
        <w:tc>
          <w:tcPr>
            <w:tcW w:w="2485" w:type="dxa"/>
            <w:vAlign w:val="center"/>
          </w:tcPr>
          <w:p w14:paraId="33B06F9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项目内容</w:t>
            </w:r>
          </w:p>
        </w:tc>
        <w:tc>
          <w:tcPr>
            <w:tcW w:w="876" w:type="dxa"/>
            <w:vAlign w:val="center"/>
          </w:tcPr>
          <w:p w14:paraId="1ACA19A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数量</w:t>
            </w:r>
          </w:p>
        </w:tc>
        <w:tc>
          <w:tcPr>
            <w:tcW w:w="909" w:type="dxa"/>
            <w:vAlign w:val="center"/>
          </w:tcPr>
          <w:p w14:paraId="2DDEF12A">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单位</w:t>
            </w:r>
          </w:p>
        </w:tc>
        <w:tc>
          <w:tcPr>
            <w:tcW w:w="1643" w:type="dxa"/>
            <w:vAlign w:val="center"/>
          </w:tcPr>
          <w:p w14:paraId="310424F2">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单价（单位：元）</w:t>
            </w:r>
          </w:p>
        </w:tc>
        <w:tc>
          <w:tcPr>
            <w:tcW w:w="1701" w:type="dxa"/>
            <w:vAlign w:val="center"/>
          </w:tcPr>
          <w:p w14:paraId="7773949E">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总价（单位：元）</w:t>
            </w:r>
          </w:p>
        </w:tc>
        <w:tc>
          <w:tcPr>
            <w:tcW w:w="1125" w:type="dxa"/>
            <w:vAlign w:val="center"/>
          </w:tcPr>
          <w:p w14:paraId="58873379">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备注</w:t>
            </w:r>
          </w:p>
        </w:tc>
      </w:tr>
      <w:tr w14:paraId="0156A1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3CB59B6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1</w:t>
            </w:r>
          </w:p>
        </w:tc>
        <w:tc>
          <w:tcPr>
            <w:tcW w:w="2485" w:type="dxa"/>
            <w:vAlign w:val="center"/>
          </w:tcPr>
          <w:p w14:paraId="6E084386">
            <w:pPr>
              <w:adjustRightInd w:val="0"/>
              <w:snapToGrid w:val="0"/>
              <w:spacing w:line="300" w:lineRule="auto"/>
              <w:jc w:val="center"/>
              <w:rPr>
                <w:rFonts w:ascii="宋体" w:hAnsi="宋体"/>
                <w:szCs w:val="21"/>
                <w:lang w:val="zh-CN"/>
              </w:rPr>
            </w:pPr>
          </w:p>
        </w:tc>
        <w:tc>
          <w:tcPr>
            <w:tcW w:w="876" w:type="dxa"/>
            <w:vAlign w:val="center"/>
          </w:tcPr>
          <w:p w14:paraId="21DD7D59">
            <w:pPr>
              <w:adjustRightInd w:val="0"/>
              <w:snapToGrid w:val="0"/>
              <w:spacing w:line="300" w:lineRule="auto"/>
              <w:jc w:val="center"/>
              <w:rPr>
                <w:rFonts w:ascii="Times New Roman" w:hAnsi="Times New Roman"/>
                <w:snapToGrid w:val="0"/>
                <w:kern w:val="0"/>
                <w:szCs w:val="24"/>
              </w:rPr>
            </w:pPr>
          </w:p>
        </w:tc>
        <w:tc>
          <w:tcPr>
            <w:tcW w:w="909" w:type="dxa"/>
            <w:vAlign w:val="center"/>
          </w:tcPr>
          <w:p w14:paraId="269BFE7D">
            <w:pPr>
              <w:adjustRightInd w:val="0"/>
              <w:snapToGrid w:val="0"/>
              <w:spacing w:line="300" w:lineRule="auto"/>
              <w:jc w:val="center"/>
              <w:rPr>
                <w:rFonts w:ascii="Times New Roman" w:hAnsi="Times New Roman"/>
                <w:snapToGrid w:val="0"/>
                <w:kern w:val="0"/>
                <w:szCs w:val="24"/>
              </w:rPr>
            </w:pPr>
          </w:p>
        </w:tc>
        <w:tc>
          <w:tcPr>
            <w:tcW w:w="1643" w:type="dxa"/>
            <w:vAlign w:val="center"/>
          </w:tcPr>
          <w:p w14:paraId="762DEC98">
            <w:pPr>
              <w:adjustRightInd w:val="0"/>
              <w:snapToGrid w:val="0"/>
              <w:spacing w:line="300" w:lineRule="auto"/>
              <w:jc w:val="center"/>
              <w:rPr>
                <w:rFonts w:ascii="Times New Roman" w:hAnsi="Times New Roman"/>
                <w:snapToGrid w:val="0"/>
                <w:kern w:val="0"/>
                <w:szCs w:val="24"/>
              </w:rPr>
            </w:pPr>
          </w:p>
        </w:tc>
        <w:tc>
          <w:tcPr>
            <w:tcW w:w="1701" w:type="dxa"/>
            <w:vAlign w:val="center"/>
          </w:tcPr>
          <w:p w14:paraId="2C615352">
            <w:pPr>
              <w:adjustRightInd w:val="0"/>
              <w:snapToGrid w:val="0"/>
              <w:spacing w:line="300" w:lineRule="auto"/>
              <w:jc w:val="center"/>
              <w:rPr>
                <w:rFonts w:ascii="Times New Roman" w:hAnsi="Times New Roman"/>
                <w:snapToGrid w:val="0"/>
                <w:kern w:val="0"/>
                <w:szCs w:val="24"/>
              </w:rPr>
            </w:pPr>
          </w:p>
        </w:tc>
        <w:tc>
          <w:tcPr>
            <w:tcW w:w="1125" w:type="dxa"/>
            <w:vAlign w:val="center"/>
          </w:tcPr>
          <w:p w14:paraId="71CEBEA2">
            <w:pPr>
              <w:adjustRightInd w:val="0"/>
              <w:snapToGrid w:val="0"/>
              <w:spacing w:line="300" w:lineRule="auto"/>
              <w:jc w:val="center"/>
              <w:rPr>
                <w:rFonts w:ascii="Times New Roman" w:hAnsi="Times New Roman"/>
                <w:snapToGrid w:val="0"/>
                <w:kern w:val="0"/>
                <w:szCs w:val="24"/>
              </w:rPr>
            </w:pPr>
          </w:p>
        </w:tc>
      </w:tr>
      <w:tr w14:paraId="3FA9A4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15A92978">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2</w:t>
            </w:r>
          </w:p>
        </w:tc>
        <w:tc>
          <w:tcPr>
            <w:tcW w:w="2485" w:type="dxa"/>
            <w:vAlign w:val="center"/>
          </w:tcPr>
          <w:p w14:paraId="0D4A491C">
            <w:pPr>
              <w:adjustRightInd w:val="0"/>
              <w:snapToGrid w:val="0"/>
              <w:spacing w:line="300" w:lineRule="auto"/>
              <w:jc w:val="center"/>
              <w:rPr>
                <w:rFonts w:ascii="宋体" w:hAnsi="宋体"/>
                <w:szCs w:val="21"/>
                <w:lang w:val="zh-CN"/>
              </w:rPr>
            </w:pPr>
          </w:p>
        </w:tc>
        <w:tc>
          <w:tcPr>
            <w:tcW w:w="876" w:type="dxa"/>
            <w:vAlign w:val="center"/>
          </w:tcPr>
          <w:p w14:paraId="708A16AB">
            <w:pPr>
              <w:adjustRightInd w:val="0"/>
              <w:snapToGrid w:val="0"/>
              <w:spacing w:line="300" w:lineRule="auto"/>
              <w:jc w:val="center"/>
              <w:rPr>
                <w:rFonts w:ascii="Times New Roman" w:hAnsi="Times New Roman"/>
                <w:snapToGrid w:val="0"/>
                <w:kern w:val="0"/>
                <w:szCs w:val="24"/>
              </w:rPr>
            </w:pPr>
          </w:p>
        </w:tc>
        <w:tc>
          <w:tcPr>
            <w:tcW w:w="909" w:type="dxa"/>
            <w:vAlign w:val="center"/>
          </w:tcPr>
          <w:p w14:paraId="5B01ED45">
            <w:pPr>
              <w:adjustRightInd w:val="0"/>
              <w:snapToGrid w:val="0"/>
              <w:spacing w:line="300" w:lineRule="auto"/>
              <w:jc w:val="center"/>
              <w:rPr>
                <w:rFonts w:ascii="Times New Roman" w:hAnsi="Times New Roman"/>
                <w:snapToGrid w:val="0"/>
                <w:kern w:val="0"/>
                <w:szCs w:val="24"/>
              </w:rPr>
            </w:pPr>
          </w:p>
        </w:tc>
        <w:tc>
          <w:tcPr>
            <w:tcW w:w="1643" w:type="dxa"/>
            <w:vAlign w:val="center"/>
          </w:tcPr>
          <w:p w14:paraId="1855FA58">
            <w:pPr>
              <w:adjustRightInd w:val="0"/>
              <w:snapToGrid w:val="0"/>
              <w:spacing w:line="300" w:lineRule="auto"/>
              <w:jc w:val="center"/>
              <w:rPr>
                <w:rFonts w:ascii="Times New Roman" w:hAnsi="Times New Roman"/>
                <w:snapToGrid w:val="0"/>
                <w:kern w:val="0"/>
                <w:szCs w:val="24"/>
              </w:rPr>
            </w:pPr>
          </w:p>
        </w:tc>
        <w:tc>
          <w:tcPr>
            <w:tcW w:w="1701" w:type="dxa"/>
            <w:vAlign w:val="center"/>
          </w:tcPr>
          <w:p w14:paraId="07D64B9D">
            <w:pPr>
              <w:adjustRightInd w:val="0"/>
              <w:snapToGrid w:val="0"/>
              <w:spacing w:line="300" w:lineRule="auto"/>
              <w:jc w:val="center"/>
              <w:rPr>
                <w:rFonts w:ascii="Times New Roman" w:hAnsi="Times New Roman"/>
                <w:snapToGrid w:val="0"/>
                <w:kern w:val="0"/>
                <w:szCs w:val="24"/>
              </w:rPr>
            </w:pPr>
          </w:p>
        </w:tc>
        <w:tc>
          <w:tcPr>
            <w:tcW w:w="1125" w:type="dxa"/>
            <w:vAlign w:val="center"/>
          </w:tcPr>
          <w:p w14:paraId="2C49303E">
            <w:pPr>
              <w:adjustRightInd w:val="0"/>
              <w:snapToGrid w:val="0"/>
              <w:spacing w:line="300" w:lineRule="auto"/>
              <w:jc w:val="center"/>
              <w:rPr>
                <w:rFonts w:ascii="Times New Roman" w:hAnsi="Times New Roman"/>
                <w:snapToGrid w:val="0"/>
                <w:kern w:val="0"/>
                <w:szCs w:val="24"/>
              </w:rPr>
            </w:pPr>
          </w:p>
        </w:tc>
      </w:tr>
      <w:tr w14:paraId="7499FF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47DE217">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 xml:space="preserve">3 </w:t>
            </w:r>
          </w:p>
        </w:tc>
        <w:tc>
          <w:tcPr>
            <w:tcW w:w="2485" w:type="dxa"/>
            <w:vAlign w:val="center"/>
          </w:tcPr>
          <w:p w14:paraId="59E423DE">
            <w:pPr>
              <w:adjustRightInd w:val="0"/>
              <w:snapToGrid w:val="0"/>
              <w:spacing w:line="300" w:lineRule="auto"/>
              <w:jc w:val="center"/>
              <w:rPr>
                <w:rFonts w:ascii="宋体" w:hAnsi="宋体"/>
                <w:szCs w:val="21"/>
                <w:lang w:val="zh-CN"/>
              </w:rPr>
            </w:pPr>
          </w:p>
        </w:tc>
        <w:tc>
          <w:tcPr>
            <w:tcW w:w="876" w:type="dxa"/>
            <w:vAlign w:val="center"/>
          </w:tcPr>
          <w:p w14:paraId="3B2A92F8">
            <w:pPr>
              <w:adjustRightInd w:val="0"/>
              <w:snapToGrid w:val="0"/>
              <w:spacing w:line="300" w:lineRule="auto"/>
              <w:jc w:val="center"/>
              <w:rPr>
                <w:rFonts w:ascii="Times New Roman" w:hAnsi="Times New Roman"/>
                <w:snapToGrid w:val="0"/>
                <w:kern w:val="0"/>
                <w:szCs w:val="24"/>
              </w:rPr>
            </w:pPr>
          </w:p>
        </w:tc>
        <w:tc>
          <w:tcPr>
            <w:tcW w:w="909" w:type="dxa"/>
            <w:vAlign w:val="center"/>
          </w:tcPr>
          <w:p w14:paraId="5468CF0E">
            <w:pPr>
              <w:adjustRightInd w:val="0"/>
              <w:snapToGrid w:val="0"/>
              <w:spacing w:line="300" w:lineRule="auto"/>
              <w:jc w:val="center"/>
              <w:rPr>
                <w:rFonts w:ascii="Times New Roman" w:hAnsi="Times New Roman"/>
                <w:snapToGrid w:val="0"/>
                <w:kern w:val="0"/>
                <w:szCs w:val="24"/>
              </w:rPr>
            </w:pPr>
          </w:p>
        </w:tc>
        <w:tc>
          <w:tcPr>
            <w:tcW w:w="1643" w:type="dxa"/>
            <w:vAlign w:val="center"/>
          </w:tcPr>
          <w:p w14:paraId="0E4139CF">
            <w:pPr>
              <w:adjustRightInd w:val="0"/>
              <w:snapToGrid w:val="0"/>
              <w:spacing w:line="300" w:lineRule="auto"/>
              <w:jc w:val="center"/>
              <w:rPr>
                <w:rFonts w:ascii="Times New Roman" w:hAnsi="Times New Roman"/>
                <w:snapToGrid w:val="0"/>
                <w:kern w:val="0"/>
                <w:szCs w:val="24"/>
              </w:rPr>
            </w:pPr>
          </w:p>
        </w:tc>
        <w:tc>
          <w:tcPr>
            <w:tcW w:w="1701" w:type="dxa"/>
            <w:vAlign w:val="center"/>
          </w:tcPr>
          <w:p w14:paraId="670C0818">
            <w:pPr>
              <w:adjustRightInd w:val="0"/>
              <w:snapToGrid w:val="0"/>
              <w:spacing w:line="300" w:lineRule="auto"/>
              <w:jc w:val="center"/>
              <w:rPr>
                <w:rFonts w:ascii="Times New Roman" w:hAnsi="Times New Roman"/>
                <w:snapToGrid w:val="0"/>
                <w:kern w:val="0"/>
                <w:szCs w:val="24"/>
              </w:rPr>
            </w:pPr>
          </w:p>
        </w:tc>
        <w:tc>
          <w:tcPr>
            <w:tcW w:w="1125" w:type="dxa"/>
            <w:vAlign w:val="center"/>
          </w:tcPr>
          <w:p w14:paraId="302D2576">
            <w:pPr>
              <w:adjustRightInd w:val="0"/>
              <w:snapToGrid w:val="0"/>
              <w:spacing w:line="300" w:lineRule="auto"/>
              <w:jc w:val="center"/>
              <w:rPr>
                <w:rFonts w:ascii="Times New Roman" w:hAnsi="Times New Roman"/>
                <w:snapToGrid w:val="0"/>
                <w:kern w:val="0"/>
                <w:szCs w:val="24"/>
              </w:rPr>
            </w:pPr>
          </w:p>
        </w:tc>
      </w:tr>
      <w:tr w14:paraId="26AB3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0F5A8F23">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4</w:t>
            </w:r>
          </w:p>
        </w:tc>
        <w:tc>
          <w:tcPr>
            <w:tcW w:w="2485" w:type="dxa"/>
            <w:vAlign w:val="center"/>
          </w:tcPr>
          <w:p w14:paraId="59164360">
            <w:pPr>
              <w:adjustRightInd w:val="0"/>
              <w:snapToGrid w:val="0"/>
              <w:spacing w:line="300" w:lineRule="auto"/>
              <w:jc w:val="center"/>
              <w:rPr>
                <w:rFonts w:ascii="宋体" w:hAnsi="宋体"/>
                <w:szCs w:val="21"/>
                <w:lang w:val="zh-CN"/>
              </w:rPr>
            </w:pPr>
          </w:p>
        </w:tc>
        <w:tc>
          <w:tcPr>
            <w:tcW w:w="876" w:type="dxa"/>
            <w:vAlign w:val="center"/>
          </w:tcPr>
          <w:p w14:paraId="7E35DD39">
            <w:pPr>
              <w:adjustRightInd w:val="0"/>
              <w:snapToGrid w:val="0"/>
              <w:spacing w:line="300" w:lineRule="auto"/>
              <w:jc w:val="center"/>
              <w:rPr>
                <w:rFonts w:ascii="Times New Roman" w:hAnsi="Times New Roman"/>
                <w:snapToGrid w:val="0"/>
                <w:kern w:val="0"/>
                <w:szCs w:val="24"/>
              </w:rPr>
            </w:pPr>
          </w:p>
        </w:tc>
        <w:tc>
          <w:tcPr>
            <w:tcW w:w="909" w:type="dxa"/>
            <w:vAlign w:val="center"/>
          </w:tcPr>
          <w:p w14:paraId="4FD42C6F">
            <w:pPr>
              <w:adjustRightInd w:val="0"/>
              <w:snapToGrid w:val="0"/>
              <w:spacing w:line="300" w:lineRule="auto"/>
              <w:jc w:val="center"/>
              <w:rPr>
                <w:rFonts w:ascii="Times New Roman" w:hAnsi="Times New Roman"/>
                <w:snapToGrid w:val="0"/>
                <w:kern w:val="0"/>
                <w:szCs w:val="24"/>
              </w:rPr>
            </w:pPr>
          </w:p>
        </w:tc>
        <w:tc>
          <w:tcPr>
            <w:tcW w:w="1643" w:type="dxa"/>
            <w:vAlign w:val="center"/>
          </w:tcPr>
          <w:p w14:paraId="5566AF93">
            <w:pPr>
              <w:adjustRightInd w:val="0"/>
              <w:snapToGrid w:val="0"/>
              <w:spacing w:line="300" w:lineRule="auto"/>
              <w:jc w:val="center"/>
              <w:rPr>
                <w:rFonts w:ascii="Times New Roman" w:hAnsi="Times New Roman"/>
                <w:snapToGrid w:val="0"/>
                <w:kern w:val="0"/>
                <w:szCs w:val="24"/>
              </w:rPr>
            </w:pPr>
          </w:p>
        </w:tc>
        <w:tc>
          <w:tcPr>
            <w:tcW w:w="1701" w:type="dxa"/>
            <w:vAlign w:val="center"/>
          </w:tcPr>
          <w:p w14:paraId="450F859D">
            <w:pPr>
              <w:adjustRightInd w:val="0"/>
              <w:snapToGrid w:val="0"/>
              <w:spacing w:line="300" w:lineRule="auto"/>
              <w:jc w:val="center"/>
              <w:rPr>
                <w:rFonts w:ascii="Times New Roman" w:hAnsi="Times New Roman"/>
                <w:snapToGrid w:val="0"/>
                <w:kern w:val="0"/>
                <w:szCs w:val="24"/>
              </w:rPr>
            </w:pPr>
          </w:p>
        </w:tc>
        <w:tc>
          <w:tcPr>
            <w:tcW w:w="1125" w:type="dxa"/>
            <w:vAlign w:val="center"/>
          </w:tcPr>
          <w:p w14:paraId="14139FA0">
            <w:pPr>
              <w:adjustRightInd w:val="0"/>
              <w:snapToGrid w:val="0"/>
              <w:spacing w:line="300" w:lineRule="auto"/>
              <w:jc w:val="center"/>
              <w:rPr>
                <w:rFonts w:ascii="Times New Roman" w:hAnsi="Times New Roman"/>
                <w:snapToGrid w:val="0"/>
                <w:kern w:val="0"/>
                <w:szCs w:val="24"/>
              </w:rPr>
            </w:pPr>
          </w:p>
        </w:tc>
      </w:tr>
      <w:tr w14:paraId="763A54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525C10E3">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5</w:t>
            </w:r>
          </w:p>
        </w:tc>
        <w:tc>
          <w:tcPr>
            <w:tcW w:w="2485" w:type="dxa"/>
            <w:tcBorders>
              <w:bottom w:val="single" w:color="auto" w:sz="4" w:space="0"/>
            </w:tcBorders>
            <w:vAlign w:val="center"/>
          </w:tcPr>
          <w:p w14:paraId="4D6DF71D">
            <w:pPr>
              <w:adjustRightInd w:val="0"/>
              <w:snapToGrid w:val="0"/>
              <w:spacing w:line="300" w:lineRule="auto"/>
              <w:jc w:val="center"/>
              <w:rPr>
                <w:rFonts w:ascii="宋体" w:hAnsi="宋体"/>
                <w:szCs w:val="21"/>
                <w:lang w:val="zh-CN"/>
              </w:rPr>
            </w:pPr>
          </w:p>
        </w:tc>
        <w:tc>
          <w:tcPr>
            <w:tcW w:w="876" w:type="dxa"/>
            <w:tcBorders>
              <w:bottom w:val="single" w:color="auto" w:sz="4" w:space="0"/>
            </w:tcBorders>
            <w:vAlign w:val="center"/>
          </w:tcPr>
          <w:p w14:paraId="00ECCB8F">
            <w:pPr>
              <w:adjustRightInd w:val="0"/>
              <w:snapToGrid w:val="0"/>
              <w:spacing w:line="300" w:lineRule="auto"/>
              <w:jc w:val="center"/>
              <w:rPr>
                <w:rFonts w:ascii="Times New Roman" w:hAnsi="Times New Roman"/>
                <w:snapToGrid w:val="0"/>
                <w:kern w:val="0"/>
                <w:szCs w:val="24"/>
              </w:rPr>
            </w:pPr>
          </w:p>
        </w:tc>
        <w:tc>
          <w:tcPr>
            <w:tcW w:w="909" w:type="dxa"/>
            <w:tcBorders>
              <w:bottom w:val="single" w:color="auto" w:sz="4" w:space="0"/>
            </w:tcBorders>
            <w:vAlign w:val="center"/>
          </w:tcPr>
          <w:p w14:paraId="02AC8E77">
            <w:pPr>
              <w:adjustRightInd w:val="0"/>
              <w:snapToGrid w:val="0"/>
              <w:spacing w:line="300" w:lineRule="auto"/>
              <w:jc w:val="center"/>
              <w:rPr>
                <w:rFonts w:ascii="Times New Roman" w:hAnsi="Times New Roman"/>
                <w:snapToGrid w:val="0"/>
                <w:kern w:val="0"/>
                <w:szCs w:val="24"/>
              </w:rPr>
            </w:pPr>
          </w:p>
        </w:tc>
        <w:tc>
          <w:tcPr>
            <w:tcW w:w="1643" w:type="dxa"/>
            <w:tcBorders>
              <w:bottom w:val="single" w:color="auto" w:sz="4" w:space="0"/>
            </w:tcBorders>
            <w:vAlign w:val="center"/>
          </w:tcPr>
          <w:p w14:paraId="41C36D43">
            <w:pPr>
              <w:adjustRightInd w:val="0"/>
              <w:snapToGrid w:val="0"/>
              <w:spacing w:line="300" w:lineRule="auto"/>
              <w:jc w:val="center"/>
              <w:rPr>
                <w:rFonts w:ascii="Times New Roman" w:hAnsi="Times New Roman"/>
                <w:snapToGrid w:val="0"/>
                <w:kern w:val="0"/>
                <w:szCs w:val="24"/>
              </w:rPr>
            </w:pPr>
          </w:p>
        </w:tc>
        <w:tc>
          <w:tcPr>
            <w:tcW w:w="1701" w:type="dxa"/>
            <w:tcBorders>
              <w:bottom w:val="single" w:color="auto" w:sz="4" w:space="0"/>
            </w:tcBorders>
            <w:vAlign w:val="center"/>
          </w:tcPr>
          <w:p w14:paraId="7FD0BA84">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24962BF4">
            <w:pPr>
              <w:adjustRightInd w:val="0"/>
              <w:snapToGrid w:val="0"/>
              <w:spacing w:line="300" w:lineRule="auto"/>
              <w:jc w:val="center"/>
              <w:rPr>
                <w:rFonts w:ascii="Times New Roman" w:hAnsi="Times New Roman"/>
                <w:snapToGrid w:val="0"/>
                <w:kern w:val="0"/>
                <w:szCs w:val="24"/>
              </w:rPr>
            </w:pPr>
          </w:p>
        </w:tc>
      </w:tr>
      <w:tr w14:paraId="0EBF1F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7CC4A4A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6</w:t>
            </w:r>
          </w:p>
        </w:tc>
        <w:tc>
          <w:tcPr>
            <w:tcW w:w="2485" w:type="dxa"/>
            <w:tcBorders>
              <w:top w:val="single" w:color="auto" w:sz="4" w:space="0"/>
              <w:bottom w:val="single" w:color="auto" w:sz="4" w:space="0"/>
            </w:tcBorders>
            <w:vAlign w:val="center"/>
          </w:tcPr>
          <w:p w14:paraId="16BE0D2C">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298FA6FA">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75B0A302">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280F9F03">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76D8E391">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0A1471A7">
            <w:pPr>
              <w:adjustRightInd w:val="0"/>
              <w:snapToGrid w:val="0"/>
              <w:spacing w:line="300" w:lineRule="auto"/>
              <w:jc w:val="center"/>
              <w:rPr>
                <w:rFonts w:ascii="Times New Roman" w:hAnsi="Times New Roman"/>
                <w:snapToGrid w:val="0"/>
                <w:kern w:val="0"/>
                <w:szCs w:val="24"/>
              </w:rPr>
            </w:pPr>
          </w:p>
        </w:tc>
      </w:tr>
      <w:tr w14:paraId="670A47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18013727">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7</w:t>
            </w:r>
          </w:p>
        </w:tc>
        <w:tc>
          <w:tcPr>
            <w:tcW w:w="2485" w:type="dxa"/>
            <w:tcBorders>
              <w:top w:val="single" w:color="auto" w:sz="4" w:space="0"/>
              <w:bottom w:val="single" w:color="auto" w:sz="4" w:space="0"/>
            </w:tcBorders>
            <w:vAlign w:val="center"/>
          </w:tcPr>
          <w:p w14:paraId="37D68DAA">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02B809E8">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6C4B855B">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37DC29BB">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65D97FC7">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16698A1A">
            <w:pPr>
              <w:adjustRightInd w:val="0"/>
              <w:snapToGrid w:val="0"/>
              <w:spacing w:line="300" w:lineRule="auto"/>
              <w:jc w:val="center"/>
              <w:rPr>
                <w:rFonts w:ascii="Times New Roman" w:hAnsi="Times New Roman"/>
                <w:snapToGrid w:val="0"/>
                <w:kern w:val="0"/>
                <w:szCs w:val="24"/>
              </w:rPr>
            </w:pPr>
          </w:p>
        </w:tc>
      </w:tr>
      <w:tr w14:paraId="3E3506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1A5A61A9">
            <w:pPr>
              <w:adjustRightInd w:val="0"/>
              <w:snapToGrid w:val="0"/>
              <w:spacing w:line="300" w:lineRule="auto"/>
              <w:jc w:val="center"/>
              <w:rPr>
                <w:rFonts w:ascii="Times New Roman" w:hAnsi="Times New Roman"/>
                <w:snapToGrid w:val="0"/>
                <w:kern w:val="0"/>
                <w:szCs w:val="24"/>
              </w:rPr>
            </w:pPr>
            <w:r>
              <w:rPr>
                <w:rFonts w:hint="eastAsia" w:ascii="Times New Roman" w:hAnsi="Times New Roman"/>
                <w:snapToGrid w:val="0"/>
                <w:kern w:val="0"/>
                <w:szCs w:val="24"/>
              </w:rPr>
              <w:t>合</w:t>
            </w:r>
            <w:r>
              <w:rPr>
                <w:rFonts w:ascii="Times New Roman" w:hAnsi="Times New Roman"/>
                <w:snapToGrid w:val="0"/>
                <w:kern w:val="0"/>
                <w:szCs w:val="24"/>
              </w:rPr>
              <w:t xml:space="preserve">   </w:t>
            </w:r>
            <w:r>
              <w:rPr>
                <w:rFonts w:hint="eastAsia" w:ascii="Times New Roman" w:hAnsi="Times New Roman"/>
                <w:snapToGrid w:val="0"/>
                <w:kern w:val="0"/>
                <w:szCs w:val="24"/>
              </w:rPr>
              <w:t>计（即投标总价，单位：元）</w:t>
            </w:r>
          </w:p>
        </w:tc>
        <w:tc>
          <w:tcPr>
            <w:tcW w:w="1701" w:type="dxa"/>
            <w:tcBorders>
              <w:top w:val="single" w:color="auto" w:sz="4" w:space="0"/>
            </w:tcBorders>
            <w:vAlign w:val="center"/>
          </w:tcPr>
          <w:p w14:paraId="30DA7B50">
            <w:pPr>
              <w:adjustRightInd w:val="0"/>
              <w:snapToGrid w:val="0"/>
              <w:spacing w:line="300" w:lineRule="auto"/>
              <w:jc w:val="center"/>
              <w:rPr>
                <w:rFonts w:ascii="Times New Roman" w:hAnsi="Times New Roman"/>
                <w:snapToGrid w:val="0"/>
                <w:kern w:val="0"/>
                <w:szCs w:val="24"/>
              </w:rPr>
            </w:pPr>
          </w:p>
        </w:tc>
        <w:tc>
          <w:tcPr>
            <w:tcW w:w="1125" w:type="dxa"/>
            <w:tcBorders>
              <w:top w:val="single" w:color="auto" w:sz="4" w:space="0"/>
            </w:tcBorders>
            <w:vAlign w:val="center"/>
          </w:tcPr>
          <w:p w14:paraId="52FD4EB4">
            <w:pPr>
              <w:adjustRightInd w:val="0"/>
              <w:snapToGrid w:val="0"/>
              <w:spacing w:line="300" w:lineRule="auto"/>
              <w:jc w:val="center"/>
              <w:rPr>
                <w:rFonts w:ascii="Times New Roman" w:hAnsi="Times New Roman"/>
                <w:snapToGrid w:val="0"/>
                <w:kern w:val="0"/>
                <w:szCs w:val="24"/>
              </w:rPr>
            </w:pPr>
          </w:p>
        </w:tc>
      </w:tr>
    </w:tbl>
    <w:p w14:paraId="016F9A1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注：1、本表格仅为指导性范本，供应商可根据项目具体情况对各分项内容进行调整。</w:t>
      </w:r>
    </w:p>
    <w:p w14:paraId="7B91776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2、投标总价应为以上各分项价格之和。</w:t>
      </w:r>
    </w:p>
    <w:p w14:paraId="60C5A50A">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3、开标一览表的投标总价必须与以上分项报价清单的投标总价一致。</w:t>
      </w:r>
    </w:p>
    <w:p w14:paraId="4EE4E69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33E6802">
      <w:pPr>
        <w:keepNext/>
        <w:keepLines/>
        <w:tabs>
          <w:tab w:val="left" w:pos="765"/>
        </w:tabs>
        <w:spacing w:line="376" w:lineRule="auto"/>
        <w:outlineLvl w:val="3"/>
        <w:rPr>
          <w:rFonts w:asciiTheme="minorEastAsia" w:hAnsiTheme="minorEastAsia" w:eastAsiaTheme="minorEastAsia"/>
          <w:bCs/>
          <w:kern w:val="0"/>
          <w:szCs w:val="21"/>
        </w:rPr>
      </w:pPr>
    </w:p>
    <w:p w14:paraId="1F761FCA">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bl>
    <w:p w14:paraId="481C686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4C407108">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1</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“招标文件服务要求”一栏填写招标文件第二章“招标项目需求”</w:t>
      </w:r>
      <w:r>
        <w:rPr>
          <w:rFonts w:asciiTheme="minorEastAsia" w:hAnsiTheme="minorEastAsia" w:eastAsiaTheme="minorEastAsia"/>
          <w:b/>
          <w:bCs/>
          <w:kern w:val="0"/>
          <w:szCs w:val="21"/>
          <w:highlight w:val="yellow"/>
        </w:rPr>
        <w:t>“</w:t>
      </w:r>
      <w:r>
        <w:rPr>
          <w:rFonts w:hint="eastAsia" w:asciiTheme="minorEastAsia" w:hAnsiTheme="minorEastAsia" w:eastAsiaTheme="minorEastAsia"/>
          <w:b/>
          <w:bCs/>
          <w:kern w:val="0"/>
          <w:szCs w:val="21"/>
          <w:highlight w:val="yellow"/>
        </w:rPr>
        <w:t>四、项目</w:t>
      </w:r>
      <w:r>
        <w:rPr>
          <w:rFonts w:asciiTheme="minorEastAsia" w:hAnsiTheme="minorEastAsia" w:eastAsiaTheme="minorEastAsia"/>
          <w:b/>
          <w:bCs/>
          <w:kern w:val="0"/>
          <w:szCs w:val="21"/>
          <w:highlight w:val="yellow"/>
        </w:rPr>
        <w:t>服务</w:t>
      </w:r>
      <w:r>
        <w:rPr>
          <w:rFonts w:hint="eastAsia" w:asciiTheme="minorEastAsia" w:hAnsiTheme="minorEastAsia" w:eastAsiaTheme="minorEastAsia"/>
          <w:b/>
          <w:bCs/>
          <w:kern w:val="0"/>
          <w:szCs w:val="21"/>
          <w:highlight w:val="yellow"/>
        </w:rPr>
        <w:t>要求</w:t>
      </w:r>
      <w:r>
        <w:rPr>
          <w:rFonts w:asciiTheme="minorEastAsia" w:hAnsiTheme="minorEastAsia" w:eastAsiaTheme="minorEastAsia"/>
          <w:b/>
          <w:bCs/>
          <w:kern w:val="0"/>
          <w:szCs w:val="21"/>
          <w:highlight w:val="yellow"/>
        </w:rPr>
        <w:t>”</w:t>
      </w:r>
      <w:r>
        <w:rPr>
          <w:rFonts w:asciiTheme="minorEastAsia" w:hAnsiTheme="minorEastAsia" w:eastAsiaTheme="minorEastAsia"/>
          <w:bCs/>
          <w:kern w:val="0"/>
          <w:szCs w:val="21"/>
        </w:rPr>
        <w:t>的内容。</w:t>
      </w:r>
    </w:p>
    <w:p w14:paraId="4795A060">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2</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“投标文件服务</w:t>
      </w:r>
      <w:r>
        <w:rPr>
          <w:rFonts w:hint="eastAsia" w:asciiTheme="minorEastAsia" w:hAnsiTheme="minorEastAsia" w:eastAsiaTheme="minorEastAsia"/>
          <w:bCs/>
          <w:kern w:val="0"/>
          <w:szCs w:val="21"/>
        </w:rPr>
        <w:t>响应</w:t>
      </w:r>
      <w:r>
        <w:rPr>
          <w:rFonts w:asciiTheme="minorEastAsia" w:hAnsiTheme="minorEastAsia" w:eastAsiaTheme="minorEastAsia"/>
          <w:bCs/>
          <w:kern w:val="0"/>
          <w:szCs w:val="21"/>
        </w:rPr>
        <w:t>”一栏详细填写响应情况，并应对照</w:t>
      </w:r>
      <w:r>
        <w:rPr>
          <w:rFonts w:hint="eastAsia" w:asciiTheme="minorEastAsia" w:hAnsiTheme="minorEastAsia" w:eastAsiaTheme="minorEastAsia"/>
          <w:bCs/>
          <w:kern w:val="0"/>
          <w:szCs w:val="21"/>
        </w:rPr>
        <w:t>招</w:t>
      </w:r>
      <w:r>
        <w:rPr>
          <w:rFonts w:asciiTheme="minorEastAsia" w:hAnsiTheme="minorEastAsia" w:eastAsiaTheme="minorEastAsia"/>
          <w:bCs/>
          <w:kern w:val="0"/>
          <w:szCs w:val="21"/>
        </w:rPr>
        <w:t>标文件</w:t>
      </w:r>
      <w:r>
        <w:rPr>
          <w:rFonts w:hint="eastAsia" w:asciiTheme="minorEastAsia" w:hAnsiTheme="minorEastAsia" w:eastAsiaTheme="minorEastAsia"/>
          <w:bCs/>
          <w:kern w:val="0"/>
          <w:szCs w:val="21"/>
        </w:rPr>
        <w:t>服务</w:t>
      </w:r>
      <w:r>
        <w:rPr>
          <w:rFonts w:asciiTheme="minorEastAsia" w:hAnsiTheme="minorEastAsia" w:eastAsiaTheme="minorEastAsia"/>
          <w:bCs/>
          <w:kern w:val="0"/>
          <w:szCs w:val="21"/>
        </w:rPr>
        <w:t>要求一一对应响应。</w:t>
      </w:r>
    </w:p>
    <w:p w14:paraId="18856264">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3</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“偏离情况”一栏应如实填写“正偏离”、“负偏离”或“无偏离”。</w:t>
      </w:r>
    </w:p>
    <w:p w14:paraId="0BB97D25">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48E999F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32350FA9">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79AD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50E5A7B9">
            <w:pPr>
              <w:jc w:val="center"/>
              <w:rPr>
                <w:rFonts w:ascii="宋体" w:hAnsi="宋体"/>
                <w:szCs w:val="21"/>
              </w:rPr>
            </w:pPr>
            <w:r>
              <w:rPr>
                <w:rFonts w:hint="eastAsia" w:ascii="宋体" w:hAnsi="宋体"/>
                <w:szCs w:val="21"/>
              </w:rPr>
              <w:t>序号</w:t>
            </w:r>
          </w:p>
        </w:tc>
        <w:tc>
          <w:tcPr>
            <w:tcW w:w="2410" w:type="dxa"/>
            <w:vAlign w:val="center"/>
          </w:tcPr>
          <w:p w14:paraId="7AF764F6">
            <w:pPr>
              <w:jc w:val="center"/>
              <w:rPr>
                <w:rFonts w:ascii="宋体" w:hAnsi="宋体"/>
                <w:szCs w:val="21"/>
              </w:rPr>
            </w:pPr>
            <w:r>
              <w:rPr>
                <w:rFonts w:hint="eastAsia" w:ascii="宋体" w:hAnsi="宋体"/>
                <w:szCs w:val="21"/>
              </w:rPr>
              <w:t>招标文件商务要求</w:t>
            </w:r>
          </w:p>
        </w:tc>
        <w:tc>
          <w:tcPr>
            <w:tcW w:w="2551" w:type="dxa"/>
            <w:vAlign w:val="center"/>
          </w:tcPr>
          <w:p w14:paraId="42F0B6E4">
            <w:pPr>
              <w:jc w:val="center"/>
              <w:rPr>
                <w:rFonts w:ascii="宋体" w:hAnsi="宋体"/>
                <w:szCs w:val="21"/>
              </w:rPr>
            </w:pPr>
            <w:r>
              <w:rPr>
                <w:rFonts w:hint="eastAsia" w:ascii="宋体" w:hAnsi="宋体"/>
                <w:szCs w:val="21"/>
              </w:rPr>
              <w:t>投标文件商务响应</w:t>
            </w:r>
          </w:p>
        </w:tc>
        <w:tc>
          <w:tcPr>
            <w:tcW w:w="1344" w:type="dxa"/>
            <w:vAlign w:val="center"/>
          </w:tcPr>
          <w:p w14:paraId="62AFABD0">
            <w:pPr>
              <w:jc w:val="center"/>
              <w:rPr>
                <w:rFonts w:ascii="宋体" w:hAnsi="宋体"/>
                <w:szCs w:val="21"/>
              </w:rPr>
            </w:pPr>
            <w:r>
              <w:rPr>
                <w:rFonts w:hint="eastAsia" w:ascii="宋体" w:hAnsi="宋体"/>
                <w:szCs w:val="21"/>
              </w:rPr>
              <w:t>偏离情况</w:t>
            </w:r>
          </w:p>
        </w:tc>
        <w:tc>
          <w:tcPr>
            <w:tcW w:w="2008" w:type="dxa"/>
            <w:vAlign w:val="center"/>
          </w:tcPr>
          <w:p w14:paraId="18755FA9">
            <w:pPr>
              <w:jc w:val="center"/>
              <w:rPr>
                <w:rFonts w:ascii="宋体" w:hAnsi="宋体"/>
                <w:szCs w:val="21"/>
              </w:rPr>
            </w:pPr>
            <w:r>
              <w:rPr>
                <w:rFonts w:hint="eastAsia" w:ascii="宋体" w:hAnsi="宋体"/>
                <w:szCs w:val="21"/>
              </w:rPr>
              <w:t>说明</w:t>
            </w:r>
          </w:p>
        </w:tc>
      </w:tr>
      <w:tr w14:paraId="311F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00EEF4A7">
            <w:pPr>
              <w:rPr>
                <w:sz w:val="24"/>
              </w:rPr>
            </w:pPr>
          </w:p>
        </w:tc>
        <w:tc>
          <w:tcPr>
            <w:tcW w:w="2410" w:type="dxa"/>
          </w:tcPr>
          <w:p w14:paraId="03CB5AC6">
            <w:pPr>
              <w:rPr>
                <w:sz w:val="24"/>
              </w:rPr>
            </w:pPr>
          </w:p>
        </w:tc>
        <w:tc>
          <w:tcPr>
            <w:tcW w:w="2551" w:type="dxa"/>
          </w:tcPr>
          <w:p w14:paraId="629C5896">
            <w:pPr>
              <w:rPr>
                <w:sz w:val="24"/>
              </w:rPr>
            </w:pPr>
          </w:p>
        </w:tc>
        <w:tc>
          <w:tcPr>
            <w:tcW w:w="1344" w:type="dxa"/>
          </w:tcPr>
          <w:p w14:paraId="2A0C28EE">
            <w:pPr>
              <w:rPr>
                <w:sz w:val="24"/>
              </w:rPr>
            </w:pPr>
          </w:p>
        </w:tc>
        <w:tc>
          <w:tcPr>
            <w:tcW w:w="2008" w:type="dxa"/>
          </w:tcPr>
          <w:p w14:paraId="00CC59FA">
            <w:pPr>
              <w:rPr>
                <w:sz w:val="24"/>
              </w:rPr>
            </w:pPr>
            <w:r>
              <w:rPr>
                <w:rFonts w:hint="eastAsia"/>
                <w:szCs w:val="21"/>
              </w:rPr>
              <w:t>如需附证明文件，应在“说明”栏填写证明文件对应名称和页码。</w:t>
            </w:r>
          </w:p>
        </w:tc>
      </w:tr>
      <w:tr w14:paraId="7A13F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57EF8A31">
            <w:pPr>
              <w:rPr>
                <w:sz w:val="24"/>
              </w:rPr>
            </w:pPr>
          </w:p>
        </w:tc>
        <w:tc>
          <w:tcPr>
            <w:tcW w:w="2410" w:type="dxa"/>
          </w:tcPr>
          <w:p w14:paraId="621CBA5F">
            <w:pPr>
              <w:rPr>
                <w:sz w:val="24"/>
              </w:rPr>
            </w:pPr>
          </w:p>
        </w:tc>
        <w:tc>
          <w:tcPr>
            <w:tcW w:w="2551" w:type="dxa"/>
          </w:tcPr>
          <w:p w14:paraId="4528F0C9">
            <w:pPr>
              <w:rPr>
                <w:sz w:val="24"/>
              </w:rPr>
            </w:pPr>
          </w:p>
        </w:tc>
        <w:tc>
          <w:tcPr>
            <w:tcW w:w="1344" w:type="dxa"/>
          </w:tcPr>
          <w:p w14:paraId="707065F9">
            <w:pPr>
              <w:rPr>
                <w:sz w:val="24"/>
              </w:rPr>
            </w:pPr>
          </w:p>
        </w:tc>
        <w:tc>
          <w:tcPr>
            <w:tcW w:w="2008" w:type="dxa"/>
          </w:tcPr>
          <w:p w14:paraId="0A5347C0">
            <w:pPr>
              <w:rPr>
                <w:sz w:val="24"/>
              </w:rPr>
            </w:pPr>
          </w:p>
        </w:tc>
      </w:tr>
    </w:tbl>
    <w:p w14:paraId="25B83E1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01BDA36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1、“招标文件商务服务要求”一栏填写招标文件第二章“招标项目需求”</w:t>
      </w:r>
      <w:r>
        <w:rPr>
          <w:rFonts w:hint="eastAsia" w:asciiTheme="minorEastAsia" w:hAnsiTheme="minorEastAsia" w:eastAsiaTheme="minorEastAsia"/>
          <w:b/>
          <w:bCs/>
          <w:kern w:val="0"/>
          <w:szCs w:val="21"/>
          <w:highlight w:val="yellow"/>
        </w:rPr>
        <w:t>“五、项目商务要求”</w:t>
      </w:r>
      <w:r>
        <w:rPr>
          <w:rFonts w:hint="eastAsia" w:asciiTheme="minorEastAsia" w:hAnsiTheme="minorEastAsia" w:eastAsiaTheme="minorEastAsia"/>
          <w:bCs/>
          <w:kern w:val="0"/>
          <w:szCs w:val="21"/>
        </w:rPr>
        <w:t>的内容</w:t>
      </w:r>
      <w:r>
        <w:rPr>
          <w:rFonts w:asciiTheme="minorEastAsia" w:hAnsiTheme="minorEastAsia" w:eastAsiaTheme="minorEastAsia"/>
          <w:bCs/>
          <w:kern w:val="0"/>
          <w:szCs w:val="21"/>
        </w:rPr>
        <w:t>。</w:t>
      </w:r>
    </w:p>
    <w:p w14:paraId="49B8AD4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2、“投标文件商务响应”一栏详细填写投标商务条款的内容</w:t>
      </w:r>
      <w:r>
        <w:rPr>
          <w:rFonts w:asciiTheme="minorEastAsia" w:hAnsiTheme="minorEastAsia" w:eastAsiaTheme="minorEastAsia"/>
          <w:bCs/>
          <w:kern w:val="0"/>
          <w:szCs w:val="21"/>
        </w:rPr>
        <w:t>。</w:t>
      </w:r>
    </w:p>
    <w:p w14:paraId="14D39D3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3、“偏离情况”栏中应如实填写“正偏离”、“负偏离”或“无偏离”</w:t>
      </w:r>
      <w:r>
        <w:rPr>
          <w:rFonts w:asciiTheme="minorEastAsia" w:hAnsiTheme="minorEastAsia" w:eastAsiaTheme="minorEastAsia"/>
          <w:bCs/>
          <w:kern w:val="0"/>
          <w:szCs w:val="21"/>
        </w:rPr>
        <w:t>。</w:t>
      </w:r>
    </w:p>
    <w:p w14:paraId="3EE00CF2">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55E10043">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5B34A1CA">
      <w:pPr>
        <w:jc w:val="center"/>
        <w:rPr>
          <w:rFonts w:hint="eastAsia" w:ascii="宋体" w:hAnsi="宋体"/>
          <w:b/>
          <w:bCs/>
          <w:kern w:val="0"/>
          <w:sz w:val="24"/>
          <w:szCs w:val="20"/>
        </w:rPr>
      </w:pPr>
    </w:p>
    <w:p w14:paraId="178B501E">
      <w:pPr>
        <w:jc w:val="center"/>
        <w:rPr>
          <w:rFonts w:hint="eastAsia" w:ascii="宋体" w:hAnsi="宋体"/>
          <w:b/>
          <w:bCs/>
          <w:kern w:val="0"/>
          <w:sz w:val="24"/>
          <w:szCs w:val="20"/>
        </w:rPr>
      </w:pPr>
    </w:p>
    <w:p w14:paraId="73F422CA">
      <w:pPr>
        <w:jc w:val="center"/>
        <w:rPr>
          <w:rFonts w:hint="eastAsia" w:ascii="宋体" w:hAnsi="宋体"/>
          <w:b/>
          <w:bCs/>
          <w:kern w:val="0"/>
          <w:sz w:val="24"/>
          <w:szCs w:val="20"/>
        </w:rPr>
      </w:pPr>
    </w:p>
    <w:p w14:paraId="2212C60F">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2C820204">
      <w:pPr>
        <w:jc w:val="center"/>
        <w:rPr>
          <w:rFonts w:hint="eastAsia" w:ascii="黑体" w:hAnsi="宋体" w:eastAsia="黑体"/>
          <w:bCs/>
          <w:kern w:val="0"/>
          <w:sz w:val="24"/>
          <w:szCs w:val="24"/>
          <w:lang w:eastAsia="zh-CN"/>
        </w:rPr>
      </w:pPr>
    </w:p>
    <w:p w14:paraId="7B42746E">
      <w:pPr>
        <w:rPr>
          <w:rFonts w:hint="eastAsia" w:ascii="宋体" w:hAnsi="宋体"/>
          <w:b/>
          <w:bCs/>
          <w:kern w:val="0"/>
          <w:sz w:val="24"/>
          <w:szCs w:val="20"/>
        </w:rPr>
      </w:pPr>
      <w:r>
        <w:rPr>
          <w:rFonts w:hint="eastAsia" w:ascii="宋体" w:hAnsi="宋体"/>
          <w:b/>
          <w:bCs/>
          <w:kern w:val="0"/>
          <w:sz w:val="24"/>
          <w:szCs w:val="20"/>
        </w:rPr>
        <w:br w:type="page"/>
      </w:r>
    </w:p>
    <w:p w14:paraId="08129F67">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7318CE04">
      <w:pPr>
        <w:ind w:firstLine="411" w:firstLineChars="196"/>
        <w:rPr>
          <w:rFonts w:ascii="Times New Roman" w:hAnsi="Times New Roman"/>
          <w:szCs w:val="24"/>
        </w:rPr>
      </w:pPr>
    </w:p>
    <w:p w14:paraId="5EA205C0">
      <w:pPr>
        <w:keepNext/>
        <w:keepLines/>
        <w:spacing w:before="260" w:after="260"/>
        <w:jc w:val="center"/>
        <w:outlineLvl w:val="2"/>
        <w:rPr>
          <w:rFonts w:ascii="Times New Roman" w:hAnsi="Times New Roman"/>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bookmarkStart w:id="12" w:name="_Toc73518163"/>
      <w:bookmarkStart w:id="13" w:name="_Toc73517685"/>
      <w:bookmarkStart w:id="14" w:name="_Toc100052414"/>
      <w:bookmarkStart w:id="15" w:name="_Toc73521592"/>
      <w:bookmarkStart w:id="16" w:name="_Toc101074886"/>
      <w:bookmarkStart w:id="17" w:name="_Toc84303603"/>
      <w:bookmarkStart w:id="18" w:name="_Toc73521680"/>
    </w:p>
    <w:p w14:paraId="0C3E97E1">
      <w:pPr>
        <w:ind w:firstLine="470" w:firstLineChars="196"/>
        <w:jc w:val="center"/>
        <w:rPr>
          <w:rFonts w:ascii="Times New Roman" w:hAnsi="Times New Roman"/>
          <w:sz w:val="24"/>
          <w:szCs w:val="24"/>
        </w:rPr>
      </w:pPr>
    </w:p>
    <w:bookmarkEnd w:id="12"/>
    <w:bookmarkEnd w:id="13"/>
    <w:bookmarkEnd w:id="14"/>
    <w:bookmarkEnd w:id="15"/>
    <w:bookmarkEnd w:id="16"/>
    <w:bookmarkEnd w:id="17"/>
    <w:bookmarkEnd w:id="18"/>
    <w:p w14:paraId="0D6FB2FD">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6C6A0976">
      <w:pPr>
        <w:snapToGrid w:val="0"/>
        <w:spacing w:line="560" w:lineRule="exact"/>
        <w:rPr>
          <w:sz w:val="24"/>
        </w:rPr>
      </w:pPr>
      <w:r>
        <w:rPr>
          <w:rFonts w:hint="eastAsia" w:ascii="黑体" w:eastAsia="黑体"/>
          <w:sz w:val="24"/>
        </w:rPr>
        <w:t>合同编号</w:t>
      </w:r>
      <w:r>
        <w:rPr>
          <w:rFonts w:hint="eastAsia"/>
          <w:sz w:val="24"/>
        </w:rPr>
        <w:t>：</w:t>
      </w:r>
      <w:r>
        <w:rPr>
          <w:rFonts w:hint="eastAsia"/>
          <w:sz w:val="24"/>
          <w:u w:val="single"/>
        </w:rPr>
        <w:t xml:space="preserve">                     </w:t>
      </w:r>
    </w:p>
    <w:p w14:paraId="6CFE4A57">
      <w:pPr>
        <w:snapToGrid w:val="0"/>
        <w:spacing w:line="560" w:lineRule="exact"/>
        <w:rPr>
          <w:sz w:val="24"/>
        </w:rPr>
      </w:pPr>
    </w:p>
    <w:p w14:paraId="6FE27CD7">
      <w:pPr>
        <w:snapToGrid w:val="0"/>
        <w:spacing w:line="560" w:lineRule="exact"/>
        <w:rPr>
          <w:sz w:val="24"/>
        </w:rPr>
      </w:pPr>
    </w:p>
    <w:p w14:paraId="5CCB77AF">
      <w:pPr>
        <w:snapToGrid w:val="0"/>
        <w:spacing w:line="560" w:lineRule="exact"/>
        <w:rPr>
          <w:sz w:val="24"/>
        </w:rPr>
      </w:pPr>
    </w:p>
    <w:p w14:paraId="457EC365">
      <w:pPr>
        <w:snapToGrid w:val="0"/>
        <w:spacing w:line="560" w:lineRule="exact"/>
        <w:rPr>
          <w:sz w:val="24"/>
        </w:rPr>
      </w:pPr>
    </w:p>
    <w:p w14:paraId="68EB4DF0">
      <w:pPr>
        <w:snapToGrid w:val="0"/>
        <w:spacing w:line="560" w:lineRule="exact"/>
        <w:rPr>
          <w:sz w:val="24"/>
        </w:rPr>
      </w:pPr>
    </w:p>
    <w:p w14:paraId="6ACB3AB4">
      <w:pPr>
        <w:snapToGrid w:val="0"/>
        <w:spacing w:line="560" w:lineRule="exact"/>
        <w:jc w:val="center"/>
        <w:outlineLvl w:val="0"/>
        <w:rPr>
          <w:rFonts w:ascii="黑体" w:eastAsia="黑体" w:cs="黑体"/>
          <w:sz w:val="36"/>
          <w:szCs w:val="36"/>
        </w:rPr>
      </w:pPr>
      <w:r>
        <w:rPr>
          <w:rFonts w:hint="eastAsia" w:ascii="宋体" w:hAnsi="宋体"/>
          <w:b/>
          <w:bCs/>
          <w:sz w:val="36"/>
          <w:szCs w:val="36"/>
          <w:u w:val="single"/>
        </w:rPr>
        <w:t>圳品工程--“圳品”标准体系建设和评价监督推广项目（B包）</w:t>
      </w:r>
      <w:r>
        <w:rPr>
          <w:rFonts w:hint="eastAsia" w:ascii="黑体" w:eastAsia="黑体" w:cs="黑体"/>
          <w:sz w:val="36"/>
          <w:szCs w:val="36"/>
        </w:rPr>
        <w:t>合同</w:t>
      </w:r>
    </w:p>
    <w:p w14:paraId="0958F6F2">
      <w:pPr>
        <w:snapToGrid w:val="0"/>
        <w:spacing w:line="560" w:lineRule="exact"/>
        <w:rPr>
          <w:sz w:val="24"/>
        </w:rPr>
      </w:pPr>
    </w:p>
    <w:p w14:paraId="7739417D">
      <w:pPr>
        <w:snapToGrid w:val="0"/>
        <w:spacing w:line="560" w:lineRule="exact"/>
        <w:rPr>
          <w:sz w:val="24"/>
        </w:rPr>
      </w:pPr>
    </w:p>
    <w:p w14:paraId="067A288B">
      <w:pPr>
        <w:snapToGrid w:val="0"/>
        <w:spacing w:line="560" w:lineRule="exact"/>
        <w:rPr>
          <w:sz w:val="24"/>
        </w:rPr>
      </w:pPr>
    </w:p>
    <w:p w14:paraId="348D877A">
      <w:pPr>
        <w:snapToGrid w:val="0"/>
        <w:spacing w:line="560" w:lineRule="exact"/>
        <w:rPr>
          <w:sz w:val="24"/>
        </w:rPr>
      </w:pPr>
    </w:p>
    <w:p w14:paraId="30559FB8">
      <w:pPr>
        <w:snapToGrid w:val="0"/>
        <w:spacing w:line="560" w:lineRule="exact"/>
        <w:rPr>
          <w:sz w:val="24"/>
        </w:rPr>
      </w:pPr>
    </w:p>
    <w:p w14:paraId="13F08A61">
      <w:pPr>
        <w:snapToGrid w:val="0"/>
        <w:spacing w:line="560" w:lineRule="exact"/>
        <w:ind w:left="1260" w:hanging="1260" w:hangingChars="450"/>
        <w:rPr>
          <w:rFonts w:hint="eastAsia" w:ascii="黑体" w:eastAsia="黑体"/>
          <w:sz w:val="28"/>
          <w:szCs w:val="28"/>
          <w:u w:val="single"/>
        </w:rPr>
      </w:pPr>
      <w:r>
        <w:rPr>
          <w:rFonts w:hint="eastAsia" w:ascii="黑体" w:eastAsia="黑体"/>
          <w:sz w:val="28"/>
          <w:szCs w:val="28"/>
        </w:rPr>
        <w:t>项目名称：</w:t>
      </w:r>
      <w:r>
        <w:rPr>
          <w:rFonts w:hint="eastAsia" w:ascii="黑体" w:eastAsia="黑体"/>
          <w:sz w:val="28"/>
          <w:szCs w:val="28"/>
          <w:u w:val="single"/>
        </w:rPr>
        <w:t xml:space="preserve"> 圳品工程--“圳品”标准体系建设和评价监督推广项目（B包）合同</w:t>
      </w:r>
    </w:p>
    <w:p w14:paraId="71115DAF">
      <w:pPr>
        <w:snapToGrid w:val="0"/>
        <w:spacing w:line="560" w:lineRule="exact"/>
        <w:rPr>
          <w:rFonts w:ascii="黑体" w:eastAsia="黑体"/>
          <w:sz w:val="28"/>
          <w:szCs w:val="28"/>
        </w:rPr>
      </w:pPr>
      <w:r>
        <w:rPr>
          <w:rFonts w:hint="eastAsia" w:ascii="黑体" w:eastAsia="黑体"/>
          <w:sz w:val="28"/>
          <w:szCs w:val="28"/>
        </w:rPr>
        <w:t>甲    方：</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深圳市市场监督管理局</w:t>
      </w:r>
      <w:r>
        <w:rPr>
          <w:rFonts w:ascii="黑体" w:eastAsia="黑体"/>
          <w:sz w:val="28"/>
          <w:szCs w:val="28"/>
          <w:u w:val="single"/>
        </w:rPr>
        <w:t xml:space="preserve"> </w:t>
      </w:r>
      <w:r>
        <w:rPr>
          <w:rFonts w:hint="eastAsia" w:ascii="黑体" w:eastAsia="黑体"/>
          <w:sz w:val="28"/>
          <w:szCs w:val="28"/>
          <w:u w:val="single"/>
        </w:rPr>
        <w:t xml:space="preserve">                        </w:t>
      </w:r>
    </w:p>
    <w:p w14:paraId="39D88129">
      <w:pPr>
        <w:snapToGrid w:val="0"/>
        <w:spacing w:line="560" w:lineRule="exact"/>
        <w:ind w:left="1400" w:hanging="1400" w:hangingChars="500"/>
        <w:rPr>
          <w:sz w:val="28"/>
          <w:szCs w:val="28"/>
          <w:u w:val="single"/>
        </w:rPr>
      </w:pPr>
      <w:r>
        <w:rPr>
          <w:rFonts w:hint="eastAsia" w:ascii="黑体" w:eastAsia="黑体"/>
          <w:sz w:val="28"/>
          <w:szCs w:val="28"/>
        </w:rPr>
        <w:t>乙    方：</w:t>
      </w:r>
      <w:r>
        <w:rPr>
          <w:rFonts w:hint="eastAsia" w:ascii="黑体" w:eastAsia="黑体"/>
          <w:sz w:val="28"/>
          <w:szCs w:val="28"/>
          <w:u w:val="single"/>
        </w:rPr>
        <w:t xml:space="preserve">                                               </w:t>
      </w:r>
    </w:p>
    <w:p w14:paraId="778A4BBE">
      <w:pPr>
        <w:snapToGrid w:val="0"/>
        <w:spacing w:line="560" w:lineRule="exact"/>
        <w:rPr>
          <w:sz w:val="28"/>
          <w:szCs w:val="28"/>
          <w:u w:val="single"/>
        </w:rPr>
      </w:pPr>
    </w:p>
    <w:p w14:paraId="1EF5E88E">
      <w:pPr>
        <w:snapToGrid w:val="0"/>
        <w:spacing w:line="560" w:lineRule="exact"/>
        <w:jc w:val="center"/>
        <w:rPr>
          <w:rFonts w:ascii="仿宋" w:eastAsia="仿宋"/>
          <w:sz w:val="28"/>
          <w:szCs w:val="28"/>
        </w:rPr>
      </w:pPr>
      <w:r>
        <w:rPr>
          <w:rFonts w:hint="eastAsia" w:ascii="仿宋" w:eastAsia="仿宋"/>
          <w:sz w:val="28"/>
          <w:szCs w:val="28"/>
        </w:rPr>
        <w:t>年   月   日</w:t>
      </w:r>
    </w:p>
    <w:p w14:paraId="43838D59">
      <w:pPr>
        <w:snapToGrid w:val="0"/>
        <w:spacing w:line="560" w:lineRule="exact"/>
        <w:rPr>
          <w:rFonts w:ascii="黑体" w:eastAsia="黑体"/>
          <w:sz w:val="32"/>
          <w:szCs w:val="32"/>
        </w:rPr>
        <w:sectPr>
          <w:pgSz w:w="11906" w:h="16838"/>
          <w:pgMar w:top="1440" w:right="1800" w:bottom="1440" w:left="1800" w:header="851" w:footer="992" w:gutter="0"/>
          <w:cols w:space="720" w:num="1"/>
          <w:docGrid w:type="lines" w:linePitch="387" w:charSpace="0"/>
        </w:sectPr>
      </w:pPr>
    </w:p>
    <w:p w14:paraId="3497DC28">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 ：</w:t>
      </w:r>
      <w:r>
        <w:rPr>
          <w:rFonts w:hint="eastAsia" w:asciiTheme="minorEastAsia" w:hAnsiTheme="minorEastAsia" w:eastAsiaTheme="minorEastAsia" w:cstheme="minorEastAsia"/>
          <w:sz w:val="21"/>
          <w:szCs w:val="21"/>
          <w:u w:val="single"/>
        </w:rPr>
        <w:t xml:space="preserve">                          </w:t>
      </w:r>
    </w:p>
    <w:p w14:paraId="454DC50D">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住所：</w:t>
      </w:r>
    </w:p>
    <w:p w14:paraId="708C9D2D">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p w14:paraId="6D53051C">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乙方：</w:t>
      </w:r>
      <w:r>
        <w:rPr>
          <w:rFonts w:hint="eastAsia" w:asciiTheme="minorEastAsia" w:hAnsiTheme="minorEastAsia" w:eastAsiaTheme="minorEastAsia" w:cstheme="minorEastAsia"/>
          <w:sz w:val="21"/>
          <w:szCs w:val="21"/>
          <w:u w:val="single"/>
        </w:rPr>
        <w:t xml:space="preserve">                        </w:t>
      </w:r>
    </w:p>
    <w:p w14:paraId="3DB41E49">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住所：</w:t>
      </w:r>
    </w:p>
    <w:p w14:paraId="768D3673">
      <w:pPr>
        <w:snapToGrid w:val="0"/>
        <w:spacing w:line="5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p w14:paraId="7F517270">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5EFB544B">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招标公告，乙方投标并依法被确定为中标人。现甲、乙双方根据《招标投标法》《中华人民共和国民法典》等有关法律规定，本着平等、自愿原则，经友好协商，签订本合同。</w:t>
      </w:r>
    </w:p>
    <w:p w14:paraId="72572F82">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项目内容</w:t>
      </w:r>
    </w:p>
    <w:p w14:paraId="4437E9FB">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1．项目名称：</w:t>
      </w:r>
      <w:r>
        <w:rPr>
          <w:rFonts w:hint="eastAsia" w:asciiTheme="minorEastAsia" w:hAnsiTheme="minorEastAsia" w:eastAsiaTheme="minorEastAsia" w:cstheme="minorEastAsia"/>
          <w:sz w:val="21"/>
          <w:szCs w:val="21"/>
          <w:u w:val="single"/>
        </w:rPr>
        <w:t>圳品工程--“圳品”标准体系建设和评价监督推广项目（B包）</w:t>
      </w:r>
    </w:p>
    <w:p w14:paraId="102D506E">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2．项目内容、要求及实施阶段：</w:t>
      </w:r>
    </w:p>
    <w:p w14:paraId="2A4990F2">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（1）服务总体要求</w:t>
      </w:r>
    </w:p>
    <w:p w14:paraId="5B6ED403">
      <w:pPr>
        <w:widowControl/>
        <w:snapToGrid w:val="0"/>
        <w:spacing w:line="560" w:lineRule="exact"/>
        <w:ind w:firstLine="420" w:firstLineChars="200"/>
        <w:jc w:val="left"/>
        <w:rPr>
          <w:rFonts w:hint="eastAsia" w:asciiTheme="minorEastAsia" w:hAnsiTheme="minorEastAsia" w:eastAsiaTheme="minorEastAsia" w:cstheme="minorEastAsia"/>
          <w:sz w:val="21"/>
          <w:szCs w:val="21"/>
          <w:highlight w:val="yellow"/>
          <w:u w:val="single"/>
        </w:rPr>
      </w:pPr>
      <w:r>
        <w:rPr>
          <w:rFonts w:hint="eastAsia" w:asciiTheme="minorEastAsia" w:hAnsiTheme="minorEastAsia" w:eastAsiaTheme="minorEastAsia" w:cstheme="minorEastAsia"/>
          <w:sz w:val="21"/>
          <w:szCs w:val="21"/>
          <w:u w:val="single"/>
        </w:rPr>
        <w:t>乙方须根据本项目的实际情况，为本项目指定合格的项目负责人，并配备不少于60人的项目团队（含1名项目负责人），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甲方监督，确保项目工作高质量完成。其服务主要内容为“圳品”标准制定（含修订）、“圳品”评价与监督依据文件（包含申报制度文件、评价制度、检测制度、监督制度、暂停制度、体系创新等文件）制定（含修订）、“圳品”标准与体系认证创新性研究、评价档案审查与评审、监督检查档案审查与结果处理、加强追溯体系建设。通过上述服务内容的不断完善，确保“圳品”标准科学先进、流程管理规范有效、制度体系日趋完善。</w:t>
      </w:r>
    </w:p>
    <w:p w14:paraId="180FA5CC">
      <w:pPr>
        <w:snapToGrid w:val="0"/>
        <w:spacing w:line="560" w:lineRule="exact"/>
        <w:ind w:firstLine="420" w:firstLineChars="200"/>
        <w:jc w:val="left"/>
        <w:rPr>
          <w:rFonts w:hint="eastAsia" w:asciiTheme="minorEastAsia" w:hAnsiTheme="minorEastAsia" w:eastAsiaTheme="minorEastAsia" w:cstheme="minorEastAsia"/>
          <w:sz w:val="21"/>
          <w:szCs w:val="21"/>
          <w:highlight w:val="yellow"/>
          <w:u w:val="single"/>
        </w:rPr>
      </w:pPr>
      <w:r>
        <w:rPr>
          <w:rFonts w:hint="eastAsia" w:asciiTheme="minorEastAsia" w:hAnsiTheme="minorEastAsia" w:eastAsiaTheme="minorEastAsia" w:cstheme="minorEastAsia"/>
          <w:sz w:val="21"/>
          <w:szCs w:val="21"/>
          <w:u w:val="single"/>
        </w:rPr>
        <w:t>（2）项目内容和要求</w:t>
      </w:r>
    </w:p>
    <w:p w14:paraId="71319C11">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1)“圳品”标准体系建设</w:t>
      </w:r>
    </w:p>
    <w:p w14:paraId="3B329E4E">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a.制定（含修订）“圳品”标准50项</w:t>
      </w:r>
    </w:p>
    <w:p w14:paraId="172F9E4C">
      <w:pPr>
        <w:pStyle w:val="221"/>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sz w:val="21"/>
          <w:szCs w:val="21"/>
          <w:u w:val="single"/>
        </w:rPr>
        <w:t>为满足“圳品”工作需求，持续开展“圳品”标准研制工作，制定“圳品”标准10项，修订“圳品”标准40项，逐步扩大标准覆盖范围、丰富标准类型，并持续更新标准以保持其先进性，全力支撑“圳品”工作。</w:t>
      </w:r>
    </w:p>
    <w:p w14:paraId="5D53DD78">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b.制定（含修订）评价与监督依据文件50个</w:t>
      </w:r>
    </w:p>
    <w:p w14:paraId="2D3CA170">
      <w:pPr>
        <w:pStyle w:val="221"/>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sz w:val="21"/>
          <w:szCs w:val="21"/>
          <w:u w:val="single"/>
        </w:rPr>
        <w:t>结合“圳品”评价模式、实际情况以及运行过程中产生的问题，充分运用调研走访、资料分析等手段，基于“圳品”申报、评价、检测、证后监督等需求，优化制度性文件（包含申报制度、评价制度、检测制度、监督制度、暂停制度、体系创新等文件），制定“圳品”评价监督依据文件10个（包含申报制度、评价制度、检测制度、监督制度、体系创新等文件），修订“圳品”评价监督依据文件40个（包含申报指南、评价制度、检测制度、监督制度、暂停制度、体系创新等文件），为“圳品”评价、检测、监督提供具有可操作性的技术支撑。</w:t>
      </w:r>
    </w:p>
    <w:p w14:paraId="520116D4">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2）提升评价与监督机构“圳品”审核能力</w:t>
      </w:r>
    </w:p>
    <w:p w14:paraId="38115CC2">
      <w:pPr>
        <w:pStyle w:val="221"/>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sz w:val="21"/>
          <w:szCs w:val="21"/>
          <w:u w:val="single"/>
        </w:rPr>
        <w:t>面向“圳品”技术机构的评价人员、抽样检测人员等，组织开展不少于2场“圳品”评价与监督依据文件现场专题培训，推动评价与监督机构的工作人员准确理解和应用评价与监督依据文件，提高现场评价的专业性和规范性，保障评价与监督过程、结果的合规性、公正性、科学性。</w:t>
      </w:r>
    </w:p>
    <w:p w14:paraId="75BEA026">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3）“圳品”标准与体系认证创新性研究</w:t>
      </w:r>
    </w:p>
    <w:p w14:paraId="3D4B3F91">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a.“圳品”标准研究</w:t>
      </w:r>
    </w:p>
    <w:p w14:paraId="10BB6B99">
      <w:pPr>
        <w:pStyle w:val="221"/>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sz w:val="21"/>
          <w:szCs w:val="21"/>
          <w:u w:val="single"/>
        </w:rPr>
        <w:t>围绕“圳品”标准研制提升开展系统研究，重点研究标准研制能力与质量提升；深入开展“圳品标准”与各层级标准的协同与转化路径研究，探索高效转化路径，最终形成研究报告，为“圳品”标准体系高质量发展提供技术支撑。</w:t>
      </w:r>
    </w:p>
    <w:p w14:paraId="3011D329">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b.“圳品”体系认证创新性研究</w:t>
      </w:r>
    </w:p>
    <w:p w14:paraId="0CE7440C">
      <w:pPr>
        <w:pStyle w:val="221"/>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sz w:val="21"/>
          <w:szCs w:val="21"/>
          <w:u w:val="single"/>
        </w:rPr>
        <w:t>聚焦“圳品”品牌建设与体系认证升级，围绕认证标准、流程机制、产业赋能等方面系统性创新研究。通过调研分析、对标先进、实证优化，形成可落地、可推广的创新路径与建议，形成《“圳品”体系认证创新性研究报告》，为“圳品”体系提质增效提供支撑。</w:t>
      </w:r>
    </w:p>
    <w:p w14:paraId="204F9F9A">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4）“圳品”评审专家库管理</w:t>
      </w:r>
    </w:p>
    <w:p w14:paraId="13C535C4">
      <w:pPr>
        <w:pStyle w:val="221"/>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sz w:val="21"/>
          <w:szCs w:val="21"/>
          <w:u w:val="single"/>
        </w:rPr>
        <w:t>根据“圳品”申报环节及监督环节实际工作需要，动态管理“圳品”评审专家库。</w:t>
      </w:r>
    </w:p>
    <w:p w14:paraId="444E8B83">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5）组织实施评价档案审查与评审</w:t>
      </w:r>
    </w:p>
    <w:p w14:paraId="2FAFF1B0">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a.组织实施400个“圳品”产品评价档案审查</w:t>
      </w:r>
    </w:p>
    <w:p w14:paraId="2F351DF9">
      <w:pPr>
        <w:pStyle w:val="221"/>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sz w:val="21"/>
          <w:szCs w:val="21"/>
          <w:u w:val="single"/>
        </w:rPr>
        <w:t>依据“圳品”评价与监督依据文件，对“圳品”技术机构产生的400个“圳品”产品的评价档案及相关材料完整性、规范性、程序合规性等实施精准审查。每套档案出具审查意见，承担审查责任，并做好与“圳品”技术机构的对接反馈，“圳品”技术机构依据档案审查意见对档案进行整改。核验其整改情况，决定是否通过，推进下一步，确保“圳品”产品档案合规。</w:t>
      </w:r>
    </w:p>
    <w:p w14:paraId="70DF3E5B">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b.组织实施“圳品”申报环节专家评审</w:t>
      </w:r>
    </w:p>
    <w:p w14:paraId="5130E116">
      <w:pPr>
        <w:pStyle w:val="221"/>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sz w:val="21"/>
          <w:szCs w:val="21"/>
          <w:u w:val="single"/>
        </w:rPr>
        <w:t>组织“圳品”申报环节专家评审会，邀请专家对产品评价档案的完整性、不符合项整改的有效性、评价人员现场评价的合规性等方面进行评审，评审产品是否符合“圳品”标准的要求，并出具专家评审意见。</w:t>
      </w:r>
    </w:p>
    <w:p w14:paraId="11597FAE">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c.产品档案整理</w:t>
      </w:r>
    </w:p>
    <w:p w14:paraId="14EF3796">
      <w:pPr>
        <w:pStyle w:val="221"/>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sz w:val="21"/>
          <w:szCs w:val="21"/>
          <w:u w:val="single"/>
        </w:rPr>
        <w:t>对“圳品”生成过程中产生的档案进行收集、归档以及统计分析，以应对各类核查。</w:t>
      </w:r>
    </w:p>
    <w:p w14:paraId="33D1F692">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6)组织实施监督档案审查与结果处理</w:t>
      </w:r>
    </w:p>
    <w:p w14:paraId="13398FB3">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a.组织实施369个产品监督档案审查</w:t>
      </w:r>
    </w:p>
    <w:p w14:paraId="7E2301D2">
      <w:pPr>
        <w:pStyle w:val="221"/>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sz w:val="21"/>
          <w:szCs w:val="21"/>
          <w:u w:val="single"/>
        </w:rPr>
        <w:t>依据“圳品”评价与监督依据文件，对“圳品”技术机构提交的369个“圳品”产品相关的档案完整性、规范性、合规性等实施档案审查。每套档案出具审查意见，审查通过后进入专家评审阶段，保障“圳品”产品监督检查工作的严谨性与科学性。</w:t>
      </w:r>
    </w:p>
    <w:p w14:paraId="7459E0D0">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b.组织实施“圳品”监督环节专家评审</w:t>
      </w:r>
    </w:p>
    <w:p w14:paraId="3AC0B13D">
      <w:pPr>
        <w:pStyle w:val="221"/>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sz w:val="21"/>
          <w:szCs w:val="21"/>
          <w:u w:val="single"/>
        </w:rPr>
        <w:t>组织“圳品”监督环节专家评审会，邀请专家对产品监督档案的完整性、不符合项整改的有效性、监督人员现场监督工作的合规性等方面进行评审，评审获证后产品是否符合“圳品”标准的要求，并出具专家评审意见。</w:t>
      </w:r>
    </w:p>
    <w:p w14:paraId="0E89ABC0">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c.监督检查结果处理</w:t>
      </w:r>
    </w:p>
    <w:p w14:paraId="02E9206C">
      <w:pPr>
        <w:pStyle w:val="221"/>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sz w:val="21"/>
          <w:szCs w:val="21"/>
          <w:u w:val="single"/>
        </w:rPr>
        <w:t>根据监督检查结论，对符合要求的获证产品出具《“圳品”监督检查结论告知书》；对于符合暂停情形的产品依制度报送有关情况并提请启动暂停工作流程；对符合《供深食品标准工作委员会“圳品”退出工作制度（试行）》规定退出情形的产品，提请供深食品标准工作委员会审议，通过审议后，履行退出处理程序。</w:t>
      </w:r>
    </w:p>
    <w:p w14:paraId="4161D062">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d.监督检查档案整理</w:t>
      </w:r>
    </w:p>
    <w:p w14:paraId="120E9D3D">
      <w:pPr>
        <w:pStyle w:val="221"/>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sz w:val="21"/>
          <w:szCs w:val="21"/>
          <w:u w:val="single"/>
        </w:rPr>
        <w:t>对监督检查过程中生成的档案及相关资料进行收集、归档，应对各类核查。</w:t>
      </w:r>
    </w:p>
    <w:p w14:paraId="5C073BE5">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7)完善“圳品”全链条数据管理体系</w:t>
      </w:r>
    </w:p>
    <w:p w14:paraId="128F67E6">
      <w:pPr>
        <w:pStyle w:val="221"/>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sz w:val="21"/>
          <w:szCs w:val="21"/>
          <w:u w:val="single"/>
        </w:rPr>
        <w:t>开展“圳品”申报、评价、监督信息处理，加强“圳品”追溯信息化应用，针对“圳品”企业开展信息化追溯技术辅导，采集“圳品”全链条台账数据不少于80万条，完善“圳品”从生产到流通到终端消费的全链条追溯体系，强化可追溯性在全链条环节的综合应用，完成不少于10个“圳品”追溯应用案例。</w:t>
      </w:r>
    </w:p>
    <w:p w14:paraId="01C2D7F3">
      <w:pPr>
        <w:pStyle w:val="221"/>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8）人员要求</w:t>
      </w:r>
    </w:p>
    <w:p w14:paraId="09A75400">
      <w:pPr>
        <w:pStyle w:val="221"/>
        <w:snapToGrid w:val="0"/>
        <w:spacing w:line="560" w:lineRule="exact"/>
        <w:ind w:firstLine="422" w:firstLineChars="200"/>
        <w:rPr>
          <w:rFonts w:hint="eastAsia" w:asciiTheme="minorEastAsia" w:hAnsiTheme="minorEastAsia" w:eastAsiaTheme="minorEastAsia" w:cstheme="minorEastAsia"/>
          <w:sz w:val="21"/>
          <w:szCs w:val="21"/>
          <w:highlight w:val="yellow"/>
          <w:u w:val="single"/>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sz w:val="21"/>
          <w:szCs w:val="21"/>
          <w:u w:val="single"/>
        </w:rPr>
        <w:t>为有效完成“圳品”标准制定（含修订）、组织实施评价档案审查与评审工作、组织实施监督档案审查与结果处理、完善“圳品”全链条数据管理体系等工作，</w:t>
      </w:r>
      <w:r>
        <w:rPr>
          <w:rFonts w:hint="eastAsia" w:asciiTheme="minorEastAsia" w:hAnsiTheme="minorEastAsia" w:eastAsiaTheme="minorEastAsia" w:cstheme="minorEastAsia"/>
          <w:sz w:val="21"/>
          <w:szCs w:val="21"/>
          <w:u w:val="single"/>
          <w:lang w:eastAsia="zh-CN"/>
        </w:rPr>
        <w:t>乙方</w:t>
      </w:r>
      <w:r>
        <w:rPr>
          <w:rFonts w:hint="eastAsia" w:asciiTheme="minorEastAsia" w:hAnsiTheme="minorEastAsia" w:eastAsiaTheme="minorEastAsia" w:cstheme="minorEastAsia"/>
          <w:sz w:val="21"/>
          <w:szCs w:val="21"/>
          <w:u w:val="single"/>
        </w:rPr>
        <w:t>应组建不少于60人的项目团队。</w:t>
      </w:r>
    </w:p>
    <w:p w14:paraId="6C078649">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3．乙方应于合同生效后三日内向甲方提交项目具体实施方案，经甲方审核确认后，乙方受实施方案约束。具体实施方案原则上应当与</w:t>
      </w:r>
      <w:r>
        <w:rPr>
          <w:rFonts w:hint="eastAsia" w:asciiTheme="minorEastAsia" w:hAnsiTheme="minorEastAsia" w:eastAsiaTheme="minorEastAsia" w:cstheme="minorEastAsia"/>
          <w:bCs/>
          <w:sz w:val="21"/>
          <w:szCs w:val="21"/>
        </w:rPr>
        <w:t>招标文件的要求或投标文件的承诺保持一致，除甲方要求作出修改的。</w:t>
      </w:r>
    </w:p>
    <w:p w14:paraId="3B555D0A">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合同期限</w:t>
      </w:r>
    </w:p>
    <w:p w14:paraId="4A51D87B">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1．合同签订之日起至</w:t>
      </w:r>
      <w:r>
        <w:rPr>
          <w:rFonts w:hint="eastAsia" w:asciiTheme="minorEastAsia" w:hAnsiTheme="minorEastAsia" w:eastAsiaTheme="minorEastAsia" w:cstheme="minorEastAsia"/>
          <w:sz w:val="21"/>
          <w:szCs w:val="21"/>
          <w:u w:val="single"/>
        </w:rPr>
        <w:t>2026</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12</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31</w:t>
      </w:r>
      <w:r>
        <w:rPr>
          <w:rFonts w:hint="eastAsia" w:asciiTheme="minorEastAsia" w:hAnsiTheme="minorEastAsia" w:eastAsiaTheme="minorEastAsia" w:cstheme="minorEastAsia"/>
          <w:sz w:val="21"/>
          <w:szCs w:val="21"/>
        </w:rPr>
        <w:t>日前完成。☑本项目不属于长期服务项目。</w:t>
      </w:r>
    </w:p>
    <w:p w14:paraId="245903A6">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2．因乙方交付成果未通过验收而进行整改的，也应在上述日期之前完成整改，否则视为乙方违约。</w:t>
      </w:r>
    </w:p>
    <w:p w14:paraId="1C0216B9">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3．乙方在服务期满，后续服务公司未到位前仍按原合同服务承诺提供服务，甲方无需向乙方支付任何款项。</w:t>
      </w:r>
    </w:p>
    <w:p w14:paraId="684E8FED">
      <w:pPr>
        <w:numPr>
          <w:ilvl w:val="0"/>
          <w:numId w:val="1"/>
        </w:numPr>
        <w:snapToGrid w:val="0"/>
        <w:spacing w:line="560" w:lineRule="exact"/>
        <w:ind w:hanging="318"/>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乙方人员配置</w:t>
      </w:r>
    </w:p>
    <w:p w14:paraId="2FE6510D">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1．为实施本项目，乙方指定</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为项目对接人。乙方应配备项目工作人员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名，其中项目人员、职称、专业等方面情况如下表。</w:t>
      </w:r>
    </w:p>
    <w:p w14:paraId="4E5CF78B">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2．乙方配备的项目工作人员及配备人员的资质应当</w:t>
      </w:r>
      <w:r>
        <w:rPr>
          <w:rFonts w:hint="eastAsia" w:asciiTheme="minorEastAsia" w:hAnsiTheme="minorEastAsia" w:eastAsiaTheme="minorEastAsia" w:cstheme="minorEastAsia"/>
          <w:bCs/>
          <w:sz w:val="21"/>
          <w:szCs w:val="21"/>
        </w:rPr>
        <w:t>与招标文件的要求或投标文件的承诺保持一致，非经甲方同意不得更换。</w:t>
      </w:r>
    </w:p>
    <w:p w14:paraId="4268509F">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3．乙方保证上述工作人员信息的真实性，并对工作人员在工作中的行为承担最终法律责任。</w:t>
      </w:r>
    </w:p>
    <w:p w14:paraId="567D63B3">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合同费用及支付</w:t>
      </w:r>
    </w:p>
    <w:p w14:paraId="06940624">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1．甲方就合同事项向乙方支付的费用总额为人民币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（小写：</w:t>
      </w:r>
      <w:r>
        <w:rPr>
          <w:rFonts w:hint="eastAsia" w:asciiTheme="minorEastAsia" w:hAnsiTheme="minorEastAsia" w:eastAsiaTheme="minorEastAsia" w:cstheme="minorEastAsia"/>
          <w:sz w:val="21"/>
          <w:szCs w:val="21"/>
          <w:u w:val="single"/>
        </w:rPr>
        <w:t>￥    元</w:t>
      </w:r>
      <w:r>
        <w:rPr>
          <w:rFonts w:hint="eastAsia" w:asciiTheme="minorEastAsia" w:hAnsiTheme="minorEastAsia" w:eastAsiaTheme="minorEastAsia" w:cstheme="minorEastAsia"/>
          <w:sz w:val="21"/>
          <w:szCs w:val="21"/>
        </w:rPr>
        <w:t>），该费用包含但不限于乙方所承担的税费、工作人员和专家报酬、场地使用费、印刷费、耗材费、差旅费以及合理的利润等。除经协商一致变更本合同外，甲方无需再向乙方支付任何款项。</w:t>
      </w:r>
    </w:p>
    <w:p w14:paraId="4A626A13">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2．甲方将依照招标公告的要求选择以下方式向乙方支付合同费用：</w:t>
      </w:r>
    </w:p>
    <w:p w14:paraId="3A62589C">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sz w:val="21"/>
          <w:szCs w:val="21"/>
        </w:rPr>
        <w:t>分期付款</w:t>
      </w:r>
      <w:r>
        <w:rPr>
          <w:rFonts w:hint="eastAsia" w:asciiTheme="minorEastAsia" w:hAnsiTheme="minorEastAsia" w:eastAsiaTheme="minorEastAsia" w:cstheme="minorEastAsia"/>
          <w:sz w:val="21"/>
          <w:szCs w:val="21"/>
        </w:rPr>
        <w:t>：本合同生效且乙方提供符合规定的发票之日起</w:t>
      </w:r>
      <w:r>
        <w:rPr>
          <w:rFonts w:hint="eastAsia" w:asciiTheme="minorEastAsia" w:hAnsiTheme="minorEastAsia" w:eastAsiaTheme="minorEastAsia" w:cstheme="minorEastAsia"/>
          <w:sz w:val="21"/>
          <w:szCs w:val="21"/>
          <w:u w:val="single"/>
        </w:rPr>
        <w:t>10</w:t>
      </w:r>
      <w:r>
        <w:rPr>
          <w:rFonts w:hint="eastAsia" w:asciiTheme="minorEastAsia" w:hAnsiTheme="minorEastAsia" w:eastAsiaTheme="minorEastAsia" w:cstheme="minorEastAsia"/>
          <w:sz w:val="21"/>
          <w:szCs w:val="21"/>
        </w:rPr>
        <w:t>个工作日内，甲方向乙方支付合同总额的</w:t>
      </w:r>
      <w:r>
        <w:rPr>
          <w:rFonts w:hint="eastAsia" w:asciiTheme="minorEastAsia" w:hAnsiTheme="minorEastAsia" w:eastAsiaTheme="minorEastAsia" w:cstheme="minorEastAsia"/>
          <w:sz w:val="21"/>
          <w:szCs w:val="21"/>
          <w:u w:val="single"/>
        </w:rPr>
        <w:t>50</w:t>
      </w:r>
      <w:r>
        <w:rPr>
          <w:rFonts w:hint="eastAsia" w:asciiTheme="minorEastAsia" w:hAnsiTheme="minorEastAsia" w:eastAsiaTheme="minorEastAsia" w:cstheme="minorEastAsia"/>
          <w:sz w:val="21"/>
          <w:szCs w:val="21"/>
        </w:rPr>
        <w:t>%，即人民币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（小写：</w:t>
      </w:r>
      <w:r>
        <w:rPr>
          <w:rFonts w:hint="eastAsia" w:asciiTheme="minorEastAsia" w:hAnsiTheme="minorEastAsia" w:eastAsiaTheme="minorEastAsia" w:cstheme="minorEastAsia"/>
          <w:sz w:val="21"/>
          <w:szCs w:val="21"/>
          <w:u w:val="single"/>
        </w:rPr>
        <w:t>￥    元</w:t>
      </w:r>
      <w:r>
        <w:rPr>
          <w:rFonts w:hint="eastAsia" w:asciiTheme="minorEastAsia" w:hAnsiTheme="minorEastAsia" w:eastAsiaTheme="minorEastAsia" w:cstheme="minorEastAsia"/>
          <w:sz w:val="21"/>
          <w:szCs w:val="21"/>
        </w:rPr>
        <w:t>），余款按照进度验收后支付。</w:t>
      </w:r>
    </w:p>
    <w:p w14:paraId="15C525A8">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sz w:val="21"/>
          <w:szCs w:val="21"/>
        </w:rPr>
        <w:t>一次性付款：</w:t>
      </w:r>
      <w:r>
        <w:rPr>
          <w:rFonts w:hint="eastAsia" w:asciiTheme="minorEastAsia" w:hAnsiTheme="minorEastAsia" w:eastAsiaTheme="minorEastAsia" w:cstheme="minorEastAsia"/>
          <w:sz w:val="21"/>
          <w:szCs w:val="21"/>
        </w:rPr>
        <w:t>乙方交付成果且经甲方验收合格后，由乙方提供符合规定的发票，甲方应于收到发票之日起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个工作日内，一次性支付合同款项人民币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元（小写：</w:t>
      </w:r>
      <w:r>
        <w:rPr>
          <w:rFonts w:hint="eastAsia" w:asciiTheme="minorEastAsia" w:hAnsiTheme="minorEastAsia" w:eastAsiaTheme="minorEastAsia" w:cstheme="minorEastAsia"/>
          <w:sz w:val="21"/>
          <w:szCs w:val="21"/>
          <w:u w:val="single"/>
        </w:rPr>
        <w:t xml:space="preserve">  ￥             </w:t>
      </w:r>
      <w:r>
        <w:rPr>
          <w:rFonts w:hint="eastAsia" w:asciiTheme="minorEastAsia" w:hAnsiTheme="minorEastAsia" w:eastAsiaTheme="minorEastAsia" w:cstheme="minorEastAsia"/>
          <w:sz w:val="21"/>
          <w:szCs w:val="21"/>
        </w:rPr>
        <w:t>）。</w:t>
      </w:r>
    </w:p>
    <w:p w14:paraId="764E3D2E">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xml:space="preserve">其他付款方式：                                      </w:t>
      </w:r>
    </w:p>
    <w:p w14:paraId="5BB3D043">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3．乙方指定收款银行账户信息如下：</w:t>
      </w:r>
    </w:p>
    <w:p w14:paraId="06C5BD50">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开户单位：</w:t>
      </w:r>
      <w:r>
        <w:rPr>
          <w:rFonts w:hint="eastAsia" w:asciiTheme="minorEastAsia" w:hAnsiTheme="minorEastAsia" w:eastAsiaTheme="minorEastAsia" w:cstheme="minorEastAsia"/>
          <w:sz w:val="21"/>
          <w:szCs w:val="21"/>
          <w:u w:val="single"/>
        </w:rPr>
        <w:t xml:space="preserve">                               </w:t>
      </w:r>
    </w:p>
    <w:p w14:paraId="7768F3A5">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账号：</w:t>
      </w:r>
      <w:r>
        <w:rPr>
          <w:rFonts w:hint="eastAsia" w:asciiTheme="minorEastAsia" w:hAnsiTheme="minorEastAsia" w:eastAsiaTheme="minorEastAsia" w:cstheme="minorEastAsia"/>
          <w:sz w:val="21"/>
          <w:szCs w:val="21"/>
          <w:u w:val="single"/>
        </w:rPr>
        <w:t xml:space="preserve">                                   </w:t>
      </w:r>
    </w:p>
    <w:p w14:paraId="4EA62BA4">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开户行：</w:t>
      </w:r>
      <w:r>
        <w:rPr>
          <w:rFonts w:hint="eastAsia" w:asciiTheme="minorEastAsia" w:hAnsiTheme="minorEastAsia" w:eastAsiaTheme="minorEastAsia" w:cstheme="minorEastAsia"/>
          <w:sz w:val="21"/>
          <w:szCs w:val="21"/>
          <w:u w:val="single"/>
        </w:rPr>
        <w:t xml:space="preserve">                                  </w:t>
      </w:r>
    </w:p>
    <w:p w14:paraId="7451CF51">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纳税识别号：</w:t>
      </w:r>
      <w:r>
        <w:rPr>
          <w:rFonts w:hint="eastAsia" w:asciiTheme="minorEastAsia" w:hAnsiTheme="minorEastAsia" w:eastAsiaTheme="minorEastAsia" w:cstheme="minorEastAsia"/>
          <w:sz w:val="21"/>
          <w:szCs w:val="21"/>
          <w:u w:val="single"/>
        </w:rPr>
        <w:t xml:space="preserve">                              </w:t>
      </w:r>
    </w:p>
    <w:p w14:paraId="570E47A5">
      <w:pPr>
        <w:snapToGrid w:val="0"/>
        <w:spacing w:line="560" w:lineRule="exact"/>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乙方变更收款银行账户信息的，应及时通知甲方，否则由此导致的款项延期支付等责任均由乙方自行承担。</w:t>
      </w:r>
    </w:p>
    <w:p w14:paraId="519EF5C6">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4．若根据本合同约定乙方应当支付违约金、承担赔偿责任，则甲方有权从上述任何一笔付款中直接扣除相应金额。</w:t>
      </w:r>
    </w:p>
    <w:p w14:paraId="79167839">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5．以上甲方支付时间是指甲方申请政府财政部门向乙方支付的时间，因财政审批等原因未及时付款的甲方不承担违约责任。</w:t>
      </w:r>
    </w:p>
    <w:p w14:paraId="5C0AD2F2">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履约保函</w:t>
      </w:r>
    </w:p>
    <w:p w14:paraId="178F8138">
      <w:pPr>
        <w:snapToGrid w:val="0"/>
        <w:spacing w:line="560" w:lineRule="exact"/>
        <w:ind w:left="56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w:t>
      </w:r>
    </w:p>
    <w:p w14:paraId="440A0009">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☑无履约保函。</w:t>
      </w:r>
    </w:p>
    <w:p w14:paraId="1396FD8F">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□有履约保函。乙方应于合同签订后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日内向甲方提供银行出具的不可撤销履约保函。在乙方承担支付义务或者赔偿责任时，甲方有权要求银行无条件支付款项。保函的具体要求由双方另行确定。</w:t>
      </w:r>
    </w:p>
    <w:p w14:paraId="131D7535">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成果及验收</w:t>
      </w:r>
    </w:p>
    <w:p w14:paraId="3CF5DCDB">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Cs/>
          <w:sz w:val="21"/>
          <w:szCs w:val="21"/>
        </w:rPr>
        <w:t>项目任务完成后，乙方应向甲方交付以下成果供甲方验收：</w:t>
      </w:r>
    </w:p>
    <w:p w14:paraId="46D4A3A6">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1)“圳品”标准体系建设</w:t>
      </w:r>
    </w:p>
    <w:p w14:paraId="32C838A2">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a.</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bCs/>
          <w:sz w:val="21"/>
          <w:szCs w:val="21"/>
          <w:u w:val="single"/>
        </w:rPr>
        <w:t>制定（含修订）“圳品”标准：50项，其中制定10项，修订40项。</w:t>
      </w:r>
    </w:p>
    <w:p w14:paraId="3FA09C33">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b.制定（含修订）评价/监督文件：50个，其中制定10个，修订40个。</w:t>
      </w:r>
    </w:p>
    <w:p w14:paraId="6CAF00AB">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2）评价与监督机构“圳品”审核能力提升</w:t>
      </w:r>
    </w:p>
    <w:p w14:paraId="4AB6C2AD">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a.“圳品”评价与监督依据文件专题培训2场。</w:t>
      </w:r>
    </w:p>
    <w:p w14:paraId="73FB3FB5">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3)“圳品”标准与体系认证创新性研究</w:t>
      </w:r>
    </w:p>
    <w:p w14:paraId="6DAEF389">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a.“圳品”标准研究报告：4份。</w:t>
      </w:r>
    </w:p>
    <w:p w14:paraId="3B9AAB99">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b.“圳品”体系认证创新性研究报告：1份。</w:t>
      </w:r>
    </w:p>
    <w:p w14:paraId="23F977B0">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4)“圳品”评审专家库管理</w:t>
      </w:r>
    </w:p>
    <w:p w14:paraId="4A60AB92">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a.“圳品”评审专家库：1个。</w:t>
      </w:r>
    </w:p>
    <w:p w14:paraId="54067869">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5）组织实施评价档案审查与评审</w:t>
      </w:r>
    </w:p>
    <w:p w14:paraId="4925B6A8">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a.400个产品评价档案审查材料：1套。</w:t>
      </w:r>
    </w:p>
    <w:p w14:paraId="2C000DDA">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b.专家评审会材料：1套。</w:t>
      </w:r>
    </w:p>
    <w:p w14:paraId="48BE60ED">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6)组织实施监督档案审查与结果处理</w:t>
      </w:r>
    </w:p>
    <w:p w14:paraId="3C35C53C">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a.369个产品监督档案审查材料:1套。</w:t>
      </w:r>
    </w:p>
    <w:p w14:paraId="003FFDC4">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b.专家评审会材料：1套。</w:t>
      </w:r>
    </w:p>
    <w:p w14:paraId="6C7160C0">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c.监督检查结果处理材料：1套。</w:t>
      </w:r>
    </w:p>
    <w:p w14:paraId="319CFD1D">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7)“圳品”全链条数据管理体系</w:t>
      </w:r>
    </w:p>
    <w:p w14:paraId="15A1DBEC">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a.“圳品”全链条台账数据：80万条</w:t>
      </w:r>
    </w:p>
    <w:p w14:paraId="68FEF46A">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b.“圳品”追溯应用案例：10个。</w:t>
      </w:r>
    </w:p>
    <w:p w14:paraId="1E40FF6B">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Cs/>
          <w:sz w:val="21"/>
          <w:szCs w:val="21"/>
        </w:rPr>
        <w:t>上述成果必须与招标文件的要求及投标文件的承诺一致。否则，甲方有权拒绝接收有关成果。</w:t>
      </w:r>
    </w:p>
    <w:p w14:paraId="1E7884A8">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Cs/>
          <w:sz w:val="21"/>
          <w:szCs w:val="21"/>
        </w:rPr>
        <w:t>就上述成果，乙方应提交纸质形式</w:t>
      </w:r>
      <w:r>
        <w:rPr>
          <w:rFonts w:hint="eastAsia" w:asciiTheme="minorEastAsia" w:hAnsiTheme="minorEastAsia" w:eastAsiaTheme="minorEastAsia" w:cstheme="minorEastAsia"/>
          <w:bCs/>
          <w:sz w:val="21"/>
          <w:szCs w:val="21"/>
          <w:u w:val="single"/>
        </w:rPr>
        <w:t>1</w:t>
      </w:r>
      <w:r>
        <w:rPr>
          <w:rFonts w:hint="eastAsia" w:asciiTheme="minorEastAsia" w:hAnsiTheme="minorEastAsia" w:eastAsiaTheme="minorEastAsia" w:cstheme="minorEastAsia"/>
          <w:bCs/>
          <w:sz w:val="21"/>
          <w:szCs w:val="21"/>
        </w:rPr>
        <w:t>套，电子形式</w:t>
      </w:r>
      <w:r>
        <w:rPr>
          <w:rFonts w:hint="eastAsia" w:asciiTheme="minorEastAsia" w:hAnsiTheme="minorEastAsia" w:eastAsiaTheme="minorEastAsia" w:cstheme="minorEastAsia"/>
          <w:bCs/>
          <w:sz w:val="21"/>
          <w:szCs w:val="21"/>
          <w:u w:val="single"/>
        </w:rPr>
        <w:t>1</w:t>
      </w:r>
      <w:r>
        <w:rPr>
          <w:rFonts w:hint="eastAsia" w:asciiTheme="minorEastAsia" w:hAnsiTheme="minorEastAsia" w:eastAsiaTheme="minorEastAsia" w:cstheme="minorEastAsia"/>
          <w:bCs/>
          <w:sz w:val="21"/>
          <w:szCs w:val="21"/>
        </w:rPr>
        <w:t>套。</w:t>
      </w:r>
    </w:p>
    <w:p w14:paraId="16DC78AB">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rPr>
        <w:t>4</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Cs/>
          <w:sz w:val="21"/>
          <w:szCs w:val="21"/>
        </w:rPr>
        <w:t>乙方提交的成果未验收合格的，乙方应进行整改，乙方不整改或因整改导致超出逾期交付的，均视为违约。</w:t>
      </w:r>
    </w:p>
    <w:p w14:paraId="2E824DB6">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知识产权</w:t>
      </w:r>
    </w:p>
    <w:p w14:paraId="666B95C6">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Cs/>
          <w:sz w:val="21"/>
          <w:szCs w:val="21"/>
        </w:rPr>
        <w:t>乙方在项目实施过程中不得侵犯第三人知识产权以及其他权益。需要使用第三人知识产权的，乙方应取得权利人许可或者授权并由乙方承担费用。</w:t>
      </w:r>
    </w:p>
    <w:p w14:paraId="3B6F3AB2">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Cs/>
          <w:sz w:val="21"/>
          <w:szCs w:val="21"/>
        </w:rPr>
        <w:t>除第三人依法享有知识产权的除外，乙方实施本项目所形成成果的知识产权归甲方所有，未经甲方许可，乙方不得随意使用。</w:t>
      </w:r>
    </w:p>
    <w:p w14:paraId="024B8EF8">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保密义务</w:t>
      </w:r>
    </w:p>
    <w:p w14:paraId="18D9C13C">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甲乙双方对知悉对方的财务、技术、专项数据、合同价款、未披露的政策、诉讼方案以及为实施项目提供给对方的文件或信息的内容(简称“保密资料”)等负有保密义务。未经信息披露方书面事先同意，不得向本合同以外的任何第三方披露。资料接受方可仅为本合同目的向其确有知悉必要的雇员披露对方提供的保密资料，但同时须指示其雇员遵守本条规定的保密及不披露义务。双方应仅为本合同目的而复制和使用保密资料。</w:t>
      </w:r>
    </w:p>
    <w:p w14:paraId="7486A894">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2．合同履行完毕或者终止不视为解除保密义务，双方仍应承担保密义务。</w:t>
      </w:r>
    </w:p>
    <w:p w14:paraId="7B6B9311">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其他权利和义务</w:t>
      </w:r>
    </w:p>
    <w:p w14:paraId="0E49A618">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甲方有权监督、检查、了解乙方工作开展情况，有权对乙方的工作提出建议，并提供实施项目必要的有关资料。乙方应当每月向甲方汇报工作进展，对项目执行过程中发现的问题、阶段性成果及时报告甲方，同时按进度完成合同约定的项目内容并提交成果。</w:t>
      </w:r>
    </w:p>
    <w:p w14:paraId="755FDDB2">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2．乙方在承担该项目期间，不得接受申报主体和相关方的宴请、礼品和礼金；不得接受申报主体和相关方邀请参加可能影响项目实施的考察交流、捐赠等相关活动。</w:t>
      </w:r>
    </w:p>
    <w:p w14:paraId="5EEFF076">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sz w:val="21"/>
          <w:szCs w:val="21"/>
        </w:rPr>
        <w:t>3．乙方在服务期满一年内需在甲方有需要时负责对本项目相关情况进行解释、说明，提供相应的修正服务。</w:t>
      </w:r>
    </w:p>
    <w:p w14:paraId="4BAE648C">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合同转让</w:t>
      </w:r>
    </w:p>
    <w:p w14:paraId="5128BF35">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未经甲方同意，乙方不得将本合同项目的任务全部或者一部分转包或分包给第三人。</w:t>
      </w:r>
    </w:p>
    <w:p w14:paraId="0C25830F">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第十一条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合同的变更</w:t>
      </w:r>
    </w:p>
    <w:p w14:paraId="04EB4C80">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双方不得擅自变更合同；若合同继续履行将损害国家利益和社会公共利益，则双方应当变更合同。</w:t>
      </w:r>
    </w:p>
    <w:p w14:paraId="31A5FC58">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第十二条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lang w:eastAsia="zh-CN"/>
        </w:rPr>
        <w:t>合同解除</w:t>
      </w:r>
    </w:p>
    <w:p w14:paraId="32C2CC54">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经双方协商一致或一方依据本合同第十三条违约责任行使解除权并书面通知对方后，双方合同关系解除，合同终止履行，未履行部分不再履行，已履行部分按合同有关结算及违约赔偿条款处理。</w:t>
      </w:r>
    </w:p>
    <w:p w14:paraId="535E2D99">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第十三条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违约责任</w:t>
      </w:r>
    </w:p>
    <w:p w14:paraId="5EC0EEED">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1．乙方未在约定期限内完成项目内容并提交成果的，每延迟一日按照合同总金额千分之一的标准向甲方支付违约金。延迟超过十日的，甲方有权解除合同并要求乙方返还已经支付的款项，未支付的不再支付。</w:t>
      </w:r>
    </w:p>
    <w:p w14:paraId="6A11C1A0">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2．乙方交付的成果验收不合格的，经甲方要求整改再次验收仍不合格的或乙方提交的成果存在虚假、违法违规、重大错误的，甲方有权立即解除合同、要求乙方返还已经支付的款项并支付合同总额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6B1ED457">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3．因乙方实施本项目过程中侵犯第三人合法权益或者违约导致甲方承担赔偿责任的，甲方在承担赔偿责任后有权向乙方追偿，同时，甲方有权解除合同、要求乙方返还已经支付的款项并支付合同总额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4DD8662B">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4．乙方签订合同后，实际配备的工作人员与投标文件的承诺不一致的，或实施本项目时已不符合招标文件要求的，甲方有权解除合同，并要求乙方向甲方支付合同总额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170F97F2">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5．乙方无正当理由解除合同的，应向甲方支付合同总额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7D7CBDFF">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6．乙方违反本合同第十条的，甲方有权解除合同、要求乙方返还已经支付的款项并支付合同总额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20437DB6">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7．乙方违反本合同第七条的，应向甲方支付合同总额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7FD52A3D">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8．甲方违反本合同第九条“其他权利和义务”约定的，应当及时整改；乙方违反本合同第一条“项目内容、要求及实施阶段”和第九条“其他权利和义务”约定的，甲方有权立即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的违约金，因乙方行为给甲方造成损失的，由乙方承担一切赔偿责任。</w:t>
      </w:r>
    </w:p>
    <w:p w14:paraId="1B9A067D">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9．甲方违约的，应按照《民法典》有关规定承担违约责任。</w:t>
      </w:r>
    </w:p>
    <w:p w14:paraId="0F4AC7D3">
      <w:pPr>
        <w:snapToGrid w:val="0"/>
        <w:spacing w:line="560" w:lineRule="exact"/>
        <w:ind w:left="567"/>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第十</w:t>
      </w:r>
      <w:r>
        <w:rPr>
          <w:rFonts w:hint="eastAsia" w:asciiTheme="minorEastAsia" w:hAnsiTheme="minorEastAsia" w:eastAsiaTheme="minorEastAsia" w:cstheme="minorEastAsia"/>
          <w:bCs/>
          <w:sz w:val="21"/>
          <w:szCs w:val="21"/>
          <w:lang w:eastAsia="zh-CN"/>
        </w:rPr>
        <w:t>四</w:t>
      </w:r>
      <w:r>
        <w:rPr>
          <w:rFonts w:hint="eastAsia" w:asciiTheme="minorEastAsia" w:hAnsiTheme="minorEastAsia" w:eastAsiaTheme="minorEastAsia" w:cstheme="minorEastAsia"/>
          <w:bCs/>
          <w:sz w:val="21"/>
          <w:szCs w:val="21"/>
        </w:rPr>
        <w:t>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法律适用和争议解决</w:t>
      </w:r>
    </w:p>
    <w:p w14:paraId="16033BBB">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1．本合同适用中华人民共和国法律。</w:t>
      </w:r>
    </w:p>
    <w:p w14:paraId="567AC555">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2．双方因履行本合同发生争议的，可协商解决，无法协商解决的：应向甲方住所地有管辖权的人民法院提起诉讼。</w:t>
      </w:r>
    </w:p>
    <w:p w14:paraId="4E9308F3">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3．诉讼进行过程中，双方将继续履行本合同未涉诉讼的其它部分。</w:t>
      </w:r>
    </w:p>
    <w:p w14:paraId="05BA6851">
      <w:pPr>
        <w:snapToGrid w:val="0"/>
        <w:spacing w:line="560" w:lineRule="exact"/>
        <w:ind w:left="567"/>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第十</w:t>
      </w:r>
      <w:r>
        <w:rPr>
          <w:rFonts w:hint="eastAsia" w:asciiTheme="minorEastAsia" w:hAnsiTheme="minorEastAsia" w:eastAsiaTheme="minorEastAsia" w:cstheme="minorEastAsia"/>
          <w:bCs/>
          <w:sz w:val="21"/>
          <w:szCs w:val="21"/>
          <w:lang w:eastAsia="zh-CN"/>
        </w:rPr>
        <w:t>五</w:t>
      </w:r>
      <w:r>
        <w:rPr>
          <w:rFonts w:hint="eastAsia" w:asciiTheme="minorEastAsia" w:hAnsiTheme="minorEastAsia" w:eastAsiaTheme="minorEastAsia" w:cstheme="minorEastAsia"/>
          <w:bCs/>
          <w:sz w:val="21"/>
          <w:szCs w:val="21"/>
        </w:rPr>
        <w:t>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附则</w:t>
      </w:r>
    </w:p>
    <w:p w14:paraId="1530E84A">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sz w:val="21"/>
          <w:szCs w:val="21"/>
        </w:rPr>
        <w:t>本项目招标文件、乙方投标文件和中标通知书均为本合同组成部分，与本合同文本具有相同法律效力。但本合同与招投标文件不一致的，以本合同内容为准。</w:t>
      </w:r>
    </w:p>
    <w:p w14:paraId="04AB5574">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2．本合同□无附件/☑有附件，附件包括</w:t>
      </w:r>
      <w:r>
        <w:rPr>
          <w:rFonts w:hint="eastAsia" w:asciiTheme="minorEastAsia" w:hAnsiTheme="minorEastAsia" w:eastAsiaTheme="minorEastAsia" w:cstheme="minorEastAsia"/>
          <w:sz w:val="21"/>
          <w:szCs w:val="21"/>
          <w:u w:val="single"/>
        </w:rPr>
        <w:t>服务质量要求。</w:t>
      </w:r>
    </w:p>
    <w:p w14:paraId="32657A14">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3．本合同与招投标文件不一致的，以本合同内容为准。</w:t>
      </w:r>
    </w:p>
    <w:p w14:paraId="6A040BF4">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4．本合同自双方盖章后生效。</w:t>
      </w:r>
    </w:p>
    <w:p w14:paraId="4F530126">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5．本合同一式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份，甲方执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份，乙方执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份，提交给财政部门</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份，具有同等法律效力。</w:t>
      </w:r>
    </w:p>
    <w:p w14:paraId="60CE7F57">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382F9109">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甲方（盖章）：</w:t>
      </w:r>
    </w:p>
    <w:p w14:paraId="4257A3D8">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法定代表人或授权代表签字：</w:t>
      </w:r>
    </w:p>
    <w:p w14:paraId="15DAFD67">
      <w:pPr>
        <w:snapToGrid w:val="0"/>
        <w:spacing w:line="560" w:lineRule="exact"/>
        <w:ind w:firstLine="1260" w:firstLineChars="6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月   日</w:t>
      </w:r>
    </w:p>
    <w:p w14:paraId="175669C6">
      <w:pPr>
        <w:snapToGrid w:val="0"/>
        <w:spacing w:line="560" w:lineRule="exact"/>
        <w:jc w:val="left"/>
        <w:rPr>
          <w:rFonts w:hint="eastAsia" w:asciiTheme="minorEastAsia" w:hAnsiTheme="minorEastAsia" w:eastAsiaTheme="minorEastAsia" w:cstheme="minorEastAsia"/>
          <w:sz w:val="21"/>
          <w:szCs w:val="21"/>
        </w:rPr>
      </w:pPr>
    </w:p>
    <w:p w14:paraId="35F25353">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乙方（盖章）：</w:t>
      </w:r>
    </w:p>
    <w:p w14:paraId="2BF867F4">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法定代表人或授权代表签字：</w:t>
      </w:r>
    </w:p>
    <w:p w14:paraId="24A296CA">
      <w:pPr>
        <w:snapToGrid w:val="0"/>
        <w:spacing w:line="560" w:lineRule="exact"/>
        <w:ind w:left="1680" w:firstLine="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月   日</w:t>
      </w:r>
    </w:p>
    <w:p w14:paraId="1B1D9C39">
      <w:pPr>
        <w:snapToGrid w:val="0"/>
        <w:spacing w:line="560" w:lineRule="exact"/>
        <w:rPr>
          <w:rFonts w:hint="eastAsia" w:asciiTheme="minorEastAsia" w:hAnsiTheme="minorEastAsia" w:eastAsiaTheme="minorEastAsia" w:cstheme="minorEastAsia"/>
          <w:sz w:val="21"/>
          <w:szCs w:val="21"/>
        </w:rPr>
        <w:sectPr>
          <w:pgSz w:w="11906" w:h="16838"/>
          <w:pgMar w:top="1440" w:right="1800" w:bottom="1440" w:left="1800" w:header="851" w:footer="992" w:gutter="0"/>
          <w:cols w:space="720" w:num="1"/>
          <w:docGrid w:type="lines" w:linePitch="387" w:charSpace="0"/>
        </w:sectPr>
      </w:pPr>
      <w:r>
        <w:rPr>
          <w:rFonts w:hint="eastAsia" w:asciiTheme="minorEastAsia" w:hAnsiTheme="minorEastAsia" w:eastAsiaTheme="minorEastAsia" w:cstheme="minorEastAsia"/>
          <w:sz w:val="21"/>
          <w:szCs w:val="21"/>
        </w:rPr>
        <w:br w:type="page"/>
      </w:r>
    </w:p>
    <w:p w14:paraId="607F544A">
      <w:pPr>
        <w:outlineLvl w:val="2"/>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附件</w:t>
      </w:r>
    </w:p>
    <w:p w14:paraId="4946CEB9">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服务质量要求</w:t>
      </w:r>
    </w:p>
    <w:tbl>
      <w:tblPr>
        <w:tblStyle w:val="42"/>
        <w:tblW w:w="90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479"/>
        <w:gridCol w:w="1479"/>
        <w:gridCol w:w="5242"/>
      </w:tblGrid>
      <w:tr w14:paraId="1C0E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blHeader/>
          <w:jc w:val="center"/>
        </w:trPr>
        <w:tc>
          <w:tcPr>
            <w:tcW w:w="849" w:type="dxa"/>
            <w:noWrap w:val="0"/>
            <w:vAlign w:val="center"/>
          </w:tcPr>
          <w:p w14:paraId="3D517530">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479" w:type="dxa"/>
            <w:noWrap w:val="0"/>
            <w:vAlign w:val="center"/>
          </w:tcPr>
          <w:p w14:paraId="435EC3DE">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主要内容</w:t>
            </w:r>
          </w:p>
        </w:tc>
        <w:tc>
          <w:tcPr>
            <w:tcW w:w="1479" w:type="dxa"/>
            <w:noWrap w:val="0"/>
            <w:vAlign w:val="center"/>
          </w:tcPr>
          <w:p w14:paraId="590CB077">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分项要求</w:t>
            </w:r>
          </w:p>
        </w:tc>
        <w:tc>
          <w:tcPr>
            <w:tcW w:w="5242" w:type="dxa"/>
            <w:noWrap w:val="0"/>
            <w:vAlign w:val="center"/>
          </w:tcPr>
          <w:p w14:paraId="7DAF4962">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具体要求</w:t>
            </w:r>
          </w:p>
        </w:tc>
      </w:tr>
      <w:tr w14:paraId="29114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49" w:type="dxa"/>
            <w:vMerge w:val="restart"/>
            <w:noWrap w:val="0"/>
            <w:vAlign w:val="center"/>
          </w:tcPr>
          <w:p w14:paraId="4DAB004B">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479" w:type="dxa"/>
            <w:vMerge w:val="restart"/>
            <w:noWrap w:val="0"/>
            <w:vAlign w:val="center"/>
          </w:tcPr>
          <w:p w14:paraId="1F183110">
            <w:pPr>
              <w:pStyle w:val="5"/>
              <w:adjustRightInd/>
              <w:spacing w:line="560" w:lineRule="exact"/>
              <w:jc w:val="center"/>
              <w:textAlignment w:val="auto"/>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rPr>
              <w:t>“圳品”标准体系建设</w:t>
            </w:r>
          </w:p>
        </w:tc>
        <w:tc>
          <w:tcPr>
            <w:tcW w:w="1479" w:type="dxa"/>
            <w:noWrap w:val="0"/>
            <w:vAlign w:val="center"/>
          </w:tcPr>
          <w:p w14:paraId="5EA1BCB9">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制定（含修订）“圳品”标准50项</w:t>
            </w:r>
          </w:p>
        </w:tc>
        <w:tc>
          <w:tcPr>
            <w:tcW w:w="5242" w:type="dxa"/>
            <w:noWrap w:val="0"/>
            <w:vAlign w:val="center"/>
          </w:tcPr>
          <w:p w14:paraId="5F822013">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为满足“圳品”工作需求，按照《团体标准管理规定》（国标委联〔2019〕1号）的程序要求，具体包括立项、起草、公开征求意见、技术审查，持续开展“圳品”标准研制工作。“圳品”标准制定（含修订）需开展国内外指安全标数据比对分析，现阶段充分借鉴国际食品法典委员会（CAC）标准、香港规例和澳门行政法规，遵循“取其全、取其严”的要求，制定“圳品”标准10项，修订“圳品”标准40项，逐步扩大标准覆盖范围、丰富标准类型，并持续更新标准以保持其先进性，全力支撑“圳品”工作。</w:t>
            </w:r>
          </w:p>
        </w:tc>
      </w:tr>
      <w:tr w14:paraId="75C07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49" w:type="dxa"/>
            <w:vMerge w:val="continue"/>
            <w:noWrap w:val="0"/>
            <w:vAlign w:val="center"/>
          </w:tcPr>
          <w:p w14:paraId="0A740B2A">
            <w:pPr>
              <w:snapToGrid w:val="0"/>
              <w:spacing w:line="560" w:lineRule="exact"/>
              <w:jc w:val="center"/>
              <w:rPr>
                <w:rFonts w:hint="eastAsia" w:asciiTheme="minorEastAsia" w:hAnsiTheme="minorEastAsia" w:eastAsiaTheme="minorEastAsia" w:cstheme="minorEastAsia"/>
                <w:sz w:val="21"/>
                <w:szCs w:val="21"/>
              </w:rPr>
            </w:pPr>
          </w:p>
        </w:tc>
        <w:tc>
          <w:tcPr>
            <w:tcW w:w="1479" w:type="dxa"/>
            <w:vMerge w:val="continue"/>
            <w:noWrap w:val="0"/>
            <w:vAlign w:val="center"/>
          </w:tcPr>
          <w:p w14:paraId="68D7349D">
            <w:pPr>
              <w:pStyle w:val="5"/>
              <w:adjustRightInd/>
              <w:spacing w:line="560" w:lineRule="exact"/>
              <w:jc w:val="center"/>
              <w:textAlignment w:val="auto"/>
              <w:rPr>
                <w:rFonts w:hint="eastAsia" w:asciiTheme="minorEastAsia" w:hAnsiTheme="minorEastAsia" w:eastAsiaTheme="minorEastAsia" w:cstheme="minorEastAsia"/>
                <w:kern w:val="2"/>
                <w:sz w:val="21"/>
                <w:szCs w:val="21"/>
              </w:rPr>
            </w:pPr>
          </w:p>
        </w:tc>
        <w:tc>
          <w:tcPr>
            <w:tcW w:w="1479" w:type="dxa"/>
            <w:noWrap w:val="0"/>
            <w:vAlign w:val="center"/>
          </w:tcPr>
          <w:p w14:paraId="53190C31">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制定（含修订）评价与监督依据文件50个</w:t>
            </w:r>
          </w:p>
        </w:tc>
        <w:tc>
          <w:tcPr>
            <w:tcW w:w="5242" w:type="dxa"/>
            <w:noWrap w:val="0"/>
            <w:vAlign w:val="center"/>
          </w:tcPr>
          <w:p w14:paraId="5B7D78F7">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严格按照需求分析、文件计划编制、文件起草、交流研讨、技术审查、发布实施的制定（含修订）程序开展“圳品”评价与监督依据文件编制工作。对标全球通行的合格评定模式，以国际标准化组织合格评定委员会(ISO/CASCO)的合格评定技术为手段，以食品安全管理体系认证(ISO 22000)评价等研究为理论支持，开展“圳品”评价与监督依据文件研究工作，邀请企业、技术机构、高校等各领域技术专家，在交流研讨、技术审查等环节对文件进行审核，保障文件的先进性、专业性、实用性。</w:t>
            </w:r>
          </w:p>
        </w:tc>
      </w:tr>
      <w:tr w14:paraId="5AA0F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49" w:type="dxa"/>
            <w:noWrap w:val="0"/>
            <w:vAlign w:val="center"/>
          </w:tcPr>
          <w:p w14:paraId="3D89CF07">
            <w:pPr>
              <w:snapToGrid w:val="0"/>
              <w:spacing w:line="560" w:lineRule="exact"/>
              <w:jc w:val="center"/>
              <w:rPr>
                <w:rFonts w:hint="eastAsia" w:asciiTheme="minorEastAsia" w:hAnsiTheme="minorEastAsia" w:eastAsiaTheme="minorEastAsia" w:cstheme="minorEastAsia"/>
                <w:sz w:val="21"/>
                <w:szCs w:val="21"/>
              </w:rPr>
            </w:pPr>
          </w:p>
        </w:tc>
        <w:tc>
          <w:tcPr>
            <w:tcW w:w="1479" w:type="dxa"/>
            <w:vMerge w:val="continue"/>
            <w:noWrap w:val="0"/>
            <w:vAlign w:val="center"/>
          </w:tcPr>
          <w:p w14:paraId="791EAAC4">
            <w:pPr>
              <w:pStyle w:val="5"/>
              <w:adjustRightInd/>
              <w:spacing w:line="560" w:lineRule="exact"/>
              <w:jc w:val="center"/>
              <w:textAlignment w:val="auto"/>
              <w:rPr>
                <w:rFonts w:hint="eastAsia" w:asciiTheme="minorEastAsia" w:hAnsiTheme="minorEastAsia" w:eastAsiaTheme="minorEastAsia" w:cstheme="minorEastAsia"/>
                <w:kern w:val="2"/>
                <w:sz w:val="21"/>
                <w:szCs w:val="21"/>
              </w:rPr>
            </w:pPr>
          </w:p>
        </w:tc>
        <w:tc>
          <w:tcPr>
            <w:tcW w:w="1479" w:type="dxa"/>
            <w:noWrap w:val="0"/>
            <w:vAlign w:val="center"/>
          </w:tcPr>
          <w:p w14:paraId="516E07A0">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提升团体标准的效力，健全团体标准落地落实效果评估机制</w:t>
            </w:r>
          </w:p>
        </w:tc>
        <w:tc>
          <w:tcPr>
            <w:tcW w:w="5242" w:type="dxa"/>
            <w:noWrap w:val="0"/>
            <w:vAlign w:val="center"/>
          </w:tcPr>
          <w:p w14:paraId="248D6D07">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系统开展圳品标准与CAC、香港、澳门相关标准全维度对标研究，梳理指标限量、管控要求差异要点；深入开展多体系标准比对分析，夯实标准制定的数据支撑与理论依据。结合产业基础、产销特点与产地禀赋优化标准条款内容。建立标准应用跟踪、实施成效研判、动态修订完善的评估闭环，从先进性、科学性、适配性三方面全面筑牢圳品团体标准落地实施根基。</w:t>
            </w:r>
          </w:p>
        </w:tc>
      </w:tr>
      <w:tr w14:paraId="47879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49" w:type="dxa"/>
            <w:noWrap w:val="0"/>
            <w:vAlign w:val="center"/>
          </w:tcPr>
          <w:p w14:paraId="3827E6DE">
            <w:pPr>
              <w:snapToGrid w:val="0"/>
              <w:spacing w:line="560" w:lineRule="exact"/>
              <w:jc w:val="center"/>
              <w:rPr>
                <w:rFonts w:hint="eastAsia" w:asciiTheme="minorEastAsia" w:hAnsiTheme="minorEastAsia" w:eastAsiaTheme="minorEastAsia" w:cstheme="minorEastAsia"/>
                <w:sz w:val="21"/>
                <w:szCs w:val="21"/>
              </w:rPr>
            </w:pPr>
          </w:p>
        </w:tc>
        <w:tc>
          <w:tcPr>
            <w:tcW w:w="1479" w:type="dxa"/>
            <w:vMerge w:val="continue"/>
            <w:noWrap w:val="0"/>
            <w:vAlign w:val="center"/>
          </w:tcPr>
          <w:p w14:paraId="4C73235F">
            <w:pPr>
              <w:pStyle w:val="5"/>
              <w:adjustRightInd/>
              <w:spacing w:line="560" w:lineRule="exact"/>
              <w:jc w:val="center"/>
              <w:textAlignment w:val="auto"/>
              <w:rPr>
                <w:rFonts w:hint="eastAsia" w:asciiTheme="minorEastAsia" w:hAnsiTheme="minorEastAsia" w:eastAsiaTheme="minorEastAsia" w:cstheme="minorEastAsia"/>
                <w:kern w:val="2"/>
                <w:sz w:val="21"/>
                <w:szCs w:val="21"/>
              </w:rPr>
            </w:pPr>
          </w:p>
        </w:tc>
        <w:tc>
          <w:tcPr>
            <w:tcW w:w="1479" w:type="dxa"/>
            <w:noWrap w:val="0"/>
            <w:vAlign w:val="center"/>
          </w:tcPr>
          <w:p w14:paraId="1BCA5DAE">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加强国内外标准比对研究</w:t>
            </w:r>
          </w:p>
        </w:tc>
        <w:tc>
          <w:tcPr>
            <w:tcW w:w="5242" w:type="dxa"/>
            <w:noWrap w:val="0"/>
            <w:vAlign w:val="center"/>
          </w:tcPr>
          <w:p w14:paraId="3073CA07">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围绕“圳品”标准所覆盖的主要国际组织、重点国家及地区，根据甲方的任务需求，完成部分典型产品的标准比对分析报告。报告内容应系统梳理我国与目标国家（组织/地区）食品安全标准体系，并选取典型产品，对其关键安全指标进行比对分析。报告需包含标准体系介绍、指标比对分析、总结与建议等核心章节，确保分析过程的科学严谨与比对结果的准确可靠。</w:t>
            </w:r>
          </w:p>
        </w:tc>
      </w:tr>
      <w:tr w14:paraId="63B56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noWrap w:val="0"/>
            <w:vAlign w:val="center"/>
          </w:tcPr>
          <w:p w14:paraId="1F5727E3">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479" w:type="dxa"/>
            <w:vMerge w:val="restart"/>
            <w:noWrap w:val="0"/>
            <w:vAlign w:val="center"/>
          </w:tcPr>
          <w:p w14:paraId="24458DB6">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提升评价与监督机构“圳品”审核能力</w:t>
            </w:r>
          </w:p>
        </w:tc>
        <w:tc>
          <w:tcPr>
            <w:tcW w:w="1479" w:type="dxa"/>
            <w:noWrap w:val="0"/>
            <w:vAlign w:val="center"/>
          </w:tcPr>
          <w:p w14:paraId="48459E0A">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242" w:type="dxa"/>
            <w:noWrap w:val="0"/>
            <w:vAlign w:val="center"/>
          </w:tcPr>
          <w:p w14:paraId="75CE0487">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面向“圳品”技术机构的评价人员、抽样检测人员等，组织开展不少于2场“圳品”评价与监督依据文件现场专题培训，提升评价人员的专业素养和廉洁意识。培训主要内容涵盖评价与监督依据文件中针对评价机构、监督机构、检测机构等各方相关制度要求，评价与监督工作中遇到的问题及关注点等，推动评价与监督机构的工作人员准确理解和应用评价与监督依据文件。提高现场评价的专业性和规范性，保障评价与监督过程、结果的合规性、公正性、科学性。培训保留相关的课件、照片、签到表等资料，形成培训档案。</w:t>
            </w:r>
          </w:p>
        </w:tc>
      </w:tr>
      <w:tr w14:paraId="6CB6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noWrap w:val="0"/>
            <w:vAlign w:val="center"/>
          </w:tcPr>
          <w:p w14:paraId="7D25FE40">
            <w:pPr>
              <w:snapToGrid w:val="0"/>
              <w:spacing w:line="560" w:lineRule="exact"/>
              <w:jc w:val="center"/>
              <w:rPr>
                <w:rFonts w:hint="eastAsia" w:asciiTheme="minorEastAsia" w:hAnsiTheme="minorEastAsia" w:eastAsiaTheme="minorEastAsia" w:cstheme="minorEastAsia"/>
                <w:sz w:val="21"/>
                <w:szCs w:val="21"/>
              </w:rPr>
            </w:pPr>
          </w:p>
        </w:tc>
        <w:tc>
          <w:tcPr>
            <w:tcW w:w="1479" w:type="dxa"/>
            <w:vMerge w:val="continue"/>
            <w:noWrap w:val="0"/>
            <w:vAlign w:val="center"/>
          </w:tcPr>
          <w:p w14:paraId="352E7D56">
            <w:pPr>
              <w:snapToGrid w:val="0"/>
              <w:spacing w:line="560" w:lineRule="exact"/>
              <w:jc w:val="center"/>
              <w:rPr>
                <w:rFonts w:hint="eastAsia" w:asciiTheme="minorEastAsia" w:hAnsiTheme="minorEastAsia" w:eastAsiaTheme="minorEastAsia" w:cstheme="minorEastAsia"/>
                <w:sz w:val="21"/>
                <w:szCs w:val="21"/>
              </w:rPr>
            </w:pPr>
          </w:p>
        </w:tc>
        <w:tc>
          <w:tcPr>
            <w:tcW w:w="1479" w:type="dxa"/>
            <w:noWrap w:val="0"/>
            <w:vAlign w:val="center"/>
          </w:tcPr>
          <w:p w14:paraId="5CC54642">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联动“圳品”运维机构对“圳品”数据进行维护</w:t>
            </w:r>
          </w:p>
        </w:tc>
        <w:tc>
          <w:tcPr>
            <w:tcW w:w="5242" w:type="dxa"/>
            <w:noWrap w:val="0"/>
            <w:vAlign w:val="center"/>
          </w:tcPr>
          <w:p w14:paraId="401A0044">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收集并核对“圳品”评价及监督任务产生的评价信息、监督变更信息报送至“圳品”运维机构；形成数据核对机制，每次报送信息后与“圳品”运维机构核对最新“圳品”数据，确保“圳品”数据准确有效。</w:t>
            </w:r>
          </w:p>
        </w:tc>
      </w:tr>
      <w:tr w14:paraId="4D226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noWrap w:val="0"/>
            <w:vAlign w:val="center"/>
          </w:tcPr>
          <w:p w14:paraId="12A0D03B">
            <w:pPr>
              <w:snapToGrid w:val="0"/>
              <w:spacing w:line="560" w:lineRule="exact"/>
              <w:jc w:val="center"/>
              <w:rPr>
                <w:rFonts w:hint="eastAsia" w:asciiTheme="minorEastAsia" w:hAnsiTheme="minorEastAsia" w:eastAsiaTheme="minorEastAsia" w:cstheme="minorEastAsia"/>
                <w:sz w:val="21"/>
                <w:szCs w:val="21"/>
              </w:rPr>
            </w:pPr>
          </w:p>
        </w:tc>
        <w:tc>
          <w:tcPr>
            <w:tcW w:w="1479" w:type="dxa"/>
            <w:vMerge w:val="continue"/>
            <w:noWrap w:val="0"/>
            <w:vAlign w:val="center"/>
          </w:tcPr>
          <w:p w14:paraId="1F22CB43">
            <w:pPr>
              <w:snapToGrid w:val="0"/>
              <w:spacing w:line="560" w:lineRule="exact"/>
              <w:jc w:val="center"/>
              <w:rPr>
                <w:rFonts w:hint="eastAsia" w:asciiTheme="minorEastAsia" w:hAnsiTheme="minorEastAsia" w:eastAsiaTheme="minorEastAsia" w:cstheme="minorEastAsia"/>
                <w:sz w:val="21"/>
                <w:szCs w:val="21"/>
              </w:rPr>
            </w:pPr>
          </w:p>
        </w:tc>
        <w:tc>
          <w:tcPr>
            <w:tcW w:w="1479" w:type="dxa"/>
            <w:noWrap w:val="0"/>
            <w:vAlign w:val="center"/>
          </w:tcPr>
          <w:p w14:paraId="38571E2E">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舆情信息责任归位研究</w:t>
            </w:r>
          </w:p>
        </w:tc>
        <w:tc>
          <w:tcPr>
            <w:tcW w:w="5242" w:type="dxa"/>
            <w:noWrap w:val="0"/>
            <w:vAlign w:val="center"/>
          </w:tcPr>
          <w:p w14:paraId="1B1BB948">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对接报的舆情信息进行责任归位的研究。关注“圳品”工程监理及“圳品”信用合规团队发现的舆情信息，及时发布舆情信息涉及的“圳品”产品评价信息、监督记录及抽检情况；跟进并汇总有关环节各相关方的舆情处理及责任分析；研判各相关方分析内容及责任归位，编制舆情分析和处理工作简报。</w:t>
            </w:r>
          </w:p>
        </w:tc>
      </w:tr>
      <w:tr w14:paraId="19C6C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vMerge w:val="restart"/>
            <w:noWrap w:val="0"/>
            <w:vAlign w:val="center"/>
          </w:tcPr>
          <w:p w14:paraId="298FB0A6">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479" w:type="dxa"/>
            <w:vMerge w:val="restart"/>
            <w:noWrap w:val="0"/>
            <w:vAlign w:val="center"/>
          </w:tcPr>
          <w:p w14:paraId="7E6EC8F3">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“圳品”标准与体系认证创新性研究</w:t>
            </w:r>
          </w:p>
        </w:tc>
        <w:tc>
          <w:tcPr>
            <w:tcW w:w="1479" w:type="dxa"/>
            <w:noWrap w:val="0"/>
            <w:vAlign w:val="center"/>
          </w:tcPr>
          <w:p w14:paraId="0599B06C">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“圳品”标准研究</w:t>
            </w:r>
          </w:p>
        </w:tc>
        <w:tc>
          <w:tcPr>
            <w:tcW w:w="5242" w:type="dxa"/>
            <w:noWrap w:val="0"/>
            <w:vAlign w:val="center"/>
          </w:tcPr>
          <w:p w14:paraId="18C0BE69">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研究工作需紧扣圳品标准研制提升目标，确保内容科学严谨、数据准确可靠，标准比对与转化路径研究具有针对性与可操作性；研究报告需结构完整、逻辑清晰、格式规范，符合项目任务要求。</w:t>
            </w:r>
          </w:p>
        </w:tc>
      </w:tr>
      <w:tr w14:paraId="7DE36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vMerge w:val="continue"/>
            <w:noWrap w:val="0"/>
            <w:vAlign w:val="center"/>
          </w:tcPr>
          <w:p w14:paraId="617B78D7">
            <w:pPr>
              <w:snapToGrid w:val="0"/>
              <w:spacing w:line="560" w:lineRule="exact"/>
              <w:jc w:val="center"/>
              <w:rPr>
                <w:rFonts w:hint="eastAsia" w:asciiTheme="minorEastAsia" w:hAnsiTheme="minorEastAsia" w:eastAsiaTheme="minorEastAsia" w:cstheme="minorEastAsia"/>
                <w:sz w:val="21"/>
                <w:szCs w:val="21"/>
              </w:rPr>
            </w:pPr>
          </w:p>
        </w:tc>
        <w:tc>
          <w:tcPr>
            <w:tcW w:w="1479" w:type="dxa"/>
            <w:vMerge w:val="continue"/>
            <w:noWrap w:val="0"/>
            <w:vAlign w:val="center"/>
          </w:tcPr>
          <w:p w14:paraId="72F1174B">
            <w:pPr>
              <w:snapToGrid w:val="0"/>
              <w:spacing w:line="560" w:lineRule="exact"/>
              <w:jc w:val="center"/>
              <w:rPr>
                <w:rFonts w:hint="eastAsia" w:asciiTheme="minorEastAsia" w:hAnsiTheme="minorEastAsia" w:eastAsiaTheme="minorEastAsia" w:cstheme="minorEastAsia"/>
                <w:sz w:val="21"/>
                <w:szCs w:val="21"/>
              </w:rPr>
            </w:pPr>
          </w:p>
        </w:tc>
        <w:tc>
          <w:tcPr>
            <w:tcW w:w="1479" w:type="dxa"/>
            <w:noWrap w:val="0"/>
            <w:vAlign w:val="center"/>
          </w:tcPr>
          <w:p w14:paraId="53EDC864">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“圳品”体系认证创新性研究</w:t>
            </w:r>
          </w:p>
        </w:tc>
        <w:tc>
          <w:tcPr>
            <w:tcW w:w="5242" w:type="dxa"/>
            <w:noWrap w:val="0"/>
            <w:vAlign w:val="center"/>
          </w:tcPr>
          <w:p w14:paraId="0F9AF82B">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研究内容需紧扣“圳品”品牌建设与体系认证升级目标，调研充分、对标准确、建议务实可行；研究报告结构完整、数据准确、逻辑严谨、格式规范，能为“圳品” 体系提质增效提供有力支撑。</w:t>
            </w:r>
          </w:p>
        </w:tc>
      </w:tr>
      <w:tr w14:paraId="6E912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1" w:hRule="atLeast"/>
          <w:jc w:val="center"/>
        </w:trPr>
        <w:tc>
          <w:tcPr>
            <w:tcW w:w="849" w:type="dxa"/>
            <w:noWrap w:val="0"/>
            <w:vAlign w:val="center"/>
          </w:tcPr>
          <w:p w14:paraId="394AD011">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479" w:type="dxa"/>
            <w:noWrap w:val="0"/>
            <w:vAlign w:val="center"/>
          </w:tcPr>
          <w:p w14:paraId="3D5E8E03">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“圳品”评审专家库管理</w:t>
            </w:r>
          </w:p>
        </w:tc>
        <w:tc>
          <w:tcPr>
            <w:tcW w:w="1479" w:type="dxa"/>
            <w:noWrap w:val="0"/>
            <w:vAlign w:val="center"/>
          </w:tcPr>
          <w:p w14:paraId="18C6BEDD">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242" w:type="dxa"/>
            <w:noWrap w:val="0"/>
            <w:vAlign w:val="center"/>
          </w:tcPr>
          <w:p w14:paraId="65AA8BC5">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圳品”申报环节及监督环节实际工作需要，动态管理“圳品”评审专家库，专家人数不少于50人，领域涵盖标准、认证、食品、检验检测等专业领域。按照“圳品”专家评审要求组织专家评审会，邀请专家对产品评价档案的完整性、不符合项整改的有效性、评价人员现场评价的合规性等方面进行重点评审，评审产品是否符合“圳品”标准的要求，并出具专家评审意见；邀请专家对产品监督档案的完整性、不符合项整改的有效性、监督人员现场监督工作的合规性等方面进行评审，评审获证后产品是否符合“圳品”标准的要求，并出具专家评审意见。保留专家评审环节的各项材料，便于追溯查询。</w:t>
            </w:r>
          </w:p>
        </w:tc>
      </w:tr>
      <w:tr w14:paraId="0A658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849" w:type="dxa"/>
            <w:vMerge w:val="restart"/>
            <w:noWrap w:val="0"/>
            <w:vAlign w:val="center"/>
          </w:tcPr>
          <w:p w14:paraId="4CDA570A">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479" w:type="dxa"/>
            <w:vMerge w:val="restart"/>
            <w:noWrap w:val="0"/>
            <w:vAlign w:val="center"/>
          </w:tcPr>
          <w:p w14:paraId="130937B5">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组织实施评价档案审查与评审</w:t>
            </w:r>
          </w:p>
        </w:tc>
        <w:tc>
          <w:tcPr>
            <w:tcW w:w="1479" w:type="dxa"/>
            <w:noWrap w:val="0"/>
            <w:vAlign w:val="center"/>
          </w:tcPr>
          <w:p w14:paraId="531909F9">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组织实施400个“圳品”产品评价档案的审查</w:t>
            </w:r>
          </w:p>
        </w:tc>
        <w:tc>
          <w:tcPr>
            <w:tcW w:w="5242" w:type="dxa"/>
            <w:noWrap w:val="0"/>
            <w:vAlign w:val="center"/>
          </w:tcPr>
          <w:p w14:paraId="6A10C878">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严格按照“圳品”评价档案审查要求等依据文件，对“圳品”技术机构产生的400个“圳品”产品的评价档案及相关材料完整性、规范性、程序合规性等实施精准审查。每套档案出具审查意见，承担审查责任，并做好与“圳品”技术机构的对接反馈，“圳品”技术机构依据档案审查意见对档案进行整改，核验其整改情况，决定是否通过。通过后进入专家评审阶段，“圳品”产品档案合规。保留档案审查环节的各项材料，便于追溯查询。</w:t>
            </w:r>
          </w:p>
        </w:tc>
      </w:tr>
      <w:tr w14:paraId="41C2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0" w:hRule="atLeast"/>
          <w:jc w:val="center"/>
        </w:trPr>
        <w:tc>
          <w:tcPr>
            <w:tcW w:w="849" w:type="dxa"/>
            <w:vMerge w:val="continue"/>
            <w:noWrap w:val="0"/>
            <w:vAlign w:val="center"/>
          </w:tcPr>
          <w:p w14:paraId="6033A2C0">
            <w:pPr>
              <w:snapToGrid w:val="0"/>
              <w:spacing w:line="560" w:lineRule="exact"/>
              <w:jc w:val="center"/>
              <w:rPr>
                <w:rFonts w:hint="eastAsia" w:asciiTheme="minorEastAsia" w:hAnsiTheme="minorEastAsia" w:eastAsiaTheme="minorEastAsia" w:cstheme="minorEastAsia"/>
                <w:sz w:val="21"/>
                <w:szCs w:val="21"/>
              </w:rPr>
            </w:pPr>
          </w:p>
        </w:tc>
        <w:tc>
          <w:tcPr>
            <w:tcW w:w="1479" w:type="dxa"/>
            <w:vMerge w:val="continue"/>
            <w:noWrap w:val="0"/>
            <w:vAlign w:val="center"/>
          </w:tcPr>
          <w:p w14:paraId="46C08A59">
            <w:pPr>
              <w:snapToGrid w:val="0"/>
              <w:spacing w:line="560" w:lineRule="exact"/>
              <w:jc w:val="center"/>
              <w:rPr>
                <w:rFonts w:hint="eastAsia" w:asciiTheme="minorEastAsia" w:hAnsiTheme="minorEastAsia" w:eastAsiaTheme="minorEastAsia" w:cstheme="minorEastAsia"/>
                <w:sz w:val="21"/>
                <w:szCs w:val="21"/>
              </w:rPr>
            </w:pPr>
          </w:p>
        </w:tc>
        <w:tc>
          <w:tcPr>
            <w:tcW w:w="1479" w:type="dxa"/>
            <w:noWrap w:val="0"/>
            <w:vAlign w:val="center"/>
          </w:tcPr>
          <w:p w14:paraId="6AEEE61B">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产品评价档案整理</w:t>
            </w:r>
          </w:p>
        </w:tc>
        <w:tc>
          <w:tcPr>
            <w:tcW w:w="5242" w:type="dxa"/>
            <w:noWrap w:val="0"/>
            <w:vAlign w:val="center"/>
          </w:tcPr>
          <w:p w14:paraId="4A38EAEC">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按照“圳品”档案管理等要求，对“圳品”生成过程中产生的档案进行收集、归档以及统计分析，以应对各类核查。对档案电子版和纸质版进行编号，便于追溯查询。档案保存时限不少于3年。</w:t>
            </w:r>
          </w:p>
        </w:tc>
      </w:tr>
      <w:tr w14:paraId="73053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vMerge w:val="restart"/>
            <w:noWrap w:val="0"/>
            <w:vAlign w:val="center"/>
          </w:tcPr>
          <w:p w14:paraId="16D2C56A">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479" w:type="dxa"/>
            <w:vMerge w:val="restart"/>
            <w:noWrap w:val="0"/>
            <w:vAlign w:val="center"/>
          </w:tcPr>
          <w:p w14:paraId="1E397AAB">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组织实施监督档案审查与结果处理</w:t>
            </w:r>
          </w:p>
        </w:tc>
        <w:tc>
          <w:tcPr>
            <w:tcW w:w="1479" w:type="dxa"/>
            <w:noWrap w:val="0"/>
            <w:vAlign w:val="center"/>
          </w:tcPr>
          <w:p w14:paraId="561381DF">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组织实施369个产品监督档案审查</w:t>
            </w:r>
          </w:p>
        </w:tc>
        <w:tc>
          <w:tcPr>
            <w:tcW w:w="5242" w:type="dxa"/>
            <w:noWrap w:val="0"/>
            <w:vAlign w:val="center"/>
          </w:tcPr>
          <w:p w14:paraId="5920BA9F">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照“圳品”评价与监督要求等依据文件，对“圳品”技术机构提交的369个“圳品”产品相关的档案完整性、规范性、合规性等实施档案审查。每套档案出具审查意见，需进一步完善的档案反馈至“圳品”技术机构进行补充、完善，审查通过后进入专家评审阶段，保障“圳品”产品监督检查工作的严谨性与科学性。保留档案审查环节的各项材料，便于追溯查询。</w:t>
            </w:r>
          </w:p>
        </w:tc>
      </w:tr>
      <w:tr w14:paraId="385C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849" w:type="dxa"/>
            <w:vMerge w:val="continue"/>
            <w:noWrap w:val="0"/>
            <w:vAlign w:val="center"/>
          </w:tcPr>
          <w:p w14:paraId="76F7CE7E">
            <w:pPr>
              <w:snapToGrid w:val="0"/>
              <w:spacing w:line="560" w:lineRule="exact"/>
              <w:jc w:val="center"/>
              <w:rPr>
                <w:rFonts w:hint="eastAsia" w:asciiTheme="minorEastAsia" w:hAnsiTheme="minorEastAsia" w:eastAsiaTheme="minorEastAsia" w:cstheme="minorEastAsia"/>
                <w:sz w:val="21"/>
                <w:szCs w:val="21"/>
              </w:rPr>
            </w:pPr>
          </w:p>
        </w:tc>
        <w:tc>
          <w:tcPr>
            <w:tcW w:w="1479" w:type="dxa"/>
            <w:vMerge w:val="continue"/>
            <w:noWrap w:val="0"/>
            <w:vAlign w:val="center"/>
          </w:tcPr>
          <w:p w14:paraId="29FD3A8C">
            <w:pPr>
              <w:snapToGrid w:val="0"/>
              <w:spacing w:line="560" w:lineRule="exact"/>
              <w:jc w:val="center"/>
              <w:rPr>
                <w:rFonts w:hint="eastAsia" w:asciiTheme="minorEastAsia" w:hAnsiTheme="minorEastAsia" w:eastAsiaTheme="minorEastAsia" w:cstheme="minorEastAsia"/>
                <w:sz w:val="21"/>
                <w:szCs w:val="21"/>
              </w:rPr>
            </w:pPr>
          </w:p>
        </w:tc>
        <w:tc>
          <w:tcPr>
            <w:tcW w:w="1479" w:type="dxa"/>
            <w:noWrap w:val="0"/>
            <w:vAlign w:val="center"/>
          </w:tcPr>
          <w:p w14:paraId="03670DB3">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监督检查结果处理</w:t>
            </w:r>
          </w:p>
        </w:tc>
        <w:tc>
          <w:tcPr>
            <w:tcW w:w="5242" w:type="dxa"/>
            <w:noWrap w:val="0"/>
            <w:vAlign w:val="center"/>
          </w:tcPr>
          <w:p w14:paraId="7DB50D57">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监督检查结论，对符合要求的获证产品出具《“圳品”监督检查结论告知书》；由“圳品”技术机构反馈至“圳品”获证组织。根据《“圳品”监督检查结论告知书》，对于符合暂停情形的产品依制度报送有关情况并提请启动暂停工作流程。对符合《供深食品标准工作委员会“圳品”退出工作制度（试行）》规定退出情形的产品，提请供深食品标准工作委员会审议，通过审议后，履行退出处理程序。整理监督结论，形成“圳品”评价证书状态建议表。</w:t>
            </w:r>
          </w:p>
        </w:tc>
      </w:tr>
      <w:tr w14:paraId="0C49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849" w:type="dxa"/>
            <w:vMerge w:val="continue"/>
            <w:noWrap w:val="0"/>
            <w:vAlign w:val="center"/>
          </w:tcPr>
          <w:p w14:paraId="1415BA04">
            <w:pPr>
              <w:snapToGrid w:val="0"/>
              <w:spacing w:line="560" w:lineRule="exact"/>
              <w:jc w:val="center"/>
              <w:rPr>
                <w:rFonts w:hint="eastAsia" w:asciiTheme="minorEastAsia" w:hAnsiTheme="minorEastAsia" w:eastAsiaTheme="minorEastAsia" w:cstheme="minorEastAsia"/>
                <w:sz w:val="21"/>
                <w:szCs w:val="21"/>
              </w:rPr>
            </w:pPr>
          </w:p>
        </w:tc>
        <w:tc>
          <w:tcPr>
            <w:tcW w:w="1479" w:type="dxa"/>
            <w:vMerge w:val="continue"/>
            <w:noWrap w:val="0"/>
            <w:vAlign w:val="center"/>
          </w:tcPr>
          <w:p w14:paraId="65001BB4">
            <w:pPr>
              <w:snapToGrid w:val="0"/>
              <w:spacing w:line="560" w:lineRule="exact"/>
              <w:jc w:val="center"/>
              <w:rPr>
                <w:rFonts w:hint="eastAsia" w:asciiTheme="minorEastAsia" w:hAnsiTheme="minorEastAsia" w:eastAsiaTheme="minorEastAsia" w:cstheme="minorEastAsia"/>
                <w:sz w:val="21"/>
                <w:szCs w:val="21"/>
              </w:rPr>
            </w:pPr>
          </w:p>
        </w:tc>
        <w:tc>
          <w:tcPr>
            <w:tcW w:w="1479" w:type="dxa"/>
            <w:noWrap w:val="0"/>
            <w:vAlign w:val="center"/>
          </w:tcPr>
          <w:p w14:paraId="39D740B2">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监督检查档案整理</w:t>
            </w:r>
          </w:p>
        </w:tc>
        <w:tc>
          <w:tcPr>
            <w:tcW w:w="5242" w:type="dxa"/>
            <w:noWrap w:val="0"/>
            <w:vAlign w:val="center"/>
          </w:tcPr>
          <w:p w14:paraId="295C7B7D">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按照“圳品”档案管理等要求，对监督检查过程中生成的档案及相关资料进行收集、归档，以应对各类核查。对档案电子版和纸质版进行编号，便于追溯查询。档案保存时限不少于3年。</w:t>
            </w:r>
          </w:p>
        </w:tc>
      </w:tr>
      <w:tr w14:paraId="6943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noWrap w:val="0"/>
            <w:vAlign w:val="center"/>
          </w:tcPr>
          <w:p w14:paraId="52ECC3D4">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1479" w:type="dxa"/>
            <w:noWrap w:val="0"/>
            <w:vAlign w:val="center"/>
          </w:tcPr>
          <w:p w14:paraId="1ECE3397">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完善“圳品”全链条数据管理体系</w:t>
            </w:r>
          </w:p>
        </w:tc>
        <w:tc>
          <w:tcPr>
            <w:tcW w:w="1479" w:type="dxa"/>
            <w:noWrap w:val="0"/>
            <w:vAlign w:val="center"/>
          </w:tcPr>
          <w:p w14:paraId="6339135A">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242" w:type="dxa"/>
            <w:noWrap w:val="0"/>
            <w:vAlign w:val="center"/>
          </w:tcPr>
          <w:p w14:paraId="54C1309A">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展“圳品”申报、评价、监督信息处理，保障技术支持，提供数据接口、系统填报、Excel数据导入等多样化的采集方式，归集“圳品”追溯数据。加强“圳品”追溯信息化应用，针对“圳品”企业开展信息化追溯技术辅导，并跟进国内外食品追溯最新动态，采集“圳品”全链条台账数据不少于80万条，完善“圳品”从生产到流通到终端消费的全链条追溯体系。强化可追溯性在全链条环节的综合应用，实现“圳品”来源可查、去向可追，完成不少于10个“圳品”追溯应用案例，形成“圳品”全链条数据与溯源管理工作总结报告。</w:t>
            </w:r>
          </w:p>
        </w:tc>
      </w:tr>
      <w:tr w14:paraId="240C0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blHeader/>
          <w:jc w:val="center"/>
        </w:trPr>
        <w:tc>
          <w:tcPr>
            <w:tcW w:w="849" w:type="dxa"/>
            <w:noWrap w:val="0"/>
            <w:vAlign w:val="center"/>
          </w:tcPr>
          <w:p w14:paraId="099DF51F">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479" w:type="dxa"/>
            <w:noWrap w:val="0"/>
            <w:vAlign w:val="center"/>
          </w:tcPr>
          <w:p w14:paraId="33892330">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主要内容</w:t>
            </w:r>
          </w:p>
        </w:tc>
        <w:tc>
          <w:tcPr>
            <w:tcW w:w="1479" w:type="dxa"/>
            <w:noWrap w:val="0"/>
            <w:vAlign w:val="center"/>
          </w:tcPr>
          <w:p w14:paraId="7B5D99FE">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分项要求</w:t>
            </w:r>
          </w:p>
        </w:tc>
        <w:tc>
          <w:tcPr>
            <w:tcW w:w="5242" w:type="dxa"/>
            <w:noWrap w:val="0"/>
            <w:vAlign w:val="center"/>
          </w:tcPr>
          <w:p w14:paraId="5812AA12">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具体要求</w:t>
            </w:r>
          </w:p>
        </w:tc>
      </w:tr>
      <w:tr w14:paraId="758E5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49" w:type="dxa"/>
            <w:vMerge w:val="restart"/>
            <w:noWrap w:val="0"/>
            <w:vAlign w:val="center"/>
          </w:tcPr>
          <w:p w14:paraId="3C6BC719">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479" w:type="dxa"/>
            <w:vMerge w:val="restart"/>
            <w:noWrap w:val="0"/>
            <w:vAlign w:val="center"/>
          </w:tcPr>
          <w:p w14:paraId="5FCEF6AE">
            <w:pPr>
              <w:pStyle w:val="5"/>
              <w:adjustRightInd/>
              <w:spacing w:line="560" w:lineRule="exact"/>
              <w:jc w:val="center"/>
              <w:textAlignment w:val="auto"/>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rPr>
              <w:t>“圳品”标准体系建设</w:t>
            </w:r>
          </w:p>
        </w:tc>
        <w:tc>
          <w:tcPr>
            <w:tcW w:w="1479" w:type="dxa"/>
            <w:noWrap w:val="0"/>
            <w:vAlign w:val="center"/>
          </w:tcPr>
          <w:p w14:paraId="25BBE9E8">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制定（含修订）“圳品”标准50项</w:t>
            </w:r>
          </w:p>
        </w:tc>
        <w:tc>
          <w:tcPr>
            <w:tcW w:w="5242" w:type="dxa"/>
            <w:noWrap w:val="0"/>
            <w:vAlign w:val="center"/>
          </w:tcPr>
          <w:p w14:paraId="5E48301E">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为满足“圳品”工作需求，按照《团体标准管理规定》（国标委联〔2019〕1号）的程序要求，具体包括立项、起草、公开征求意见、技术审查，持续开展“圳品”标准研制工作。“圳品”标准制定（含修订）需开展国内外指安全标数据比对分析，现阶段充分借鉴国际食品法典委员会（CAC）标准、香港规例和澳门行政法规，遵循“取其全、取其严”的要求，制定“圳品”标准10项，修订“圳品”标准40项，逐步扩大标准覆盖范围、丰富标准类型，并持续更新标准以保持其先进性，全力支撑“圳品”工作。</w:t>
            </w:r>
          </w:p>
        </w:tc>
      </w:tr>
      <w:tr w14:paraId="7718E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49" w:type="dxa"/>
            <w:vMerge w:val="continue"/>
            <w:noWrap w:val="0"/>
            <w:vAlign w:val="center"/>
          </w:tcPr>
          <w:p w14:paraId="729C70C4">
            <w:pPr>
              <w:snapToGrid w:val="0"/>
              <w:spacing w:line="560" w:lineRule="exact"/>
              <w:jc w:val="center"/>
              <w:rPr>
                <w:rFonts w:hint="eastAsia" w:asciiTheme="minorEastAsia" w:hAnsiTheme="minorEastAsia" w:eastAsiaTheme="minorEastAsia" w:cstheme="minorEastAsia"/>
                <w:sz w:val="21"/>
                <w:szCs w:val="21"/>
              </w:rPr>
            </w:pPr>
          </w:p>
        </w:tc>
        <w:tc>
          <w:tcPr>
            <w:tcW w:w="1479" w:type="dxa"/>
            <w:vMerge w:val="continue"/>
            <w:noWrap w:val="0"/>
            <w:vAlign w:val="center"/>
          </w:tcPr>
          <w:p w14:paraId="1EA656F1">
            <w:pPr>
              <w:pStyle w:val="5"/>
              <w:adjustRightInd/>
              <w:spacing w:line="560" w:lineRule="exact"/>
              <w:jc w:val="center"/>
              <w:textAlignment w:val="auto"/>
              <w:rPr>
                <w:rFonts w:hint="eastAsia" w:asciiTheme="minorEastAsia" w:hAnsiTheme="minorEastAsia" w:eastAsiaTheme="minorEastAsia" w:cstheme="minorEastAsia"/>
                <w:kern w:val="2"/>
                <w:sz w:val="21"/>
                <w:szCs w:val="21"/>
              </w:rPr>
            </w:pPr>
          </w:p>
        </w:tc>
        <w:tc>
          <w:tcPr>
            <w:tcW w:w="1479" w:type="dxa"/>
            <w:noWrap w:val="0"/>
            <w:vAlign w:val="center"/>
          </w:tcPr>
          <w:p w14:paraId="50D37B73">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制定（含修订）评价与监督依据文件50个</w:t>
            </w:r>
          </w:p>
        </w:tc>
        <w:tc>
          <w:tcPr>
            <w:tcW w:w="5242" w:type="dxa"/>
            <w:noWrap w:val="0"/>
            <w:vAlign w:val="center"/>
          </w:tcPr>
          <w:p w14:paraId="6CC9E86D">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严格按照需求分析、文件计划编制、文件起草、交流研讨、技术审查、发布实施的制定（含修订）程序开展“圳品”评价与监督依据文件编制工作。对标全球通行的合格评定模式，以国际标准化组织合格评定委员会(ISO/CASCO)的合格评定技术为手段，以食品安全管理体系认证(ISO 22000)评价等研究为理论支持，开展“圳品”评价与监督依据文件研究工作，邀请企业、技术机构、高校等各领域技术专家，在交流研讨、技术审查等环节对文件进行审核，保障文件的先进性、专业性、实用性。</w:t>
            </w:r>
          </w:p>
        </w:tc>
      </w:tr>
      <w:tr w14:paraId="2E08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noWrap w:val="0"/>
            <w:vAlign w:val="center"/>
          </w:tcPr>
          <w:p w14:paraId="2FC44F00">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479" w:type="dxa"/>
            <w:noWrap w:val="0"/>
            <w:vAlign w:val="center"/>
          </w:tcPr>
          <w:p w14:paraId="50AF12D1">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提升评价与监督机构“圳品”审核能力</w:t>
            </w:r>
          </w:p>
        </w:tc>
        <w:tc>
          <w:tcPr>
            <w:tcW w:w="1479" w:type="dxa"/>
            <w:noWrap w:val="0"/>
            <w:vAlign w:val="center"/>
          </w:tcPr>
          <w:p w14:paraId="1F266481">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242" w:type="dxa"/>
            <w:noWrap w:val="0"/>
            <w:vAlign w:val="center"/>
          </w:tcPr>
          <w:p w14:paraId="596CE6A5">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面向“圳品”技术机构的评价人员、抽样检测人员等，组织开展不少于2场“圳品”评价与监督依据文件现场专题培训，提升评价人员的专业素养和廉洁意识。培训主要内容涵盖评价与监督依据文件中针对评价机构、监督机构、检测机构等各方相关制度要求，评价与监督工作中遇到的问题及关注点等，推动评价与监督机构的工作人员准确理解和应用评价与监督依据文件。提高现场评价的专业性和规范性，保障评价与监督过程、结果的合规性、公正性、科学性。培训保留相关的课件、照片、签到表等资料，形成培训档案。</w:t>
            </w:r>
          </w:p>
        </w:tc>
      </w:tr>
      <w:tr w14:paraId="7D00F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vMerge w:val="restart"/>
            <w:noWrap w:val="0"/>
            <w:vAlign w:val="center"/>
          </w:tcPr>
          <w:p w14:paraId="2CE8E6F4">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479" w:type="dxa"/>
            <w:vMerge w:val="restart"/>
            <w:noWrap w:val="0"/>
            <w:vAlign w:val="center"/>
          </w:tcPr>
          <w:p w14:paraId="5A562FD7">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“圳品”标准与体系认证创新性研究</w:t>
            </w:r>
          </w:p>
        </w:tc>
        <w:tc>
          <w:tcPr>
            <w:tcW w:w="1479" w:type="dxa"/>
            <w:noWrap w:val="0"/>
            <w:vAlign w:val="center"/>
          </w:tcPr>
          <w:p w14:paraId="45798DE9">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“圳品”标准研究</w:t>
            </w:r>
          </w:p>
        </w:tc>
        <w:tc>
          <w:tcPr>
            <w:tcW w:w="5242" w:type="dxa"/>
            <w:noWrap w:val="0"/>
            <w:vAlign w:val="center"/>
          </w:tcPr>
          <w:p w14:paraId="7C30FD68">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研究工作需紧扣圳品标准研制提升目标，确保内容科学严谨、数据准确可靠，标准比对与转化路径研究具有针对性与可操作性；研究报告需结构完整、逻辑清晰、格式规范，符合项目任务要求。</w:t>
            </w:r>
          </w:p>
        </w:tc>
      </w:tr>
      <w:tr w14:paraId="13D2E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vMerge w:val="continue"/>
            <w:noWrap w:val="0"/>
            <w:vAlign w:val="center"/>
          </w:tcPr>
          <w:p w14:paraId="15C73B00">
            <w:pPr>
              <w:snapToGrid w:val="0"/>
              <w:spacing w:line="560" w:lineRule="exact"/>
              <w:jc w:val="center"/>
              <w:rPr>
                <w:rFonts w:hint="eastAsia" w:asciiTheme="minorEastAsia" w:hAnsiTheme="minorEastAsia" w:eastAsiaTheme="minorEastAsia" w:cstheme="minorEastAsia"/>
                <w:sz w:val="21"/>
                <w:szCs w:val="21"/>
              </w:rPr>
            </w:pPr>
          </w:p>
        </w:tc>
        <w:tc>
          <w:tcPr>
            <w:tcW w:w="1479" w:type="dxa"/>
            <w:vMerge w:val="continue"/>
            <w:noWrap w:val="0"/>
            <w:vAlign w:val="center"/>
          </w:tcPr>
          <w:p w14:paraId="4F7903BA">
            <w:pPr>
              <w:snapToGrid w:val="0"/>
              <w:spacing w:line="560" w:lineRule="exact"/>
              <w:jc w:val="center"/>
              <w:rPr>
                <w:rFonts w:hint="eastAsia" w:asciiTheme="minorEastAsia" w:hAnsiTheme="minorEastAsia" w:eastAsiaTheme="minorEastAsia" w:cstheme="minorEastAsia"/>
                <w:sz w:val="21"/>
                <w:szCs w:val="21"/>
              </w:rPr>
            </w:pPr>
          </w:p>
        </w:tc>
        <w:tc>
          <w:tcPr>
            <w:tcW w:w="1479" w:type="dxa"/>
            <w:noWrap w:val="0"/>
            <w:vAlign w:val="center"/>
          </w:tcPr>
          <w:p w14:paraId="3C985876">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“圳品”体系认证创新性研究</w:t>
            </w:r>
          </w:p>
        </w:tc>
        <w:tc>
          <w:tcPr>
            <w:tcW w:w="5242" w:type="dxa"/>
            <w:noWrap w:val="0"/>
            <w:vAlign w:val="center"/>
          </w:tcPr>
          <w:p w14:paraId="2F52DA7F">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研究内容需紧扣“圳品”品牌建设与体系认证升级目标，调研充分、对标准确、建议务实可行；研究报告结构完整、数据准确、逻辑严谨、格式规范，能为“圳品” 体系提质增效提供有力支撑。</w:t>
            </w:r>
          </w:p>
        </w:tc>
      </w:tr>
      <w:tr w14:paraId="5B2C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1" w:hRule="atLeast"/>
          <w:jc w:val="center"/>
        </w:trPr>
        <w:tc>
          <w:tcPr>
            <w:tcW w:w="849" w:type="dxa"/>
            <w:noWrap w:val="0"/>
            <w:vAlign w:val="center"/>
          </w:tcPr>
          <w:p w14:paraId="33D4BEE9">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479" w:type="dxa"/>
            <w:noWrap w:val="0"/>
            <w:vAlign w:val="center"/>
          </w:tcPr>
          <w:p w14:paraId="69C702DB">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“圳品”评审专家库管理</w:t>
            </w:r>
          </w:p>
        </w:tc>
        <w:tc>
          <w:tcPr>
            <w:tcW w:w="1479" w:type="dxa"/>
            <w:noWrap w:val="0"/>
            <w:vAlign w:val="center"/>
          </w:tcPr>
          <w:p w14:paraId="1CBCB160">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242" w:type="dxa"/>
            <w:noWrap w:val="0"/>
            <w:vAlign w:val="center"/>
          </w:tcPr>
          <w:p w14:paraId="48829980">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圳品”申报环节及监督环节实际工作需要，动态管理“圳品”评审专家库，专家人数不少于50人，领域涵盖标准、认证、食品、检验检测等专业领域。按照“圳品”专家评审要求组织专家评审会，邀请专家对产品评价档案的完整性、不符合项整改的有效性、评价人员现场评价的合规性等方面进行重点评审，评审产品是否符合“圳品”标准的要求，并出具专家评审意见；邀请专家对产品监督档案的完整性、不符合项整改的有效性、监督人员现场监督工作的合规性等方面进行评审，评审获证后产品是否符合“圳品”标准的要求，并出具专家评审意见。保留专家评审环节的各项材料，便于追溯查询。</w:t>
            </w:r>
          </w:p>
        </w:tc>
      </w:tr>
      <w:tr w14:paraId="17C50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849" w:type="dxa"/>
            <w:vMerge w:val="restart"/>
            <w:noWrap w:val="0"/>
            <w:vAlign w:val="center"/>
          </w:tcPr>
          <w:p w14:paraId="129F6B13">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479" w:type="dxa"/>
            <w:vMerge w:val="restart"/>
            <w:noWrap w:val="0"/>
            <w:vAlign w:val="center"/>
          </w:tcPr>
          <w:p w14:paraId="6C6D43FD">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组织实施评价档案审查与评审</w:t>
            </w:r>
          </w:p>
        </w:tc>
        <w:tc>
          <w:tcPr>
            <w:tcW w:w="1479" w:type="dxa"/>
            <w:noWrap w:val="0"/>
            <w:vAlign w:val="center"/>
          </w:tcPr>
          <w:p w14:paraId="7C25F173">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组织实施400个“圳品”产品评价档案的审查</w:t>
            </w:r>
          </w:p>
        </w:tc>
        <w:tc>
          <w:tcPr>
            <w:tcW w:w="5242" w:type="dxa"/>
            <w:noWrap w:val="0"/>
            <w:vAlign w:val="center"/>
          </w:tcPr>
          <w:p w14:paraId="5E8684EB">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严格按照“圳品”评价档案审查要求等依据文件，对“圳品”技术机构产生的400个“圳品”产品的评价档案及相关材料完整性、规范性、程序合规性等实施精准审查。每套档案出具审查意见，承担审查责任，并做好与“圳品”技术机构的对接反馈，“圳品”技术机构依据档案审查意见对档案进行整改，核验其整改情况，决定是否通过。通过后进入专家评审阶段，“圳品”产品档案合规。保留档案审查环节的各项材料，便于追溯查询。</w:t>
            </w:r>
          </w:p>
        </w:tc>
      </w:tr>
      <w:tr w14:paraId="766F7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49" w:type="dxa"/>
            <w:vMerge w:val="continue"/>
            <w:noWrap w:val="0"/>
            <w:vAlign w:val="center"/>
          </w:tcPr>
          <w:p w14:paraId="02E0708D">
            <w:pPr>
              <w:snapToGrid w:val="0"/>
              <w:spacing w:line="560" w:lineRule="exact"/>
              <w:jc w:val="center"/>
              <w:rPr>
                <w:rFonts w:hint="eastAsia" w:asciiTheme="minorEastAsia" w:hAnsiTheme="minorEastAsia" w:eastAsiaTheme="minorEastAsia" w:cstheme="minorEastAsia"/>
                <w:sz w:val="21"/>
                <w:szCs w:val="21"/>
              </w:rPr>
            </w:pPr>
          </w:p>
        </w:tc>
        <w:tc>
          <w:tcPr>
            <w:tcW w:w="1479" w:type="dxa"/>
            <w:vMerge w:val="continue"/>
            <w:noWrap w:val="0"/>
            <w:vAlign w:val="center"/>
          </w:tcPr>
          <w:p w14:paraId="2A274E43">
            <w:pPr>
              <w:snapToGrid w:val="0"/>
              <w:spacing w:line="560" w:lineRule="exact"/>
              <w:jc w:val="center"/>
              <w:rPr>
                <w:rFonts w:hint="eastAsia" w:asciiTheme="minorEastAsia" w:hAnsiTheme="minorEastAsia" w:eastAsiaTheme="minorEastAsia" w:cstheme="minorEastAsia"/>
                <w:sz w:val="21"/>
                <w:szCs w:val="21"/>
              </w:rPr>
            </w:pPr>
          </w:p>
        </w:tc>
        <w:tc>
          <w:tcPr>
            <w:tcW w:w="1479" w:type="dxa"/>
            <w:noWrap w:val="0"/>
            <w:vAlign w:val="center"/>
          </w:tcPr>
          <w:p w14:paraId="46BD8615">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产品评价档案整理</w:t>
            </w:r>
          </w:p>
        </w:tc>
        <w:tc>
          <w:tcPr>
            <w:tcW w:w="5242" w:type="dxa"/>
            <w:noWrap w:val="0"/>
            <w:vAlign w:val="center"/>
          </w:tcPr>
          <w:p w14:paraId="291922D2">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按照“圳品”档案管理等要求，对“圳品”生成过程中产生的档案进行收集、归档以及统计分析，以应对各类核查。对档案电子版和纸质版进行编号，便于追溯查询。档案保存时限不少于3年。</w:t>
            </w:r>
          </w:p>
        </w:tc>
      </w:tr>
      <w:tr w14:paraId="3BB2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vMerge w:val="restart"/>
            <w:noWrap w:val="0"/>
            <w:vAlign w:val="center"/>
          </w:tcPr>
          <w:p w14:paraId="366E0119">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479" w:type="dxa"/>
            <w:vMerge w:val="restart"/>
            <w:noWrap w:val="0"/>
            <w:vAlign w:val="center"/>
          </w:tcPr>
          <w:p w14:paraId="02A7EB35">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组织实施监督档案审查与结果处理</w:t>
            </w:r>
          </w:p>
        </w:tc>
        <w:tc>
          <w:tcPr>
            <w:tcW w:w="1479" w:type="dxa"/>
            <w:noWrap w:val="0"/>
            <w:vAlign w:val="center"/>
          </w:tcPr>
          <w:p w14:paraId="4AEB57BD">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组织实施369个产品监督档案审查</w:t>
            </w:r>
          </w:p>
        </w:tc>
        <w:tc>
          <w:tcPr>
            <w:tcW w:w="5242" w:type="dxa"/>
            <w:noWrap w:val="0"/>
            <w:vAlign w:val="center"/>
          </w:tcPr>
          <w:p w14:paraId="7B8D1DE3">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照“圳品”评价与监督要求等依据文件，对“圳品”技术机构提交的369个“圳品”产品相关的档案完整性、规范性、合规性等实施档案审查。每套档案出具审查意见，需进一步完善的档案反馈至“圳品”技术机构进行补充、完善，审查通过后进入专家评审阶段，保障“圳品”产品监督检查工作的严谨性与科学性。保留档案审查环节的各项材料，便于追溯查询。</w:t>
            </w:r>
          </w:p>
        </w:tc>
      </w:tr>
      <w:tr w14:paraId="5FD15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849" w:type="dxa"/>
            <w:vMerge w:val="continue"/>
            <w:noWrap w:val="0"/>
            <w:vAlign w:val="center"/>
          </w:tcPr>
          <w:p w14:paraId="64F50E72">
            <w:pPr>
              <w:snapToGrid w:val="0"/>
              <w:spacing w:line="560" w:lineRule="exact"/>
              <w:jc w:val="center"/>
              <w:rPr>
                <w:rFonts w:hint="eastAsia" w:asciiTheme="minorEastAsia" w:hAnsiTheme="minorEastAsia" w:eastAsiaTheme="minorEastAsia" w:cstheme="minorEastAsia"/>
                <w:sz w:val="21"/>
                <w:szCs w:val="21"/>
              </w:rPr>
            </w:pPr>
          </w:p>
        </w:tc>
        <w:tc>
          <w:tcPr>
            <w:tcW w:w="1479" w:type="dxa"/>
            <w:vMerge w:val="continue"/>
            <w:noWrap w:val="0"/>
            <w:vAlign w:val="center"/>
          </w:tcPr>
          <w:p w14:paraId="7559E2E0">
            <w:pPr>
              <w:snapToGrid w:val="0"/>
              <w:spacing w:line="560" w:lineRule="exact"/>
              <w:jc w:val="center"/>
              <w:rPr>
                <w:rFonts w:hint="eastAsia" w:asciiTheme="minorEastAsia" w:hAnsiTheme="minorEastAsia" w:eastAsiaTheme="minorEastAsia" w:cstheme="minorEastAsia"/>
                <w:sz w:val="21"/>
                <w:szCs w:val="21"/>
              </w:rPr>
            </w:pPr>
          </w:p>
        </w:tc>
        <w:tc>
          <w:tcPr>
            <w:tcW w:w="1479" w:type="dxa"/>
            <w:noWrap w:val="0"/>
            <w:vAlign w:val="center"/>
          </w:tcPr>
          <w:p w14:paraId="4C810411">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监督检查结果处理</w:t>
            </w:r>
          </w:p>
        </w:tc>
        <w:tc>
          <w:tcPr>
            <w:tcW w:w="5242" w:type="dxa"/>
            <w:noWrap w:val="0"/>
            <w:vAlign w:val="center"/>
          </w:tcPr>
          <w:p w14:paraId="4C8E6D24">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监督检查结论，对符合要求的获证产品出具《“圳品”监督检查结论告知书》；由“圳品”技术机构反馈至“圳品”获证组织。根据《“圳品”监督检查结论告知书》，对于符合暂停情形的产品依制度报送有关情况并提请启动暂停工作流程。对符合《供深食品标准工作委员会“圳品”退出工作制度（试行）》规定退出情形的产品，提请供深食品标准工作委员会审议，通过审议后，履行退出处理程序。整理监督结论，形成“圳品”评价证书状态建议表。</w:t>
            </w:r>
          </w:p>
        </w:tc>
      </w:tr>
      <w:tr w14:paraId="44ED6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849" w:type="dxa"/>
            <w:vMerge w:val="continue"/>
            <w:noWrap w:val="0"/>
            <w:vAlign w:val="center"/>
          </w:tcPr>
          <w:p w14:paraId="7CE538A1">
            <w:pPr>
              <w:snapToGrid w:val="0"/>
              <w:spacing w:line="560" w:lineRule="exact"/>
              <w:jc w:val="center"/>
              <w:rPr>
                <w:rFonts w:hint="eastAsia" w:asciiTheme="minorEastAsia" w:hAnsiTheme="minorEastAsia" w:eastAsiaTheme="minorEastAsia" w:cstheme="minorEastAsia"/>
                <w:sz w:val="21"/>
                <w:szCs w:val="21"/>
              </w:rPr>
            </w:pPr>
          </w:p>
        </w:tc>
        <w:tc>
          <w:tcPr>
            <w:tcW w:w="1479" w:type="dxa"/>
            <w:vMerge w:val="continue"/>
            <w:noWrap w:val="0"/>
            <w:vAlign w:val="center"/>
          </w:tcPr>
          <w:p w14:paraId="05ADA27C">
            <w:pPr>
              <w:snapToGrid w:val="0"/>
              <w:spacing w:line="560" w:lineRule="exact"/>
              <w:jc w:val="center"/>
              <w:rPr>
                <w:rFonts w:hint="eastAsia" w:asciiTheme="minorEastAsia" w:hAnsiTheme="minorEastAsia" w:eastAsiaTheme="minorEastAsia" w:cstheme="minorEastAsia"/>
                <w:sz w:val="21"/>
                <w:szCs w:val="21"/>
              </w:rPr>
            </w:pPr>
          </w:p>
        </w:tc>
        <w:tc>
          <w:tcPr>
            <w:tcW w:w="1479" w:type="dxa"/>
            <w:noWrap w:val="0"/>
            <w:vAlign w:val="center"/>
          </w:tcPr>
          <w:p w14:paraId="36585D1E">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监督检查档案整理</w:t>
            </w:r>
          </w:p>
        </w:tc>
        <w:tc>
          <w:tcPr>
            <w:tcW w:w="5242" w:type="dxa"/>
            <w:noWrap w:val="0"/>
            <w:vAlign w:val="center"/>
          </w:tcPr>
          <w:p w14:paraId="2DD54681">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按照“圳品”档案管理等要求，对监督检查过程中生成的档案及相关资料进行收集、归档，以应对各类核查。对档案电子版和纸质版进行编号，便于追溯查询。档案保存时限不少于3年。</w:t>
            </w:r>
          </w:p>
        </w:tc>
      </w:tr>
      <w:tr w14:paraId="741C9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noWrap w:val="0"/>
            <w:vAlign w:val="center"/>
          </w:tcPr>
          <w:p w14:paraId="000C9E23">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1479" w:type="dxa"/>
            <w:noWrap w:val="0"/>
            <w:vAlign w:val="center"/>
          </w:tcPr>
          <w:p w14:paraId="637AB8E0">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完善“圳品”全链条数据管理体系</w:t>
            </w:r>
          </w:p>
        </w:tc>
        <w:tc>
          <w:tcPr>
            <w:tcW w:w="1479" w:type="dxa"/>
            <w:noWrap w:val="0"/>
            <w:vAlign w:val="center"/>
          </w:tcPr>
          <w:p w14:paraId="4899B9F6">
            <w:pPr>
              <w:snapToGrid w:val="0"/>
              <w:spacing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242" w:type="dxa"/>
            <w:noWrap w:val="0"/>
            <w:vAlign w:val="center"/>
          </w:tcPr>
          <w:p w14:paraId="183F8D09">
            <w:pPr>
              <w:snapToGrid w:val="0"/>
              <w:spacing w:line="4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展“圳品”申报、评价、监督信息处理，保障技术支持，提供数据接口、系统填报、Excel数据导入等多样化的采集方式，归集“圳品”追溯数据。加强“圳品”追溯信息化应用，针对“圳品”企业开展信息化追溯技术辅导，并跟进国内外食品追溯最新动态，采集“圳品”全链条台账数据不少于80万条，完善“圳品”从生产到流通到终端消费的全链条追溯体系。强化可追溯性在全链条环节的综合应用，实现“圳品”来源可查、去向可追，完成不少于10个“圳品”追溯应用案例，形成“圳品”全链条数据与溯源管理工作总结报告。</w:t>
            </w:r>
          </w:p>
        </w:tc>
      </w:tr>
    </w:tbl>
    <w:p w14:paraId="612C8F29">
      <w:pPr>
        <w:widowControl/>
        <w:jc w:val="left"/>
        <w:rPr>
          <w:rFonts w:ascii="宋体" w:hAnsi="宋体"/>
          <w:b/>
          <w:szCs w:val="21"/>
        </w:rPr>
      </w:pPr>
      <w:r>
        <w:rPr>
          <w:bCs/>
          <w:szCs w:val="21"/>
        </w:rPr>
        <w:br w:type="page"/>
      </w:r>
    </w:p>
    <w:p w14:paraId="2B560A7D">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636B4D40">
      <w:pPr>
        <w:spacing w:line="240" w:lineRule="atLeast"/>
        <w:rPr>
          <w:rFonts w:ascii="宋体" w:hAnsi="宋体"/>
          <w:b/>
          <w:szCs w:val="21"/>
        </w:rPr>
      </w:pPr>
      <w:r>
        <w:rPr>
          <w:rFonts w:hint="eastAsia" w:ascii="宋体" w:hAnsi="宋体"/>
          <w:b/>
          <w:szCs w:val="21"/>
        </w:rPr>
        <w:t>采购人名称：                       联系人及电话：</w:t>
      </w:r>
    </w:p>
    <w:p w14:paraId="59D16232">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2474B7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45329A73">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1DB8195A">
            <w:pPr>
              <w:spacing w:line="240" w:lineRule="atLeast"/>
              <w:jc w:val="center"/>
              <w:rPr>
                <w:rFonts w:ascii="宋体" w:hAnsi="宋体"/>
                <w:szCs w:val="21"/>
              </w:rPr>
            </w:pPr>
          </w:p>
        </w:tc>
        <w:tc>
          <w:tcPr>
            <w:tcW w:w="1980" w:type="dxa"/>
            <w:vAlign w:val="center"/>
          </w:tcPr>
          <w:p w14:paraId="77615645">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190518F4">
            <w:pPr>
              <w:spacing w:line="240" w:lineRule="atLeast"/>
              <w:jc w:val="center"/>
              <w:rPr>
                <w:rFonts w:ascii="宋体" w:hAnsi="宋体"/>
                <w:szCs w:val="21"/>
              </w:rPr>
            </w:pPr>
          </w:p>
        </w:tc>
      </w:tr>
      <w:tr w14:paraId="7AAE8C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5FCADD3F">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0C96782B">
            <w:pPr>
              <w:spacing w:line="240" w:lineRule="atLeast"/>
              <w:jc w:val="center"/>
              <w:rPr>
                <w:rFonts w:ascii="宋体" w:hAnsi="宋体"/>
                <w:szCs w:val="21"/>
              </w:rPr>
            </w:pPr>
          </w:p>
        </w:tc>
        <w:tc>
          <w:tcPr>
            <w:tcW w:w="1980" w:type="dxa"/>
            <w:vAlign w:val="center"/>
          </w:tcPr>
          <w:p w14:paraId="57B4C207">
            <w:pPr>
              <w:spacing w:line="240" w:lineRule="atLeast"/>
              <w:jc w:val="center"/>
              <w:rPr>
                <w:rFonts w:ascii="宋体" w:hAnsi="宋体"/>
                <w:szCs w:val="21"/>
              </w:rPr>
            </w:pPr>
            <w:r>
              <w:rPr>
                <w:rFonts w:hint="eastAsia" w:ascii="宋体" w:hAnsi="宋体"/>
                <w:szCs w:val="21"/>
              </w:rPr>
              <w:t>供应商</w:t>
            </w:r>
          </w:p>
          <w:p w14:paraId="02C5BDB4">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226B0E87">
            <w:pPr>
              <w:spacing w:line="240" w:lineRule="atLeast"/>
              <w:jc w:val="center"/>
              <w:rPr>
                <w:rFonts w:ascii="宋体" w:hAnsi="宋体"/>
                <w:szCs w:val="21"/>
              </w:rPr>
            </w:pPr>
          </w:p>
        </w:tc>
      </w:tr>
      <w:tr w14:paraId="61C874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5D009E73">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478B4F66">
            <w:pPr>
              <w:spacing w:line="240" w:lineRule="atLeast"/>
              <w:jc w:val="center"/>
              <w:rPr>
                <w:rFonts w:ascii="宋体" w:hAnsi="宋体"/>
                <w:szCs w:val="21"/>
              </w:rPr>
            </w:pPr>
          </w:p>
        </w:tc>
        <w:tc>
          <w:tcPr>
            <w:tcW w:w="1980" w:type="dxa"/>
            <w:vAlign w:val="center"/>
          </w:tcPr>
          <w:p w14:paraId="5E9BFB3A">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22BA939B">
            <w:pPr>
              <w:spacing w:line="240" w:lineRule="atLeast"/>
              <w:rPr>
                <w:rFonts w:ascii="宋体" w:hAnsi="宋体"/>
                <w:szCs w:val="21"/>
              </w:rPr>
            </w:pPr>
            <w:r>
              <w:rPr>
                <w:rFonts w:hint="eastAsia" w:ascii="宋体" w:hAnsi="宋体"/>
                <w:szCs w:val="21"/>
              </w:rPr>
              <w:t>自       至</w:t>
            </w:r>
          </w:p>
        </w:tc>
      </w:tr>
      <w:tr w14:paraId="483D2C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5FF15ED1">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4E5624B0">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20EA52FB">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07F9C7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AB284CA">
            <w:pPr>
              <w:spacing w:line="240" w:lineRule="atLeast"/>
              <w:jc w:val="center"/>
              <w:rPr>
                <w:rFonts w:ascii="宋体" w:hAnsi="宋体"/>
                <w:szCs w:val="21"/>
              </w:rPr>
            </w:pPr>
          </w:p>
        </w:tc>
        <w:tc>
          <w:tcPr>
            <w:tcW w:w="720" w:type="dxa"/>
            <w:vMerge w:val="restart"/>
            <w:tcBorders>
              <w:right w:val="single" w:color="auto" w:sz="4" w:space="0"/>
            </w:tcBorders>
            <w:vAlign w:val="center"/>
          </w:tcPr>
          <w:p w14:paraId="453252F4">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4913A4AB">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00CC63CD">
            <w:pPr>
              <w:spacing w:line="240" w:lineRule="atLeast"/>
              <w:jc w:val="center"/>
              <w:rPr>
                <w:rFonts w:ascii="宋体" w:hAnsi="宋体"/>
                <w:szCs w:val="21"/>
              </w:rPr>
            </w:pPr>
            <w:r>
              <w:rPr>
                <w:rFonts w:hint="eastAsia" w:ascii="宋体" w:hAnsi="宋体"/>
                <w:szCs w:val="21"/>
              </w:rPr>
              <w:t xml:space="preserve"> □ 优          □ 良          □ 中           □ 差</w:t>
            </w:r>
          </w:p>
        </w:tc>
      </w:tr>
      <w:tr w14:paraId="3514CD4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5C576A5">
            <w:pPr>
              <w:spacing w:line="240" w:lineRule="atLeast"/>
              <w:jc w:val="center"/>
              <w:rPr>
                <w:rFonts w:ascii="宋体" w:hAnsi="宋体"/>
                <w:szCs w:val="21"/>
              </w:rPr>
            </w:pPr>
          </w:p>
        </w:tc>
        <w:tc>
          <w:tcPr>
            <w:tcW w:w="720" w:type="dxa"/>
            <w:vMerge w:val="continue"/>
            <w:tcBorders>
              <w:right w:val="single" w:color="auto" w:sz="4" w:space="0"/>
            </w:tcBorders>
            <w:vAlign w:val="center"/>
          </w:tcPr>
          <w:p w14:paraId="094CE00C">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6FAAE94D">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2883F7AC">
            <w:pPr>
              <w:spacing w:line="240" w:lineRule="atLeast"/>
              <w:jc w:val="center"/>
              <w:rPr>
                <w:rFonts w:ascii="宋体" w:hAnsi="宋体"/>
                <w:szCs w:val="21"/>
              </w:rPr>
            </w:pPr>
            <w:r>
              <w:rPr>
                <w:rFonts w:hint="eastAsia" w:ascii="宋体" w:hAnsi="宋体"/>
                <w:szCs w:val="21"/>
              </w:rPr>
              <w:t xml:space="preserve"> □ 优          □ 良          □ 中           □ 差</w:t>
            </w:r>
          </w:p>
        </w:tc>
      </w:tr>
      <w:tr w14:paraId="7D87B5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1CBE5A3">
            <w:pPr>
              <w:spacing w:line="240" w:lineRule="atLeast"/>
              <w:jc w:val="center"/>
              <w:rPr>
                <w:rFonts w:ascii="宋体" w:hAnsi="宋体"/>
                <w:szCs w:val="21"/>
              </w:rPr>
            </w:pPr>
          </w:p>
        </w:tc>
        <w:tc>
          <w:tcPr>
            <w:tcW w:w="720" w:type="dxa"/>
            <w:vMerge w:val="continue"/>
            <w:tcBorders>
              <w:right w:val="single" w:color="auto" w:sz="4" w:space="0"/>
            </w:tcBorders>
            <w:vAlign w:val="center"/>
          </w:tcPr>
          <w:p w14:paraId="4F706AC7">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4541826">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2E1B8932">
            <w:pPr>
              <w:spacing w:line="240" w:lineRule="atLeast"/>
              <w:jc w:val="center"/>
              <w:rPr>
                <w:rFonts w:ascii="宋体" w:hAnsi="宋体"/>
                <w:szCs w:val="21"/>
              </w:rPr>
            </w:pPr>
            <w:r>
              <w:rPr>
                <w:rFonts w:hint="eastAsia" w:ascii="宋体" w:hAnsi="宋体"/>
                <w:szCs w:val="21"/>
              </w:rPr>
              <w:t xml:space="preserve"> □ 优          □ 良          □ 中           □ 差</w:t>
            </w:r>
          </w:p>
        </w:tc>
      </w:tr>
      <w:tr w14:paraId="71DE00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57B8238">
            <w:pPr>
              <w:spacing w:line="240" w:lineRule="atLeast"/>
              <w:jc w:val="center"/>
              <w:rPr>
                <w:rFonts w:ascii="宋体" w:hAnsi="宋体"/>
                <w:szCs w:val="21"/>
              </w:rPr>
            </w:pPr>
          </w:p>
        </w:tc>
        <w:tc>
          <w:tcPr>
            <w:tcW w:w="720" w:type="dxa"/>
            <w:vMerge w:val="continue"/>
            <w:tcBorders>
              <w:right w:val="single" w:color="auto" w:sz="4" w:space="0"/>
            </w:tcBorders>
            <w:vAlign w:val="center"/>
          </w:tcPr>
          <w:p w14:paraId="39EDC40F">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2A4983F">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04DD1BDE">
            <w:pPr>
              <w:spacing w:line="240" w:lineRule="atLeast"/>
              <w:jc w:val="center"/>
              <w:rPr>
                <w:rFonts w:ascii="宋体" w:hAnsi="宋体"/>
                <w:szCs w:val="21"/>
              </w:rPr>
            </w:pPr>
            <w:r>
              <w:rPr>
                <w:rFonts w:hint="eastAsia" w:ascii="宋体" w:hAnsi="宋体"/>
                <w:szCs w:val="21"/>
              </w:rPr>
              <w:t xml:space="preserve"> □ 优          □ 良          □ 中           □ 差</w:t>
            </w:r>
          </w:p>
        </w:tc>
      </w:tr>
      <w:tr w14:paraId="3E1886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E601484">
            <w:pPr>
              <w:spacing w:line="240" w:lineRule="atLeast"/>
              <w:jc w:val="center"/>
              <w:rPr>
                <w:rFonts w:ascii="宋体" w:hAnsi="宋体"/>
                <w:szCs w:val="21"/>
              </w:rPr>
            </w:pPr>
          </w:p>
        </w:tc>
        <w:tc>
          <w:tcPr>
            <w:tcW w:w="720" w:type="dxa"/>
            <w:vMerge w:val="continue"/>
            <w:tcBorders>
              <w:right w:val="single" w:color="auto" w:sz="4" w:space="0"/>
            </w:tcBorders>
            <w:vAlign w:val="center"/>
          </w:tcPr>
          <w:p w14:paraId="03D99A73">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53DC93F">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1EBD70F5">
            <w:pPr>
              <w:spacing w:line="240" w:lineRule="atLeast"/>
              <w:jc w:val="center"/>
              <w:rPr>
                <w:rFonts w:ascii="宋体" w:hAnsi="宋体"/>
                <w:szCs w:val="21"/>
              </w:rPr>
            </w:pPr>
            <w:r>
              <w:rPr>
                <w:rFonts w:hint="eastAsia" w:ascii="宋体" w:hAnsi="宋体"/>
                <w:szCs w:val="21"/>
              </w:rPr>
              <w:t xml:space="preserve"> □ 优          □ 良          □ 中           □ 差</w:t>
            </w:r>
          </w:p>
        </w:tc>
      </w:tr>
      <w:tr w14:paraId="0A0059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7BE90246">
            <w:pPr>
              <w:spacing w:line="240" w:lineRule="atLeast"/>
              <w:jc w:val="center"/>
              <w:rPr>
                <w:rFonts w:ascii="宋体" w:hAnsi="宋体"/>
                <w:szCs w:val="21"/>
              </w:rPr>
            </w:pPr>
          </w:p>
        </w:tc>
        <w:tc>
          <w:tcPr>
            <w:tcW w:w="720" w:type="dxa"/>
            <w:vMerge w:val="continue"/>
            <w:tcBorders>
              <w:right w:val="single" w:color="auto" w:sz="4" w:space="0"/>
            </w:tcBorders>
            <w:vAlign w:val="center"/>
          </w:tcPr>
          <w:p w14:paraId="40119A81">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56D26A3">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1B839F8C">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3BFE9435">
            <w:pPr>
              <w:spacing w:beforeLines="50" w:afterLines="50" w:line="240" w:lineRule="atLeast"/>
              <w:rPr>
                <w:rFonts w:ascii="宋体" w:hAnsi="宋体"/>
                <w:szCs w:val="21"/>
              </w:rPr>
            </w:pPr>
            <w:r>
              <w:rPr>
                <w:rFonts w:hint="eastAsia" w:ascii="宋体" w:hAnsi="宋体"/>
                <w:szCs w:val="21"/>
              </w:rPr>
              <w:t>评价等级为：  □ 优       □ 良        □ 中         □ 差</w:t>
            </w:r>
          </w:p>
        </w:tc>
      </w:tr>
      <w:tr w14:paraId="2C8D14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23FA3816">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297F394A">
            <w:pPr>
              <w:spacing w:line="240" w:lineRule="atLeast"/>
              <w:rPr>
                <w:rFonts w:ascii="宋体" w:hAnsi="宋体"/>
                <w:szCs w:val="21"/>
              </w:rPr>
            </w:pPr>
          </w:p>
          <w:p w14:paraId="62B89C98">
            <w:pPr>
              <w:spacing w:line="240" w:lineRule="atLeast"/>
              <w:rPr>
                <w:rFonts w:ascii="宋体" w:hAnsi="宋体"/>
                <w:szCs w:val="21"/>
              </w:rPr>
            </w:pPr>
          </w:p>
          <w:p w14:paraId="6916AD55">
            <w:pPr>
              <w:spacing w:line="240" w:lineRule="atLeast"/>
              <w:rPr>
                <w:rFonts w:ascii="宋体" w:hAnsi="宋体"/>
                <w:szCs w:val="21"/>
              </w:rPr>
            </w:pPr>
          </w:p>
          <w:p w14:paraId="70DD4F8F">
            <w:pPr>
              <w:spacing w:line="240" w:lineRule="atLeast"/>
              <w:rPr>
                <w:rFonts w:ascii="宋体" w:hAnsi="宋体"/>
                <w:szCs w:val="21"/>
              </w:rPr>
            </w:pPr>
          </w:p>
          <w:p w14:paraId="492A92F5">
            <w:pPr>
              <w:spacing w:line="240" w:lineRule="atLeast"/>
              <w:rPr>
                <w:rFonts w:ascii="宋体" w:hAnsi="宋体"/>
                <w:szCs w:val="21"/>
              </w:rPr>
            </w:pPr>
          </w:p>
          <w:p w14:paraId="2C7EE866">
            <w:pPr>
              <w:spacing w:line="240" w:lineRule="atLeast"/>
              <w:rPr>
                <w:rFonts w:ascii="宋体" w:hAnsi="宋体"/>
                <w:szCs w:val="21"/>
              </w:rPr>
            </w:pPr>
          </w:p>
          <w:p w14:paraId="0FCBB159">
            <w:pPr>
              <w:spacing w:line="240" w:lineRule="atLeast"/>
              <w:rPr>
                <w:rFonts w:ascii="宋体" w:hAnsi="宋体"/>
                <w:szCs w:val="21"/>
              </w:rPr>
            </w:pPr>
          </w:p>
          <w:p w14:paraId="7ACA2E97">
            <w:pPr>
              <w:spacing w:line="240" w:lineRule="atLeast"/>
              <w:rPr>
                <w:rFonts w:ascii="宋体" w:hAnsi="宋体"/>
                <w:szCs w:val="21"/>
              </w:rPr>
            </w:pPr>
          </w:p>
        </w:tc>
      </w:tr>
      <w:tr w14:paraId="50DB73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07727D77">
            <w:pPr>
              <w:spacing w:line="240" w:lineRule="atLeast"/>
              <w:jc w:val="center"/>
              <w:rPr>
                <w:rFonts w:ascii="宋体" w:hAnsi="宋体"/>
                <w:szCs w:val="21"/>
              </w:rPr>
            </w:pPr>
            <w:r>
              <w:rPr>
                <w:rFonts w:hint="eastAsia" w:ascii="宋体" w:hAnsi="宋体"/>
                <w:szCs w:val="21"/>
              </w:rPr>
              <w:t>采购人意见</w:t>
            </w:r>
          </w:p>
          <w:p w14:paraId="72133A30">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444ED1B3">
            <w:pPr>
              <w:spacing w:line="240" w:lineRule="atLeast"/>
              <w:rPr>
                <w:rFonts w:ascii="宋体" w:hAnsi="宋体"/>
                <w:szCs w:val="21"/>
              </w:rPr>
            </w:pPr>
          </w:p>
          <w:p w14:paraId="07BD5378">
            <w:pPr>
              <w:spacing w:line="240" w:lineRule="atLeast"/>
              <w:rPr>
                <w:rFonts w:ascii="宋体" w:hAnsi="宋体"/>
                <w:szCs w:val="21"/>
              </w:rPr>
            </w:pPr>
            <w:r>
              <w:rPr>
                <w:rFonts w:hint="eastAsia" w:ascii="宋体" w:hAnsi="宋体"/>
                <w:szCs w:val="21"/>
              </w:rPr>
              <w:t xml:space="preserve">                                        </w:t>
            </w:r>
          </w:p>
          <w:p w14:paraId="1007B101">
            <w:pPr>
              <w:spacing w:line="240" w:lineRule="atLeast"/>
              <w:ind w:firstLine="3780" w:firstLineChars="1800"/>
              <w:rPr>
                <w:rFonts w:ascii="宋体" w:hAnsi="宋体"/>
                <w:szCs w:val="21"/>
              </w:rPr>
            </w:pPr>
          </w:p>
          <w:p w14:paraId="1788A0A4">
            <w:pPr>
              <w:spacing w:line="240" w:lineRule="atLeast"/>
              <w:ind w:firstLine="3780" w:firstLineChars="1800"/>
              <w:rPr>
                <w:rFonts w:ascii="宋体" w:hAnsi="宋体"/>
                <w:szCs w:val="21"/>
              </w:rPr>
            </w:pPr>
            <w:r>
              <w:rPr>
                <w:rFonts w:hint="eastAsia" w:ascii="宋体" w:hAnsi="宋体"/>
                <w:szCs w:val="21"/>
              </w:rPr>
              <w:t>日期：   年   月   日</w:t>
            </w:r>
          </w:p>
        </w:tc>
      </w:tr>
    </w:tbl>
    <w:p w14:paraId="0F6EDB5C">
      <w:pPr>
        <w:spacing w:line="240" w:lineRule="atLeast"/>
        <w:rPr>
          <w:rFonts w:ascii="宋体" w:hAnsi="宋体"/>
          <w:szCs w:val="21"/>
        </w:rPr>
      </w:pPr>
      <w:r>
        <w:rPr>
          <w:rFonts w:hint="eastAsia" w:ascii="宋体" w:hAnsi="宋体"/>
          <w:szCs w:val="21"/>
        </w:rPr>
        <w:t>说明：</w:t>
      </w:r>
    </w:p>
    <w:p w14:paraId="5BAB8757">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7CDBC3CF">
      <w:pPr>
        <w:spacing w:line="240" w:lineRule="atLeast"/>
        <w:rPr>
          <w:rFonts w:ascii="宋体" w:hAnsi="宋体"/>
          <w:szCs w:val="21"/>
        </w:rPr>
        <w:sectPr>
          <w:footerReference r:id="rId3"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786140EA">
      <w:pPr>
        <w:jc w:val="center"/>
        <w:rPr>
          <w:rFonts w:ascii="宋体" w:hAnsi="宋体"/>
          <w:b/>
          <w:bCs/>
          <w:kern w:val="0"/>
          <w:sz w:val="24"/>
          <w:szCs w:val="20"/>
        </w:rPr>
      </w:pPr>
      <w:r>
        <w:rPr>
          <w:rFonts w:hint="eastAsia" w:ascii="宋体" w:hAnsi="宋体"/>
          <w:b/>
          <w:bCs/>
          <w:kern w:val="0"/>
          <w:sz w:val="24"/>
          <w:szCs w:val="20"/>
        </w:rPr>
        <w:t>第五章  附件</w:t>
      </w:r>
    </w:p>
    <w:p w14:paraId="5AF19A8B">
      <w:pPr>
        <w:jc w:val="center"/>
        <w:rPr>
          <w:rFonts w:ascii="宋体" w:hAnsi="宋体"/>
          <w:b/>
          <w:bCs/>
          <w:kern w:val="0"/>
          <w:sz w:val="24"/>
          <w:szCs w:val="20"/>
        </w:rPr>
      </w:pPr>
    </w:p>
    <w:p w14:paraId="4C75582F">
      <w:pPr>
        <w:pStyle w:val="3"/>
        <w:spacing w:before="0" w:after="0"/>
        <w:jc w:val="center"/>
      </w:pPr>
      <w:bookmarkStart w:id="19" w:name="_Toc73613644"/>
      <w:bookmarkStart w:id="20" w:name="_Toc73610162"/>
      <w:r>
        <w:rPr>
          <w:rFonts w:hint="eastAsia"/>
        </w:rPr>
        <w:t>一、财政部 工业和信息化部关于印发《政府采购促进中小企业发展管理办法》的通知</w:t>
      </w:r>
      <w:bookmarkEnd w:id="19"/>
      <w:bookmarkEnd w:id="20"/>
    </w:p>
    <w:p w14:paraId="41A8C1FE">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14:paraId="3273F07D">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14:paraId="2A1D627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27F4B3D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14:paraId="04DB8F23">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14:paraId="1447179A">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14:paraId="4CBB4F77">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14:paraId="01B42C5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4C1C9E09">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14:paraId="3446B87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780A02DD">
      <w:pPr>
        <w:pStyle w:val="37"/>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14:paraId="69421DF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688783A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14:paraId="280C0EB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3BC7DD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14:paraId="3444D43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14:paraId="5BFD5DB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14:paraId="2919430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14:paraId="5AAF7F8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14:paraId="43B4CDC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14:paraId="6E5BC30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14:paraId="7816AD2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14:paraId="511673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765EB74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2DCD57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14:paraId="0F9867D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14:paraId="2425343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14:paraId="331AA11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14:paraId="35CF293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14:paraId="0D20D38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14:paraId="779194C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14:paraId="746A2EC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14:paraId="3AFF35D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4E745EC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14:paraId="62B2AE0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14:paraId="60B981A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14:paraId="55BAA92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14:paraId="291AB9E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820052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0494DA3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1EFB4AE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401FB4E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BFA55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14:paraId="55CF59A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14:paraId="415A8B8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14:paraId="13E9FF7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14:paraId="10D82E8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14:paraId="2D8AF00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14:paraId="33B9254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14:paraId="722D189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14:paraId="4C34B8A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14:paraId="7C593D6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14:paraId="23A0A0B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2576881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5EDEC5A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02EB47C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14:paraId="4F2F542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0C738EB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274A989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39C165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14:paraId="0E441D8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1655D19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0E5E2A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14:paraId="025CA9F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14:paraId="263E8EC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14:paraId="12ACCC87">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14:paraId="78CD9BD5">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14:paraId="29E3CF5D">
      <w:pPr>
        <w:spacing w:line="360" w:lineRule="auto"/>
        <w:rPr>
          <w:rFonts w:asciiTheme="minorEastAsia" w:hAnsiTheme="minorEastAsia" w:eastAsiaTheme="minorEastAsia"/>
          <w:szCs w:val="21"/>
        </w:rPr>
      </w:pPr>
    </w:p>
    <w:p w14:paraId="3C37A92B">
      <w:pPr>
        <w:pStyle w:val="3"/>
        <w:spacing w:before="0" w:after="0"/>
        <w:jc w:val="center"/>
      </w:pPr>
      <w:bookmarkStart w:id="21" w:name="_Toc73613645"/>
      <w:bookmarkStart w:id="22" w:name="_Toc73610163"/>
      <w:r>
        <w:rPr>
          <w:rFonts w:hint="eastAsia"/>
        </w:rPr>
        <w:t>二、关于印发中小企业划型标准规定的通知</w:t>
      </w:r>
      <w:bookmarkEnd w:id="21"/>
      <w:bookmarkEnd w:id="22"/>
    </w:p>
    <w:p w14:paraId="5836FC33">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14:paraId="717BF8FC">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EF6ECD2">
      <w:pPr>
        <w:pStyle w:val="37"/>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工业和信息化部　国家统计局</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国家发展和改革委员会　财政部</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二○一一年六月十八日</w:t>
      </w:r>
    </w:p>
    <w:p w14:paraId="77B34B40">
      <w:pPr>
        <w:pStyle w:val="37"/>
        <w:shd w:val="clear" w:color="auto" w:fill="FFFFFF"/>
        <w:spacing w:line="360" w:lineRule="auto"/>
        <w:jc w:val="center"/>
        <w:rPr>
          <w:rFonts w:asciiTheme="minorEastAsia" w:hAnsiTheme="minorEastAsia" w:eastAsiaTheme="minorEastAsia"/>
          <w:color w:val="000000"/>
          <w:sz w:val="21"/>
          <w:szCs w:val="21"/>
        </w:rPr>
      </w:pPr>
      <w:r>
        <w:rPr>
          <w:rStyle w:val="45"/>
          <w:rFonts w:hint="eastAsia" w:asciiTheme="minorEastAsia" w:hAnsiTheme="minorEastAsia" w:eastAsiaTheme="minorEastAsia"/>
          <w:color w:val="000000"/>
          <w:sz w:val="21"/>
          <w:szCs w:val="21"/>
        </w:rPr>
        <w:t>中小企业划型标准规定</w:t>
      </w:r>
    </w:p>
    <w:p w14:paraId="09968051">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四、各行业划型标准为：</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五、企业类型的划分以统计部门的统计数据为依据。</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九、本规定由工业和信息化部、国家统计局会同有关部门负责解释。</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14:paraId="69E7667C">
      <w:pPr>
        <w:pStyle w:val="37"/>
        <w:shd w:val="clear" w:color="auto" w:fill="FFFFFF"/>
        <w:spacing w:line="360" w:lineRule="auto"/>
        <w:rPr>
          <w:rFonts w:asciiTheme="minorEastAsia" w:hAnsiTheme="minorEastAsia" w:eastAsiaTheme="minorEastAsia"/>
          <w:color w:val="000000"/>
          <w:sz w:val="21"/>
          <w:szCs w:val="21"/>
        </w:rPr>
      </w:pPr>
    </w:p>
    <w:p w14:paraId="1B8FBD2C">
      <w:pPr>
        <w:pStyle w:val="3"/>
        <w:spacing w:before="0" w:after="0"/>
        <w:jc w:val="center"/>
        <w:rPr>
          <w:rFonts w:asciiTheme="minorEastAsia" w:hAnsiTheme="minorEastAsia" w:eastAsiaTheme="minorEastAsia"/>
        </w:rPr>
      </w:pPr>
      <w:bookmarkStart w:id="23" w:name="_Toc73610164"/>
      <w:bookmarkStart w:id="24" w:name="_Toc73613646"/>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3"/>
      <w:bookmarkEnd w:id="24"/>
      <w:r>
        <w:rPr>
          <w:rFonts w:asciiTheme="minorEastAsia" w:hAnsiTheme="minorEastAsia" w:eastAsiaTheme="minorEastAsia"/>
          <w:bCs w:val="0"/>
        </w:rPr>
        <w:t> </w:t>
      </w:r>
    </w:p>
    <w:p w14:paraId="0FB64294">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14AD6BF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76C60E0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60D3DA3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8019A56">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88104F2">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266F6994">
      <w:pPr>
        <w:widowControl/>
        <w:spacing w:line="360" w:lineRule="auto"/>
        <w:jc w:val="center"/>
        <w:rPr>
          <w:rFonts w:cs="宋体" w:asciiTheme="minorEastAsia" w:hAnsiTheme="minorEastAsia" w:eastAsiaTheme="minorEastAsia"/>
          <w:b/>
          <w:bCs/>
          <w:kern w:val="0"/>
          <w:szCs w:val="21"/>
        </w:rPr>
      </w:pPr>
    </w:p>
    <w:p w14:paraId="48F77017">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C748B47">
      <w:pPr>
        <w:widowControl/>
        <w:spacing w:line="360" w:lineRule="auto"/>
        <w:jc w:val="left"/>
        <w:rPr>
          <w:rFonts w:cs="宋体" w:asciiTheme="minorEastAsia" w:hAnsiTheme="minorEastAsia" w:eastAsiaTheme="minorEastAsia"/>
          <w:kern w:val="0"/>
          <w:szCs w:val="21"/>
        </w:rPr>
      </w:pPr>
    </w:p>
    <w:p w14:paraId="2E7711BB">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356018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706C793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7DD1AF9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5AE801F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70EE15FA">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503E7CD8">
      <w:pPr>
        <w:widowControl/>
        <w:spacing w:line="360" w:lineRule="auto"/>
        <w:jc w:val="left"/>
        <w:rPr>
          <w:rFonts w:cs="宋体" w:asciiTheme="minorEastAsia" w:hAnsiTheme="minorEastAsia" w:eastAsiaTheme="minorEastAsia"/>
          <w:kern w:val="0"/>
          <w:szCs w:val="21"/>
        </w:rPr>
      </w:pPr>
    </w:p>
    <w:p w14:paraId="2F6B3A88">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332F30D">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6AA1DB49">
      <w:pPr>
        <w:widowControl/>
        <w:spacing w:line="360" w:lineRule="auto"/>
        <w:jc w:val="left"/>
        <w:rPr>
          <w:rFonts w:cs="宋体" w:asciiTheme="minorEastAsia" w:hAnsiTheme="minorEastAsia" w:eastAsiaTheme="minorEastAsia"/>
          <w:kern w:val="0"/>
          <w:szCs w:val="21"/>
        </w:rPr>
      </w:pPr>
    </w:p>
    <w:p w14:paraId="0BC8433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5CB38B9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B64F3C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648D198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5C4FFC5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6FC56A1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4C01BB39">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409DF568">
      <w:pPr>
        <w:widowControl/>
        <w:spacing w:line="360" w:lineRule="auto"/>
        <w:jc w:val="left"/>
        <w:rPr>
          <w:rFonts w:cs="宋体" w:asciiTheme="minorEastAsia" w:hAnsiTheme="minorEastAsia" w:eastAsiaTheme="minorEastAsia"/>
          <w:kern w:val="0"/>
          <w:szCs w:val="21"/>
        </w:rPr>
      </w:pPr>
    </w:p>
    <w:p w14:paraId="2851B57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0859B152">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7C10DECE">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8783337">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5BAE7D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1ECE824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58E668E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A37EB0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559FD32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691DFEC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166BC528">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3FE06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67D8517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ED27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C46476F">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6F0BBB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FA71AE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2EA12404">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7F916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CEF328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6D8051B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6C809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BFF75C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392E82F">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55CBE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49AF1EA">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BB2C9D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8D77A0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4C454F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7D1C28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2C79DB">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EB482B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3C0EACF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6A45DD6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5AAB45E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9B6419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2F5A221D">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09C6EC7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1BF78E3">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25213AC3">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F8172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452D2669">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A106E4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2606BC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5B2392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4C0BBDD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C1331A0">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528CBC0">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52850E4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2D938B31">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2150CAF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75C98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5CD096C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91268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F903DC6">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2E131AA">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55090CE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0B4D28E6">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51B0E90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127A7D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311C39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2058C9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3B42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A353E0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39B80136">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65F814B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02D34C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FEBA29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603E552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4327B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0C9C46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200D58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2585DC9F">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139069D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3CE770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535905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A56B4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594F6B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09A1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279CA7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B491E1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63EC557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F735BC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ED203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376C08F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4ADB42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F372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B4F2068">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6B513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C2650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CE7451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317E9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CDD37E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6D589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9D1B61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D6B01AD">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01356CB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184082F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0041FB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159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0B9BC6A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E4EA4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D13DDB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C25CA3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6EE09DA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4E3B1159">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ACBACD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4C2283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3D3F40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BC683C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FE6E242">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0C1C396">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36455B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7DAC6C4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D39884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A241A8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0E9F126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80BA15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4B5E59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7D0841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1C13C2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237F5C3">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DD10AA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30E62D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3F0E2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B356DC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964196B">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341CA0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415200E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1E8E5F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1A0C2D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7E4829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A17CA6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C346CE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4A9D1F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040D1B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7E98F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076EACE">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443D86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87E0D4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DB3B9A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45CFD5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519CC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2E6353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30B1FE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93A1CA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5D3811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26E8C2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5CDC1F8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60EBA1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5E278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4A8C0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ACA57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BDF175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338EE5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B8E97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BD0FF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03F819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C59F6C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1FA1D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2EF1292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CE04C3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B89682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908FF9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31AEF6F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9DF6E6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C2AD1F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30D1DE5">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5ECE46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E3FBB7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95166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52758A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B17020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6357F7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95F3C3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2CD401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40EF01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33204D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5B6A1B8">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C09F8C3">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5FEC8B3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74DAF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B37C9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8E1EE4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1A5C52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2BEF1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4DF3CE5">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501B0F61">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7C6E41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F63D68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FE8557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06B00F2">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2BF31E7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29A73E0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7F56798E">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C9F6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103B2A6C">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A1A6A0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4EE9270">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79013EB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0CDD3B9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28C6F4D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29B6E8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27F6F14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794CB0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506A7A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FC9BAA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0A0AC0B">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78DBCCD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30C14F55">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483EA5CF">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122055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3F6391A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82FFB1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66623B2">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0D02DC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713BD6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27A0E419">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31EFF22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61B9E2E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B258A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36736D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0B96CD0">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1389B99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0D0A9C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410D9A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02E61D4">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84E342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2235E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5C2BB6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6E1BD3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3830252">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C2745F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30C613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74F959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CD4D72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D5C48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E9E531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DD9FBF5">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9BF81C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2F6369B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A5E3ADE">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71CFDBA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60263CD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234708C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483DEBC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194E3279">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72DB67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3AF285B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3604E3E1">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27F3F77F">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692B9B5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099D707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5F47177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61075020">
      <w:pPr>
        <w:spacing w:line="360" w:lineRule="auto"/>
        <w:rPr>
          <w:rFonts w:asciiTheme="minorEastAsia" w:hAnsiTheme="minorEastAsia" w:eastAsiaTheme="minorEastAsia"/>
          <w:szCs w:val="21"/>
        </w:rPr>
      </w:pPr>
    </w:p>
    <w:p w14:paraId="3166F3E3">
      <w:pPr>
        <w:pStyle w:val="3"/>
        <w:spacing w:before="0" w:after="0"/>
        <w:jc w:val="center"/>
      </w:pPr>
      <w:bookmarkStart w:id="25" w:name="_Toc73610165"/>
      <w:bookmarkStart w:id="26" w:name="_Toc73613647"/>
      <w:r>
        <w:rPr>
          <w:rFonts w:hint="eastAsia"/>
        </w:rPr>
        <w:t>四、</w:t>
      </w:r>
      <w:r>
        <w:t>财政部 民政部 中国残疾人联合会关于促进残疾人就业 政府采购政策的通知</w:t>
      </w:r>
      <w:bookmarkEnd w:id="25"/>
      <w:bookmarkEnd w:id="26"/>
      <w:r>
        <w:t xml:space="preserve"> </w:t>
      </w:r>
    </w:p>
    <w:p w14:paraId="7BFDB946">
      <w:pPr>
        <w:pStyle w:val="37"/>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14:paraId="16F28E6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1197822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43DE72C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494F16A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7AF91E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6782944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5A4F44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1AB970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50E8D8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0C94BB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21130A9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2F0F09D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178CF15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31CD34A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235FE7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1F5C20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0CFD163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7C0FEF2F">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7748170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48A7F3CE">
      <w:pPr>
        <w:widowControl/>
        <w:spacing w:line="360" w:lineRule="auto"/>
        <w:jc w:val="right"/>
        <w:rPr>
          <w:rFonts w:cs="宋体" w:asciiTheme="minorEastAsia" w:hAnsiTheme="minorEastAsia" w:eastAsiaTheme="minorEastAsia"/>
          <w:kern w:val="0"/>
          <w:szCs w:val="21"/>
        </w:rPr>
      </w:pPr>
    </w:p>
    <w:p w14:paraId="5B9DFE3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0DC05904">
      <w:pPr>
        <w:tabs>
          <w:tab w:val="left" w:pos="1875"/>
        </w:tabs>
      </w:pPr>
    </w:p>
    <w:p w14:paraId="029DE2CA"/>
    <w:p w14:paraId="62B87F86">
      <w:pPr>
        <w:pStyle w:val="3"/>
        <w:spacing w:before="0" w:after="0"/>
        <w:jc w:val="center"/>
      </w:pPr>
      <w:r>
        <w:rPr>
          <w:rFonts w:hint="eastAsia"/>
        </w:rPr>
        <w:t>五、财政部 司法部关于政府采购支持监狱企业发展有关问题的通知</w:t>
      </w:r>
      <w:r>
        <w:t xml:space="preserve"> </w:t>
      </w:r>
    </w:p>
    <w:p w14:paraId="41B3894D">
      <w:pPr>
        <w:widowControl/>
        <w:spacing w:line="360" w:lineRule="auto"/>
        <w:jc w:val="center"/>
        <w:rPr>
          <w:rFonts w:cs="宋体" w:asciiTheme="minorEastAsia" w:hAnsiTheme="minorEastAsia" w:eastAsiaTheme="minorEastAsia"/>
          <w:kern w:val="0"/>
          <w:szCs w:val="21"/>
        </w:rPr>
      </w:pPr>
    </w:p>
    <w:p w14:paraId="69789DEB">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160A76">
      <w:pPr>
        <w:widowControl/>
        <w:spacing w:line="360" w:lineRule="auto"/>
        <w:jc w:val="left"/>
        <w:rPr>
          <w:rFonts w:cs="宋体" w:asciiTheme="minorEastAsia" w:hAnsiTheme="minorEastAsia" w:eastAsiaTheme="minorEastAsia"/>
          <w:kern w:val="0"/>
          <w:szCs w:val="21"/>
        </w:rPr>
      </w:pPr>
    </w:p>
    <w:p w14:paraId="2B19091E">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B82F698">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0E8D592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62F3F89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DFF692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6803755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3D9FA27B">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51D2E13">
      <w:pPr>
        <w:widowControl/>
        <w:spacing w:line="360" w:lineRule="auto"/>
        <w:jc w:val="left"/>
        <w:rPr>
          <w:rFonts w:cs="宋体" w:asciiTheme="minorEastAsia" w:hAnsiTheme="minorEastAsia" w:eastAsiaTheme="minorEastAsia"/>
          <w:kern w:val="0"/>
          <w:szCs w:val="21"/>
        </w:rPr>
      </w:pPr>
    </w:p>
    <w:p w14:paraId="5B08312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6E08BC0B">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2E2657F2">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6BF65DA8">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14:paraId="30086E90">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27" w:name="_Hlk72399513"/>
      <w:r>
        <w:rPr>
          <w:rFonts w:hint="eastAsia" w:asciiTheme="majorEastAsia" w:hAnsiTheme="majorEastAsia" w:eastAsiaTheme="majorEastAsia"/>
          <w:b/>
          <w:bCs/>
          <w:kern w:val="0"/>
          <w:sz w:val="28"/>
          <w:szCs w:val="28"/>
        </w:rPr>
        <w:t>总则</w:t>
      </w:r>
    </w:p>
    <w:bookmarkEnd w:id="27"/>
    <w:p w14:paraId="3BED2F7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14:paraId="489F86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28" w:name="_Hlk72399729"/>
      <w:r>
        <w:rPr>
          <w:rFonts w:hint="eastAsia" w:asciiTheme="majorEastAsia" w:hAnsiTheme="majorEastAsia" w:eastAsiaTheme="majorEastAsia"/>
          <w:szCs w:val="21"/>
        </w:rPr>
        <w:t>如有需要，采购代理机构可以对通用条款的内容进行补充。</w:t>
      </w:r>
      <w:bookmarkEnd w:id="28"/>
    </w:p>
    <w:p w14:paraId="2C779DB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14:paraId="5C769D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14:paraId="61E0D01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14:paraId="08CC21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14:paraId="3C674490">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14:paraId="12F943A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14:paraId="2E0D1D22">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14:paraId="32314D3D">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14:paraId="59E398D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14:paraId="15E64A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14:paraId="05BC79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14:paraId="5ECAD3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14:paraId="03A4BB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14:paraId="6B37143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14:paraId="19C0B06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14:paraId="5373EF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TPBidder/DownLoad/深圳市智慧采购平台投标文件制作专用软件.zip”下载）；</w:t>
      </w:r>
    </w:p>
    <w:p w14:paraId="5B0FB0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14:paraId="4724E7D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14:paraId="0A5F058F">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29" w:name="_Hlk72398643"/>
      <w:r>
        <w:rPr>
          <w:rFonts w:hint="eastAsia" w:asciiTheme="majorEastAsia" w:hAnsiTheme="majorEastAsia" w:eastAsiaTheme="majorEastAsia"/>
          <w:b/>
          <w:bCs/>
          <w:szCs w:val="21"/>
        </w:rPr>
        <w:t>政府采购供应商责任</w:t>
      </w:r>
    </w:p>
    <w:p w14:paraId="48CBB5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14:paraId="052C02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14:paraId="67ADC5C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14:paraId="0EA173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14:paraId="110A362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14:paraId="2E88E6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14:paraId="7217FF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14:paraId="500263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14:paraId="13BD81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14:paraId="5886A09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14:paraId="02D89777">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14:paraId="2E834455">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14:paraId="3442932F">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14:paraId="25FCFC7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14:paraId="4FA91B5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14:paraId="6ABA5329">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14:paraId="6C62FE6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14:paraId="0675584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14:paraId="5CE7FCA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14:paraId="0985060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14:paraId="5670A93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14:paraId="3A5D49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713348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14:paraId="7E7B8E1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14:paraId="75BD63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14:paraId="2848B251">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14:paraId="76749E7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14:paraId="61D9AE9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14:paraId="671FFDE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14:paraId="0A7477A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3AC4A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30"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30"/>
    </w:p>
    <w:p w14:paraId="5EA243C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7671A0B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14:paraId="1BCFF78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14:paraId="7F48BE6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14:paraId="010FCC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14:paraId="76B96779">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14:paraId="6DB56E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6DDACC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14:paraId="58B654E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14:paraId="78A4C8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14:paraId="483F754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14:paraId="097819E5">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14:paraId="672630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57A2D3D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14:paraId="4A4BD0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29"/>
    <w:p w14:paraId="4F957864">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14:paraId="17E39CA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1" w:name="_Hlk72399819"/>
      <w:r>
        <w:rPr>
          <w:rFonts w:hint="eastAsia" w:asciiTheme="majorEastAsia" w:hAnsiTheme="majorEastAsia" w:eastAsiaTheme="majorEastAsia"/>
          <w:b/>
          <w:bCs/>
          <w:szCs w:val="21"/>
        </w:rPr>
        <w:t>招标文件的编制与组成</w:t>
      </w:r>
    </w:p>
    <w:p w14:paraId="181908F7">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14:paraId="78B18CB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14:paraId="4C33CFA5">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14:paraId="795D4521">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14:paraId="4EAFBF8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14:paraId="2AB3AE87">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14:paraId="251C5FD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14:paraId="2101808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14:paraId="65D6AE5E">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14:paraId="051B2583">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14:paraId="61F61BE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14:paraId="12CFB6A9">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14:paraId="1CFB19E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14:paraId="6FA276A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14:paraId="72DAEA2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14:paraId="103125D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14:paraId="6988638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14:paraId="71EFD6D8">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14:paraId="04242E3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14:paraId="4EE3480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14:paraId="7ED647D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14:paraId="6E9090F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173A66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6270E4B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14:paraId="43DE9E4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14:paraId="24F75E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14:paraId="06F657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14:paraId="351687F8">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14:paraId="3E708B0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14:paraId="709ADEB0">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14:paraId="79915C8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3EE5E54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1"/>
    </w:p>
    <w:p w14:paraId="1009A40E">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14:paraId="27500CA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2" w:name="_Hlk72400236"/>
      <w:r>
        <w:rPr>
          <w:rFonts w:hint="eastAsia" w:asciiTheme="majorEastAsia" w:hAnsiTheme="majorEastAsia" w:eastAsiaTheme="majorEastAsia"/>
          <w:b/>
          <w:bCs/>
          <w:szCs w:val="21"/>
        </w:rPr>
        <w:t>投标文件的语言及度量单位</w:t>
      </w:r>
    </w:p>
    <w:p w14:paraId="7B6C05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595B48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2"/>
    <w:p w14:paraId="62738F2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3" w:name="_Hlk72401567"/>
      <w:r>
        <w:rPr>
          <w:rFonts w:hint="eastAsia" w:asciiTheme="majorEastAsia" w:hAnsiTheme="majorEastAsia" w:eastAsiaTheme="majorEastAsia"/>
          <w:b/>
          <w:bCs/>
          <w:szCs w:val="21"/>
        </w:rPr>
        <w:t>投标文件的组成</w:t>
      </w:r>
    </w:p>
    <w:p w14:paraId="36702CD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14:paraId="7BE7A1BC">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14:paraId="08FF9F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投标人提交的投标文件应使用招标文件所提供的相应格式</w:t>
      </w:r>
      <w:r>
        <w:rPr>
          <w:rFonts w:hint="eastAsia" w:asciiTheme="majorEastAsia" w:hAnsiTheme="majorEastAsia" w:eastAsiaTheme="majorEastAsia"/>
          <w:szCs w:val="21"/>
        </w:rPr>
        <w:t>（表格均可按同样格式扩展）。</w:t>
      </w:r>
    </w:p>
    <w:p w14:paraId="613A081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14:paraId="44CD07C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3"/>
    <w:p w14:paraId="5A3A0E7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4" w:name="_Hlk72401735"/>
      <w:r>
        <w:rPr>
          <w:rFonts w:hint="eastAsia" w:asciiTheme="majorEastAsia" w:hAnsiTheme="majorEastAsia" w:eastAsiaTheme="majorEastAsia"/>
          <w:b/>
          <w:bCs/>
          <w:szCs w:val="21"/>
        </w:rPr>
        <w:t>证明投标文件投标技术方案的合格性和符合招标文件规定的文件要求</w:t>
      </w:r>
    </w:p>
    <w:p w14:paraId="266E162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14:paraId="2CC8D10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3849B0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14:paraId="34FA33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14:paraId="2A66D2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0B244B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4F8505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35BA7CB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14:paraId="6E8F299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48473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4"/>
    <w:p w14:paraId="3C8928A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5" w:name="_Hlk72402034"/>
      <w:r>
        <w:rPr>
          <w:rFonts w:hint="eastAsia" w:asciiTheme="majorEastAsia" w:hAnsiTheme="majorEastAsia" w:eastAsiaTheme="majorEastAsia"/>
          <w:b/>
          <w:bCs/>
          <w:szCs w:val="21"/>
        </w:rPr>
        <w:t>投标文件其他证明文件的要求</w:t>
      </w:r>
    </w:p>
    <w:p w14:paraId="7596A47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6" w:name="_Hlk71407299"/>
    </w:p>
    <w:bookmarkEnd w:id="36"/>
    <w:p w14:paraId="404792A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115DAAB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5"/>
    <w:p w14:paraId="5BB8D7BE">
      <w:pPr>
        <w:spacing w:line="360" w:lineRule="auto"/>
        <w:ind w:firstLine="411" w:firstLineChars="196"/>
        <w:rPr>
          <w:rFonts w:asciiTheme="majorEastAsia" w:hAnsiTheme="majorEastAsia" w:eastAsiaTheme="majorEastAsia"/>
          <w:szCs w:val="21"/>
        </w:rPr>
      </w:pPr>
      <w:bookmarkStart w:id="37"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14:paraId="0BCE97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5D8E4A8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37"/>
    <w:p w14:paraId="23213E4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38" w:name="_Hlk72402325"/>
      <w:r>
        <w:rPr>
          <w:rFonts w:hint="eastAsia" w:asciiTheme="majorEastAsia" w:hAnsiTheme="majorEastAsia" w:eastAsiaTheme="majorEastAsia"/>
          <w:szCs w:val="21"/>
        </w:rPr>
        <w:t xml:space="preserve">关于投标保证金 </w:t>
      </w:r>
    </w:p>
    <w:p w14:paraId="5E265D1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14:paraId="085C088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14:paraId="21AFC2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294A3C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38"/>
    <w:p w14:paraId="3BCA160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23．</w:t>
      </w:r>
      <w:bookmarkStart w:id="39"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14:paraId="2AD95E4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w:t>
      </w:r>
    </w:p>
    <w:p w14:paraId="2F2A47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23.2投标人在使用《投标文件制作软件》编制投标书时须注意：</w:t>
      </w:r>
    </w:p>
    <w:p w14:paraId="14861C9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23.2.1导入《投标文件制作软件》的招标文件项目编号、包号应与以此制作的投标文件项目编号、包号一致。例如，不能将甲项目A包的招标书导入《投标文件制作软件》，制作乙项目B包的投标书。</w:t>
      </w:r>
    </w:p>
    <w:p w14:paraId="3C6222F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23.2.2不能用非本公司的电子密钥加密本公司的投标文件，或者用其它公司的登录用户上传本公司的投标文件。</w:t>
      </w:r>
    </w:p>
    <w:p w14:paraId="27E5AC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23.2.3要求用《投标文件制作软件》编制投标书的包，不能用其它方式编制投标书。编制投标文件时，电脑须连通互联网。</w:t>
      </w:r>
    </w:p>
    <w:p w14:paraId="12F68E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23.2.4投标文件不能带病毒。采购代理机构将用专业杀毒软件对投标文件进行病毒检测，如果这两种软件均报告发现病毒，则采购代理机构认为该投标文件带病毒。</w:t>
      </w:r>
    </w:p>
    <w:p w14:paraId="1AF20B3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23.2.5完整填写“投标关键信息”，如下图所示：</w:t>
      </w:r>
    </w:p>
    <w:p w14:paraId="38FFC1DF">
      <w:pPr>
        <w:tabs>
          <w:tab w:val="left" w:pos="0"/>
        </w:tabs>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8"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4BCB144B">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备注：上述“开标一览表”中的“投标总价”将作为价格分计算依据；其它信息仅是对投标文件相关内容的概括性表述，不作为评审依据。</w:t>
      </w:r>
    </w:p>
    <w:p w14:paraId="0B582A7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23.2.6投标人在编辑投标文件时，</w:t>
      </w:r>
      <w:r>
        <w:rPr>
          <w:rFonts w:hint="eastAsia" w:asciiTheme="majorEastAsia" w:hAnsiTheme="majorEastAsia" w:eastAsiaTheme="majorEastAsia"/>
          <w:b/>
          <w:szCs w:val="21"/>
        </w:rPr>
        <w:t>在投标文件目录中属于本节点内容的必须在本节点中填写，填写到其他节点或附件，</w:t>
      </w:r>
      <w:r>
        <w:rPr>
          <w:rFonts w:hint="eastAsia" w:asciiTheme="majorEastAsia" w:hAnsiTheme="majorEastAsia" w:eastAsiaTheme="majorEastAsia"/>
          <w:szCs w:val="21"/>
        </w:rPr>
        <w:t>一切后果由供应商自行承担。</w:t>
      </w:r>
    </w:p>
    <w:p w14:paraId="7B29406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23.2.7投标文件编写完成后，</w:t>
      </w:r>
      <w:r>
        <w:rPr>
          <w:rFonts w:hint="eastAsia" w:asciiTheme="majorEastAsia" w:hAnsiTheme="majorEastAsia" w:eastAsiaTheme="majorEastAsia"/>
          <w:b/>
          <w:szCs w:val="21"/>
        </w:rPr>
        <w:t>必须用属于投标人的电子密钥进行加密，否则视同未盖公章，将导致投标文件无效。</w:t>
      </w:r>
    </w:p>
    <w:p w14:paraId="6FEDC2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226CEFA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23.2.9如果开标时出现网络故障、技术故障，影响了政府采购活动，采购代理机构有权采取措施如延期、接受无法从网上上传的投标书等，以保障政府采购活动的公开、公平和公正。</w:t>
      </w:r>
    </w:p>
    <w:p w14:paraId="3B3A2B7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23.3电报、电话、传真形式的投标概不接受。</w:t>
      </w:r>
    </w:p>
    <w:p w14:paraId="762866A0">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23.4经投标人电子密钥加密的投标文件无须盖章或签字，</w:t>
      </w:r>
      <w:r>
        <w:rPr>
          <w:rFonts w:hint="eastAsia" w:asciiTheme="majorEastAsia" w:hAnsiTheme="majorEastAsia" w:eastAsiaTheme="majorEastAsia"/>
          <w:szCs w:val="21"/>
        </w:rPr>
        <w:t>专用条款另有要求的除外。</w:t>
      </w:r>
    </w:p>
    <w:p w14:paraId="6D0E5046">
      <w:pPr>
        <w:spacing w:line="360" w:lineRule="auto"/>
        <w:ind w:firstLine="413" w:firstLineChars="196"/>
        <w:rPr>
          <w:rFonts w:asciiTheme="majorEastAsia" w:hAnsiTheme="majorEastAsia" w:eastAsiaTheme="majorEastAsia"/>
          <w:szCs w:val="21"/>
        </w:rPr>
      </w:pPr>
      <w:r>
        <w:rPr>
          <w:rFonts w:hint="eastAsia" w:asciiTheme="majorEastAsia" w:hAnsiTheme="majorEastAsia" w:eastAsiaTheme="majorEastAsia"/>
          <w:b/>
          <w:szCs w:val="21"/>
        </w:rPr>
        <w:t>23.5</w:t>
      </w:r>
      <w:r>
        <w:rPr>
          <w:rFonts w:hint="eastAsia" w:asciiTheme="majorEastAsia" w:hAnsiTheme="majorEastAsia" w:eastAsiaTheme="majorEastAsia"/>
          <w:szCs w:val="21"/>
        </w:rPr>
        <w:t xml:space="preserve"> 各类资格（资质）文件提供扫描件，专用条款另有要求的除外。</w:t>
      </w:r>
      <w:bookmarkEnd w:id="39"/>
    </w:p>
    <w:p w14:paraId="3727EF68">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40" w:name="_Hlk72405459"/>
    </w:p>
    <w:p w14:paraId="1D71F9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24．投标书的保密</w:t>
      </w:r>
    </w:p>
    <w:p w14:paraId="624CF72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3D8E052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9"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04B0A3C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在投标文件制作软件点击【生成标书】按钮进入【填写开标一览表界面】界面，在该界面填写完开标一览表信息后点击【确定】，进入投标文件生成环节。</w:t>
      </w:r>
      <w:r>
        <w:rPr>
          <w:rFonts w:asciiTheme="majorEastAsia" w:hAnsiTheme="majorEastAsia" w:eastAsiaTheme="majorEastAsia"/>
          <w:szCs w:val="21"/>
        </w:rPr>
        <w:drawing>
          <wp:inline distT="0" distB="0" distL="0" distR="0">
            <wp:extent cx="5278755" cy="2732405"/>
            <wp:effectExtent l="0" t="0" r="0" b="0"/>
            <wp:docPr id="1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图形用户界面&#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8554B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投标文件制作软件会在投标文件生成过程中，提示用户输入密码，输入密码后对标文件自动进行加密。</w:t>
      </w:r>
    </w:p>
    <w:p w14:paraId="48B8E180">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14:paraId="548BA4F9">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）有更新，投标人必须重新下载招标文件、重新制作投标文件、重新加密投标文件、重新上传投标文件；如果供下载的招标文件（后缀名为.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）没有更新，投标人必须重新加密投标文件、重新上传投标文件（是否重新制作投标文件根据项目实际情况定）。否则，投标人自行承担投标文件无法解密导致投标无效的后果。</w:t>
      </w:r>
    </w:p>
    <w:p w14:paraId="07CC2C8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14:paraId="6023C7F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用电子密钥登录“深圳政府采购智慧平台用户网上办事子系统（http://zfcg.szggzy.com/TPBidder/memberLogin）”，用“【我的项目】→【项目流程】→【递交投标(应答)文件】”功能点上传投标文件。</w:t>
      </w:r>
    </w:p>
    <w:p w14:paraId="7C28008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341ED83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14:paraId="293E02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40"/>
    <w:p w14:paraId="39BBE85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14:paraId="1CDF15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14:paraId="3E0B048C">
      <w:pPr>
        <w:spacing w:line="360" w:lineRule="auto"/>
        <w:rPr>
          <w:rFonts w:asciiTheme="majorEastAsia" w:hAnsiTheme="majorEastAsia" w:eastAsiaTheme="majorEastAsia"/>
          <w:b/>
          <w:bCs/>
          <w:szCs w:val="21"/>
        </w:rPr>
      </w:pPr>
      <w:bookmarkStart w:id="41"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14:paraId="388803B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14:paraId="317DC6A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14:paraId="5139E5CC">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14:paraId="3F62120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1"/>
    <w:p w14:paraId="78D5BC31">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14:paraId="17802E3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14:paraId="3A3E7F09">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1投标人须在开标当日的开标时间至解密截止时间内进行解密，逾期未解密的作无效处理。解密方法：登录“深圳政府采购智慧平台用户网上办事子系统（</w:t>
      </w:r>
      <w:r>
        <w:rPr>
          <w:rFonts w:asciiTheme="majorEastAsia" w:hAnsiTheme="majorEastAsia" w:eastAsiaTheme="majorEastAsia"/>
          <w:szCs w:val="21"/>
        </w:rPr>
        <w:t>http://zfcg.szggzy.com/</w:t>
      </w:r>
      <w:r>
        <w:rPr>
          <w:rFonts w:hint="eastAsia" w:asciiTheme="majorEastAsia" w:hAnsiTheme="majorEastAsia" w:eastAsiaTheme="majorEastAsia"/>
          <w:szCs w:val="21"/>
        </w:rPr>
        <w:t>TPBidder/memberLogin）”，使用本单位制作电子投标文件同一个电子密钥，在“【我的项目】→【项目流程】→【开标及解密】”进行在线解密、查询开标情况。</w:t>
      </w:r>
    </w:p>
    <w:p w14:paraId="5A94C477">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 xml:space="preserve">8.2 </w:t>
      </w:r>
      <w:r>
        <w:rPr>
          <w:rFonts w:hint="eastAsia" w:asciiTheme="majorEastAsia" w:hAnsiTheme="majorEastAsia" w:eastAsiaTheme="majorEastAsia"/>
          <w:szCs w:val="21"/>
        </w:rPr>
        <w:t>采购代理机构将在满足开标条件（</w:t>
      </w:r>
      <w:r>
        <w:rPr>
          <w:rFonts w:hint="eastAsia" w:cs="宋体" w:asciiTheme="majorEastAsia" w:hAnsiTheme="majorEastAsia" w:eastAsiaTheme="majorEastAsia"/>
          <w:color w:val="333333"/>
          <w:szCs w:val="21"/>
          <w:shd w:val="clear" w:color="auto" w:fill="FFFFFF"/>
        </w:rPr>
        <w:t>①</w:t>
      </w:r>
      <w:r>
        <w:rPr>
          <w:rFonts w:hint="eastAsia" w:asciiTheme="majorEastAsia" w:hAnsiTheme="majorEastAsia" w:eastAsiaTheme="majorEastAsia"/>
          <w:szCs w:val="21"/>
        </w:rPr>
        <w:t>解密时间结束，解密后的投标供应商数量满足开标要求或</w:t>
      </w:r>
      <w:r>
        <w:rPr>
          <w:rFonts w:hint="eastAsia" w:cs="宋体" w:asciiTheme="majorEastAsia" w:hAnsiTheme="majorEastAsia" w:eastAsiaTheme="majorEastAsia"/>
          <w:color w:val="333333"/>
          <w:szCs w:val="21"/>
          <w:shd w:val="clear" w:color="auto" w:fill="FFFFFF"/>
        </w:rPr>
        <w:t>②</w:t>
      </w:r>
      <w:r>
        <w:rPr>
          <w:rFonts w:hint="eastAsia" w:asciiTheme="majorEastAsia" w:hAnsiTheme="majorEastAsia" w:eastAsiaTheme="majorEastAsia"/>
          <w:szCs w:val="21"/>
        </w:rPr>
        <w:t>解密时间结束前所有投标供应商均完成投标文件解密）后，对投标文件进行开标，并在网上公布开标结果。</w:t>
      </w:r>
    </w:p>
    <w:p w14:paraId="6DA7F9BA">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14:paraId="26BBC07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14:paraId="27D7CBF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14:paraId="2F82B4CF">
      <w:pPr>
        <w:spacing w:line="360" w:lineRule="auto"/>
        <w:ind w:firstLine="411" w:firstLineChars="196"/>
        <w:rPr>
          <w:rFonts w:asciiTheme="majorEastAsia" w:hAnsiTheme="majorEastAsia" w:eastAsiaTheme="majorEastAsia"/>
          <w:szCs w:val="21"/>
        </w:rPr>
      </w:pPr>
      <w:bookmarkStart w:id="42" w:name="_Hlk72436580"/>
      <w:r>
        <w:rPr>
          <w:rFonts w:hint="eastAsia" w:asciiTheme="majorEastAsia" w:hAnsiTheme="majorEastAsia" w:eastAsiaTheme="majorEastAsia"/>
          <w:szCs w:val="21"/>
        </w:rPr>
        <w:t>评审委员会由采购人代表和评审专家组成，成员人数应当为5人以上单数（部分条件下为7人以上单数），其中评审专家不得少于成员总数的三分之二。</w:t>
      </w:r>
      <w:bookmarkEnd w:id="42"/>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14:paraId="7D76BBE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14:paraId="24A21DD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14:paraId="5089C0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14:paraId="09AEA153">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14:paraId="034C7B6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14:paraId="3D6464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14:paraId="21A282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14:paraId="1D56A0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14:paraId="54BA3F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14:paraId="383FD0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14:paraId="4389B3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14:paraId="0312BA5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14:paraId="3AB4B56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14:paraId="3A4E8A7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14:paraId="6B8EC0C7">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14:paraId="7FEEC99F">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14:paraId="62E00C7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14:paraId="795E39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14:paraId="651589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14:paraId="6F9A3C3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14:paraId="6DC44D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14:paraId="24144365">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14:paraId="4BA29545">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38829604">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312506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14:paraId="3AAC7EA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14:paraId="26C17C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14:paraId="486B012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14:paraId="10BB19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14:paraId="6DDD15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14:paraId="3C0158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14:paraId="378EBE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14:paraId="48767B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14:paraId="2B7A05E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14:paraId="52E2B3B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14:paraId="37E75A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14:paraId="488DD9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14:paraId="0F4FFD1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14:paraId="7057FF3F">
      <w:pPr>
        <w:spacing w:line="360" w:lineRule="auto"/>
        <w:ind w:firstLine="411" w:firstLineChars="196"/>
        <w:rPr>
          <w:rFonts w:asciiTheme="majorEastAsia" w:hAnsiTheme="majorEastAsia" w:eastAsiaTheme="majorEastAsia"/>
          <w:szCs w:val="21"/>
        </w:rPr>
      </w:pPr>
      <w:bookmarkStart w:id="43"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3"/>
    </w:p>
    <w:p w14:paraId="6F1AFE3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14:paraId="211F5218">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14:paraId="61A52A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4851B2C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14:paraId="037F7C21">
      <w:pPr>
        <w:spacing w:line="360" w:lineRule="auto"/>
        <w:rPr>
          <w:rFonts w:asciiTheme="majorEastAsia" w:hAnsiTheme="majorEastAsia" w:eastAsiaTheme="majorEastAsia"/>
          <w:b/>
          <w:bCs/>
          <w:szCs w:val="21"/>
        </w:rPr>
      </w:pPr>
      <w:bookmarkStart w:id="44" w:name="_Toc73521669"/>
      <w:bookmarkStart w:id="45" w:name="_Toc73518151"/>
      <w:bookmarkStart w:id="46" w:name="_Toc73517673"/>
      <w:bookmarkStart w:id="47" w:name="_Toc100052400"/>
      <w:bookmarkStart w:id="48" w:name="_Toc73521581"/>
      <w:r>
        <w:rPr>
          <w:rFonts w:hint="eastAsia" w:asciiTheme="majorEastAsia" w:hAnsiTheme="majorEastAsia" w:eastAsiaTheme="majorEastAsia"/>
          <w:b/>
          <w:bCs/>
          <w:szCs w:val="21"/>
        </w:rPr>
        <w:t>34．错误的修正</w:t>
      </w:r>
      <w:bookmarkEnd w:id="44"/>
      <w:bookmarkEnd w:id="45"/>
      <w:bookmarkEnd w:id="46"/>
      <w:bookmarkEnd w:id="47"/>
      <w:bookmarkEnd w:id="48"/>
    </w:p>
    <w:p w14:paraId="147D67A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14:paraId="4686BDB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14:paraId="7EE7DA9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14:paraId="01E335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14:paraId="51E650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14:paraId="702405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w:t>
      </w:r>
      <w:r>
        <w:rPr>
          <w:rFonts w:hint="eastAsia" w:ascii="宋体" w:hAnsi="宋体"/>
          <w:snapToGrid w:val="0"/>
          <w:kern w:val="0"/>
        </w:rPr>
        <w:t>（次序排先者优先）</w:t>
      </w:r>
      <w:r>
        <w:rPr>
          <w:rFonts w:hint="eastAsia" w:asciiTheme="majorEastAsia" w:hAnsiTheme="majorEastAsia" w:eastAsiaTheme="majorEastAsia"/>
          <w:szCs w:val="21"/>
        </w:rPr>
        <w:t>。修正后的报价按照本通用条款33条的规定，经投标人确认后产生约束力，投标人不确认的，其投标无效。</w:t>
      </w:r>
    </w:p>
    <w:p w14:paraId="7524456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14:paraId="1F5564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477BA1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14:paraId="3661F0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14:paraId="2344C4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14:paraId="123701D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14:paraId="4C21C357">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14:paraId="19B240B7">
      <w:pPr>
        <w:spacing w:line="360" w:lineRule="auto"/>
        <w:ind w:firstLine="411" w:firstLineChars="196"/>
        <w:rPr>
          <w:rFonts w:asciiTheme="majorEastAsia" w:hAnsiTheme="majorEastAsia" w:eastAsiaTheme="majorEastAsia"/>
          <w:szCs w:val="21"/>
        </w:rPr>
      </w:pPr>
      <w:bookmarkStart w:id="49"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14:paraId="31D899FA">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14:paraId="3A368B02">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49"/>
    </w:p>
    <w:p w14:paraId="6B25CD42">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14:paraId="793C03EC">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14:paraId="26E8D8AE">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14:paraId="38B1EE83">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14:paraId="7B5A662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14:paraId="6DB042A8">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14:paraId="78AD04B9">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14:paraId="6B8128F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04080A6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14:paraId="0810CD9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14:paraId="0B0AB2E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14:paraId="71E5198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14:paraId="2FC06A2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14:paraId="2E54793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14:paraId="22C3D22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14:paraId="03949EC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14:paraId="454E87D3">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14:paraId="0D62BD3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14:paraId="5B8BE8D2">
      <w:pPr>
        <w:spacing w:line="360" w:lineRule="auto"/>
        <w:ind w:firstLine="411" w:firstLineChars="196"/>
        <w:rPr>
          <w:rFonts w:asciiTheme="majorEastAsia" w:hAnsiTheme="majorEastAsia" w:eastAsiaTheme="majorEastAsia"/>
          <w:szCs w:val="21"/>
        </w:rPr>
      </w:pPr>
      <w:bookmarkStart w:id="50" w:name="_Hlk73782795"/>
      <w:r>
        <w:rPr>
          <w:rFonts w:hint="eastAsia" w:asciiTheme="majorEastAsia" w:hAnsiTheme="majorEastAsia" w:eastAsiaTheme="majorEastAsia"/>
          <w:szCs w:val="21"/>
        </w:rPr>
        <w:t>38.1非评定分离项目定标方法</w:t>
      </w:r>
    </w:p>
    <w:p w14:paraId="061ED38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14:paraId="57D96AB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1"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1"/>
      <w:r>
        <w:rPr>
          <w:rFonts w:asciiTheme="majorEastAsia" w:hAnsiTheme="majorEastAsia" w:eastAsiaTheme="majorEastAsia"/>
          <w:szCs w:val="21"/>
        </w:rPr>
        <w:t>）。</w:t>
      </w:r>
    </w:p>
    <w:p w14:paraId="4FB3C95B">
      <w:pPr>
        <w:spacing w:line="360" w:lineRule="auto"/>
        <w:ind w:firstLine="411" w:firstLineChars="196"/>
        <w:rPr>
          <w:rFonts w:hint="eastAsia"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情况时，采取随机抽取的方式确定，具体操作办法及流程由评审委员会确定（因落实政府采购政策进行价格调整的，以调整后的价格计算投标报价）。</w:t>
      </w:r>
    </w:p>
    <w:p w14:paraId="200E28D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14:paraId="012BB62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65BB654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2"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r>
        <w:rPr>
          <w:rFonts w:hint="eastAsia" w:asciiTheme="majorEastAsia" w:hAnsiTheme="majorEastAsia" w:eastAsiaTheme="majorEastAsia"/>
          <w:szCs w:val="21"/>
          <w:lang w:eastAsia="zh-CN"/>
        </w:rPr>
        <w:t>，推荐候选中标供应商不进行排名</w:t>
      </w:r>
      <w:r>
        <w:rPr>
          <w:rFonts w:asciiTheme="majorEastAsia" w:hAnsiTheme="majorEastAsia" w:eastAsiaTheme="majorEastAsia"/>
          <w:szCs w:val="21"/>
        </w:rPr>
        <w:t>。</w:t>
      </w:r>
    </w:p>
    <w:p w14:paraId="46385A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3"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2"/>
      <w:bookmarkEnd w:id="53"/>
    </w:p>
    <w:p w14:paraId="58CD53A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14:paraId="7A1CF9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14:paraId="07959F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50"/>
    </w:p>
    <w:p w14:paraId="578C728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14:paraId="5C227F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799AF51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14:paraId="2FF97D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4" w:name="_Hlk72438709"/>
      <w:r>
        <w:rPr>
          <w:rFonts w:hint="eastAsia" w:asciiTheme="majorEastAsia" w:hAnsiTheme="majorEastAsia" w:eastAsiaTheme="majorEastAsia"/>
          <w:szCs w:val="21"/>
        </w:rPr>
        <w:t>为体现“公开、公平、公正”的原则，评审结束后经采购人确认（确定）评审结果，采购代理机构将在“深圳政府采购智慧平台（http://zfcg.szggzy.com/）”上发布中标结果公告。</w:t>
      </w:r>
      <w:bookmarkEnd w:id="54"/>
      <w:bookmarkStart w:id="55"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5"/>
    <w:p w14:paraId="603779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14:paraId="2E85B22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14:paraId="71CF2D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56"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56"/>
    </w:p>
    <w:p w14:paraId="40CBE6A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14:paraId="4273479C">
      <w:pPr>
        <w:spacing w:line="360" w:lineRule="auto"/>
        <w:ind w:firstLine="411" w:firstLineChars="196"/>
        <w:rPr>
          <w:rFonts w:asciiTheme="majorEastAsia" w:hAnsiTheme="majorEastAsia" w:eastAsiaTheme="majorEastAsia"/>
          <w:szCs w:val="21"/>
        </w:rPr>
      </w:pPr>
      <w:bookmarkStart w:id="57"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14:paraId="44EABEBC">
      <w:pPr>
        <w:spacing w:line="360" w:lineRule="auto"/>
        <w:ind w:firstLine="411" w:firstLineChars="196"/>
        <w:rPr>
          <w:rFonts w:hint="eastAsia" w:asciiTheme="majorEastAsia" w:hAnsiTheme="majorEastAsia" w:eastAsiaTheme="majorEastAsia"/>
          <w:szCs w:val="21"/>
          <w:lang w:eastAsia="zh-CN"/>
        </w:rPr>
      </w:pPr>
      <w:r>
        <w:rPr>
          <w:rFonts w:hint="eastAsia" w:asciiTheme="majorEastAsia" w:hAnsiTheme="majorEastAsia" w:eastAsiaTheme="majorEastAsia"/>
          <w:szCs w:val="21"/>
        </w:rPr>
        <w:t>41.4</w:t>
      </w:r>
      <w:r>
        <w:rPr>
          <w:rFonts w:hint="eastAsia" w:asciiTheme="majorEastAsia" w:hAnsiTheme="majorEastAsia" w:eastAsiaTheme="majorEastAsia"/>
          <w:szCs w:val="21"/>
          <w:lang w:eastAsia="zh-CN"/>
        </w:rPr>
        <w:t>代理服务费</w:t>
      </w:r>
    </w:p>
    <w:p w14:paraId="6CF695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4660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08538546">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w:pict>
                <v:line id="_x0000_s2052" o:spid="_x0000_s2052" o:spt="20" style="position:absolute;left:0pt;flip:x y;margin-left:-1.5pt;margin-top:34.35pt;height:31.05pt;width:136.5pt;z-index:251661312;mso-width-relative:page;mso-height-relative:page;"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path arrowok="t"/>
                  <v:fill focussize="0,0"/>
                  <v:stroke/>
                  <v:imagedata o:title=""/>
                  <o:lock v:ext="edit"/>
                </v:line>
              </w:pict>
            </w:r>
            <w:r>
              <w:rPr>
                <w:rFonts w:asciiTheme="majorEastAsia" w:hAnsiTheme="majorEastAsia" w:eastAsiaTheme="majorEastAsia"/>
                <w:szCs w:val="21"/>
              </w:rPr>
              <w:pict>
                <v:line id="_x0000_s2051" o:spid="_x0000_s2051" o:spt="20" style="position:absolute;left:0pt;flip:x y;margin-left:30.9pt;margin-top:2.5pt;height:62.9pt;width:104.1pt;z-index:251660288;mso-width-relative:page;mso-height-relative:page;"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path arrowok="t"/>
                  <v:fill focussize="0,0"/>
                  <v:stroke/>
                  <v:imagedata o:title=""/>
                  <o:lock v:ext="edit"/>
                </v:line>
              </w:pict>
            </w:r>
            <w:r>
              <w:rPr>
                <w:rFonts w:asciiTheme="majorEastAsia" w:hAnsiTheme="majorEastAsia" w:eastAsiaTheme="majorEastAsia"/>
                <w:szCs w:val="21"/>
              </w:rPr>
              <w:pict>
                <v:line id="_x0000_s2050" o:spid="_x0000_s2050" o:spt="20" style="position:absolute;left:0pt;margin-left:-9pt;margin-top:-0.5pt;height:0pt;width:0.05pt;z-index:251662336;mso-width-relative:page;mso-height-relative:page;"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path arrowok="t"/>
                  <v:fill focussize="0,0"/>
                  <v:stroke/>
                  <v:imagedata o:title=""/>
                  <o:lock v:ext="edit"/>
                </v:line>
              </w:pict>
            </w:r>
            <w:r>
              <w:rPr>
                <w:rFonts w:hint="eastAsia" w:asciiTheme="majorEastAsia" w:hAnsiTheme="majorEastAsia" w:eastAsiaTheme="majorEastAsia"/>
                <w:b/>
                <w:szCs w:val="21"/>
              </w:rPr>
              <w:t>服务类型</w:t>
            </w:r>
          </w:p>
          <w:p w14:paraId="0A9B9151">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14:paraId="680DD8E7">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14:paraId="29CD1A3B">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14:paraId="2E1BF4D3">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14:paraId="18A9A2D6">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14:paraId="78BC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F6DEA7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14:paraId="52BC535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31F16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0FD7DD21">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14:paraId="6E93D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C492C1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14:paraId="666B6C3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14:paraId="01CAF80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1724444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14:paraId="37FE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B89556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14:paraId="66E4AE7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15B23B9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14:paraId="076FCE90">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14:paraId="5482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6C7BCD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14:paraId="67F515B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14:paraId="5FA529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61FE2B2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14:paraId="5E8F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0C7D672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14:paraId="3E8097B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719ECE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14:paraId="3F15E06B">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14:paraId="46126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30FED40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14:paraId="532C111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662C293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780E35DA">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14:paraId="24EE4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959DF7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14:paraId="65F021D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397C7B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5BCBC7AF">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14:paraId="3FC4D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45DB01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14:paraId="247AC84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78774BF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1C411D0D">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14:paraId="2C12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710D9E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14:paraId="778D081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25234B1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04D3D749">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14:paraId="5525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2C21AE6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14:paraId="6A8E694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7D99CD4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1D0E3284">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14:paraId="5D4DD295">
      <w:pPr>
        <w:spacing w:line="360" w:lineRule="auto"/>
        <w:ind w:firstLine="411" w:firstLineChars="196"/>
        <w:rPr>
          <w:rFonts w:asciiTheme="majorEastAsia" w:hAnsiTheme="majorEastAsia" w:eastAsiaTheme="majorEastAsia"/>
          <w:szCs w:val="21"/>
        </w:rPr>
      </w:pPr>
    </w:p>
    <w:bookmarkEnd w:id="57"/>
    <w:p w14:paraId="3561AD6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14:paraId="0968AF9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14:paraId="4BC1858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14:paraId="433C664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14:paraId="13F9C1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14:paraId="2CAF271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14:paraId="026A852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14:paraId="048391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14:paraId="7FB0AC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14:paraId="0CB78C21">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58" w:name="_Hlk72439043"/>
      <w:r>
        <w:rPr>
          <w:rFonts w:hint="eastAsia" w:asciiTheme="majorEastAsia" w:hAnsiTheme="majorEastAsia" w:eastAsiaTheme="majorEastAsia"/>
          <w:b/>
          <w:bCs/>
          <w:kern w:val="0"/>
          <w:sz w:val="28"/>
          <w:szCs w:val="28"/>
        </w:rPr>
        <w:t>合同的授予与备案</w:t>
      </w:r>
      <w:bookmarkEnd w:id="58"/>
    </w:p>
    <w:p w14:paraId="154D94C9">
      <w:pPr>
        <w:spacing w:line="360" w:lineRule="auto"/>
        <w:rPr>
          <w:rFonts w:asciiTheme="majorEastAsia" w:hAnsiTheme="majorEastAsia" w:eastAsiaTheme="majorEastAsia"/>
          <w:b/>
          <w:bCs/>
          <w:szCs w:val="21"/>
        </w:rPr>
      </w:pPr>
      <w:bookmarkStart w:id="59" w:name="_Toc73521674"/>
      <w:bookmarkStart w:id="60" w:name="_Toc73521586"/>
      <w:bookmarkStart w:id="61" w:name="_Toc73517679"/>
      <w:bookmarkStart w:id="62" w:name="_Toc100052408"/>
      <w:bookmarkStart w:id="63" w:name="_Toc73518157"/>
      <w:bookmarkStart w:id="64" w:name="_Hlk72439088"/>
      <w:r>
        <w:rPr>
          <w:rFonts w:hint="eastAsia" w:asciiTheme="majorEastAsia" w:hAnsiTheme="majorEastAsia" w:eastAsiaTheme="majorEastAsia"/>
          <w:b/>
          <w:bCs/>
          <w:szCs w:val="21"/>
        </w:rPr>
        <w:t>43．合同授予标准</w:t>
      </w:r>
      <w:bookmarkEnd w:id="59"/>
      <w:bookmarkEnd w:id="60"/>
      <w:bookmarkEnd w:id="61"/>
      <w:bookmarkEnd w:id="62"/>
      <w:bookmarkEnd w:id="63"/>
    </w:p>
    <w:p w14:paraId="6F5893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14:paraId="195BD9AC">
      <w:pPr>
        <w:spacing w:line="360" w:lineRule="auto"/>
        <w:rPr>
          <w:rFonts w:asciiTheme="majorEastAsia" w:hAnsiTheme="majorEastAsia" w:eastAsiaTheme="majorEastAsia"/>
          <w:b/>
          <w:bCs/>
          <w:szCs w:val="21"/>
        </w:rPr>
      </w:pPr>
      <w:bookmarkStart w:id="65" w:name="_Toc73518158"/>
      <w:bookmarkStart w:id="66" w:name="_Toc73521675"/>
      <w:bookmarkStart w:id="67" w:name="_Toc73517680"/>
      <w:bookmarkStart w:id="68" w:name="_Toc73521587"/>
      <w:bookmarkStart w:id="69" w:name="_Toc100052409"/>
      <w:r>
        <w:rPr>
          <w:rFonts w:hint="eastAsia" w:asciiTheme="majorEastAsia" w:hAnsiTheme="majorEastAsia" w:eastAsiaTheme="majorEastAsia"/>
          <w:b/>
          <w:bCs/>
          <w:szCs w:val="21"/>
        </w:rPr>
        <w:t>44．</w:t>
      </w:r>
      <w:bookmarkEnd w:id="65"/>
      <w:bookmarkEnd w:id="66"/>
      <w:bookmarkEnd w:id="67"/>
      <w:bookmarkEnd w:id="68"/>
      <w:bookmarkEnd w:id="69"/>
      <w:r>
        <w:rPr>
          <w:rFonts w:hint="eastAsia" w:asciiTheme="majorEastAsia" w:hAnsiTheme="majorEastAsia" w:eastAsiaTheme="majorEastAsia"/>
          <w:b/>
          <w:bCs/>
          <w:szCs w:val="21"/>
        </w:rPr>
        <w:t>接受和拒绝任何或所有投标的权力</w:t>
      </w:r>
    </w:p>
    <w:p w14:paraId="3093427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73536E03">
      <w:pPr>
        <w:spacing w:line="360" w:lineRule="auto"/>
        <w:rPr>
          <w:rFonts w:asciiTheme="majorEastAsia" w:hAnsiTheme="majorEastAsia" w:eastAsiaTheme="majorEastAsia"/>
          <w:b/>
          <w:bCs/>
          <w:szCs w:val="21"/>
        </w:rPr>
      </w:pPr>
      <w:bookmarkStart w:id="70" w:name="_Toc73521677"/>
      <w:bookmarkStart w:id="71" w:name="_Toc100052410"/>
      <w:bookmarkStart w:id="72" w:name="_Toc73518160"/>
      <w:bookmarkStart w:id="73" w:name="_Toc73517682"/>
      <w:bookmarkStart w:id="74" w:name="_Toc73521589"/>
      <w:r>
        <w:rPr>
          <w:rFonts w:hint="eastAsia" w:asciiTheme="majorEastAsia" w:hAnsiTheme="majorEastAsia" w:eastAsiaTheme="majorEastAsia"/>
          <w:b/>
          <w:bCs/>
          <w:szCs w:val="21"/>
        </w:rPr>
        <w:t>45．合同的签订</w:t>
      </w:r>
      <w:bookmarkEnd w:id="70"/>
      <w:bookmarkEnd w:id="71"/>
      <w:bookmarkEnd w:id="72"/>
      <w:bookmarkEnd w:id="73"/>
      <w:bookmarkEnd w:id="74"/>
    </w:p>
    <w:p w14:paraId="5772B92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14:paraId="45122A8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14:paraId="7FAB160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14:paraId="447E5DC8">
      <w:pPr>
        <w:spacing w:line="360" w:lineRule="auto"/>
        <w:rPr>
          <w:rFonts w:asciiTheme="majorEastAsia" w:hAnsiTheme="majorEastAsia" w:eastAsiaTheme="majorEastAsia"/>
          <w:b/>
          <w:bCs/>
          <w:szCs w:val="21"/>
        </w:rPr>
      </w:pPr>
      <w:bookmarkStart w:id="75" w:name="_Toc100052411"/>
      <w:bookmarkStart w:id="76" w:name="_Toc73521678"/>
      <w:bookmarkStart w:id="77" w:name="_Toc73518161"/>
      <w:bookmarkStart w:id="78" w:name="_Toc73521590"/>
      <w:bookmarkStart w:id="79" w:name="_Toc73517683"/>
      <w:r>
        <w:rPr>
          <w:rFonts w:hint="eastAsia" w:asciiTheme="majorEastAsia" w:hAnsiTheme="majorEastAsia" w:eastAsiaTheme="majorEastAsia"/>
          <w:b/>
          <w:bCs/>
          <w:szCs w:val="21"/>
        </w:rPr>
        <w:t>46．履约担保</w:t>
      </w:r>
      <w:bookmarkEnd w:id="75"/>
      <w:bookmarkEnd w:id="76"/>
      <w:bookmarkEnd w:id="77"/>
      <w:bookmarkEnd w:id="78"/>
      <w:bookmarkEnd w:id="79"/>
    </w:p>
    <w:p w14:paraId="6FFA05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14:paraId="086809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14:paraId="78E87E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14:paraId="6718E4C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14:paraId="7C4F071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14:paraId="2F51F3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14:paraId="7F7A1D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14:paraId="74A8280F">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14:paraId="5C38CCD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14:paraId="03A0E4D2">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14:paraId="0898222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14:paraId="59435A1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14:paraId="1B752F1A">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14:paraId="5EF367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14:paraId="2A6C0FE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3EA16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14:paraId="09D3013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14:paraId="331E40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14:paraId="1BC6210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14:paraId="07CBBD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14:paraId="4910C6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14:paraId="5C61E7A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14:paraId="18F13BC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14:paraId="20F19E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14:paraId="702C80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80" w:name="_Hlk72440769"/>
      <w:r>
        <w:rPr>
          <w:rFonts w:hint="eastAsia" w:asciiTheme="majorEastAsia" w:hAnsiTheme="majorEastAsia" w:eastAsiaTheme="majorEastAsia"/>
          <w:szCs w:val="21"/>
        </w:rPr>
        <w:t>采购人或采购代理机构</w:t>
      </w:r>
      <w:bookmarkEnd w:id="80"/>
      <w:r>
        <w:rPr>
          <w:rFonts w:hint="eastAsia" w:asciiTheme="majorEastAsia" w:hAnsiTheme="majorEastAsia" w:eastAsiaTheme="majorEastAsia"/>
          <w:szCs w:val="21"/>
        </w:rPr>
        <w:t>可将有关情况报同级财政部门，由财政部门根据实际情况记入供应商诚信档案，予以通报：</w:t>
      </w:r>
    </w:p>
    <w:p w14:paraId="738308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14:paraId="67057DE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14:paraId="33AD450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14:paraId="5A27B2C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4"/>
    <w:p w14:paraId="6C2818F2">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14:paraId="6ED6547F">
      <w:pPr>
        <w:spacing w:line="360" w:lineRule="auto"/>
        <w:rPr>
          <w:rFonts w:asciiTheme="majorEastAsia" w:hAnsiTheme="majorEastAsia" w:eastAsiaTheme="majorEastAsia"/>
          <w:b/>
          <w:bCs/>
          <w:szCs w:val="21"/>
        </w:rPr>
      </w:pPr>
      <w:bookmarkStart w:id="81" w:name="_Hlk72439706"/>
      <w:r>
        <w:rPr>
          <w:rFonts w:hint="eastAsia" w:asciiTheme="majorEastAsia" w:hAnsiTheme="majorEastAsia" w:eastAsiaTheme="majorEastAsia"/>
          <w:b/>
          <w:bCs/>
          <w:szCs w:val="21"/>
        </w:rPr>
        <w:t>52.质疑提出与答复</w:t>
      </w:r>
    </w:p>
    <w:p w14:paraId="23EDB0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14:paraId="5EA7F73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7325266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14:paraId="6975576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66F96A0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14:paraId="13567D1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2" w:name="_Hlk75374941"/>
      <w:r>
        <w:rPr>
          <w:rFonts w:hint="eastAsia" w:asciiTheme="majorEastAsia" w:hAnsiTheme="majorEastAsia" w:eastAsiaTheme="majorEastAsia"/>
          <w:szCs w:val="21"/>
        </w:rPr>
        <w:t>以联合体形式参与的，质疑应当由组成联合体的所有成员共同提出</w:t>
      </w:r>
      <w:bookmarkEnd w:id="82"/>
      <w:r>
        <w:rPr>
          <w:rFonts w:hint="eastAsia" w:asciiTheme="majorEastAsia" w:hAnsiTheme="majorEastAsia" w:eastAsiaTheme="majorEastAsia"/>
          <w:szCs w:val="21"/>
        </w:rPr>
        <w:t>；</w:t>
      </w:r>
    </w:p>
    <w:p w14:paraId="247EF8E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4C013D59">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14:paraId="73EEC25B">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14:paraId="7EA9C98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96E8E1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64ACF2E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6C8BB53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5A95592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3EF6537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4EA6D1A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0FBA7B4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14:paraId="7C3AB03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21283F7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3EB6386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14:paraId="5B562D15">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供应商登录“深圳政府采购智慧平台用户网上办事子系统（http://zfcg.szggzy.com/TPBidder/memberLogin）”，在“【我的项目】→【项目流程】→【质疑】”中提出质疑。</w:t>
      </w:r>
    </w:p>
    <w:p w14:paraId="72574F5B">
      <w:pPr>
        <w:spacing w:line="360" w:lineRule="auto"/>
        <w:ind w:firstLine="420" w:firstLineChars="20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2.5.2</w:t>
      </w:r>
      <w:r>
        <w:rPr>
          <w:rFonts w:hint="eastAsia" w:asciiTheme="majorEastAsia" w:hAnsiTheme="majorEastAsia" w:eastAsiaTheme="majorEastAsia"/>
          <w:szCs w:val="21"/>
        </w:rPr>
        <w:t>同时，请质疑供应商根据深圳政府采购智慧平台（http://zfcg.szggzy.com/）所发布的质疑指引、质疑函模板填写质疑函并提交质疑材料。</w:t>
      </w:r>
      <w:r>
        <w:rPr>
          <w:rFonts w:hint="eastAsia" w:asciiTheme="majorEastAsia" w:hAnsiTheme="majorEastAsia" w:eastAsiaTheme="majorEastAsia"/>
          <w:bCs/>
          <w:szCs w:val="21"/>
        </w:rPr>
        <w:t>地址：深圳市中正招标有限公司（深圳市福田区民田路171号新华保险大厦903），质疑咨询电话：0755-83026699。</w:t>
      </w:r>
    </w:p>
    <w:p w14:paraId="7682383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14:paraId="48A81AF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0FD6776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14:paraId="346AEF4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1D2D2AD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42946B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6FBD7E8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5BECD44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390721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3B14097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7894837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3D597A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52.7质疑答复时限</w:t>
      </w:r>
    </w:p>
    <w:p w14:paraId="695EF90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02AC351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52.8投诉</w:t>
      </w:r>
    </w:p>
    <w:p w14:paraId="2D21F9B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1"/>
    </w:p>
    <w:p w14:paraId="04100A33">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40001" w:csb1="00000000"/>
  </w:font>
  <w:font w:name="ˎ̥">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汉仪细等线简">
    <w:altName w:val="宋体"/>
    <w:panose1 w:val="00020600040101010101"/>
    <w:charset w:val="86"/>
    <w:family w:val="modern"/>
    <w:pitch w:val="default"/>
    <w:sig w:usb0="00000000" w:usb1="00000000" w:usb2="00000012" w:usb3="00000000" w:csb0="0004009F" w:csb1="DFD7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14:paraId="744C42B3">
        <w:pPr>
          <w:pStyle w:val="27"/>
          <w:jc w:val="center"/>
        </w:pPr>
        <w:r>
          <w:fldChar w:fldCharType="begin"/>
        </w:r>
        <w:r>
          <w:instrText xml:space="preserve"> PAGE   \* MERGEFORMAT </w:instrText>
        </w:r>
        <w:r>
          <w:fldChar w:fldCharType="separate"/>
        </w:r>
        <w:r>
          <w:rPr>
            <w:lang w:val="zh-CN"/>
          </w:rPr>
          <w:t>32</w:t>
        </w:r>
        <w:r>
          <w:rPr>
            <w:lang w:val="zh-CN"/>
          </w:rPr>
          <w:fldChar w:fldCharType="end"/>
        </w:r>
      </w:p>
    </w:sdtContent>
  </w:sdt>
  <w:p w14:paraId="4AADD906">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D6FE3DF"/>
    <w:multiLevelType w:val="multilevel"/>
    <w:tmpl w:val="3D6FE3DF"/>
    <w:lvl w:ilvl="0" w:tentative="0">
      <w:start w:val="1"/>
      <w:numFmt w:val="japaneseCounting"/>
      <w:lvlText w:val="第%1条"/>
      <w:lvlJc w:val="left"/>
      <w:pPr>
        <w:tabs>
          <w:tab w:val="left" w:pos="0"/>
        </w:tabs>
        <w:ind w:left="885" w:hanging="885"/>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s>
  <w:rsids>
    <w:rsidRoot w:val="00103A86"/>
    <w:rsid w:val="00000F5F"/>
    <w:rsid w:val="00001526"/>
    <w:rsid w:val="00002B3E"/>
    <w:rsid w:val="000051FB"/>
    <w:rsid w:val="00010CD3"/>
    <w:rsid w:val="00010EAF"/>
    <w:rsid w:val="00013C6F"/>
    <w:rsid w:val="00013F11"/>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5F35"/>
    <w:rsid w:val="00056152"/>
    <w:rsid w:val="00057148"/>
    <w:rsid w:val="00072314"/>
    <w:rsid w:val="00072877"/>
    <w:rsid w:val="00076F21"/>
    <w:rsid w:val="00081E93"/>
    <w:rsid w:val="00084FFC"/>
    <w:rsid w:val="000878B9"/>
    <w:rsid w:val="00091185"/>
    <w:rsid w:val="00093911"/>
    <w:rsid w:val="00094626"/>
    <w:rsid w:val="0009519F"/>
    <w:rsid w:val="00097123"/>
    <w:rsid w:val="000A0AE2"/>
    <w:rsid w:val="000A1CCC"/>
    <w:rsid w:val="000A2349"/>
    <w:rsid w:val="000A2EEF"/>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F345B"/>
    <w:rsid w:val="000F37FF"/>
    <w:rsid w:val="000F3E6E"/>
    <w:rsid w:val="000F4129"/>
    <w:rsid w:val="000F5B06"/>
    <w:rsid w:val="000F5ECB"/>
    <w:rsid w:val="000F6BC0"/>
    <w:rsid w:val="000F74E0"/>
    <w:rsid w:val="000F7A75"/>
    <w:rsid w:val="000F7F8C"/>
    <w:rsid w:val="00100E4E"/>
    <w:rsid w:val="00101F69"/>
    <w:rsid w:val="00101F8B"/>
    <w:rsid w:val="00103A86"/>
    <w:rsid w:val="00105734"/>
    <w:rsid w:val="001069FB"/>
    <w:rsid w:val="00112114"/>
    <w:rsid w:val="001207E9"/>
    <w:rsid w:val="00123879"/>
    <w:rsid w:val="00123D47"/>
    <w:rsid w:val="00124153"/>
    <w:rsid w:val="00127F85"/>
    <w:rsid w:val="00132093"/>
    <w:rsid w:val="00135F8D"/>
    <w:rsid w:val="00136086"/>
    <w:rsid w:val="0013643E"/>
    <w:rsid w:val="00136A99"/>
    <w:rsid w:val="0013763C"/>
    <w:rsid w:val="0014134B"/>
    <w:rsid w:val="001429E4"/>
    <w:rsid w:val="001434C4"/>
    <w:rsid w:val="00144AF1"/>
    <w:rsid w:val="00144C0F"/>
    <w:rsid w:val="00146B6B"/>
    <w:rsid w:val="00154E01"/>
    <w:rsid w:val="0016001B"/>
    <w:rsid w:val="00161B46"/>
    <w:rsid w:val="00162A02"/>
    <w:rsid w:val="0016401E"/>
    <w:rsid w:val="00164645"/>
    <w:rsid w:val="00165097"/>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0E39"/>
    <w:rsid w:val="00192FA2"/>
    <w:rsid w:val="00195091"/>
    <w:rsid w:val="001A4688"/>
    <w:rsid w:val="001A6235"/>
    <w:rsid w:val="001A7B97"/>
    <w:rsid w:val="001A7E9F"/>
    <w:rsid w:val="001B0736"/>
    <w:rsid w:val="001B182A"/>
    <w:rsid w:val="001B23DF"/>
    <w:rsid w:val="001B3E1A"/>
    <w:rsid w:val="001B78B8"/>
    <w:rsid w:val="001B792B"/>
    <w:rsid w:val="001C2A95"/>
    <w:rsid w:val="001C3BC1"/>
    <w:rsid w:val="001D297A"/>
    <w:rsid w:val="001D532C"/>
    <w:rsid w:val="001E021F"/>
    <w:rsid w:val="001E5166"/>
    <w:rsid w:val="001E63A6"/>
    <w:rsid w:val="001E670C"/>
    <w:rsid w:val="001E7EC4"/>
    <w:rsid w:val="001F2756"/>
    <w:rsid w:val="001F5DBD"/>
    <w:rsid w:val="001F646F"/>
    <w:rsid w:val="001F7F91"/>
    <w:rsid w:val="00200342"/>
    <w:rsid w:val="00201237"/>
    <w:rsid w:val="00202335"/>
    <w:rsid w:val="00202D92"/>
    <w:rsid w:val="002034C2"/>
    <w:rsid w:val="00203AC5"/>
    <w:rsid w:val="00206F1A"/>
    <w:rsid w:val="002074CD"/>
    <w:rsid w:val="002108E8"/>
    <w:rsid w:val="002135F8"/>
    <w:rsid w:val="00217A36"/>
    <w:rsid w:val="00217B3F"/>
    <w:rsid w:val="00220C5E"/>
    <w:rsid w:val="00222612"/>
    <w:rsid w:val="002300CF"/>
    <w:rsid w:val="00231DCF"/>
    <w:rsid w:val="00231E94"/>
    <w:rsid w:val="00231FB6"/>
    <w:rsid w:val="00234A66"/>
    <w:rsid w:val="002354A2"/>
    <w:rsid w:val="002418AD"/>
    <w:rsid w:val="00241C2F"/>
    <w:rsid w:val="00243E8A"/>
    <w:rsid w:val="0024433A"/>
    <w:rsid w:val="002446DC"/>
    <w:rsid w:val="002452F6"/>
    <w:rsid w:val="002477F6"/>
    <w:rsid w:val="00247934"/>
    <w:rsid w:val="00252837"/>
    <w:rsid w:val="002531A5"/>
    <w:rsid w:val="00254756"/>
    <w:rsid w:val="002606E7"/>
    <w:rsid w:val="00260C60"/>
    <w:rsid w:val="002629C0"/>
    <w:rsid w:val="002652B4"/>
    <w:rsid w:val="00265F79"/>
    <w:rsid w:val="00267FC8"/>
    <w:rsid w:val="00270871"/>
    <w:rsid w:val="0027121B"/>
    <w:rsid w:val="0027312A"/>
    <w:rsid w:val="00273D6B"/>
    <w:rsid w:val="002753A8"/>
    <w:rsid w:val="0028241E"/>
    <w:rsid w:val="002867E0"/>
    <w:rsid w:val="00287E9E"/>
    <w:rsid w:val="00287F91"/>
    <w:rsid w:val="0029138D"/>
    <w:rsid w:val="00291B1B"/>
    <w:rsid w:val="00291D1C"/>
    <w:rsid w:val="00292956"/>
    <w:rsid w:val="002934B9"/>
    <w:rsid w:val="00293AB2"/>
    <w:rsid w:val="00294F5F"/>
    <w:rsid w:val="002952BC"/>
    <w:rsid w:val="0029679A"/>
    <w:rsid w:val="002968EA"/>
    <w:rsid w:val="002A19D6"/>
    <w:rsid w:val="002A1C9A"/>
    <w:rsid w:val="002A6A8D"/>
    <w:rsid w:val="002A73B4"/>
    <w:rsid w:val="002A7F40"/>
    <w:rsid w:val="002B1E2D"/>
    <w:rsid w:val="002B4848"/>
    <w:rsid w:val="002B73FC"/>
    <w:rsid w:val="002B763E"/>
    <w:rsid w:val="002C2B90"/>
    <w:rsid w:val="002C317D"/>
    <w:rsid w:val="002C3CEF"/>
    <w:rsid w:val="002C76FC"/>
    <w:rsid w:val="002D0555"/>
    <w:rsid w:val="002D175A"/>
    <w:rsid w:val="002D34A5"/>
    <w:rsid w:val="002D35C6"/>
    <w:rsid w:val="002D3FE3"/>
    <w:rsid w:val="002D5B4D"/>
    <w:rsid w:val="002D5F35"/>
    <w:rsid w:val="002E0E9F"/>
    <w:rsid w:val="002E2CA0"/>
    <w:rsid w:val="002E2D89"/>
    <w:rsid w:val="002E3119"/>
    <w:rsid w:val="002E424C"/>
    <w:rsid w:val="002E665D"/>
    <w:rsid w:val="002E6858"/>
    <w:rsid w:val="002E6BA0"/>
    <w:rsid w:val="002E737B"/>
    <w:rsid w:val="002F01F4"/>
    <w:rsid w:val="002F4F2E"/>
    <w:rsid w:val="002F6879"/>
    <w:rsid w:val="002F7C97"/>
    <w:rsid w:val="003006BF"/>
    <w:rsid w:val="003008B6"/>
    <w:rsid w:val="00300B8A"/>
    <w:rsid w:val="0030199B"/>
    <w:rsid w:val="00304669"/>
    <w:rsid w:val="003134D0"/>
    <w:rsid w:val="0031455C"/>
    <w:rsid w:val="00315CA6"/>
    <w:rsid w:val="0031688D"/>
    <w:rsid w:val="0032060F"/>
    <w:rsid w:val="0032136F"/>
    <w:rsid w:val="0032158E"/>
    <w:rsid w:val="00321C26"/>
    <w:rsid w:val="00321D49"/>
    <w:rsid w:val="00323BF8"/>
    <w:rsid w:val="003274C9"/>
    <w:rsid w:val="00334DFC"/>
    <w:rsid w:val="00335B69"/>
    <w:rsid w:val="00335E1F"/>
    <w:rsid w:val="00340269"/>
    <w:rsid w:val="00341462"/>
    <w:rsid w:val="00343947"/>
    <w:rsid w:val="00343D25"/>
    <w:rsid w:val="0034602D"/>
    <w:rsid w:val="0034731C"/>
    <w:rsid w:val="00350D9C"/>
    <w:rsid w:val="00352073"/>
    <w:rsid w:val="003520D2"/>
    <w:rsid w:val="00353324"/>
    <w:rsid w:val="0035334F"/>
    <w:rsid w:val="00353C2B"/>
    <w:rsid w:val="003541EA"/>
    <w:rsid w:val="00355255"/>
    <w:rsid w:val="0035786E"/>
    <w:rsid w:val="003604E6"/>
    <w:rsid w:val="00362824"/>
    <w:rsid w:val="00364E19"/>
    <w:rsid w:val="0036526C"/>
    <w:rsid w:val="00366D19"/>
    <w:rsid w:val="00366E70"/>
    <w:rsid w:val="00381E45"/>
    <w:rsid w:val="00383F0B"/>
    <w:rsid w:val="00385398"/>
    <w:rsid w:val="003861CD"/>
    <w:rsid w:val="00386BE2"/>
    <w:rsid w:val="003909B8"/>
    <w:rsid w:val="00391C88"/>
    <w:rsid w:val="00395A00"/>
    <w:rsid w:val="0039674E"/>
    <w:rsid w:val="003A2F53"/>
    <w:rsid w:val="003A61C9"/>
    <w:rsid w:val="003A7BDB"/>
    <w:rsid w:val="003B1518"/>
    <w:rsid w:val="003B477B"/>
    <w:rsid w:val="003B5360"/>
    <w:rsid w:val="003C1A26"/>
    <w:rsid w:val="003C2295"/>
    <w:rsid w:val="003C3E40"/>
    <w:rsid w:val="003C5B3E"/>
    <w:rsid w:val="003D1B12"/>
    <w:rsid w:val="003D2340"/>
    <w:rsid w:val="003D23B8"/>
    <w:rsid w:val="003D2828"/>
    <w:rsid w:val="003D2EFA"/>
    <w:rsid w:val="003D3346"/>
    <w:rsid w:val="003D408D"/>
    <w:rsid w:val="003D6CD3"/>
    <w:rsid w:val="003E3B27"/>
    <w:rsid w:val="003E51D5"/>
    <w:rsid w:val="003E77F1"/>
    <w:rsid w:val="003E7AB6"/>
    <w:rsid w:val="003F1407"/>
    <w:rsid w:val="003F41FE"/>
    <w:rsid w:val="003F5834"/>
    <w:rsid w:val="003F5E4A"/>
    <w:rsid w:val="003F7201"/>
    <w:rsid w:val="003F7FB5"/>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7241"/>
    <w:rsid w:val="00457969"/>
    <w:rsid w:val="00470214"/>
    <w:rsid w:val="004702A4"/>
    <w:rsid w:val="00470AC3"/>
    <w:rsid w:val="00470DDE"/>
    <w:rsid w:val="00473BFB"/>
    <w:rsid w:val="00476ABF"/>
    <w:rsid w:val="00481615"/>
    <w:rsid w:val="0048258B"/>
    <w:rsid w:val="004836AC"/>
    <w:rsid w:val="00484215"/>
    <w:rsid w:val="00484D26"/>
    <w:rsid w:val="00484DBE"/>
    <w:rsid w:val="004858C0"/>
    <w:rsid w:val="004861CC"/>
    <w:rsid w:val="004867C3"/>
    <w:rsid w:val="00490CC8"/>
    <w:rsid w:val="0049604C"/>
    <w:rsid w:val="00496A0A"/>
    <w:rsid w:val="004972E7"/>
    <w:rsid w:val="004A2765"/>
    <w:rsid w:val="004A4F5D"/>
    <w:rsid w:val="004A5C8C"/>
    <w:rsid w:val="004A60AC"/>
    <w:rsid w:val="004A667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08F6"/>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0F6C"/>
    <w:rsid w:val="00531FE5"/>
    <w:rsid w:val="00532F7C"/>
    <w:rsid w:val="00535553"/>
    <w:rsid w:val="0053625D"/>
    <w:rsid w:val="0053628E"/>
    <w:rsid w:val="00536989"/>
    <w:rsid w:val="00537D2D"/>
    <w:rsid w:val="00540E25"/>
    <w:rsid w:val="00541552"/>
    <w:rsid w:val="00545707"/>
    <w:rsid w:val="005473DF"/>
    <w:rsid w:val="00547E43"/>
    <w:rsid w:val="0055051A"/>
    <w:rsid w:val="00550D1C"/>
    <w:rsid w:val="005567C6"/>
    <w:rsid w:val="00556EB7"/>
    <w:rsid w:val="0055768A"/>
    <w:rsid w:val="00560F57"/>
    <w:rsid w:val="005620A7"/>
    <w:rsid w:val="005625D5"/>
    <w:rsid w:val="0056570D"/>
    <w:rsid w:val="00565ED8"/>
    <w:rsid w:val="00566BD4"/>
    <w:rsid w:val="00570797"/>
    <w:rsid w:val="00572443"/>
    <w:rsid w:val="0057724E"/>
    <w:rsid w:val="0058063A"/>
    <w:rsid w:val="005808E0"/>
    <w:rsid w:val="0058149B"/>
    <w:rsid w:val="0058192B"/>
    <w:rsid w:val="00581E11"/>
    <w:rsid w:val="00582367"/>
    <w:rsid w:val="00584A24"/>
    <w:rsid w:val="00585EC1"/>
    <w:rsid w:val="00586704"/>
    <w:rsid w:val="0059128B"/>
    <w:rsid w:val="005946C7"/>
    <w:rsid w:val="00595CFA"/>
    <w:rsid w:val="005A46D8"/>
    <w:rsid w:val="005A51D2"/>
    <w:rsid w:val="005A7BB6"/>
    <w:rsid w:val="005B62D6"/>
    <w:rsid w:val="005D3725"/>
    <w:rsid w:val="005D4FDB"/>
    <w:rsid w:val="005D6295"/>
    <w:rsid w:val="005D6659"/>
    <w:rsid w:val="005D7AF6"/>
    <w:rsid w:val="005E2FAA"/>
    <w:rsid w:val="005E3D64"/>
    <w:rsid w:val="005E45FD"/>
    <w:rsid w:val="005E5D0E"/>
    <w:rsid w:val="005E6167"/>
    <w:rsid w:val="005F1472"/>
    <w:rsid w:val="005F1B11"/>
    <w:rsid w:val="005F22E2"/>
    <w:rsid w:val="005F2EDA"/>
    <w:rsid w:val="005F318E"/>
    <w:rsid w:val="005F6695"/>
    <w:rsid w:val="006049A0"/>
    <w:rsid w:val="00606E3B"/>
    <w:rsid w:val="00607E8A"/>
    <w:rsid w:val="0061141D"/>
    <w:rsid w:val="006137C4"/>
    <w:rsid w:val="00615160"/>
    <w:rsid w:val="006154A6"/>
    <w:rsid w:val="00615993"/>
    <w:rsid w:val="00615BEC"/>
    <w:rsid w:val="00616062"/>
    <w:rsid w:val="00620A11"/>
    <w:rsid w:val="00624B9B"/>
    <w:rsid w:val="0062508B"/>
    <w:rsid w:val="00625CB7"/>
    <w:rsid w:val="00630B07"/>
    <w:rsid w:val="0063464A"/>
    <w:rsid w:val="00636B52"/>
    <w:rsid w:val="00641F0A"/>
    <w:rsid w:val="006421A8"/>
    <w:rsid w:val="00642BA7"/>
    <w:rsid w:val="00643C1D"/>
    <w:rsid w:val="00643E89"/>
    <w:rsid w:val="00645D4B"/>
    <w:rsid w:val="00646407"/>
    <w:rsid w:val="00651051"/>
    <w:rsid w:val="0065448C"/>
    <w:rsid w:val="0066244E"/>
    <w:rsid w:val="00665DD7"/>
    <w:rsid w:val="006662BB"/>
    <w:rsid w:val="00667476"/>
    <w:rsid w:val="00670CB9"/>
    <w:rsid w:val="006737C8"/>
    <w:rsid w:val="00675289"/>
    <w:rsid w:val="00675810"/>
    <w:rsid w:val="00677A79"/>
    <w:rsid w:val="00681216"/>
    <w:rsid w:val="006835C3"/>
    <w:rsid w:val="00685854"/>
    <w:rsid w:val="00685E9E"/>
    <w:rsid w:val="00686EE7"/>
    <w:rsid w:val="00687212"/>
    <w:rsid w:val="00690397"/>
    <w:rsid w:val="00692281"/>
    <w:rsid w:val="00693711"/>
    <w:rsid w:val="00694D5D"/>
    <w:rsid w:val="006951CF"/>
    <w:rsid w:val="006958C0"/>
    <w:rsid w:val="00696A4E"/>
    <w:rsid w:val="006971BC"/>
    <w:rsid w:val="006A0193"/>
    <w:rsid w:val="006A13AC"/>
    <w:rsid w:val="006A5182"/>
    <w:rsid w:val="006A5DC8"/>
    <w:rsid w:val="006A65A7"/>
    <w:rsid w:val="006A664E"/>
    <w:rsid w:val="006B098C"/>
    <w:rsid w:val="006B2978"/>
    <w:rsid w:val="006B311A"/>
    <w:rsid w:val="006B315C"/>
    <w:rsid w:val="006B3FF4"/>
    <w:rsid w:val="006C1B57"/>
    <w:rsid w:val="006C1F3B"/>
    <w:rsid w:val="006C2072"/>
    <w:rsid w:val="006C23B9"/>
    <w:rsid w:val="006C3731"/>
    <w:rsid w:val="006D0CCD"/>
    <w:rsid w:val="006D1972"/>
    <w:rsid w:val="006D1F18"/>
    <w:rsid w:val="006D25B3"/>
    <w:rsid w:val="006D4071"/>
    <w:rsid w:val="006D6578"/>
    <w:rsid w:val="006E168A"/>
    <w:rsid w:val="006E38C9"/>
    <w:rsid w:val="006E459D"/>
    <w:rsid w:val="006E5EAA"/>
    <w:rsid w:val="006E699A"/>
    <w:rsid w:val="006E74F5"/>
    <w:rsid w:val="006E78BD"/>
    <w:rsid w:val="006E791B"/>
    <w:rsid w:val="006F03E1"/>
    <w:rsid w:val="006F1766"/>
    <w:rsid w:val="006F6C4C"/>
    <w:rsid w:val="0070084E"/>
    <w:rsid w:val="0070351A"/>
    <w:rsid w:val="007103FD"/>
    <w:rsid w:val="00710F8C"/>
    <w:rsid w:val="00711729"/>
    <w:rsid w:val="00712A61"/>
    <w:rsid w:val="0071385C"/>
    <w:rsid w:val="007204DB"/>
    <w:rsid w:val="007207C9"/>
    <w:rsid w:val="0072168E"/>
    <w:rsid w:val="00722FBA"/>
    <w:rsid w:val="007241B3"/>
    <w:rsid w:val="007248F4"/>
    <w:rsid w:val="00724CB4"/>
    <w:rsid w:val="007263ED"/>
    <w:rsid w:val="00726A25"/>
    <w:rsid w:val="00727DFE"/>
    <w:rsid w:val="0073340D"/>
    <w:rsid w:val="007338AF"/>
    <w:rsid w:val="00737FB5"/>
    <w:rsid w:val="007403FC"/>
    <w:rsid w:val="00742F00"/>
    <w:rsid w:val="00750911"/>
    <w:rsid w:val="00751F91"/>
    <w:rsid w:val="00757318"/>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2FB1"/>
    <w:rsid w:val="007B536E"/>
    <w:rsid w:val="007B57D9"/>
    <w:rsid w:val="007B6E38"/>
    <w:rsid w:val="007B7801"/>
    <w:rsid w:val="007C0B15"/>
    <w:rsid w:val="007C0FCA"/>
    <w:rsid w:val="007C2928"/>
    <w:rsid w:val="007C2C9B"/>
    <w:rsid w:val="007C4BFF"/>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5984"/>
    <w:rsid w:val="00816D32"/>
    <w:rsid w:val="00817229"/>
    <w:rsid w:val="008201D8"/>
    <w:rsid w:val="00823940"/>
    <w:rsid w:val="00824CF8"/>
    <w:rsid w:val="00825A27"/>
    <w:rsid w:val="00826371"/>
    <w:rsid w:val="0083068F"/>
    <w:rsid w:val="00830D96"/>
    <w:rsid w:val="00835502"/>
    <w:rsid w:val="008401C6"/>
    <w:rsid w:val="00842565"/>
    <w:rsid w:val="00844024"/>
    <w:rsid w:val="0084498D"/>
    <w:rsid w:val="00850637"/>
    <w:rsid w:val="00852FDF"/>
    <w:rsid w:val="00853528"/>
    <w:rsid w:val="008554F3"/>
    <w:rsid w:val="0086173E"/>
    <w:rsid w:val="00861A6D"/>
    <w:rsid w:val="00864900"/>
    <w:rsid w:val="008650CC"/>
    <w:rsid w:val="00871284"/>
    <w:rsid w:val="00871A7E"/>
    <w:rsid w:val="00874608"/>
    <w:rsid w:val="008757E7"/>
    <w:rsid w:val="008758EA"/>
    <w:rsid w:val="0087603B"/>
    <w:rsid w:val="0087661F"/>
    <w:rsid w:val="00876C1D"/>
    <w:rsid w:val="008806FF"/>
    <w:rsid w:val="00880868"/>
    <w:rsid w:val="008852FB"/>
    <w:rsid w:val="00885781"/>
    <w:rsid w:val="008905B7"/>
    <w:rsid w:val="00894190"/>
    <w:rsid w:val="008952AD"/>
    <w:rsid w:val="008968CE"/>
    <w:rsid w:val="00896E4B"/>
    <w:rsid w:val="00897C06"/>
    <w:rsid w:val="008A18E2"/>
    <w:rsid w:val="008A245F"/>
    <w:rsid w:val="008A4CD7"/>
    <w:rsid w:val="008A6376"/>
    <w:rsid w:val="008A6815"/>
    <w:rsid w:val="008A6A96"/>
    <w:rsid w:val="008B0FE3"/>
    <w:rsid w:val="008B2A24"/>
    <w:rsid w:val="008B313A"/>
    <w:rsid w:val="008B412C"/>
    <w:rsid w:val="008B4C51"/>
    <w:rsid w:val="008B702D"/>
    <w:rsid w:val="008B7AC3"/>
    <w:rsid w:val="008C23F3"/>
    <w:rsid w:val="008C34E9"/>
    <w:rsid w:val="008C463B"/>
    <w:rsid w:val="008C6DFC"/>
    <w:rsid w:val="008C70E8"/>
    <w:rsid w:val="008C795C"/>
    <w:rsid w:val="008D03C4"/>
    <w:rsid w:val="008D2228"/>
    <w:rsid w:val="008D33E3"/>
    <w:rsid w:val="008D3709"/>
    <w:rsid w:val="008D59DB"/>
    <w:rsid w:val="008D5E13"/>
    <w:rsid w:val="008E461E"/>
    <w:rsid w:val="008E514D"/>
    <w:rsid w:val="008E5A20"/>
    <w:rsid w:val="008E5ABA"/>
    <w:rsid w:val="008E6C98"/>
    <w:rsid w:val="008E784D"/>
    <w:rsid w:val="008E7A67"/>
    <w:rsid w:val="008E7C1B"/>
    <w:rsid w:val="008F0E38"/>
    <w:rsid w:val="008F1CB5"/>
    <w:rsid w:val="008F26F6"/>
    <w:rsid w:val="008F4025"/>
    <w:rsid w:val="008F48EA"/>
    <w:rsid w:val="008F6908"/>
    <w:rsid w:val="00911492"/>
    <w:rsid w:val="00911682"/>
    <w:rsid w:val="00911DA3"/>
    <w:rsid w:val="009148F9"/>
    <w:rsid w:val="009154BF"/>
    <w:rsid w:val="009164A3"/>
    <w:rsid w:val="009164D4"/>
    <w:rsid w:val="00921D32"/>
    <w:rsid w:val="00924D9E"/>
    <w:rsid w:val="00927D9D"/>
    <w:rsid w:val="0093398E"/>
    <w:rsid w:val="0093468D"/>
    <w:rsid w:val="0093724D"/>
    <w:rsid w:val="00942B7F"/>
    <w:rsid w:val="00942D0C"/>
    <w:rsid w:val="00945B5C"/>
    <w:rsid w:val="00946FC2"/>
    <w:rsid w:val="00951232"/>
    <w:rsid w:val="00951278"/>
    <w:rsid w:val="0095651E"/>
    <w:rsid w:val="00956A14"/>
    <w:rsid w:val="00961CE9"/>
    <w:rsid w:val="0096217D"/>
    <w:rsid w:val="009625A5"/>
    <w:rsid w:val="0096260A"/>
    <w:rsid w:val="00962B14"/>
    <w:rsid w:val="00962E16"/>
    <w:rsid w:val="009645EB"/>
    <w:rsid w:val="009646FC"/>
    <w:rsid w:val="00964F3E"/>
    <w:rsid w:val="00965D54"/>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0DA"/>
    <w:rsid w:val="009B2C44"/>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16CD2"/>
    <w:rsid w:val="00A179C9"/>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3D3"/>
    <w:rsid w:val="00A61FD0"/>
    <w:rsid w:val="00A62D92"/>
    <w:rsid w:val="00A650F4"/>
    <w:rsid w:val="00A71542"/>
    <w:rsid w:val="00A715B4"/>
    <w:rsid w:val="00A71CF1"/>
    <w:rsid w:val="00A72B3B"/>
    <w:rsid w:val="00A72C03"/>
    <w:rsid w:val="00A737AF"/>
    <w:rsid w:val="00A76EDB"/>
    <w:rsid w:val="00A77F8F"/>
    <w:rsid w:val="00A80814"/>
    <w:rsid w:val="00A820E0"/>
    <w:rsid w:val="00A828E5"/>
    <w:rsid w:val="00A83E8C"/>
    <w:rsid w:val="00A845EF"/>
    <w:rsid w:val="00A84D4E"/>
    <w:rsid w:val="00A86931"/>
    <w:rsid w:val="00A90FA1"/>
    <w:rsid w:val="00A9242B"/>
    <w:rsid w:val="00A930DF"/>
    <w:rsid w:val="00A9362A"/>
    <w:rsid w:val="00A93712"/>
    <w:rsid w:val="00A96317"/>
    <w:rsid w:val="00AA05B1"/>
    <w:rsid w:val="00AA20B5"/>
    <w:rsid w:val="00AA2512"/>
    <w:rsid w:val="00AA4713"/>
    <w:rsid w:val="00AA71F7"/>
    <w:rsid w:val="00AA7419"/>
    <w:rsid w:val="00AB07B7"/>
    <w:rsid w:val="00AB0A6B"/>
    <w:rsid w:val="00AB0BB7"/>
    <w:rsid w:val="00AB1E4D"/>
    <w:rsid w:val="00AB3121"/>
    <w:rsid w:val="00AB3792"/>
    <w:rsid w:val="00AB5B89"/>
    <w:rsid w:val="00AB797B"/>
    <w:rsid w:val="00AC1E2C"/>
    <w:rsid w:val="00AC52C7"/>
    <w:rsid w:val="00AC570F"/>
    <w:rsid w:val="00AC77B1"/>
    <w:rsid w:val="00AD3124"/>
    <w:rsid w:val="00AD3630"/>
    <w:rsid w:val="00AD3A5A"/>
    <w:rsid w:val="00AD3C25"/>
    <w:rsid w:val="00AD6E58"/>
    <w:rsid w:val="00AE0A28"/>
    <w:rsid w:val="00AE49D4"/>
    <w:rsid w:val="00AE540F"/>
    <w:rsid w:val="00AE6484"/>
    <w:rsid w:val="00AE6968"/>
    <w:rsid w:val="00AF022E"/>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09E"/>
    <w:rsid w:val="00B229DE"/>
    <w:rsid w:val="00B22D54"/>
    <w:rsid w:val="00B23BB3"/>
    <w:rsid w:val="00B23EF9"/>
    <w:rsid w:val="00B25288"/>
    <w:rsid w:val="00B25D8A"/>
    <w:rsid w:val="00B25E6A"/>
    <w:rsid w:val="00B322B8"/>
    <w:rsid w:val="00B33FAA"/>
    <w:rsid w:val="00B35561"/>
    <w:rsid w:val="00B3679B"/>
    <w:rsid w:val="00B37C6A"/>
    <w:rsid w:val="00B412C9"/>
    <w:rsid w:val="00B452AF"/>
    <w:rsid w:val="00B4786E"/>
    <w:rsid w:val="00B5054B"/>
    <w:rsid w:val="00B51BEA"/>
    <w:rsid w:val="00B5286A"/>
    <w:rsid w:val="00B541FC"/>
    <w:rsid w:val="00B54B06"/>
    <w:rsid w:val="00B55F22"/>
    <w:rsid w:val="00B604E9"/>
    <w:rsid w:val="00B62507"/>
    <w:rsid w:val="00B62607"/>
    <w:rsid w:val="00B6481E"/>
    <w:rsid w:val="00B665C6"/>
    <w:rsid w:val="00B73168"/>
    <w:rsid w:val="00B76200"/>
    <w:rsid w:val="00B766AC"/>
    <w:rsid w:val="00B82DDF"/>
    <w:rsid w:val="00B85675"/>
    <w:rsid w:val="00B8687B"/>
    <w:rsid w:val="00B86EC6"/>
    <w:rsid w:val="00B90675"/>
    <w:rsid w:val="00B95C50"/>
    <w:rsid w:val="00B97F02"/>
    <w:rsid w:val="00BA0296"/>
    <w:rsid w:val="00BA1D47"/>
    <w:rsid w:val="00BA2D8B"/>
    <w:rsid w:val="00BA4FAC"/>
    <w:rsid w:val="00BA5078"/>
    <w:rsid w:val="00BA5264"/>
    <w:rsid w:val="00BA583B"/>
    <w:rsid w:val="00BA6294"/>
    <w:rsid w:val="00BA67B9"/>
    <w:rsid w:val="00BA6C73"/>
    <w:rsid w:val="00BB081F"/>
    <w:rsid w:val="00BB3E50"/>
    <w:rsid w:val="00BB6660"/>
    <w:rsid w:val="00BB7087"/>
    <w:rsid w:val="00BC094F"/>
    <w:rsid w:val="00BC0D39"/>
    <w:rsid w:val="00BC460E"/>
    <w:rsid w:val="00BC4F92"/>
    <w:rsid w:val="00BC5F98"/>
    <w:rsid w:val="00BC5FB4"/>
    <w:rsid w:val="00BC63F6"/>
    <w:rsid w:val="00BC708E"/>
    <w:rsid w:val="00BC79E7"/>
    <w:rsid w:val="00BD1E2D"/>
    <w:rsid w:val="00BD3721"/>
    <w:rsid w:val="00BE0AE2"/>
    <w:rsid w:val="00BE1825"/>
    <w:rsid w:val="00BE32D8"/>
    <w:rsid w:val="00BE49A5"/>
    <w:rsid w:val="00BE642B"/>
    <w:rsid w:val="00BE6BB9"/>
    <w:rsid w:val="00BE7EEF"/>
    <w:rsid w:val="00BF2899"/>
    <w:rsid w:val="00BF4933"/>
    <w:rsid w:val="00BF4D62"/>
    <w:rsid w:val="00BF5375"/>
    <w:rsid w:val="00BF650E"/>
    <w:rsid w:val="00BF6E15"/>
    <w:rsid w:val="00BF6F52"/>
    <w:rsid w:val="00BF76E3"/>
    <w:rsid w:val="00BF786F"/>
    <w:rsid w:val="00BF7D83"/>
    <w:rsid w:val="00C0099B"/>
    <w:rsid w:val="00C02D8B"/>
    <w:rsid w:val="00C04BCD"/>
    <w:rsid w:val="00C04E54"/>
    <w:rsid w:val="00C06291"/>
    <w:rsid w:val="00C07DF5"/>
    <w:rsid w:val="00C1004A"/>
    <w:rsid w:val="00C1178D"/>
    <w:rsid w:val="00C11CE1"/>
    <w:rsid w:val="00C12E40"/>
    <w:rsid w:val="00C15783"/>
    <w:rsid w:val="00C15C78"/>
    <w:rsid w:val="00C2349D"/>
    <w:rsid w:val="00C26ABB"/>
    <w:rsid w:val="00C36BBA"/>
    <w:rsid w:val="00C3761C"/>
    <w:rsid w:val="00C418E7"/>
    <w:rsid w:val="00C44968"/>
    <w:rsid w:val="00C46497"/>
    <w:rsid w:val="00C500EF"/>
    <w:rsid w:val="00C50373"/>
    <w:rsid w:val="00C5069F"/>
    <w:rsid w:val="00C50FC5"/>
    <w:rsid w:val="00C539DA"/>
    <w:rsid w:val="00C541A0"/>
    <w:rsid w:val="00C55CAC"/>
    <w:rsid w:val="00C56A8D"/>
    <w:rsid w:val="00C62E9D"/>
    <w:rsid w:val="00C6461C"/>
    <w:rsid w:val="00C655B8"/>
    <w:rsid w:val="00C669A6"/>
    <w:rsid w:val="00C70540"/>
    <w:rsid w:val="00C749E4"/>
    <w:rsid w:val="00C7552E"/>
    <w:rsid w:val="00C77E2F"/>
    <w:rsid w:val="00C87988"/>
    <w:rsid w:val="00C911D8"/>
    <w:rsid w:val="00C91DAE"/>
    <w:rsid w:val="00C92A58"/>
    <w:rsid w:val="00C93549"/>
    <w:rsid w:val="00C938C2"/>
    <w:rsid w:val="00C93A1E"/>
    <w:rsid w:val="00C93CEA"/>
    <w:rsid w:val="00C9482E"/>
    <w:rsid w:val="00C95C20"/>
    <w:rsid w:val="00C96FDD"/>
    <w:rsid w:val="00CA0F0E"/>
    <w:rsid w:val="00CA23FA"/>
    <w:rsid w:val="00CA3125"/>
    <w:rsid w:val="00CA3A3D"/>
    <w:rsid w:val="00CA59D5"/>
    <w:rsid w:val="00CA663E"/>
    <w:rsid w:val="00CA7130"/>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79"/>
    <w:rsid w:val="00D11AA0"/>
    <w:rsid w:val="00D20419"/>
    <w:rsid w:val="00D2066F"/>
    <w:rsid w:val="00D23845"/>
    <w:rsid w:val="00D24994"/>
    <w:rsid w:val="00D24ECB"/>
    <w:rsid w:val="00D275E9"/>
    <w:rsid w:val="00D3000A"/>
    <w:rsid w:val="00D30AF4"/>
    <w:rsid w:val="00D30B0B"/>
    <w:rsid w:val="00D30BCE"/>
    <w:rsid w:val="00D34028"/>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C98"/>
    <w:rsid w:val="00D91551"/>
    <w:rsid w:val="00D91F2F"/>
    <w:rsid w:val="00D92A71"/>
    <w:rsid w:val="00D92E31"/>
    <w:rsid w:val="00D95C5E"/>
    <w:rsid w:val="00D974DF"/>
    <w:rsid w:val="00D977F5"/>
    <w:rsid w:val="00D97A4B"/>
    <w:rsid w:val="00DA1602"/>
    <w:rsid w:val="00DA244B"/>
    <w:rsid w:val="00DA339C"/>
    <w:rsid w:val="00DA573F"/>
    <w:rsid w:val="00DA6C95"/>
    <w:rsid w:val="00DB07EB"/>
    <w:rsid w:val="00DB090B"/>
    <w:rsid w:val="00DB393F"/>
    <w:rsid w:val="00DB4041"/>
    <w:rsid w:val="00DC2E80"/>
    <w:rsid w:val="00DC48F5"/>
    <w:rsid w:val="00DC5C73"/>
    <w:rsid w:val="00DC76A1"/>
    <w:rsid w:val="00DD5437"/>
    <w:rsid w:val="00DD7C3A"/>
    <w:rsid w:val="00DE0A5D"/>
    <w:rsid w:val="00DE2C87"/>
    <w:rsid w:val="00DE31EA"/>
    <w:rsid w:val="00DF061E"/>
    <w:rsid w:val="00DF0D87"/>
    <w:rsid w:val="00DF16DA"/>
    <w:rsid w:val="00DF43A3"/>
    <w:rsid w:val="00DF4A16"/>
    <w:rsid w:val="00DF53EF"/>
    <w:rsid w:val="00DF5A89"/>
    <w:rsid w:val="00DF685B"/>
    <w:rsid w:val="00E011DA"/>
    <w:rsid w:val="00E03289"/>
    <w:rsid w:val="00E03798"/>
    <w:rsid w:val="00E038AB"/>
    <w:rsid w:val="00E05710"/>
    <w:rsid w:val="00E114C9"/>
    <w:rsid w:val="00E12647"/>
    <w:rsid w:val="00E1274C"/>
    <w:rsid w:val="00E12A76"/>
    <w:rsid w:val="00E12C38"/>
    <w:rsid w:val="00E140A3"/>
    <w:rsid w:val="00E206F6"/>
    <w:rsid w:val="00E210AF"/>
    <w:rsid w:val="00E26064"/>
    <w:rsid w:val="00E266E8"/>
    <w:rsid w:val="00E27106"/>
    <w:rsid w:val="00E30699"/>
    <w:rsid w:val="00E32CEA"/>
    <w:rsid w:val="00E33A27"/>
    <w:rsid w:val="00E35582"/>
    <w:rsid w:val="00E36633"/>
    <w:rsid w:val="00E373D4"/>
    <w:rsid w:val="00E41540"/>
    <w:rsid w:val="00E50FC5"/>
    <w:rsid w:val="00E52BB8"/>
    <w:rsid w:val="00E52EE3"/>
    <w:rsid w:val="00E54BF8"/>
    <w:rsid w:val="00E55878"/>
    <w:rsid w:val="00E55B0E"/>
    <w:rsid w:val="00E55F63"/>
    <w:rsid w:val="00E56403"/>
    <w:rsid w:val="00E62DBC"/>
    <w:rsid w:val="00E630D2"/>
    <w:rsid w:val="00E65C58"/>
    <w:rsid w:val="00E6661B"/>
    <w:rsid w:val="00E667B9"/>
    <w:rsid w:val="00E67D62"/>
    <w:rsid w:val="00E67EC6"/>
    <w:rsid w:val="00E67ECD"/>
    <w:rsid w:val="00E729DB"/>
    <w:rsid w:val="00E73248"/>
    <w:rsid w:val="00E73610"/>
    <w:rsid w:val="00E777B3"/>
    <w:rsid w:val="00E77D81"/>
    <w:rsid w:val="00E81033"/>
    <w:rsid w:val="00E810C3"/>
    <w:rsid w:val="00E848E7"/>
    <w:rsid w:val="00E84EC5"/>
    <w:rsid w:val="00E859C4"/>
    <w:rsid w:val="00E93577"/>
    <w:rsid w:val="00E94837"/>
    <w:rsid w:val="00E95C79"/>
    <w:rsid w:val="00E9650A"/>
    <w:rsid w:val="00E965BF"/>
    <w:rsid w:val="00E97B57"/>
    <w:rsid w:val="00EA1E6F"/>
    <w:rsid w:val="00EA3258"/>
    <w:rsid w:val="00EA444E"/>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35D5"/>
    <w:rsid w:val="00EE4FEC"/>
    <w:rsid w:val="00EE57BE"/>
    <w:rsid w:val="00EE6875"/>
    <w:rsid w:val="00EF0218"/>
    <w:rsid w:val="00EF06AA"/>
    <w:rsid w:val="00EF0D9C"/>
    <w:rsid w:val="00EF19A3"/>
    <w:rsid w:val="00EF1FC5"/>
    <w:rsid w:val="00EF22CD"/>
    <w:rsid w:val="00EF2D43"/>
    <w:rsid w:val="00EF4691"/>
    <w:rsid w:val="00EF676C"/>
    <w:rsid w:val="00EF6CF5"/>
    <w:rsid w:val="00F07CA5"/>
    <w:rsid w:val="00F14FCA"/>
    <w:rsid w:val="00F16538"/>
    <w:rsid w:val="00F1653A"/>
    <w:rsid w:val="00F168A7"/>
    <w:rsid w:val="00F16DE1"/>
    <w:rsid w:val="00F170F2"/>
    <w:rsid w:val="00F20CB6"/>
    <w:rsid w:val="00F2155C"/>
    <w:rsid w:val="00F220BE"/>
    <w:rsid w:val="00F232DC"/>
    <w:rsid w:val="00F23802"/>
    <w:rsid w:val="00F307C5"/>
    <w:rsid w:val="00F31D56"/>
    <w:rsid w:val="00F352CC"/>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2EA8"/>
    <w:rsid w:val="00FF37F6"/>
    <w:rsid w:val="00FF3CDB"/>
    <w:rsid w:val="00FF4ADD"/>
    <w:rsid w:val="010C243E"/>
    <w:rsid w:val="0177451A"/>
    <w:rsid w:val="022A4957"/>
    <w:rsid w:val="029429C0"/>
    <w:rsid w:val="02B9088F"/>
    <w:rsid w:val="03D114A6"/>
    <w:rsid w:val="053A4512"/>
    <w:rsid w:val="056472A7"/>
    <w:rsid w:val="0594536B"/>
    <w:rsid w:val="060F23F6"/>
    <w:rsid w:val="062E5C80"/>
    <w:rsid w:val="064E2EED"/>
    <w:rsid w:val="06D05598"/>
    <w:rsid w:val="073A5A0B"/>
    <w:rsid w:val="08293F3F"/>
    <w:rsid w:val="08A8171F"/>
    <w:rsid w:val="0A146488"/>
    <w:rsid w:val="0C0C7F03"/>
    <w:rsid w:val="0C810017"/>
    <w:rsid w:val="0D7A2203"/>
    <w:rsid w:val="0DB22432"/>
    <w:rsid w:val="0E100F06"/>
    <w:rsid w:val="0FCE162A"/>
    <w:rsid w:val="0FEA7549"/>
    <w:rsid w:val="100D3381"/>
    <w:rsid w:val="10394D25"/>
    <w:rsid w:val="10CD0C76"/>
    <w:rsid w:val="125D09C4"/>
    <w:rsid w:val="129C0588"/>
    <w:rsid w:val="143A62A9"/>
    <w:rsid w:val="15893913"/>
    <w:rsid w:val="15D419A2"/>
    <w:rsid w:val="17FC3582"/>
    <w:rsid w:val="18631508"/>
    <w:rsid w:val="18D37C2C"/>
    <w:rsid w:val="190F22AF"/>
    <w:rsid w:val="1AA61AEA"/>
    <w:rsid w:val="1AC20DB1"/>
    <w:rsid w:val="1BDD2C67"/>
    <w:rsid w:val="1C145B71"/>
    <w:rsid w:val="1C650765"/>
    <w:rsid w:val="1CC51319"/>
    <w:rsid w:val="1CF8608C"/>
    <w:rsid w:val="1D7D6133"/>
    <w:rsid w:val="1E457626"/>
    <w:rsid w:val="1E851D92"/>
    <w:rsid w:val="1EDF470C"/>
    <w:rsid w:val="1EFD6E6C"/>
    <w:rsid w:val="1F3A5DE3"/>
    <w:rsid w:val="1F3E7B44"/>
    <w:rsid w:val="21554126"/>
    <w:rsid w:val="224E4BB7"/>
    <w:rsid w:val="22C43E51"/>
    <w:rsid w:val="231F3C6E"/>
    <w:rsid w:val="23553B73"/>
    <w:rsid w:val="24FE227B"/>
    <w:rsid w:val="259B2C26"/>
    <w:rsid w:val="259C54CD"/>
    <w:rsid w:val="25E04236"/>
    <w:rsid w:val="25E06F6D"/>
    <w:rsid w:val="270677F6"/>
    <w:rsid w:val="27835BB9"/>
    <w:rsid w:val="28611E55"/>
    <w:rsid w:val="28640D08"/>
    <w:rsid w:val="2867552D"/>
    <w:rsid w:val="296C7298"/>
    <w:rsid w:val="2A1533F1"/>
    <w:rsid w:val="2AF9163E"/>
    <w:rsid w:val="2B603563"/>
    <w:rsid w:val="2C1A1476"/>
    <w:rsid w:val="2CAC016D"/>
    <w:rsid w:val="2E540FF5"/>
    <w:rsid w:val="2F303A50"/>
    <w:rsid w:val="2FE500E7"/>
    <w:rsid w:val="2FF26266"/>
    <w:rsid w:val="2FF4615F"/>
    <w:rsid w:val="30017D16"/>
    <w:rsid w:val="313E6B35"/>
    <w:rsid w:val="31406246"/>
    <w:rsid w:val="31D75713"/>
    <w:rsid w:val="32ED37E3"/>
    <w:rsid w:val="33307726"/>
    <w:rsid w:val="33B259C6"/>
    <w:rsid w:val="34012DD3"/>
    <w:rsid w:val="3421711A"/>
    <w:rsid w:val="344C5DDD"/>
    <w:rsid w:val="34F53693"/>
    <w:rsid w:val="34FF7FF6"/>
    <w:rsid w:val="35183D0B"/>
    <w:rsid w:val="365C25BF"/>
    <w:rsid w:val="36716344"/>
    <w:rsid w:val="375570E7"/>
    <w:rsid w:val="3763257B"/>
    <w:rsid w:val="37B242A6"/>
    <w:rsid w:val="38534909"/>
    <w:rsid w:val="39327D9D"/>
    <w:rsid w:val="3CA232BF"/>
    <w:rsid w:val="3CF116DA"/>
    <w:rsid w:val="3DA617F4"/>
    <w:rsid w:val="3EB9732A"/>
    <w:rsid w:val="3EF458F2"/>
    <w:rsid w:val="3F1475D7"/>
    <w:rsid w:val="3FEC39BC"/>
    <w:rsid w:val="4079274E"/>
    <w:rsid w:val="41BB6572"/>
    <w:rsid w:val="41F67E38"/>
    <w:rsid w:val="42995385"/>
    <w:rsid w:val="42A46A55"/>
    <w:rsid w:val="42EB676C"/>
    <w:rsid w:val="430A40F5"/>
    <w:rsid w:val="434A3F97"/>
    <w:rsid w:val="43E60433"/>
    <w:rsid w:val="442806E9"/>
    <w:rsid w:val="456F4189"/>
    <w:rsid w:val="475F73CA"/>
    <w:rsid w:val="47D76015"/>
    <w:rsid w:val="482C2C53"/>
    <w:rsid w:val="4A633E34"/>
    <w:rsid w:val="4A7C7E25"/>
    <w:rsid w:val="4B645E12"/>
    <w:rsid w:val="4B86701D"/>
    <w:rsid w:val="4BE20DB5"/>
    <w:rsid w:val="4C437568"/>
    <w:rsid w:val="4CB71AC3"/>
    <w:rsid w:val="4D362CF9"/>
    <w:rsid w:val="4D407FCA"/>
    <w:rsid w:val="4D917D90"/>
    <w:rsid w:val="4D965452"/>
    <w:rsid w:val="4E414071"/>
    <w:rsid w:val="4ED232B7"/>
    <w:rsid w:val="4F654D29"/>
    <w:rsid w:val="4F935FCE"/>
    <w:rsid w:val="4F9D5515"/>
    <w:rsid w:val="50265D8C"/>
    <w:rsid w:val="506B4AF8"/>
    <w:rsid w:val="50AD2765"/>
    <w:rsid w:val="50EB2332"/>
    <w:rsid w:val="512B337B"/>
    <w:rsid w:val="51A90A23"/>
    <w:rsid w:val="51D02D3D"/>
    <w:rsid w:val="53136342"/>
    <w:rsid w:val="543010E1"/>
    <w:rsid w:val="54E7352F"/>
    <w:rsid w:val="551E1174"/>
    <w:rsid w:val="552D350C"/>
    <w:rsid w:val="563923A0"/>
    <w:rsid w:val="570F4F7D"/>
    <w:rsid w:val="59456006"/>
    <w:rsid w:val="59526FF3"/>
    <w:rsid w:val="598A50F9"/>
    <w:rsid w:val="5AAB1367"/>
    <w:rsid w:val="5B51560B"/>
    <w:rsid w:val="5C414D69"/>
    <w:rsid w:val="5C8F26A2"/>
    <w:rsid w:val="5CD31049"/>
    <w:rsid w:val="5DC310BE"/>
    <w:rsid w:val="5DC91399"/>
    <w:rsid w:val="5EB43C37"/>
    <w:rsid w:val="5EF673A8"/>
    <w:rsid w:val="5F042B44"/>
    <w:rsid w:val="5F223242"/>
    <w:rsid w:val="5F8A7A45"/>
    <w:rsid w:val="5FD77BF8"/>
    <w:rsid w:val="5FE07D05"/>
    <w:rsid w:val="60F72949"/>
    <w:rsid w:val="60FE2C3A"/>
    <w:rsid w:val="619D5782"/>
    <w:rsid w:val="62AF0875"/>
    <w:rsid w:val="62D86491"/>
    <w:rsid w:val="631452EA"/>
    <w:rsid w:val="63F7561D"/>
    <w:rsid w:val="64152AEC"/>
    <w:rsid w:val="647C424F"/>
    <w:rsid w:val="647E7AED"/>
    <w:rsid w:val="656D3B1C"/>
    <w:rsid w:val="65C1309B"/>
    <w:rsid w:val="66255F81"/>
    <w:rsid w:val="664C049A"/>
    <w:rsid w:val="675F6813"/>
    <w:rsid w:val="678251B1"/>
    <w:rsid w:val="678D59CD"/>
    <w:rsid w:val="67920941"/>
    <w:rsid w:val="68464DC5"/>
    <w:rsid w:val="687A5294"/>
    <w:rsid w:val="68C862B7"/>
    <w:rsid w:val="6A3363C3"/>
    <w:rsid w:val="6B362ECF"/>
    <w:rsid w:val="6BBB1626"/>
    <w:rsid w:val="6C613771"/>
    <w:rsid w:val="6E155029"/>
    <w:rsid w:val="6F5114F1"/>
    <w:rsid w:val="70651EF6"/>
    <w:rsid w:val="71BB1EC8"/>
    <w:rsid w:val="71C34CA5"/>
    <w:rsid w:val="71CB65BC"/>
    <w:rsid w:val="721B79E1"/>
    <w:rsid w:val="725536BF"/>
    <w:rsid w:val="72AC107D"/>
    <w:rsid w:val="72B268A1"/>
    <w:rsid w:val="73FB1084"/>
    <w:rsid w:val="74951C65"/>
    <w:rsid w:val="7631344D"/>
    <w:rsid w:val="77AF220D"/>
    <w:rsid w:val="78A711B8"/>
    <w:rsid w:val="7A5B43C0"/>
    <w:rsid w:val="7A8C53DE"/>
    <w:rsid w:val="7A8F3141"/>
    <w:rsid w:val="7AC24A5E"/>
    <w:rsid w:val="7B044DCC"/>
    <w:rsid w:val="7B22521E"/>
    <w:rsid w:val="7B3E32A1"/>
    <w:rsid w:val="7C7A248E"/>
    <w:rsid w:val="7D086252"/>
    <w:rsid w:val="7DF95408"/>
    <w:rsid w:val="7FBF56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4"/>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5"/>
    <w:qFormat/>
    <w:uiPriority w:val="0"/>
    <w:pPr>
      <w:adjustRightInd w:val="0"/>
      <w:jc w:val="center"/>
      <w:textAlignment w:val="baseline"/>
      <w:outlineLvl w:val="1"/>
    </w:pPr>
    <w:rPr>
      <w:sz w:val="24"/>
      <w:szCs w:val="20"/>
    </w:rPr>
  </w:style>
  <w:style w:type="paragraph" w:styleId="3">
    <w:name w:val="heading 3"/>
    <w:basedOn w:val="4"/>
    <w:next w:val="1"/>
    <w:link w:val="63"/>
    <w:qFormat/>
    <w:uiPriority w:val="9"/>
    <w:pPr>
      <w:spacing w:before="260" w:after="260" w:line="240" w:lineRule="auto"/>
      <w:outlineLvl w:val="2"/>
    </w:pPr>
    <w:rPr>
      <w:rFonts w:ascii="宋体" w:hAnsi="宋体" w:eastAsia="宋体"/>
      <w:szCs w:val="32"/>
    </w:rPr>
  </w:style>
  <w:style w:type="paragraph" w:styleId="4">
    <w:name w:val="heading 4"/>
    <w:basedOn w:val="1"/>
    <w:next w:val="1"/>
    <w:link w:val="57"/>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8"/>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9"/>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0"/>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1"/>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2"/>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75"/>
    <w:qFormat/>
    <w:uiPriority w:val="0"/>
    <w:pPr>
      <w:ind w:firstLine="420"/>
    </w:pPr>
    <w:rPr>
      <w:rFonts w:ascii="Times New Roman" w:hAnsi="Times New Roman"/>
      <w:kern w:val="0"/>
      <w:sz w:val="20"/>
      <w:szCs w:val="20"/>
    </w:rPr>
  </w:style>
  <w:style w:type="paragraph" w:styleId="12">
    <w:name w:val="toc 7"/>
    <w:basedOn w:val="1"/>
    <w:next w:val="1"/>
    <w:semiHidden/>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5"/>
    <w:semiHidden/>
    <w:qFormat/>
    <w:uiPriority w:val="0"/>
    <w:pPr>
      <w:shd w:val="clear" w:color="auto" w:fill="000080"/>
    </w:pPr>
    <w:rPr>
      <w:rFonts w:ascii="Times New Roman" w:hAnsi="Times New Roman"/>
      <w:kern w:val="0"/>
      <w:sz w:val="20"/>
      <w:szCs w:val="24"/>
    </w:rPr>
  </w:style>
  <w:style w:type="paragraph" w:styleId="16">
    <w:name w:val="annotation text"/>
    <w:basedOn w:val="1"/>
    <w:link w:val="119"/>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3"/>
    <w:qFormat/>
    <w:uiPriority w:val="0"/>
    <w:pPr>
      <w:spacing w:after="120"/>
    </w:pPr>
    <w:rPr>
      <w:rFonts w:ascii="Times New Roman" w:hAnsi="Times New Roman"/>
      <w:kern w:val="0"/>
      <w:sz w:val="16"/>
      <w:szCs w:val="16"/>
    </w:rPr>
  </w:style>
  <w:style w:type="paragraph" w:styleId="18">
    <w:name w:val="Body Text"/>
    <w:basedOn w:val="1"/>
    <w:link w:val="117"/>
    <w:qFormat/>
    <w:uiPriority w:val="0"/>
    <w:pPr>
      <w:spacing w:line="360" w:lineRule="auto"/>
    </w:pPr>
    <w:rPr>
      <w:rFonts w:ascii="Times New Roman" w:hAnsi="Times New Roman"/>
      <w:b/>
      <w:bCs/>
      <w:kern w:val="0"/>
      <w:sz w:val="24"/>
      <w:szCs w:val="24"/>
    </w:rPr>
  </w:style>
  <w:style w:type="paragraph" w:styleId="19">
    <w:name w:val="Body Text Indent"/>
    <w:basedOn w:val="1"/>
    <w:link w:val="118"/>
    <w:qFormat/>
    <w:uiPriority w:val="0"/>
    <w:pPr>
      <w:spacing w:line="360" w:lineRule="auto"/>
      <w:ind w:firstLine="420" w:firstLineChars="200"/>
    </w:pPr>
    <w:rPr>
      <w:rFonts w:ascii="Times New Roman" w:hAnsi="Times New Roman"/>
      <w:kern w:val="0"/>
      <w:sz w:val="20"/>
      <w:szCs w:val="24"/>
    </w:rPr>
  </w:style>
  <w:style w:type="paragraph" w:styleId="20">
    <w:name w:val="toc 5"/>
    <w:basedOn w:val="1"/>
    <w:next w:val="1"/>
    <w:semiHidden/>
    <w:qFormat/>
    <w:uiPriority w:val="0"/>
    <w:pPr>
      <w:ind w:left="840"/>
      <w:jc w:val="left"/>
    </w:pPr>
    <w:rPr>
      <w:rFonts w:ascii="Times New Roman" w:hAnsi="Times New Roman"/>
      <w:szCs w:val="21"/>
    </w:rPr>
  </w:style>
  <w:style w:type="paragraph" w:styleId="21">
    <w:name w:val="toc 3"/>
    <w:basedOn w:val="1"/>
    <w:next w:val="1"/>
    <w:semiHidden/>
    <w:qFormat/>
    <w:uiPriority w:val="0"/>
    <w:pPr>
      <w:ind w:left="420"/>
      <w:jc w:val="left"/>
    </w:pPr>
    <w:rPr>
      <w:rFonts w:ascii="Times New Roman" w:hAnsi="Times New Roman"/>
      <w:i/>
      <w:iCs/>
      <w:szCs w:val="24"/>
    </w:rPr>
  </w:style>
  <w:style w:type="paragraph" w:styleId="22">
    <w:name w:val="Plain Text"/>
    <w:basedOn w:val="1"/>
    <w:link w:val="114"/>
    <w:qFormat/>
    <w:uiPriority w:val="0"/>
    <w:rPr>
      <w:rFonts w:ascii="宋体" w:hAnsi="Courier New"/>
      <w:kern w:val="0"/>
      <w:sz w:val="20"/>
      <w:szCs w:val="20"/>
    </w:rPr>
  </w:style>
  <w:style w:type="paragraph" w:styleId="23">
    <w:name w:val="toc 8"/>
    <w:basedOn w:val="1"/>
    <w:next w:val="1"/>
    <w:semiHidden/>
    <w:qFormat/>
    <w:uiPriority w:val="0"/>
    <w:pPr>
      <w:ind w:left="1470"/>
      <w:jc w:val="left"/>
    </w:pPr>
    <w:rPr>
      <w:rFonts w:ascii="Times New Roman" w:hAnsi="Times New Roman"/>
      <w:szCs w:val="21"/>
    </w:rPr>
  </w:style>
  <w:style w:type="paragraph" w:styleId="24">
    <w:name w:val="Date"/>
    <w:basedOn w:val="1"/>
    <w:next w:val="1"/>
    <w:link w:val="116"/>
    <w:qFormat/>
    <w:uiPriority w:val="0"/>
    <w:rPr>
      <w:rFonts w:ascii="宋体" w:hAnsi="Courier New"/>
      <w:kern w:val="0"/>
      <w:sz w:val="32"/>
      <w:szCs w:val="20"/>
    </w:rPr>
  </w:style>
  <w:style w:type="paragraph" w:styleId="25">
    <w:name w:val="Body Text Indent 2"/>
    <w:basedOn w:val="1"/>
    <w:link w:val="121"/>
    <w:qFormat/>
    <w:uiPriority w:val="0"/>
    <w:pPr>
      <w:spacing w:beforeLines="50" w:afterLines="50" w:line="120" w:lineRule="auto"/>
      <w:ind w:firstLine="840" w:firstLineChars="400"/>
      <w:jc w:val="left"/>
    </w:pPr>
    <w:rPr>
      <w:rFonts w:ascii="宋体" w:hAnsi="宋体"/>
      <w:kern w:val="0"/>
      <w:sz w:val="20"/>
      <w:szCs w:val="24"/>
    </w:rPr>
  </w:style>
  <w:style w:type="paragraph" w:styleId="26">
    <w:name w:val="Balloon Text"/>
    <w:basedOn w:val="1"/>
    <w:link w:val="123"/>
    <w:qFormat/>
    <w:uiPriority w:val="99"/>
    <w:rPr>
      <w:rFonts w:ascii="Times New Roman" w:hAnsi="Times New Roman"/>
      <w:kern w:val="0"/>
      <w:sz w:val="18"/>
      <w:szCs w:val="18"/>
    </w:rPr>
  </w:style>
  <w:style w:type="paragraph" w:styleId="27">
    <w:name w:val="footer"/>
    <w:basedOn w:val="1"/>
    <w:link w:val="53"/>
    <w:unhideWhenUsed/>
    <w:qFormat/>
    <w:uiPriority w:val="99"/>
    <w:pPr>
      <w:tabs>
        <w:tab w:val="center" w:pos="4153"/>
        <w:tab w:val="right" w:pos="8306"/>
      </w:tabs>
      <w:snapToGrid w:val="0"/>
      <w:jc w:val="left"/>
    </w:pPr>
    <w:rPr>
      <w:sz w:val="18"/>
      <w:szCs w:val="18"/>
    </w:rPr>
  </w:style>
  <w:style w:type="paragraph" w:styleId="2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rFonts w:ascii="Times New Roman" w:hAnsi="Times New Roman"/>
      <w:b/>
      <w:bCs/>
      <w:caps/>
      <w:szCs w:val="24"/>
    </w:rPr>
  </w:style>
  <w:style w:type="paragraph" w:styleId="30">
    <w:name w:val="toc 4"/>
    <w:basedOn w:val="1"/>
    <w:next w:val="1"/>
    <w:semiHidden/>
    <w:qFormat/>
    <w:uiPriority w:val="0"/>
    <w:pPr>
      <w:ind w:left="630"/>
      <w:jc w:val="left"/>
    </w:pPr>
    <w:rPr>
      <w:rFonts w:ascii="Times New Roman" w:hAnsi="Times New Roman"/>
      <w:szCs w:val="21"/>
    </w:rPr>
  </w:style>
  <w:style w:type="paragraph" w:styleId="31">
    <w:name w:val="toc 6"/>
    <w:basedOn w:val="1"/>
    <w:next w:val="1"/>
    <w:semiHidden/>
    <w:qFormat/>
    <w:uiPriority w:val="0"/>
    <w:pPr>
      <w:ind w:left="1050"/>
      <w:jc w:val="left"/>
    </w:pPr>
    <w:rPr>
      <w:rFonts w:ascii="Times New Roman" w:hAnsi="Times New Roman"/>
      <w:szCs w:val="21"/>
    </w:rPr>
  </w:style>
  <w:style w:type="paragraph" w:styleId="32">
    <w:name w:val="Body Text Indent 3"/>
    <w:basedOn w:val="1"/>
    <w:link w:val="124"/>
    <w:qFormat/>
    <w:uiPriority w:val="0"/>
    <w:pPr>
      <w:spacing w:line="360" w:lineRule="auto"/>
      <w:ind w:firstLine="482" w:firstLineChars="200"/>
    </w:pPr>
    <w:rPr>
      <w:rFonts w:ascii="宋体" w:hAnsi="Times New Roman"/>
      <w:b/>
      <w:bCs/>
      <w:kern w:val="0"/>
      <w:sz w:val="24"/>
      <w:szCs w:val="24"/>
    </w:rPr>
  </w:style>
  <w:style w:type="paragraph" w:styleId="33">
    <w:name w:val="toc 2"/>
    <w:basedOn w:val="1"/>
    <w:next w:val="1"/>
    <w:qFormat/>
    <w:uiPriority w:val="0"/>
    <w:pPr>
      <w:tabs>
        <w:tab w:val="right" w:leader="dot" w:pos="8296"/>
      </w:tabs>
      <w:ind w:left="210"/>
      <w:jc w:val="left"/>
    </w:pPr>
    <w:rPr>
      <w:rFonts w:ascii="Times New Roman" w:hAnsi="Times New Roman"/>
      <w:smallCaps/>
      <w:szCs w:val="24"/>
    </w:rPr>
  </w:style>
  <w:style w:type="paragraph" w:styleId="34">
    <w:name w:val="toc 9"/>
    <w:basedOn w:val="1"/>
    <w:next w:val="1"/>
    <w:semiHidden/>
    <w:qFormat/>
    <w:uiPriority w:val="0"/>
    <w:pPr>
      <w:ind w:left="1680"/>
      <w:jc w:val="left"/>
    </w:pPr>
    <w:rPr>
      <w:rFonts w:ascii="Times New Roman" w:hAnsi="Times New Roman"/>
      <w:szCs w:val="21"/>
    </w:rPr>
  </w:style>
  <w:style w:type="paragraph" w:styleId="35">
    <w:name w:val="Body Text 2"/>
    <w:basedOn w:val="1"/>
    <w:link w:val="122"/>
    <w:qFormat/>
    <w:uiPriority w:val="0"/>
    <w:pPr>
      <w:spacing w:line="360" w:lineRule="auto"/>
    </w:pPr>
    <w:rPr>
      <w:rFonts w:ascii="Times New Roman" w:hAnsi="Times New Roman"/>
      <w:kern w:val="0"/>
      <w:sz w:val="24"/>
      <w:szCs w:val="24"/>
    </w:rPr>
  </w:style>
  <w:style w:type="paragraph" w:styleId="36">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link w:val="125"/>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6"/>
    <w:qFormat/>
    <w:uiPriority w:val="99"/>
    <w:pPr>
      <w:autoSpaceDE/>
      <w:autoSpaceDN/>
      <w:adjustRightInd/>
      <w:textAlignment w:val="auto"/>
    </w:pPr>
    <w:rPr>
      <w:rFonts w:ascii="Times New Roman"/>
      <w:b/>
      <w:bCs/>
      <w:szCs w:val="24"/>
    </w:rPr>
  </w:style>
  <w:style w:type="paragraph" w:styleId="41">
    <w:name w:val="Body Text First Indent"/>
    <w:basedOn w:val="18"/>
    <w:link w:val="127"/>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unhideWhenUsed/>
    <w:qFormat/>
    <w:uiPriority w:val="99"/>
    <w:rPr>
      <w:color w:val="800080"/>
      <w:u w:val="single"/>
    </w:rPr>
  </w:style>
  <w:style w:type="character" w:styleId="48">
    <w:name w:val="Emphasis"/>
    <w:basedOn w:val="44"/>
    <w:qFormat/>
    <w:uiPriority w:val="0"/>
    <w:rPr>
      <w:i/>
    </w:rPr>
  </w:style>
  <w:style w:type="character" w:styleId="49">
    <w:name w:val="Hyperlink"/>
    <w:basedOn w:val="44"/>
    <w:qFormat/>
    <w:uiPriority w:val="0"/>
    <w:rPr>
      <w:color w:val="0000FF"/>
      <w:u w:val="single"/>
    </w:rPr>
  </w:style>
  <w:style w:type="character" w:styleId="50">
    <w:name w:val="annotation reference"/>
    <w:qFormat/>
    <w:uiPriority w:val="0"/>
    <w:rPr>
      <w:sz w:val="21"/>
      <w:szCs w:val="21"/>
    </w:rPr>
  </w:style>
  <w:style w:type="paragraph" w:styleId="51">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2">
    <w:name w:val="页眉 Char"/>
    <w:basedOn w:val="44"/>
    <w:link w:val="28"/>
    <w:qFormat/>
    <w:uiPriority w:val="99"/>
    <w:rPr>
      <w:sz w:val="18"/>
      <w:szCs w:val="18"/>
    </w:rPr>
  </w:style>
  <w:style w:type="character" w:customStyle="1" w:styleId="53">
    <w:name w:val="页脚 Char"/>
    <w:basedOn w:val="44"/>
    <w:link w:val="27"/>
    <w:qFormat/>
    <w:uiPriority w:val="99"/>
    <w:rPr>
      <w:sz w:val="18"/>
      <w:szCs w:val="18"/>
    </w:rPr>
  </w:style>
  <w:style w:type="character" w:customStyle="1" w:styleId="54">
    <w:name w:val="标题 1 Char"/>
    <w:basedOn w:val="44"/>
    <w:link w:val="2"/>
    <w:qFormat/>
    <w:uiPriority w:val="9"/>
    <w:rPr>
      <w:rFonts w:ascii="宋体" w:hAnsi="宋体" w:eastAsia="黑体" w:cs="Times New Roman"/>
      <w:b/>
      <w:bCs/>
      <w:kern w:val="44"/>
      <w:sz w:val="28"/>
      <w:szCs w:val="44"/>
    </w:rPr>
  </w:style>
  <w:style w:type="character" w:customStyle="1" w:styleId="55">
    <w:name w:val="标题 2 Char"/>
    <w:basedOn w:val="44"/>
    <w:link w:val="5"/>
    <w:qFormat/>
    <w:uiPriority w:val="0"/>
    <w:rPr>
      <w:rFonts w:ascii="宋体" w:hAnsi="宋体" w:eastAsia="宋体" w:cs="Times New Roman"/>
      <w:b/>
      <w:bCs/>
      <w:kern w:val="0"/>
      <w:sz w:val="24"/>
      <w:szCs w:val="20"/>
    </w:rPr>
  </w:style>
  <w:style w:type="character" w:customStyle="1" w:styleId="56">
    <w:name w:val="标题 3 Char"/>
    <w:basedOn w:val="44"/>
    <w:link w:val="3"/>
    <w:qFormat/>
    <w:uiPriority w:val="9"/>
    <w:rPr>
      <w:rFonts w:ascii="Calibri" w:hAnsi="Calibri" w:eastAsia="宋体" w:cs="Times New Roman"/>
      <w:b/>
      <w:bCs/>
      <w:sz w:val="32"/>
      <w:szCs w:val="32"/>
    </w:rPr>
  </w:style>
  <w:style w:type="character" w:customStyle="1" w:styleId="57">
    <w:name w:val="标题 4 Char"/>
    <w:basedOn w:val="44"/>
    <w:link w:val="4"/>
    <w:qFormat/>
    <w:uiPriority w:val="0"/>
    <w:rPr>
      <w:rFonts w:ascii="Arial" w:hAnsi="Arial" w:eastAsia="黑体" w:cs="Times New Roman"/>
      <w:b/>
      <w:bCs/>
      <w:kern w:val="0"/>
      <w:sz w:val="28"/>
      <w:szCs w:val="28"/>
    </w:rPr>
  </w:style>
  <w:style w:type="character" w:customStyle="1" w:styleId="58">
    <w:name w:val="标题 5 Char"/>
    <w:basedOn w:val="44"/>
    <w:link w:val="6"/>
    <w:qFormat/>
    <w:uiPriority w:val="0"/>
    <w:rPr>
      <w:rFonts w:ascii="Times New Roman" w:hAnsi="Times New Roman" w:eastAsia="宋体" w:cs="Times New Roman"/>
      <w:b/>
      <w:kern w:val="0"/>
      <w:sz w:val="28"/>
      <w:szCs w:val="20"/>
    </w:rPr>
  </w:style>
  <w:style w:type="character" w:customStyle="1" w:styleId="59">
    <w:name w:val="标题 6 Char"/>
    <w:basedOn w:val="44"/>
    <w:link w:val="8"/>
    <w:qFormat/>
    <w:uiPriority w:val="0"/>
    <w:rPr>
      <w:rFonts w:ascii="Arial" w:hAnsi="Arial" w:eastAsia="黑体" w:cs="Times New Roman"/>
      <w:b/>
      <w:kern w:val="0"/>
      <w:sz w:val="24"/>
      <w:szCs w:val="20"/>
    </w:rPr>
  </w:style>
  <w:style w:type="character" w:customStyle="1" w:styleId="60">
    <w:name w:val="标题 7 Char"/>
    <w:basedOn w:val="44"/>
    <w:link w:val="9"/>
    <w:qFormat/>
    <w:uiPriority w:val="0"/>
    <w:rPr>
      <w:rFonts w:ascii="Times New Roman" w:hAnsi="Times New Roman" w:eastAsia="宋体" w:cs="Times New Roman"/>
      <w:b/>
      <w:kern w:val="0"/>
      <w:sz w:val="24"/>
      <w:szCs w:val="20"/>
    </w:rPr>
  </w:style>
  <w:style w:type="character" w:customStyle="1" w:styleId="61">
    <w:name w:val="标题 8 Char"/>
    <w:basedOn w:val="44"/>
    <w:link w:val="10"/>
    <w:qFormat/>
    <w:uiPriority w:val="0"/>
    <w:rPr>
      <w:rFonts w:ascii="Arial" w:hAnsi="Arial" w:eastAsia="黑体" w:cs="Times New Roman"/>
      <w:kern w:val="0"/>
      <w:sz w:val="24"/>
      <w:szCs w:val="20"/>
    </w:rPr>
  </w:style>
  <w:style w:type="character" w:customStyle="1" w:styleId="62">
    <w:name w:val="标题 9 Char"/>
    <w:basedOn w:val="44"/>
    <w:link w:val="11"/>
    <w:qFormat/>
    <w:uiPriority w:val="0"/>
    <w:rPr>
      <w:rFonts w:ascii="Arial" w:hAnsi="Arial" w:eastAsia="黑体" w:cs="Times New Roman"/>
      <w:kern w:val="0"/>
      <w:sz w:val="20"/>
      <w:szCs w:val="20"/>
    </w:rPr>
  </w:style>
  <w:style w:type="character" w:customStyle="1" w:styleId="63">
    <w:name w:val="标题 3 Char1"/>
    <w:link w:val="3"/>
    <w:qFormat/>
    <w:uiPriority w:val="0"/>
    <w:rPr>
      <w:rFonts w:ascii="宋体" w:hAnsi="宋体" w:eastAsia="宋体" w:cs="Times New Roman"/>
      <w:b/>
      <w:bCs/>
      <w:kern w:val="0"/>
      <w:sz w:val="28"/>
      <w:szCs w:val="32"/>
    </w:rPr>
  </w:style>
  <w:style w:type="character" w:customStyle="1" w:styleId="64">
    <w:name w:val="--规划正文 Char Char"/>
    <w:qFormat/>
    <w:uiPriority w:val="0"/>
    <w:rPr>
      <w:rFonts w:eastAsia="宋体"/>
      <w:kern w:val="2"/>
      <w:sz w:val="24"/>
      <w:szCs w:val="24"/>
      <w:lang w:val="en-US" w:eastAsia="zh-CN" w:bidi="ar-SA"/>
    </w:rPr>
  </w:style>
  <w:style w:type="character" w:customStyle="1" w:styleId="65">
    <w:name w:val="grame"/>
    <w:basedOn w:val="44"/>
    <w:qFormat/>
    <w:uiPriority w:val="0"/>
  </w:style>
  <w:style w:type="character" w:customStyle="1" w:styleId="66">
    <w:name w:val="font"/>
    <w:basedOn w:val="44"/>
    <w:qFormat/>
    <w:uiPriority w:val="0"/>
  </w:style>
  <w:style w:type="character" w:customStyle="1" w:styleId="67">
    <w:name w:val="font2"/>
    <w:basedOn w:val="44"/>
    <w:qFormat/>
    <w:uiPriority w:val="0"/>
  </w:style>
  <w:style w:type="character" w:customStyle="1" w:styleId="68">
    <w:name w:val="unnamed4"/>
    <w:basedOn w:val="44"/>
    <w:qFormat/>
    <w:uiPriority w:val="0"/>
  </w:style>
  <w:style w:type="character" w:customStyle="1" w:styleId="69">
    <w:name w:val="样式 小三 加粗"/>
    <w:qFormat/>
    <w:uiPriority w:val="0"/>
    <w:rPr>
      <w:rFonts w:eastAsia="宋体"/>
      <w:b/>
      <w:bCs/>
      <w:sz w:val="32"/>
    </w:rPr>
  </w:style>
  <w:style w:type="character" w:customStyle="1" w:styleId="70">
    <w:name w:val="z-窗体顶端 Char"/>
    <w:basedOn w:val="44"/>
    <w:qFormat/>
    <w:uiPriority w:val="0"/>
    <w:rPr>
      <w:rFonts w:ascii="Arial" w:hAnsi="Arial" w:eastAsia="宋体" w:cs="Times New Roman"/>
      <w:vanish/>
      <w:kern w:val="0"/>
      <w:sz w:val="16"/>
      <w:szCs w:val="16"/>
      <w:lang w:val="en-US" w:eastAsia="zh-CN"/>
    </w:rPr>
  </w:style>
  <w:style w:type="paragraph" w:customStyle="1" w:styleId="71">
    <w:name w:val="z-窗体顶端1"/>
    <w:basedOn w:val="1"/>
    <w:next w:val="1"/>
    <w:link w:val="181"/>
    <w:qFormat/>
    <w:uiPriority w:val="0"/>
    <w:pPr>
      <w:widowControl/>
      <w:pBdr>
        <w:bottom w:val="single" w:color="auto" w:sz="6" w:space="1"/>
      </w:pBdr>
      <w:jc w:val="center"/>
    </w:pPr>
    <w:rPr>
      <w:rFonts w:ascii="Arial" w:hAnsi="Arial"/>
      <w:vanish/>
      <w:kern w:val="0"/>
      <w:sz w:val="16"/>
      <w:szCs w:val="16"/>
    </w:rPr>
  </w:style>
  <w:style w:type="character" w:customStyle="1" w:styleId="72">
    <w:name w:val="批注文字 Char"/>
    <w:basedOn w:val="44"/>
    <w:link w:val="16"/>
    <w:qFormat/>
    <w:uiPriority w:val="0"/>
    <w:rPr>
      <w:rFonts w:ascii="宋体" w:hAnsi="Times New Roman" w:eastAsia="宋体" w:cs="Times New Roman"/>
      <w:kern w:val="0"/>
      <w:sz w:val="34"/>
      <w:szCs w:val="20"/>
    </w:rPr>
  </w:style>
  <w:style w:type="character" w:customStyle="1" w:styleId="73">
    <w:name w:val="标题 Char"/>
    <w:basedOn w:val="44"/>
    <w:link w:val="39"/>
    <w:qFormat/>
    <w:uiPriority w:val="0"/>
    <w:rPr>
      <w:rFonts w:ascii="Arial" w:hAnsi="Arial" w:eastAsia="隶书" w:cs="Times New Roman"/>
      <w:b/>
      <w:bCs/>
      <w:kern w:val="0"/>
      <w:sz w:val="32"/>
      <w:szCs w:val="32"/>
    </w:rPr>
  </w:style>
  <w:style w:type="character" w:customStyle="1" w:styleId="74">
    <w:name w:val="正文文本 Char"/>
    <w:basedOn w:val="44"/>
    <w:semiHidden/>
    <w:qFormat/>
    <w:uiPriority w:val="99"/>
    <w:rPr>
      <w:rFonts w:ascii="Calibri" w:hAnsi="Calibri" w:eastAsia="宋体" w:cs="Times New Roman"/>
    </w:rPr>
  </w:style>
  <w:style w:type="character" w:customStyle="1" w:styleId="75">
    <w:name w:val="正文缩进 Char"/>
    <w:link w:val="7"/>
    <w:qFormat/>
    <w:uiPriority w:val="0"/>
    <w:rPr>
      <w:rFonts w:ascii="Times New Roman" w:hAnsi="Times New Roman" w:eastAsia="宋体" w:cs="Times New Roman"/>
      <w:kern w:val="0"/>
      <w:sz w:val="20"/>
      <w:szCs w:val="20"/>
    </w:rPr>
  </w:style>
  <w:style w:type="character" w:customStyle="1" w:styleId="76">
    <w:name w:val="日期 Char"/>
    <w:basedOn w:val="44"/>
    <w:link w:val="24"/>
    <w:qFormat/>
    <w:uiPriority w:val="0"/>
    <w:rPr>
      <w:rFonts w:ascii="宋体" w:hAnsi="Courier New" w:eastAsia="宋体" w:cs="Times New Roman"/>
      <w:kern w:val="0"/>
      <w:sz w:val="32"/>
      <w:szCs w:val="20"/>
    </w:rPr>
  </w:style>
  <w:style w:type="character" w:customStyle="1" w:styleId="77">
    <w:name w:val="正文文字首行缩进 Char"/>
    <w:qFormat/>
    <w:uiPriority w:val="0"/>
    <w:rPr>
      <w:kern w:val="2"/>
      <w:sz w:val="21"/>
      <w:szCs w:val="24"/>
    </w:rPr>
  </w:style>
  <w:style w:type="character" w:customStyle="1" w:styleId="78">
    <w:name w:val="unnamed3"/>
    <w:basedOn w:val="44"/>
    <w:qFormat/>
    <w:uiPriority w:val="0"/>
  </w:style>
  <w:style w:type="character" w:customStyle="1" w:styleId="79">
    <w:name w:val="批注主题 Char"/>
    <w:basedOn w:val="72"/>
    <w:link w:val="40"/>
    <w:qFormat/>
    <w:uiPriority w:val="99"/>
    <w:rPr>
      <w:rFonts w:ascii="Times New Roman"/>
      <w:b/>
      <w:bCs/>
      <w:szCs w:val="24"/>
    </w:rPr>
  </w:style>
  <w:style w:type="character" w:customStyle="1" w:styleId="80">
    <w:name w:val="gray6"/>
    <w:basedOn w:val="44"/>
    <w:qFormat/>
    <w:uiPriority w:val="0"/>
  </w:style>
  <w:style w:type="character" w:customStyle="1" w:styleId="81">
    <w:name w:val="纯文本 Char"/>
    <w:basedOn w:val="44"/>
    <w:link w:val="22"/>
    <w:qFormat/>
    <w:uiPriority w:val="0"/>
    <w:rPr>
      <w:rFonts w:ascii="宋体" w:hAnsi="Courier New" w:eastAsia="宋体" w:cs="Times New Roman"/>
      <w:kern w:val="0"/>
      <w:sz w:val="20"/>
      <w:szCs w:val="20"/>
    </w:rPr>
  </w:style>
  <w:style w:type="character" w:customStyle="1" w:styleId="82">
    <w:name w:val="正文文本缩进 Char"/>
    <w:basedOn w:val="44"/>
    <w:link w:val="19"/>
    <w:qFormat/>
    <w:uiPriority w:val="0"/>
    <w:rPr>
      <w:rFonts w:ascii="Times New Roman" w:hAnsi="Times New Roman" w:eastAsia="宋体" w:cs="Times New Roman"/>
      <w:kern w:val="0"/>
      <w:sz w:val="20"/>
      <w:szCs w:val="24"/>
    </w:rPr>
  </w:style>
  <w:style w:type="character" w:customStyle="1" w:styleId="83">
    <w:name w:val="正文文本 2 Char"/>
    <w:basedOn w:val="44"/>
    <w:link w:val="35"/>
    <w:qFormat/>
    <w:uiPriority w:val="0"/>
    <w:rPr>
      <w:rFonts w:ascii="Times New Roman" w:hAnsi="Times New Roman" w:eastAsia="宋体" w:cs="Times New Roman"/>
      <w:kern w:val="0"/>
      <w:sz w:val="24"/>
      <w:szCs w:val="24"/>
    </w:rPr>
  </w:style>
  <w:style w:type="character" w:customStyle="1" w:styleId="84">
    <w:name w:val="标题 3 Char Char"/>
    <w:qFormat/>
    <w:uiPriority w:val="0"/>
    <w:rPr>
      <w:rFonts w:eastAsia="宋体"/>
      <w:b/>
      <w:bCs/>
      <w:kern w:val="2"/>
      <w:sz w:val="32"/>
      <w:szCs w:val="32"/>
      <w:lang w:val="en-US" w:eastAsia="zh-CN" w:bidi="ar-SA"/>
    </w:rPr>
  </w:style>
  <w:style w:type="character" w:customStyle="1" w:styleId="85">
    <w:name w:val="--规划正文 Char1"/>
    <w:qFormat/>
    <w:uiPriority w:val="0"/>
    <w:rPr>
      <w:rFonts w:eastAsia="宋体"/>
      <w:kern w:val="2"/>
      <w:sz w:val="21"/>
      <w:lang w:val="en-US" w:eastAsia="zh-CN" w:bidi="ar-SA"/>
    </w:rPr>
  </w:style>
  <w:style w:type="character" w:customStyle="1" w:styleId="86">
    <w:name w:val="正文首行缩进 Char"/>
    <w:basedOn w:val="74"/>
    <w:link w:val="41"/>
    <w:qFormat/>
    <w:uiPriority w:val="0"/>
    <w:rPr>
      <w:rFonts w:ascii="Times New Roman" w:hAnsi="Times New Roman"/>
      <w:b/>
      <w:bCs/>
      <w:kern w:val="0"/>
      <w:sz w:val="20"/>
      <w:szCs w:val="24"/>
      <w:lang w:val="en-US" w:eastAsia="zh-CN"/>
    </w:rPr>
  </w:style>
  <w:style w:type="character" w:customStyle="1" w:styleId="87">
    <w:name w:val="z-窗体底端 Char"/>
    <w:basedOn w:val="44"/>
    <w:qFormat/>
    <w:uiPriority w:val="0"/>
    <w:rPr>
      <w:rFonts w:ascii="Arial" w:hAnsi="Arial" w:eastAsia="宋体" w:cs="Times New Roman"/>
      <w:vanish/>
      <w:kern w:val="0"/>
      <w:sz w:val="16"/>
      <w:szCs w:val="16"/>
      <w:lang w:val="en-US" w:eastAsia="zh-CN"/>
    </w:rPr>
  </w:style>
  <w:style w:type="paragraph" w:customStyle="1" w:styleId="88">
    <w:name w:val="z-窗体底端1"/>
    <w:basedOn w:val="1"/>
    <w:next w:val="1"/>
    <w:link w:val="201"/>
    <w:qFormat/>
    <w:uiPriority w:val="0"/>
    <w:pPr>
      <w:widowControl/>
      <w:pBdr>
        <w:top w:val="single" w:color="auto" w:sz="6" w:space="1"/>
      </w:pBdr>
      <w:jc w:val="center"/>
    </w:pPr>
    <w:rPr>
      <w:rFonts w:ascii="Arial" w:hAnsi="Arial"/>
      <w:vanish/>
      <w:kern w:val="0"/>
      <w:sz w:val="16"/>
      <w:szCs w:val="16"/>
    </w:rPr>
  </w:style>
  <w:style w:type="character" w:customStyle="1" w:styleId="89">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0">
    <w:name w:val="H4 Char2"/>
    <w:qFormat/>
    <w:uiPriority w:val="0"/>
    <w:rPr>
      <w:rFonts w:ascii="Arial" w:hAnsi="Arial" w:eastAsia="黑体"/>
      <w:b/>
      <w:bCs/>
      <w:kern w:val="2"/>
      <w:sz w:val="28"/>
      <w:szCs w:val="28"/>
      <w:lang w:val="en-US" w:eastAsia="zh-CN" w:bidi="ar-SA"/>
    </w:rPr>
  </w:style>
  <w:style w:type="character" w:customStyle="1" w:styleId="91">
    <w:name w:val="正文文本 Char1"/>
    <w:link w:val="18"/>
    <w:qFormat/>
    <w:uiPriority w:val="0"/>
    <w:rPr>
      <w:rFonts w:ascii="Times New Roman" w:hAnsi="Times New Roman" w:eastAsia="宋体" w:cs="Times New Roman"/>
      <w:b/>
      <w:bCs/>
      <w:kern w:val="0"/>
      <w:sz w:val="24"/>
      <w:szCs w:val="24"/>
    </w:rPr>
  </w:style>
  <w:style w:type="character" w:customStyle="1" w:styleId="92">
    <w:name w:val="body text Char1"/>
    <w:qFormat/>
    <w:uiPriority w:val="0"/>
    <w:rPr>
      <w:rFonts w:eastAsia="宋体"/>
      <w:kern w:val="2"/>
      <w:sz w:val="21"/>
      <w:lang w:val="en-US" w:eastAsia="zh-CN" w:bidi="ar-SA"/>
    </w:rPr>
  </w:style>
  <w:style w:type="character" w:customStyle="1" w:styleId="93">
    <w:name w:val="文档结构图 Char"/>
    <w:basedOn w:val="44"/>
    <w:link w:val="15"/>
    <w:semiHidden/>
    <w:qFormat/>
    <w:uiPriority w:val="0"/>
    <w:rPr>
      <w:rFonts w:ascii="Times New Roman" w:hAnsi="Times New Roman" w:eastAsia="宋体" w:cs="Times New Roman"/>
      <w:kern w:val="0"/>
      <w:sz w:val="20"/>
      <w:szCs w:val="24"/>
      <w:shd w:val="clear" w:color="auto" w:fill="000080"/>
    </w:rPr>
  </w:style>
  <w:style w:type="character" w:customStyle="1" w:styleId="94">
    <w:name w:val="正文文本 3 Char"/>
    <w:basedOn w:val="44"/>
    <w:link w:val="17"/>
    <w:qFormat/>
    <w:uiPriority w:val="0"/>
    <w:rPr>
      <w:rFonts w:ascii="Times New Roman" w:hAnsi="Times New Roman" w:eastAsia="宋体" w:cs="Times New Roman"/>
      <w:kern w:val="0"/>
      <w:sz w:val="16"/>
      <w:szCs w:val="16"/>
    </w:rPr>
  </w:style>
  <w:style w:type="character" w:customStyle="1" w:styleId="95">
    <w:name w:val="blue"/>
    <w:basedOn w:val="44"/>
    <w:qFormat/>
    <w:uiPriority w:val="0"/>
  </w:style>
  <w:style w:type="character" w:customStyle="1" w:styleId="96">
    <w:name w:val="proddescription"/>
    <w:basedOn w:val="44"/>
    <w:qFormat/>
    <w:uiPriority w:val="0"/>
  </w:style>
  <w:style w:type="character" w:customStyle="1" w:styleId="97">
    <w:name w:val="缩进正文 Char"/>
    <w:link w:val="98"/>
    <w:qFormat/>
    <w:uiPriority w:val="0"/>
    <w:rPr>
      <w:rFonts w:ascii="Times New Roman" w:hAnsi="Times New Roman" w:eastAsia="仿宋_GB2312" w:cs="Times New Roman"/>
      <w:kern w:val="0"/>
      <w:sz w:val="28"/>
      <w:szCs w:val="20"/>
    </w:rPr>
  </w:style>
  <w:style w:type="paragraph" w:customStyle="1" w:styleId="98">
    <w:name w:val="缩进正文"/>
    <w:basedOn w:val="1"/>
    <w:link w:val="97"/>
    <w:qFormat/>
    <w:uiPriority w:val="0"/>
    <w:pPr>
      <w:ind w:firstLine="560" w:firstLineChars="200"/>
    </w:pPr>
    <w:rPr>
      <w:rFonts w:ascii="Times New Roman" w:hAnsi="Times New Roman" w:eastAsia="仿宋_GB2312"/>
      <w:kern w:val="0"/>
      <w:sz w:val="28"/>
      <w:szCs w:val="20"/>
    </w:rPr>
  </w:style>
  <w:style w:type="character" w:customStyle="1" w:styleId="99">
    <w:name w:val="style9"/>
    <w:basedOn w:val="44"/>
    <w:qFormat/>
    <w:uiPriority w:val="0"/>
  </w:style>
  <w:style w:type="character" w:customStyle="1" w:styleId="100">
    <w:name w:val="prodheadlines"/>
    <w:basedOn w:val="44"/>
    <w:qFormat/>
    <w:uiPriority w:val="0"/>
  </w:style>
  <w:style w:type="character" w:customStyle="1" w:styleId="101">
    <w:name w:val="content1"/>
    <w:qFormat/>
    <w:uiPriority w:val="0"/>
    <w:rPr>
      <w:rFonts w:hint="default" w:ascii="??" w:hAnsi="??"/>
      <w:sz w:val="16"/>
      <w:szCs w:val="16"/>
      <w:u w:val="none"/>
    </w:rPr>
  </w:style>
  <w:style w:type="character" w:customStyle="1" w:styleId="102">
    <w:name w:val="正文文本缩进 3 Char"/>
    <w:basedOn w:val="44"/>
    <w:link w:val="32"/>
    <w:qFormat/>
    <w:uiPriority w:val="0"/>
    <w:rPr>
      <w:rFonts w:ascii="宋体" w:hAnsi="Times New Roman" w:eastAsia="宋体" w:cs="Times New Roman"/>
      <w:b/>
      <w:bCs/>
      <w:kern w:val="0"/>
      <w:sz w:val="24"/>
      <w:szCs w:val="24"/>
    </w:rPr>
  </w:style>
  <w:style w:type="character" w:customStyle="1" w:styleId="103">
    <w:name w:val="章标题1 Char"/>
    <w:qFormat/>
    <w:uiPriority w:val="0"/>
    <w:rPr>
      <w:rFonts w:eastAsia="宋体"/>
      <w:b/>
      <w:bCs/>
      <w:kern w:val="2"/>
      <w:sz w:val="32"/>
      <w:szCs w:val="32"/>
      <w:lang w:val="en-US" w:eastAsia="zh-CN" w:bidi="ar-SA"/>
    </w:rPr>
  </w:style>
  <w:style w:type="character" w:customStyle="1" w:styleId="104">
    <w:name w:val="font41"/>
    <w:qFormat/>
    <w:uiPriority w:val="0"/>
    <w:rPr>
      <w:color w:val="000000"/>
      <w:spacing w:val="260"/>
      <w:sz w:val="18"/>
      <w:szCs w:val="18"/>
      <w:u w:val="none"/>
    </w:rPr>
  </w:style>
  <w:style w:type="character" w:customStyle="1" w:styleId="105">
    <w:name w:val="alt-edited1"/>
    <w:qFormat/>
    <w:uiPriority w:val="0"/>
    <w:rPr>
      <w:color w:val="4D90F0"/>
    </w:rPr>
  </w:style>
  <w:style w:type="character" w:customStyle="1" w:styleId="106">
    <w:name w:val="info4"/>
    <w:basedOn w:val="44"/>
    <w:qFormat/>
    <w:uiPriority w:val="0"/>
  </w:style>
  <w:style w:type="character" w:customStyle="1" w:styleId="107">
    <w:name w:val="第*章 Char"/>
    <w:qFormat/>
    <w:uiPriority w:val="0"/>
    <w:rPr>
      <w:rFonts w:ascii="Arial" w:hAnsi="Arial" w:eastAsia="黑体"/>
      <w:b/>
      <w:bCs/>
      <w:kern w:val="2"/>
      <w:sz w:val="32"/>
      <w:szCs w:val="32"/>
    </w:rPr>
  </w:style>
  <w:style w:type="character" w:customStyle="1" w:styleId="108">
    <w:name w:val="text"/>
    <w:basedOn w:val="44"/>
    <w:qFormat/>
    <w:uiPriority w:val="0"/>
  </w:style>
  <w:style w:type="character" w:customStyle="1" w:styleId="109">
    <w:name w:val="正文文本缩进 2 Char"/>
    <w:basedOn w:val="44"/>
    <w:link w:val="25"/>
    <w:qFormat/>
    <w:uiPriority w:val="0"/>
    <w:rPr>
      <w:rFonts w:ascii="宋体" w:hAnsi="宋体" w:eastAsia="宋体" w:cs="Times New Roman"/>
      <w:kern w:val="0"/>
      <w:sz w:val="20"/>
      <w:szCs w:val="24"/>
    </w:rPr>
  </w:style>
  <w:style w:type="character" w:customStyle="1" w:styleId="110">
    <w:name w:val="font11"/>
    <w:qFormat/>
    <w:uiPriority w:val="0"/>
    <w:rPr>
      <w:rFonts w:hint="default" w:ascii="ˎ̥" w:hAnsi="ˎ̥"/>
    </w:rPr>
  </w:style>
  <w:style w:type="character" w:customStyle="1" w:styleId="111">
    <w:name w:val="批注框文本 Char"/>
    <w:basedOn w:val="44"/>
    <w:link w:val="26"/>
    <w:qFormat/>
    <w:uiPriority w:val="99"/>
    <w:rPr>
      <w:rFonts w:ascii="Times New Roman" w:hAnsi="Times New Roman" w:eastAsia="宋体" w:cs="Times New Roman"/>
      <w:kern w:val="0"/>
      <w:sz w:val="18"/>
      <w:szCs w:val="18"/>
    </w:rPr>
  </w:style>
  <w:style w:type="character" w:customStyle="1" w:styleId="112">
    <w:name w:val="mode"/>
    <w:basedOn w:val="44"/>
    <w:qFormat/>
    <w:uiPriority w:val="0"/>
  </w:style>
  <w:style w:type="character" w:customStyle="1" w:styleId="113">
    <w:name w:val="正文文本 3 Char1"/>
    <w:basedOn w:val="44"/>
    <w:link w:val="17"/>
    <w:semiHidden/>
    <w:qFormat/>
    <w:uiPriority w:val="99"/>
    <w:rPr>
      <w:rFonts w:ascii="Calibri" w:hAnsi="Calibri" w:eastAsia="宋体" w:cs="Times New Roman"/>
      <w:sz w:val="16"/>
      <w:szCs w:val="16"/>
    </w:rPr>
  </w:style>
  <w:style w:type="character" w:customStyle="1" w:styleId="114">
    <w:name w:val="纯文本 Char1"/>
    <w:basedOn w:val="44"/>
    <w:link w:val="22"/>
    <w:semiHidden/>
    <w:qFormat/>
    <w:uiPriority w:val="99"/>
    <w:rPr>
      <w:rFonts w:ascii="宋体" w:hAnsi="Courier New" w:eastAsia="宋体" w:cs="Courier New"/>
      <w:szCs w:val="21"/>
    </w:rPr>
  </w:style>
  <w:style w:type="character" w:customStyle="1" w:styleId="115">
    <w:name w:val="文档结构图 Char1"/>
    <w:basedOn w:val="44"/>
    <w:link w:val="15"/>
    <w:semiHidden/>
    <w:qFormat/>
    <w:uiPriority w:val="99"/>
    <w:rPr>
      <w:rFonts w:ascii="宋体" w:hAnsi="Calibri" w:eastAsia="宋体" w:cs="Times New Roman"/>
      <w:sz w:val="18"/>
      <w:szCs w:val="18"/>
    </w:rPr>
  </w:style>
  <w:style w:type="character" w:customStyle="1" w:styleId="116">
    <w:name w:val="日期 Char1"/>
    <w:basedOn w:val="44"/>
    <w:link w:val="24"/>
    <w:semiHidden/>
    <w:qFormat/>
    <w:uiPriority w:val="99"/>
    <w:rPr>
      <w:rFonts w:ascii="Calibri" w:hAnsi="Calibri" w:eastAsia="宋体" w:cs="Times New Roman"/>
    </w:rPr>
  </w:style>
  <w:style w:type="character" w:customStyle="1" w:styleId="117">
    <w:name w:val="正文文本 Char2"/>
    <w:basedOn w:val="44"/>
    <w:link w:val="18"/>
    <w:semiHidden/>
    <w:qFormat/>
    <w:uiPriority w:val="99"/>
    <w:rPr>
      <w:rFonts w:ascii="Calibri" w:hAnsi="Calibri" w:eastAsia="宋体" w:cs="Times New Roman"/>
    </w:rPr>
  </w:style>
  <w:style w:type="character" w:customStyle="1" w:styleId="118">
    <w:name w:val="正文文本缩进 Char1"/>
    <w:basedOn w:val="44"/>
    <w:link w:val="19"/>
    <w:semiHidden/>
    <w:qFormat/>
    <w:uiPriority w:val="99"/>
    <w:rPr>
      <w:rFonts w:ascii="Calibri" w:hAnsi="Calibri" w:eastAsia="宋体" w:cs="Times New Roman"/>
    </w:rPr>
  </w:style>
  <w:style w:type="character" w:customStyle="1" w:styleId="119">
    <w:name w:val="批注文字 Char1"/>
    <w:basedOn w:val="44"/>
    <w:link w:val="16"/>
    <w:semiHidden/>
    <w:qFormat/>
    <w:uiPriority w:val="99"/>
    <w:rPr>
      <w:rFonts w:ascii="Calibri" w:hAnsi="Calibri" w:eastAsia="宋体" w:cs="Times New Roman"/>
    </w:rPr>
  </w:style>
  <w:style w:type="character" w:customStyle="1" w:styleId="120">
    <w:name w:val="HTML 预设格式 Char1"/>
    <w:basedOn w:val="44"/>
    <w:link w:val="36"/>
    <w:semiHidden/>
    <w:qFormat/>
    <w:uiPriority w:val="99"/>
    <w:rPr>
      <w:rFonts w:ascii="Courier New" w:hAnsi="Courier New" w:eastAsia="宋体" w:cs="Courier New"/>
      <w:sz w:val="20"/>
      <w:szCs w:val="20"/>
    </w:rPr>
  </w:style>
  <w:style w:type="character" w:customStyle="1" w:styleId="121">
    <w:name w:val="正文文本缩进 2 Char1"/>
    <w:basedOn w:val="44"/>
    <w:link w:val="25"/>
    <w:semiHidden/>
    <w:qFormat/>
    <w:uiPriority w:val="99"/>
    <w:rPr>
      <w:rFonts w:ascii="Calibri" w:hAnsi="Calibri" w:eastAsia="宋体" w:cs="Times New Roman"/>
    </w:rPr>
  </w:style>
  <w:style w:type="character" w:customStyle="1" w:styleId="122">
    <w:name w:val="正文文本 2 Char1"/>
    <w:basedOn w:val="44"/>
    <w:link w:val="35"/>
    <w:semiHidden/>
    <w:qFormat/>
    <w:uiPriority w:val="99"/>
    <w:rPr>
      <w:rFonts w:ascii="Calibri" w:hAnsi="Calibri" w:eastAsia="宋体" w:cs="Times New Roman"/>
    </w:rPr>
  </w:style>
  <w:style w:type="character" w:customStyle="1" w:styleId="123">
    <w:name w:val="批注框文本 Char1"/>
    <w:basedOn w:val="44"/>
    <w:link w:val="26"/>
    <w:semiHidden/>
    <w:qFormat/>
    <w:uiPriority w:val="99"/>
    <w:rPr>
      <w:rFonts w:ascii="Calibri" w:hAnsi="Calibri" w:eastAsia="宋体" w:cs="Times New Roman"/>
      <w:sz w:val="18"/>
      <w:szCs w:val="18"/>
    </w:rPr>
  </w:style>
  <w:style w:type="character" w:customStyle="1" w:styleId="124">
    <w:name w:val="正文文本缩进 3 Char1"/>
    <w:basedOn w:val="44"/>
    <w:link w:val="32"/>
    <w:semiHidden/>
    <w:qFormat/>
    <w:uiPriority w:val="99"/>
    <w:rPr>
      <w:rFonts w:ascii="Calibri" w:hAnsi="Calibri" w:eastAsia="宋体" w:cs="Times New Roman"/>
      <w:sz w:val="16"/>
      <w:szCs w:val="16"/>
    </w:rPr>
  </w:style>
  <w:style w:type="character" w:customStyle="1" w:styleId="125">
    <w:name w:val="标题 Char1"/>
    <w:basedOn w:val="44"/>
    <w:link w:val="39"/>
    <w:qFormat/>
    <w:uiPriority w:val="10"/>
    <w:rPr>
      <w:rFonts w:eastAsia="宋体" w:asciiTheme="majorHAnsi" w:hAnsiTheme="majorHAnsi" w:cstheme="majorBidi"/>
      <w:b/>
      <w:bCs/>
      <w:sz w:val="32"/>
      <w:szCs w:val="32"/>
    </w:rPr>
  </w:style>
  <w:style w:type="character" w:customStyle="1" w:styleId="126">
    <w:name w:val="批注主题 Char1"/>
    <w:basedOn w:val="119"/>
    <w:link w:val="40"/>
    <w:semiHidden/>
    <w:qFormat/>
    <w:uiPriority w:val="99"/>
    <w:rPr>
      <w:b/>
      <w:bCs/>
    </w:rPr>
  </w:style>
  <w:style w:type="character" w:customStyle="1" w:styleId="127">
    <w:name w:val="正文首行缩进 Char1"/>
    <w:basedOn w:val="117"/>
    <w:link w:val="41"/>
    <w:semiHidden/>
    <w:qFormat/>
    <w:uiPriority w:val="99"/>
  </w:style>
  <w:style w:type="paragraph" w:customStyle="1" w:styleId="128">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9">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0">
    <w:name w:val="--规划正文"/>
    <w:basedOn w:val="1"/>
    <w:qFormat/>
    <w:uiPriority w:val="0"/>
    <w:pPr>
      <w:spacing w:line="360" w:lineRule="auto"/>
      <w:ind w:firstLine="200" w:firstLineChars="200"/>
    </w:pPr>
    <w:rPr>
      <w:rFonts w:ascii="Times New Roman" w:hAnsi="Times New Roman"/>
      <w:szCs w:val="20"/>
    </w:rPr>
  </w:style>
  <w:style w:type="paragraph" w:customStyle="1" w:styleId="13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3">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4">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5">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6">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7">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9">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0">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1">
    <w:name w:val="列出段落1"/>
    <w:basedOn w:val="1"/>
    <w:link w:val="214"/>
    <w:qFormat/>
    <w:uiPriority w:val="0"/>
    <w:pPr>
      <w:ind w:firstLine="420" w:firstLineChars="200"/>
    </w:pPr>
    <w:rPr>
      <w:rFonts w:cs="Calibri"/>
      <w:szCs w:val="21"/>
    </w:rPr>
  </w:style>
  <w:style w:type="paragraph" w:customStyle="1" w:styleId="142">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3">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styleId="145">
    <w:name w:val="List Paragraph"/>
    <w:basedOn w:val="1"/>
    <w:qFormat/>
    <w:uiPriority w:val="34"/>
    <w:pPr>
      <w:ind w:firstLine="420" w:firstLineChars="200"/>
    </w:pPr>
  </w:style>
  <w:style w:type="paragraph" w:customStyle="1" w:styleId="146">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规划-小标题"/>
    <w:basedOn w:val="1"/>
    <w:next w:val="130"/>
    <w:qFormat/>
    <w:uiPriority w:val="0"/>
    <w:pPr>
      <w:keepNext/>
      <w:keepLines/>
      <w:spacing w:line="360" w:lineRule="auto"/>
      <w:outlineLvl w:val="4"/>
    </w:pPr>
    <w:rPr>
      <w:rFonts w:ascii="Times New Roman" w:hAnsi="Times New Roman" w:eastAsia="黑体"/>
      <w:szCs w:val="24"/>
    </w:rPr>
  </w:style>
  <w:style w:type="paragraph" w:customStyle="1" w:styleId="148">
    <w:name w:val="自定义正文"/>
    <w:basedOn w:val="1"/>
    <w:qFormat/>
    <w:uiPriority w:val="0"/>
    <w:pPr>
      <w:spacing w:afterLines="50"/>
      <w:ind w:left="600" w:leftChars="600"/>
    </w:pPr>
    <w:rPr>
      <w:rFonts w:ascii="Times New Roman" w:hAnsi="Times New Roman"/>
      <w:szCs w:val="24"/>
    </w:rPr>
  </w:style>
  <w:style w:type="paragraph" w:customStyle="1" w:styleId="149">
    <w:name w:val="段落正文"/>
    <w:basedOn w:val="22"/>
    <w:qFormat/>
    <w:uiPriority w:val="0"/>
    <w:pPr>
      <w:ind w:firstLine="560" w:firstLineChars="200"/>
    </w:pPr>
    <w:rPr>
      <w:sz w:val="28"/>
    </w:rPr>
  </w:style>
  <w:style w:type="paragraph" w:customStyle="1" w:styleId="150">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1">
    <w:name w:val="--规划-表格-居中"/>
    <w:basedOn w:val="130"/>
    <w:qFormat/>
    <w:uiPriority w:val="0"/>
    <w:pPr>
      <w:spacing w:line="240" w:lineRule="auto"/>
      <w:ind w:firstLine="0" w:firstLineChars="0"/>
      <w:jc w:val="center"/>
    </w:pPr>
    <w:rPr>
      <w:sz w:val="20"/>
    </w:rPr>
  </w:style>
  <w:style w:type="paragraph" w:customStyle="1" w:styleId="15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3">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4">
    <w:name w:val="正文文字缩进项目"/>
    <w:basedOn w:val="19"/>
    <w:qFormat/>
    <w:uiPriority w:val="0"/>
    <w:pPr>
      <w:tabs>
        <w:tab w:val="left" w:pos="840"/>
      </w:tabs>
      <w:spacing w:after="120" w:line="240" w:lineRule="auto"/>
      <w:ind w:left="840" w:firstLine="0" w:firstLineChars="0"/>
    </w:pPr>
    <w:rPr>
      <w:rFonts w:ascii="Tahoma" w:hAnsi="Tahoma"/>
      <w:sz w:val="22"/>
      <w:szCs w:val="20"/>
    </w:rPr>
  </w:style>
  <w:style w:type="paragraph" w:customStyle="1" w:styleId="155">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6">
    <w:name w:val="样式2"/>
    <w:basedOn w:val="39"/>
    <w:next w:val="157"/>
    <w:qFormat/>
    <w:uiPriority w:val="0"/>
    <w:pPr>
      <w:spacing w:before="120" w:after="120"/>
    </w:pPr>
    <w:rPr>
      <w:rFonts w:eastAsia="黑体"/>
      <w:b w:val="0"/>
      <w:sz w:val="30"/>
      <w:szCs w:val="30"/>
    </w:rPr>
  </w:style>
  <w:style w:type="paragraph" w:customStyle="1" w:styleId="157">
    <w:name w:val="样式1"/>
    <w:basedOn w:val="39"/>
    <w:qFormat/>
    <w:uiPriority w:val="0"/>
    <w:pPr>
      <w:spacing w:before="120" w:after="120"/>
    </w:pPr>
    <w:rPr>
      <w:rFonts w:eastAsia="黑体"/>
      <w:b w:val="0"/>
      <w:sz w:val="30"/>
      <w:szCs w:val="21"/>
    </w:rPr>
  </w:style>
  <w:style w:type="paragraph" w:customStyle="1" w:styleId="158">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9">
    <w:name w:val="Char Char"/>
    <w:basedOn w:val="1"/>
    <w:qFormat/>
    <w:uiPriority w:val="0"/>
    <w:rPr>
      <w:rFonts w:ascii="Tahoma" w:hAnsi="Tahoma"/>
      <w:sz w:val="24"/>
      <w:szCs w:val="20"/>
    </w:rPr>
  </w:style>
  <w:style w:type="paragraph" w:customStyle="1" w:styleId="16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1">
    <w:name w:val="Char Char Char"/>
    <w:basedOn w:val="1"/>
    <w:qFormat/>
    <w:uiPriority w:val="0"/>
    <w:rPr>
      <w:rFonts w:ascii="Tahoma" w:hAnsi="Tahoma"/>
      <w:sz w:val="24"/>
      <w:szCs w:val="20"/>
    </w:rPr>
  </w:style>
  <w:style w:type="paragraph" w:customStyle="1" w:styleId="162">
    <w:name w:val="Char Char Char Char Char"/>
    <w:basedOn w:val="1"/>
    <w:qFormat/>
    <w:uiPriority w:val="0"/>
    <w:rPr>
      <w:rFonts w:ascii="Tahoma" w:hAnsi="Tahoma"/>
      <w:sz w:val="24"/>
      <w:szCs w:val="20"/>
    </w:rPr>
  </w:style>
  <w:style w:type="paragraph" w:customStyle="1" w:styleId="163">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4">
    <w:name w:val="USE 1"/>
    <w:basedOn w:val="1"/>
    <w:qFormat/>
    <w:uiPriority w:val="0"/>
    <w:pPr>
      <w:spacing w:line="200" w:lineRule="atLeast"/>
      <w:jc w:val="left"/>
    </w:pPr>
    <w:rPr>
      <w:rFonts w:ascii="宋体" w:hAnsi="宋体"/>
      <w:b/>
      <w:sz w:val="24"/>
      <w:szCs w:val="28"/>
    </w:rPr>
  </w:style>
  <w:style w:type="paragraph" w:customStyle="1" w:styleId="165">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6">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7">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8">
    <w:name w:val="6"/>
    <w:basedOn w:val="142"/>
    <w:qFormat/>
    <w:uiPriority w:val="0"/>
    <w:pPr>
      <w:spacing w:line="270" w:lineRule="atLeast"/>
      <w:jc w:val="both"/>
    </w:pPr>
    <w:rPr>
      <w:b w:val="0"/>
      <w:bCs w:val="0"/>
    </w:rPr>
  </w:style>
  <w:style w:type="paragraph" w:customStyle="1" w:styleId="16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0">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1">
    <w:name w:val="--规划-表格-居左"/>
    <w:basedOn w:val="130"/>
    <w:qFormat/>
    <w:uiPriority w:val="0"/>
    <w:pPr>
      <w:spacing w:line="240" w:lineRule="auto"/>
      <w:ind w:firstLine="0" w:firstLineChars="0"/>
    </w:pPr>
    <w:rPr>
      <w:sz w:val="20"/>
    </w:rPr>
  </w:style>
  <w:style w:type="paragraph" w:customStyle="1" w:styleId="172">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3">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4">
    <w:name w:val="--规划-图和表"/>
    <w:next w:val="130"/>
    <w:qFormat/>
    <w:uiPriority w:val="0"/>
    <w:pPr>
      <w:jc w:val="center"/>
    </w:pPr>
    <w:rPr>
      <w:rFonts w:ascii="Times New Roman" w:hAnsi="Times New Roman" w:eastAsia="宋体" w:cs="Times New Roman"/>
      <w:kern w:val="2"/>
      <w:sz w:val="21"/>
      <w:lang w:val="en-US" w:eastAsia="zh-CN" w:bidi="ar-SA"/>
    </w:rPr>
  </w:style>
  <w:style w:type="paragraph" w:customStyle="1" w:styleId="175">
    <w:name w:val="Char1"/>
    <w:basedOn w:val="1"/>
    <w:qFormat/>
    <w:uiPriority w:val="0"/>
    <w:pPr>
      <w:jc w:val="left"/>
    </w:pPr>
    <w:rPr>
      <w:rFonts w:ascii="Tahoma" w:hAnsi="Tahoma"/>
      <w:sz w:val="24"/>
      <w:szCs w:val="20"/>
    </w:rPr>
  </w:style>
  <w:style w:type="paragraph" w:customStyle="1" w:styleId="17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7">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8">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9">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1">
    <w:name w:val="z-窗体顶端 Char1"/>
    <w:basedOn w:val="44"/>
    <w:link w:val="71"/>
    <w:semiHidden/>
    <w:qFormat/>
    <w:uiPriority w:val="99"/>
    <w:rPr>
      <w:rFonts w:ascii="Arial" w:hAnsi="Arial" w:eastAsia="宋体" w:cs="Arial"/>
      <w:vanish/>
      <w:sz w:val="16"/>
      <w:szCs w:val="16"/>
    </w:rPr>
  </w:style>
  <w:style w:type="paragraph" w:customStyle="1" w:styleId="18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3">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5">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6">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8">
    <w:name w:val="--规划-题注"/>
    <w:basedOn w:val="1"/>
    <w:next w:val="130"/>
    <w:qFormat/>
    <w:uiPriority w:val="0"/>
    <w:pPr>
      <w:spacing w:line="360" w:lineRule="auto"/>
      <w:jc w:val="center"/>
    </w:pPr>
    <w:rPr>
      <w:rFonts w:ascii="Times New Roman" w:hAnsi="Times New Roman" w:eastAsia="黑体"/>
      <w:szCs w:val="24"/>
    </w:rPr>
  </w:style>
  <w:style w:type="paragraph" w:customStyle="1" w:styleId="189">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0">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1">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2">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4">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5">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6">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7">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8">
    <w:name w:val="8"/>
    <w:basedOn w:val="1"/>
    <w:next w:val="19"/>
    <w:qFormat/>
    <w:uiPriority w:val="0"/>
    <w:pPr>
      <w:spacing w:after="120"/>
      <w:ind w:left="420" w:leftChars="200"/>
    </w:pPr>
    <w:rPr>
      <w:rFonts w:ascii="Times New Roman" w:hAnsi="Times New Roman"/>
      <w:szCs w:val="24"/>
    </w:rPr>
  </w:style>
  <w:style w:type="paragraph" w:customStyle="1" w:styleId="199">
    <w:name w:val="姜文清定义的正文"/>
    <w:basedOn w:val="1"/>
    <w:qFormat/>
    <w:uiPriority w:val="0"/>
    <w:pPr>
      <w:spacing w:line="240" w:lineRule="atLeast"/>
      <w:ind w:firstLine="567"/>
    </w:pPr>
    <w:rPr>
      <w:rFonts w:ascii="Times New Roman" w:hAnsi="Times New Roman"/>
      <w:szCs w:val="20"/>
    </w:rPr>
  </w:style>
  <w:style w:type="paragraph" w:customStyle="1" w:styleId="200">
    <w:name w:val="CM2"/>
    <w:basedOn w:val="180"/>
    <w:next w:val="180"/>
    <w:qFormat/>
    <w:uiPriority w:val="0"/>
    <w:pPr>
      <w:spacing w:line="200" w:lineRule="atLeast"/>
    </w:pPr>
    <w:rPr>
      <w:rFonts w:ascii="Arial" w:hAnsi="Arial" w:eastAsia="宋体" w:cs="Times New Roman"/>
      <w:color w:val="auto"/>
    </w:rPr>
  </w:style>
  <w:style w:type="character" w:customStyle="1" w:styleId="201">
    <w:name w:val="z-窗体底端 Char1"/>
    <w:basedOn w:val="44"/>
    <w:link w:val="88"/>
    <w:semiHidden/>
    <w:qFormat/>
    <w:uiPriority w:val="99"/>
    <w:rPr>
      <w:rFonts w:ascii="Arial" w:hAnsi="Arial" w:eastAsia="宋体" w:cs="Arial"/>
      <w:vanish/>
      <w:sz w:val="16"/>
      <w:szCs w:val="16"/>
    </w:rPr>
  </w:style>
  <w:style w:type="paragraph" w:customStyle="1" w:styleId="202">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3">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5">
    <w:name w:val="表格字"/>
    <w:basedOn w:val="1"/>
    <w:qFormat/>
    <w:uiPriority w:val="0"/>
    <w:pPr>
      <w:adjustRightInd w:val="0"/>
      <w:jc w:val="center"/>
    </w:pPr>
    <w:rPr>
      <w:rFonts w:ascii="宋体" w:hAnsi="Times New Roman"/>
      <w:sz w:val="24"/>
      <w:szCs w:val="20"/>
    </w:rPr>
  </w:style>
  <w:style w:type="paragraph" w:customStyle="1" w:styleId="206">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7">
    <w:name w:val="评价"/>
    <w:basedOn w:val="1"/>
    <w:qFormat/>
    <w:uiPriority w:val="0"/>
    <w:pPr>
      <w:spacing w:afterLines="20"/>
      <w:ind w:firstLine="1446" w:firstLineChars="200"/>
    </w:pPr>
    <w:rPr>
      <w:sz w:val="24"/>
      <w:szCs w:val="24"/>
    </w:rPr>
  </w:style>
  <w:style w:type="paragraph" w:customStyle="1" w:styleId="208">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9">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0">
    <w:name w:val="封面标题"/>
    <w:basedOn w:val="1"/>
    <w:qFormat/>
    <w:uiPriority w:val="0"/>
    <w:pPr>
      <w:spacing w:line="360" w:lineRule="auto"/>
      <w:jc w:val="center"/>
    </w:pPr>
    <w:rPr>
      <w:rFonts w:ascii="Times New Roman" w:hAnsi="Times New Roman" w:eastAsia="黑体"/>
      <w:sz w:val="48"/>
      <w:szCs w:val="20"/>
    </w:rPr>
  </w:style>
  <w:style w:type="paragraph" w:customStyle="1" w:styleId="211">
    <w:name w:val="列出段落2"/>
    <w:basedOn w:val="1"/>
    <w:qFormat/>
    <w:uiPriority w:val="0"/>
    <w:pPr>
      <w:ind w:firstLine="420" w:firstLineChars="200"/>
    </w:pPr>
    <w:rPr>
      <w:szCs w:val="20"/>
    </w:rPr>
  </w:style>
  <w:style w:type="character" w:customStyle="1" w:styleId="212">
    <w:name w:val="font31"/>
    <w:basedOn w:val="44"/>
    <w:qFormat/>
    <w:uiPriority w:val="0"/>
    <w:rPr>
      <w:rFonts w:hint="default" w:ascii="Times New Roman" w:hAnsi="Times New Roman" w:cs="Times New Roman"/>
      <w:color w:val="000000"/>
      <w:sz w:val="21"/>
      <w:szCs w:val="21"/>
      <w:u w:val="none"/>
    </w:rPr>
  </w:style>
  <w:style w:type="character" w:customStyle="1" w:styleId="213">
    <w:name w:val="正文缩进 Char1"/>
    <w:qFormat/>
    <w:uiPriority w:val="0"/>
    <w:rPr>
      <w:rFonts w:eastAsia="宋体"/>
      <w:kern w:val="2"/>
      <w:sz w:val="21"/>
      <w:lang w:val="en-US" w:eastAsia="zh-CN" w:bidi="ar-SA"/>
    </w:rPr>
  </w:style>
  <w:style w:type="character" w:customStyle="1" w:styleId="214">
    <w:name w:val="列表段落 字符"/>
    <w:link w:val="141"/>
    <w:qFormat/>
    <w:uiPriority w:val="0"/>
    <w:rPr>
      <w:rFonts w:ascii="Calibri" w:hAnsi="Calibri" w:eastAsia="宋体" w:cs="Calibri"/>
      <w:szCs w:val="21"/>
    </w:rPr>
  </w:style>
  <w:style w:type="paragraph" w:customStyle="1" w:styleId="215">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6">
    <w:name w:val=".正文"/>
    <w:basedOn w:val="1"/>
    <w:qFormat/>
    <w:uiPriority w:val="0"/>
    <w:pPr>
      <w:spacing w:beforeLines="50"/>
      <w:ind w:firstLine="200" w:firstLineChars="200"/>
    </w:pPr>
    <w:rPr>
      <w:rFonts w:eastAsia="华文仿宋"/>
    </w:rPr>
  </w:style>
  <w:style w:type="paragraph" w:customStyle="1" w:styleId="217">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customStyle="1" w:styleId="218">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219">
    <w:name w:val="Table Normal"/>
    <w:semiHidden/>
    <w:unhideWhenUsed/>
    <w:qFormat/>
    <w:uiPriority w:val="0"/>
    <w:tblPr>
      <w:tblCellMar>
        <w:top w:w="0" w:type="dxa"/>
        <w:left w:w="0" w:type="dxa"/>
        <w:bottom w:w="0" w:type="dxa"/>
        <w:right w:w="0" w:type="dxa"/>
      </w:tblCellMar>
    </w:tblPr>
  </w:style>
  <w:style w:type="table" w:customStyle="1" w:styleId="220">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1">
    <w:name w:val="No Spacing1"/>
    <w:basedOn w:val="1"/>
    <w:qFormat/>
    <w:uiPriority w:val="0"/>
    <w:rPr>
      <w:rFonts w:ascii="Calibri" w:hAnsi="Calibri" w:eastAsia="宋体"/>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111</Pages>
  <Words>3521</Words>
  <Characters>3589</Characters>
  <Lines>448</Lines>
  <Paragraphs>126</Paragraphs>
  <TotalTime>0</TotalTime>
  <ScaleCrop>false</ScaleCrop>
  <LinksUpToDate>false</LinksUpToDate>
  <CharactersWithSpaces>3616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2020-09-24T06:11:00Z</dcterms:created>
  <dc:creator>Administrator</dc:creator>
  <cp:lastModifiedBy>中正--穗绮</cp:lastModifiedBy>
  <cp:lastPrinted>2019-10-21T08:50:00Z</cp:lastPrinted>
  <dcterms:modified xsi:type="dcterms:W3CDTF">2026-05-15T12:48:08Z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9BF0787322D74AA6B720B0E510CF0198</vt:lpwstr>
  </property>
  <property fmtid="{D5CDD505-2E9C-101B-9397-08002B2CF9AE}" pid="4" name="KSOTemplateDocerSaveRecord">
    <vt:lpwstr>eyJoZGlkIjoiY2Y5OTA2MGI3MGFmOGU0NTE2YWU2ZGI5ZDJmMmNkMGUiLCJ1c2VySWQiOiI3MDgxMTIyMzEifQ==</vt:lpwstr>
  </property>
</Properties>
</file>