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FA8E7">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w:t>
      </w:r>
      <w:r>
        <w:rPr>
          <w:rFonts w:hint="eastAsia" w:ascii="宋体" w:hAnsi="宋体" w:cs="宋体"/>
          <w:b/>
          <w:sz w:val="44"/>
          <w:szCs w:val="44"/>
          <w:lang w:val="en-US" w:eastAsia="zh-CN"/>
        </w:rPr>
        <w:t>兴业银行深圳</w:t>
      </w:r>
      <w:r>
        <w:rPr>
          <w:rFonts w:hint="eastAsia" w:ascii="宋体" w:hAnsi="宋体" w:eastAsia="宋体" w:cs="宋体"/>
          <w:b/>
          <w:sz w:val="44"/>
          <w:szCs w:val="44"/>
          <w:lang w:val="en-US" w:eastAsia="zh-CN"/>
        </w:rPr>
        <w:t>分行消防维保服务项目》</w:t>
      </w:r>
    </w:p>
    <w:p w14:paraId="7A895CE2">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供应商征集反馈材料-公司名称（全称）</w:t>
      </w:r>
    </w:p>
    <w:p w14:paraId="521E8B9C">
      <w:pPr>
        <w:ind w:left="0" w:leftChars="0" w:firstLine="0" w:firstLineChars="0"/>
        <w:jc w:val="center"/>
        <w:rPr>
          <w:rFonts w:hint="eastAsia" w:ascii="仿宋" w:hAnsi="仿宋" w:eastAsia="仿宋"/>
          <w:b/>
          <w:bCs/>
          <w:sz w:val="36"/>
          <w:szCs w:val="36"/>
          <w:lang w:val="en-US" w:eastAsia="zh-CN"/>
        </w:rPr>
      </w:pPr>
    </w:p>
    <w:p w14:paraId="3A2C6188">
      <w:pPr>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b/>
          <w:bCs/>
          <w:sz w:val="36"/>
          <w:szCs w:val="36"/>
          <w:lang w:val="en-US" w:eastAsia="zh-CN"/>
        </w:rPr>
        <w:t>目录指引</w:t>
      </w:r>
      <w:r>
        <w:rPr>
          <w:rFonts w:hint="eastAsia" w:ascii="仿宋" w:hAnsi="仿宋" w:eastAsia="仿宋"/>
          <w:b/>
          <w:bCs/>
          <w:i/>
          <w:iCs/>
          <w:color w:val="FF0000"/>
          <w:sz w:val="24"/>
          <w:szCs w:val="24"/>
          <w:highlight w:val="none"/>
          <w:lang w:val="en-US" w:eastAsia="zh-CN"/>
        </w:rPr>
        <w:t>（请报名供应商据实修改）</w:t>
      </w:r>
      <w:r>
        <w:rPr>
          <w:rFonts w:hint="eastAsia" w:ascii="仿宋" w:hAnsi="仿宋" w:eastAsia="仿宋" w:cs="Times New Roman"/>
          <w:b/>
          <w:bCs/>
          <w:kern w:val="2"/>
          <w:sz w:val="28"/>
          <w:szCs w:val="28"/>
          <w:lang w:val="en-US" w:eastAsia="zh-CN" w:bidi="ar-SA"/>
        </w:rPr>
        <w:t xml:space="preserve"> </w:t>
      </w:r>
    </w:p>
    <w:p w14:paraId="3142290E">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对应页码P1-P20</w:t>
      </w:r>
    </w:p>
    <w:p w14:paraId="1E5C50DB">
      <w:pPr>
        <w:pStyle w:val="4"/>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14:paraId="10249E28">
      <w:pPr>
        <w:pStyle w:val="4"/>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14:paraId="158DD086">
      <w:pPr>
        <w:pStyle w:val="4"/>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14:paraId="6ED7111F">
      <w:pPr>
        <w:pStyle w:val="12"/>
        <w:rPr>
          <w:rFonts w:hint="eastAsia" w:ascii="仿宋" w:hAnsi="仿宋" w:eastAsia="仿宋" w:cs="仿宋"/>
          <w:sz w:val="32"/>
          <w:szCs w:val="32"/>
          <w:lang w:val="en-US" w:eastAsia="zh-CN"/>
        </w:rPr>
      </w:pPr>
    </w:p>
    <w:p w14:paraId="10D45B38">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p w14:paraId="7F523FC0">
      <w:pPr>
        <w:keepNext w:val="0"/>
        <w:keepLines w:val="0"/>
        <w:pageBreakBefore w:val="0"/>
        <w:kinsoku/>
        <w:wordWrap/>
        <w:overflowPunct/>
        <w:autoSpaceDE/>
        <w:autoSpaceDN/>
        <w:bidi w:val="0"/>
        <w:adjustRightInd/>
        <w:snapToGrid/>
        <w:spacing w:line="579" w:lineRule="exact"/>
        <w:ind w:left="0" w:leftChars="0" w:firstLine="640" w:firstLineChars="200"/>
        <w:textAlignment w:val="auto"/>
        <w:outlineLvl w:val="9"/>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（“是否满足”和“基本情况说明”列由供应商填写。）</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36"/>
        <w:gridCol w:w="2236"/>
        <w:gridCol w:w="2147"/>
      </w:tblGrid>
      <w:tr w14:paraId="769A7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254" w:type="pct"/>
            <w:vAlign w:val="center"/>
          </w:tcPr>
          <w:p w14:paraId="1C87A5E1">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审核事项</w:t>
            </w:r>
          </w:p>
        </w:tc>
        <w:tc>
          <w:tcPr>
            <w:tcW w:w="1399" w:type="pct"/>
            <w:vAlign w:val="center"/>
          </w:tcPr>
          <w:p w14:paraId="11BC7B24">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是否满足（是/否）</w:t>
            </w:r>
          </w:p>
        </w:tc>
        <w:tc>
          <w:tcPr>
            <w:tcW w:w="1345" w:type="pct"/>
            <w:vAlign w:val="center"/>
          </w:tcPr>
          <w:p w14:paraId="5A869B59">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基本情况说明</w:t>
            </w:r>
          </w:p>
        </w:tc>
      </w:tr>
      <w:tr w14:paraId="67AD4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14:paraId="3CB959F4">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一、采购需求及资格要求</w:t>
            </w:r>
          </w:p>
        </w:tc>
      </w:tr>
      <w:tr w14:paraId="3DE8E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14:paraId="095AE290">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1.1采购需求</w:t>
            </w:r>
          </w:p>
        </w:tc>
      </w:tr>
      <w:tr w14:paraId="7D9D8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254" w:type="pct"/>
            <w:vAlign w:val="center"/>
          </w:tcPr>
          <w:p w14:paraId="4BE92208">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rPr>
            </w:pPr>
            <w:r>
              <w:rPr>
                <w:rFonts w:hint="eastAsia" w:ascii="仿宋" w:hAnsi="仿宋" w:eastAsia="仿宋" w:cs="仿宋"/>
                <w:sz w:val="28"/>
                <w:szCs w:val="28"/>
              </w:rPr>
              <w:t>1.1.1服务地点：兴业银行深圳分行各营业网点及办公场所（含支行网点、社区支行网点、自助银行、信用卡中心、网络机房和分行大厦楼层），根据网点建设及改造进度情况，实际需要维保的网点数量每月会有所变化，具体以当月实际发生维保服务的网点数量为准</w:t>
            </w:r>
            <w:r>
              <w:rPr>
                <w:rFonts w:hint="eastAsia" w:ascii="仿宋" w:hAnsi="仿宋" w:eastAsia="仿宋" w:cs="仿宋"/>
                <w:sz w:val="28"/>
                <w:szCs w:val="28"/>
                <w:lang w:eastAsia="zh-CN"/>
              </w:rPr>
              <w:t>。</w:t>
            </w:r>
          </w:p>
        </w:tc>
        <w:tc>
          <w:tcPr>
            <w:tcW w:w="1399" w:type="pct"/>
            <w:vAlign w:val="center"/>
          </w:tcPr>
          <w:p w14:paraId="72563862">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4F4CBBEA">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263D3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254" w:type="pct"/>
            <w:vAlign w:val="center"/>
          </w:tcPr>
          <w:p w14:paraId="62384D32">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rPr>
            </w:pPr>
            <w:r>
              <w:rPr>
                <w:rFonts w:hint="eastAsia" w:ascii="仿宋" w:hAnsi="仿宋" w:eastAsia="仿宋" w:cs="仿宋"/>
                <w:sz w:val="28"/>
                <w:szCs w:val="28"/>
              </w:rPr>
              <w:t>1.1.2采购范围包括对各网点及办公场所委托范围内全部涉及的消防设施进行维护保养</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确保我行深圳地区办公区域、营业网点消防设施的正常运行和维护管理，更好的发挥消防设施应有功能，提高我行防御火灾的能力</w:t>
            </w:r>
            <w:r>
              <w:rPr>
                <w:rFonts w:hint="eastAsia" w:ascii="仿宋" w:hAnsi="仿宋" w:eastAsia="仿宋" w:cs="仿宋"/>
                <w:sz w:val="28"/>
                <w:szCs w:val="28"/>
              </w:rPr>
              <w:t>。具体如下：</w:t>
            </w:r>
          </w:p>
          <w:p w14:paraId="4EAD4C08">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rPr>
            </w:pPr>
            <w:r>
              <w:rPr>
                <w:rFonts w:hint="eastAsia" w:ascii="仿宋" w:hAnsi="仿宋" w:eastAsia="仿宋" w:cs="仿宋"/>
                <w:sz w:val="28"/>
                <w:szCs w:val="28"/>
              </w:rPr>
              <w:t>维保内容包括但不限于：</w:t>
            </w:r>
            <w:r>
              <w:rPr>
                <w:rFonts w:hint="eastAsia" w:ascii="仿宋" w:hAnsi="仿宋" w:eastAsia="仿宋" w:cs="仿宋"/>
                <w:sz w:val="28"/>
                <w:szCs w:val="28"/>
                <w:lang w:val="en-US" w:eastAsia="zh-CN"/>
              </w:rPr>
              <w:t>火灾自动报警系统（含联动系统）、消防广播及专用电话系统、电气火灾监控设备、消火栓系统、自动喷水灭火系统、气体灭火系统、建筑灭火器、应急照明与疏散指示系统、防排烟设施、防火门及防火卷帘、消防电源及其配电等系统和设施。此外，每月定期维保的同时，对各网点的用电安全进行巡检，并汇总用电安全隐患提交我行。</w:t>
            </w:r>
          </w:p>
        </w:tc>
        <w:tc>
          <w:tcPr>
            <w:tcW w:w="1399" w:type="pct"/>
            <w:vAlign w:val="center"/>
          </w:tcPr>
          <w:p w14:paraId="630404E3">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3DFA5000">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1CA8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254" w:type="pct"/>
            <w:vAlign w:val="center"/>
          </w:tcPr>
          <w:p w14:paraId="4B7196C2">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rPr>
            </w:pPr>
            <w:r>
              <w:rPr>
                <w:rFonts w:hint="eastAsia" w:ascii="仿宋" w:hAnsi="仿宋" w:eastAsia="仿宋" w:cs="仿宋"/>
                <w:sz w:val="28"/>
                <w:szCs w:val="28"/>
              </w:rPr>
              <w:t>1.1.3</w:t>
            </w:r>
            <w:r>
              <w:rPr>
                <w:rFonts w:hint="eastAsia" w:ascii="仿宋" w:hAnsi="仿宋" w:eastAsia="仿宋" w:cs="仿宋"/>
                <w:sz w:val="28"/>
                <w:szCs w:val="28"/>
                <w:lang w:val="en-US" w:eastAsia="zh-CN"/>
              </w:rPr>
              <w:t>合同有效</w:t>
            </w:r>
            <w:r>
              <w:rPr>
                <w:rFonts w:hint="eastAsia" w:ascii="仿宋" w:hAnsi="仿宋" w:eastAsia="仿宋" w:cs="仿宋"/>
                <w:sz w:val="28"/>
                <w:szCs w:val="28"/>
              </w:rPr>
              <w:t>期限：</w:t>
            </w:r>
            <w:r>
              <w:rPr>
                <w:rFonts w:hint="eastAsia" w:ascii="仿宋" w:hAnsi="仿宋" w:eastAsia="仿宋" w:cs="仿宋"/>
                <w:sz w:val="28"/>
                <w:szCs w:val="28"/>
                <w:lang w:val="en-US" w:eastAsia="zh-CN"/>
              </w:rPr>
              <w:t>一年</w:t>
            </w:r>
            <w:r>
              <w:rPr>
                <w:rFonts w:hint="eastAsia" w:ascii="仿宋" w:hAnsi="仿宋" w:eastAsia="仿宋" w:cs="仿宋"/>
                <w:sz w:val="28"/>
                <w:szCs w:val="28"/>
              </w:rPr>
              <w:t>。</w:t>
            </w:r>
          </w:p>
        </w:tc>
        <w:tc>
          <w:tcPr>
            <w:tcW w:w="1399" w:type="pct"/>
            <w:vAlign w:val="center"/>
          </w:tcPr>
          <w:p w14:paraId="78EC8514">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22B2B2CC">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60F3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14:paraId="725EF55A">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i w:val="0"/>
                <w:iCs w:val="0"/>
                <w:caps w:val="0"/>
                <w:color w:val="000000"/>
                <w:spacing w:val="0"/>
                <w:kern w:val="0"/>
                <w:sz w:val="28"/>
                <w:szCs w:val="28"/>
                <w:shd w:val="clear" w:fill="FFFFFF"/>
                <w:lang w:val="en-US" w:eastAsia="zh-CN" w:bidi="ar"/>
              </w:rPr>
              <w:t>1.2 技术要求和服务要求</w:t>
            </w:r>
          </w:p>
        </w:tc>
      </w:tr>
      <w:tr w14:paraId="5C19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254" w:type="pct"/>
            <w:vAlign w:val="center"/>
          </w:tcPr>
          <w:p w14:paraId="198A6884">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1.2.1维保应满足《建筑消防设施的维护管理》（GB25201-2010）、《消防技术服务机构服务规范》（DB4403/T 338-2023）等规范的的要求。依据《消防技术服务机构服务规范》（DB4403/T 338-2023）的月度、季度、半年、年度要求对甲方现有消防设施进行维护保养。</w:t>
            </w:r>
          </w:p>
        </w:tc>
        <w:tc>
          <w:tcPr>
            <w:tcW w:w="1399" w:type="pct"/>
            <w:vAlign w:val="center"/>
          </w:tcPr>
          <w:p w14:paraId="27272957">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7DBD33E4">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2807B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254" w:type="pct"/>
            <w:vAlign w:val="center"/>
          </w:tcPr>
          <w:p w14:paraId="18E94C4C">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1.2.2完成当月技术服务活动后，以书面形式将火灾隐患整改意见书告知甲方；并按要求每月报送维保报告至相关部门管理人员。</w:t>
            </w:r>
          </w:p>
        </w:tc>
        <w:tc>
          <w:tcPr>
            <w:tcW w:w="1399" w:type="pct"/>
            <w:vAlign w:val="center"/>
          </w:tcPr>
          <w:p w14:paraId="38E9B1F5">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536307B9">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69A4E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254" w:type="pct"/>
            <w:vAlign w:val="center"/>
          </w:tcPr>
          <w:p w14:paraId="7735664F">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1.2.3需为所服务的网点或场所建立一套完整的电子化消防设施台账和维护保养手册，内容涵盖图纸、设施基础信息、技术参数、维护保养要点、维保记录等，需在每次服务后进行及时更新。</w:t>
            </w:r>
          </w:p>
        </w:tc>
        <w:tc>
          <w:tcPr>
            <w:tcW w:w="1399" w:type="pct"/>
            <w:vAlign w:val="center"/>
          </w:tcPr>
          <w:p w14:paraId="2096C666">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6460CED1">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3CE15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254" w:type="pct"/>
            <w:vAlign w:val="center"/>
          </w:tcPr>
          <w:p w14:paraId="29B404E2">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1.2.4应急响应：供应商能提供完善的服务响应，合同约定的服务期限内，能提供7×24小时服务响应，应急响应时间低于3小时，具备处理应急突发情况的能力。在深圳市有相应服务办公场地(需附房屋产权证书或房屋租赁合同复印件和联系方式）。</w:t>
            </w:r>
          </w:p>
        </w:tc>
        <w:tc>
          <w:tcPr>
            <w:tcW w:w="1399" w:type="pct"/>
            <w:vAlign w:val="center"/>
          </w:tcPr>
          <w:p w14:paraId="048FFAE1">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72E305E0">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3D36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254" w:type="pct"/>
            <w:vAlign w:val="center"/>
          </w:tcPr>
          <w:p w14:paraId="1F20829D">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1.2.5技术培训：供应商在维保项目期间内，应确保为所负责的支行及社区支行机构各提供一次专业的消防安全教育及消防应急疏散逃生演练培训。</w:t>
            </w:r>
          </w:p>
        </w:tc>
        <w:tc>
          <w:tcPr>
            <w:tcW w:w="1399" w:type="pct"/>
            <w:vAlign w:val="center"/>
          </w:tcPr>
          <w:p w14:paraId="0CCDA8E5">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1E63795F">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6D56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254" w:type="pct"/>
            <w:vAlign w:val="center"/>
          </w:tcPr>
          <w:p w14:paraId="0083F0D9">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1.2.6合同服务期内负责对外部检查发现的消防问题进行协调解决与配合整改。</w:t>
            </w:r>
          </w:p>
        </w:tc>
        <w:tc>
          <w:tcPr>
            <w:tcW w:w="1399" w:type="pct"/>
            <w:vAlign w:val="center"/>
          </w:tcPr>
          <w:p w14:paraId="2E6E5D18">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5F9863DB">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0F097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254" w:type="pct"/>
            <w:vAlign w:val="center"/>
          </w:tcPr>
          <w:p w14:paraId="49AE5D36">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1.2.7在网点新建、迁址装修改造、原址装修改造、房屋续租、消防改造过程中，出具消防意见并协助验收。</w:t>
            </w:r>
          </w:p>
        </w:tc>
        <w:tc>
          <w:tcPr>
            <w:tcW w:w="1399" w:type="pct"/>
            <w:vAlign w:val="center"/>
          </w:tcPr>
          <w:p w14:paraId="559997E8">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67DE3264">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5606D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254" w:type="pct"/>
            <w:vAlign w:val="center"/>
          </w:tcPr>
          <w:p w14:paraId="78E4480E">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1.2.8供应商需为本项目配置项目服务团队，项目负责人需持有一级注册消防工程师证书，实际维保服务人员需持有“中级消防设施操作员”资格证书。</w:t>
            </w:r>
          </w:p>
        </w:tc>
        <w:tc>
          <w:tcPr>
            <w:tcW w:w="1399" w:type="pct"/>
            <w:vAlign w:val="center"/>
          </w:tcPr>
          <w:p w14:paraId="027632A8">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7F691FBF">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7E8A1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3"/>
            <w:vAlign w:val="center"/>
          </w:tcPr>
          <w:p w14:paraId="794E074A">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1.3 供应商资质要求</w:t>
            </w:r>
          </w:p>
        </w:tc>
      </w:tr>
      <w:tr w14:paraId="7D6D8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254" w:type="pct"/>
            <w:vAlign w:val="center"/>
          </w:tcPr>
          <w:p w14:paraId="0E723C4A">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1.3.1企业成立三年以上，经营正常，可稳定提供服务。</w:t>
            </w:r>
          </w:p>
        </w:tc>
        <w:tc>
          <w:tcPr>
            <w:tcW w:w="1399" w:type="pct"/>
            <w:vAlign w:val="center"/>
          </w:tcPr>
          <w:p w14:paraId="7D1C9D93">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513D0ADB">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4D270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254" w:type="pct"/>
            <w:vAlign w:val="center"/>
          </w:tcPr>
          <w:p w14:paraId="3EE065C7">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1.3.2供应商须满足《消防技术服务机构从业条件》的要求，须为社会消防技术服务信息系统（https://shhxf.119.gov.cn/）中消防设施维护保养检测类企业，以社会消防技术服务信息系统网站查询结果为准，需附网站查询截图。</w:t>
            </w:r>
          </w:p>
        </w:tc>
        <w:tc>
          <w:tcPr>
            <w:tcW w:w="1399" w:type="pct"/>
            <w:vAlign w:val="center"/>
          </w:tcPr>
          <w:p w14:paraId="75D2BDDF">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2C451745">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4B836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254" w:type="pct"/>
            <w:vAlign w:val="center"/>
          </w:tcPr>
          <w:p w14:paraId="60A749DD">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1.3.3在参加本次采购前三年内，不存在因信息泄密、安全违规等造成诉讼或受处罚的情况；向采购人提供的产品或服务，在参加本次采购前三年内，不存在违反国家法律法规和监管文件中规定的信息安全要求的问题。</w:t>
            </w:r>
          </w:p>
        </w:tc>
        <w:tc>
          <w:tcPr>
            <w:tcW w:w="1399" w:type="pct"/>
            <w:vAlign w:val="center"/>
          </w:tcPr>
          <w:p w14:paraId="22CB3A4E">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3FEEDB31">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03A22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254" w:type="pct"/>
            <w:vAlign w:val="center"/>
          </w:tcPr>
          <w:p w14:paraId="17ABD73D">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1.3.4具备2023年4月1日至今与21家国内系统重要性银行分行级/或其子公司合作开展与本项目相似的成功案例。</w:t>
            </w:r>
            <w:bookmarkStart w:id="0" w:name="_GoBack"/>
            <w:bookmarkEnd w:id="0"/>
            <w:r>
              <w:rPr>
                <w:rFonts w:hint="eastAsia" w:ascii="仿宋" w:hAnsi="仿宋" w:eastAsia="仿宋" w:cs="仿宋"/>
                <w:sz w:val="28"/>
                <w:szCs w:val="28"/>
                <w:lang w:val="en-US" w:eastAsia="zh-CN"/>
              </w:rPr>
              <w:t>(需提供合同扫描件及发票，合同签订时间、合同签订双方名称、签章应清晰可见，服务内容与入围类型相关，合同履约方必须为供应商自身；若本项目应标供应商是分支机构，则以上案例需提供分支机构的案例）。备注：①供应商若只提供一个符合要求的案例，则默认为该供应商仅有一个案例符合要求；②若供应商有多个案例符合要求，请供应商提供多个符合要求的案例。</w:t>
            </w:r>
          </w:p>
        </w:tc>
        <w:tc>
          <w:tcPr>
            <w:tcW w:w="1399" w:type="pct"/>
            <w:vAlign w:val="center"/>
          </w:tcPr>
          <w:p w14:paraId="0867E852">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50FD0C48">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09FCD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254" w:type="pct"/>
            <w:vAlign w:val="center"/>
          </w:tcPr>
          <w:p w14:paraId="12771EAF">
            <w:pPr>
              <w:keepNext w:val="0"/>
              <w:keepLines w:val="0"/>
              <w:pageBreakBefore w:val="0"/>
              <w:widowControl w:val="0"/>
              <w:kinsoku/>
              <w:wordWrap/>
              <w:overflowPunct/>
              <w:topLinePunct/>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1.3.5供应商须具备自主经营能力，禁止外包。不允许挂靠、转保单位，不接受联合体投标，不允许分包。</w:t>
            </w:r>
          </w:p>
        </w:tc>
        <w:tc>
          <w:tcPr>
            <w:tcW w:w="1399" w:type="pct"/>
            <w:vAlign w:val="center"/>
          </w:tcPr>
          <w:p w14:paraId="5FE42699">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0C49515E">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69D4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14:paraId="0187F53D">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二、报名要求</w:t>
            </w:r>
          </w:p>
        </w:tc>
      </w:tr>
      <w:tr w14:paraId="58BD1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254" w:type="pct"/>
            <w:vAlign w:val="center"/>
          </w:tcPr>
          <w:p w14:paraId="3824AC8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adjustRightInd/>
              <w:snapToGrid/>
              <w:spacing w:before="0" w:beforeAutospacing="0" w:after="0" w:afterAutospacing="0" w:line="500" w:lineRule="exact"/>
              <w:ind w:left="0" w:leftChars="0" w:right="0" w:rightChars="0" w:firstLine="0" w:firstLineChars="0"/>
              <w:textAlignment w:val="auto"/>
              <w:rPr>
                <w:rFonts w:hint="eastAsia"/>
                <w:sz w:val="28"/>
                <w:szCs w:val="28"/>
              </w:rPr>
            </w:pPr>
            <w:r>
              <w:rPr>
                <w:rFonts w:hint="eastAsia" w:ascii="仿宋" w:hAnsi="仿宋" w:eastAsia="仿宋" w:cs="仿宋"/>
                <w:i w:val="0"/>
                <w:iCs w:val="0"/>
                <w:caps w:val="0"/>
                <w:color w:val="000000"/>
                <w:spacing w:val="0"/>
                <w:sz w:val="28"/>
                <w:szCs w:val="28"/>
                <w:shd w:val="clear" w:fill="FFFFFF"/>
              </w:rPr>
              <w:t>2.1 依法成立，为存续、在营、开业、在册、登记成立等正常企业状态。</w:t>
            </w:r>
          </w:p>
        </w:tc>
        <w:tc>
          <w:tcPr>
            <w:tcW w:w="1399" w:type="pct"/>
            <w:vAlign w:val="center"/>
          </w:tcPr>
          <w:p w14:paraId="2BD1DD80">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31804FA6">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1DB3D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254" w:type="pct"/>
            <w:vAlign w:val="center"/>
          </w:tcPr>
          <w:p w14:paraId="6C260E3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adjustRightInd/>
              <w:snapToGrid/>
              <w:spacing w:before="0" w:beforeAutospacing="0" w:after="0" w:afterAutospacing="0" w:line="500" w:lineRule="exact"/>
              <w:ind w:left="0" w:leftChars="0" w:right="0" w:rightChars="0" w:firstLine="0" w:firstLineChars="0"/>
              <w:textAlignment w:val="auto"/>
              <w:rPr>
                <w:rFonts w:hint="eastAsia"/>
                <w:sz w:val="28"/>
                <w:szCs w:val="28"/>
              </w:rPr>
            </w:pPr>
            <w:r>
              <w:rPr>
                <w:rFonts w:hint="eastAsia" w:ascii="仿宋" w:hAnsi="仿宋" w:eastAsia="仿宋" w:cs="仿宋"/>
                <w:i w:val="0"/>
                <w:iCs w:val="0"/>
                <w:caps w:val="0"/>
                <w:color w:val="000000"/>
                <w:spacing w:val="0"/>
                <w:sz w:val="28"/>
                <w:szCs w:val="28"/>
                <w:shd w:val="clear" w:fill="FFFFFF"/>
              </w:rPr>
              <w:t>2.2 在兴业银行开立对公账户，若中标本项目，则通过兴业银行对公账户结算该项目相关费用。</w:t>
            </w:r>
          </w:p>
        </w:tc>
        <w:tc>
          <w:tcPr>
            <w:tcW w:w="1399" w:type="pct"/>
            <w:vAlign w:val="center"/>
          </w:tcPr>
          <w:p w14:paraId="76A182F9">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6AA10FF2">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478A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254" w:type="pct"/>
            <w:vAlign w:val="center"/>
          </w:tcPr>
          <w:p w14:paraId="503181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adjustRightInd/>
              <w:snapToGrid/>
              <w:spacing w:before="0" w:beforeAutospacing="0" w:after="0" w:afterAutospacing="0" w:line="500" w:lineRule="exact"/>
              <w:ind w:left="0" w:leftChars="0" w:right="0" w:rightChars="0" w:firstLine="0" w:firstLineChars="0"/>
              <w:jc w:val="left"/>
              <w:textAlignment w:val="auto"/>
              <w:rPr>
                <w:rFonts w:hint="eastAsia"/>
                <w:sz w:val="28"/>
                <w:szCs w:val="28"/>
              </w:rPr>
            </w:pPr>
            <w:r>
              <w:rPr>
                <w:rFonts w:hint="eastAsia" w:ascii="仿宋" w:hAnsi="仿宋" w:eastAsia="仿宋" w:cs="仿宋"/>
                <w:i w:val="0"/>
                <w:iCs w:val="0"/>
                <w:caps w:val="0"/>
                <w:color w:val="000000"/>
                <w:spacing w:val="0"/>
                <w:kern w:val="0"/>
                <w:sz w:val="28"/>
                <w:szCs w:val="28"/>
                <w:shd w:val="clear" w:fill="FFFFFF"/>
                <w:lang w:val="en-US" w:eastAsia="zh-CN" w:bidi="ar"/>
              </w:rPr>
              <w:t>2.3 充分理解我行服务需求并能够根据需求提供相应的服务。</w:t>
            </w:r>
          </w:p>
        </w:tc>
        <w:tc>
          <w:tcPr>
            <w:tcW w:w="1399" w:type="pct"/>
            <w:vAlign w:val="center"/>
          </w:tcPr>
          <w:p w14:paraId="53C62E7B">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437B1C97">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3BB15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254" w:type="pct"/>
            <w:vAlign w:val="center"/>
          </w:tcPr>
          <w:p w14:paraId="6C581F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adjustRightInd/>
              <w:snapToGrid/>
              <w:spacing w:before="0" w:beforeAutospacing="0" w:after="0" w:afterAutospacing="0" w:line="500" w:lineRule="exact"/>
              <w:ind w:left="0" w:leftChars="0" w:right="0" w:rightChars="0" w:firstLine="0" w:firstLineChars="0"/>
              <w:jc w:val="left"/>
              <w:textAlignment w:val="auto"/>
              <w:rPr>
                <w:rFonts w:hint="eastAsia"/>
                <w:sz w:val="28"/>
                <w:szCs w:val="28"/>
              </w:rPr>
            </w:pPr>
            <w:r>
              <w:rPr>
                <w:rFonts w:hint="eastAsia" w:ascii="仿宋" w:hAnsi="仿宋" w:eastAsia="仿宋" w:cs="仿宋"/>
                <w:i w:val="0"/>
                <w:iCs w:val="0"/>
                <w:caps w:val="0"/>
                <w:color w:val="000000"/>
                <w:spacing w:val="0"/>
                <w:kern w:val="0"/>
                <w:sz w:val="28"/>
                <w:szCs w:val="28"/>
                <w:shd w:val="clear" w:fill="FFFFFF"/>
                <w:lang w:val="en-US" w:eastAsia="zh-CN" w:bidi="ar"/>
              </w:rPr>
              <w:t>2.4 具有良好的商业</w:t>
            </w:r>
            <w:r>
              <w:rPr>
                <w:rFonts w:hint="eastAsia" w:ascii="仿宋" w:hAnsi="仿宋" w:eastAsia="仿宋" w:cs="仿宋"/>
                <w:i w:val="0"/>
                <w:iCs w:val="0"/>
                <w:caps w:val="0"/>
                <w:color w:val="auto"/>
                <w:spacing w:val="0"/>
                <w:kern w:val="0"/>
                <w:sz w:val="28"/>
                <w:szCs w:val="28"/>
                <w:u w:val="none"/>
                <w:shd w:val="clear" w:fill="FFFFFF"/>
                <w:lang w:val="en-US" w:eastAsia="zh-CN" w:bidi="ar"/>
              </w:rPr>
              <w:t>信誉</w:t>
            </w:r>
            <w:r>
              <w:rPr>
                <w:rFonts w:hint="eastAsia" w:ascii="仿宋" w:hAnsi="仿宋" w:eastAsia="仿宋" w:cs="仿宋"/>
                <w:i w:val="0"/>
                <w:iCs w:val="0"/>
                <w:caps w:val="0"/>
                <w:color w:val="000000"/>
                <w:spacing w:val="0"/>
                <w:kern w:val="0"/>
                <w:sz w:val="28"/>
                <w:szCs w:val="28"/>
                <w:shd w:val="clear" w:fill="FFFFFF"/>
                <w:lang w:val="en-US" w:eastAsia="zh-CN" w:bidi="ar"/>
              </w:rPr>
              <w:t>且经营正常。</w:t>
            </w:r>
          </w:p>
        </w:tc>
        <w:tc>
          <w:tcPr>
            <w:tcW w:w="1399" w:type="pct"/>
            <w:vAlign w:val="center"/>
          </w:tcPr>
          <w:p w14:paraId="01A0321B">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74CB1140">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02450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254" w:type="pct"/>
            <w:vAlign w:val="center"/>
          </w:tcPr>
          <w:p w14:paraId="6C5A076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adjustRightInd/>
              <w:snapToGrid/>
              <w:spacing w:before="0" w:beforeAutospacing="0" w:after="0" w:afterAutospacing="0" w:line="500" w:lineRule="exact"/>
              <w:ind w:left="0" w:leftChars="0" w:right="0" w:rightChars="0" w:firstLine="0" w:firstLineChars="0"/>
              <w:textAlignment w:val="auto"/>
              <w:rPr>
                <w:rFonts w:hint="default"/>
                <w:sz w:val="28"/>
                <w:szCs w:val="28"/>
                <w:lang w:val="en-US" w:eastAsia="zh-CN"/>
              </w:rPr>
            </w:pPr>
            <w:r>
              <w:rPr>
                <w:rFonts w:hint="eastAsia" w:ascii="仿宋" w:hAnsi="仿宋" w:eastAsia="仿宋" w:cs="仿宋"/>
                <w:i w:val="0"/>
                <w:iCs w:val="0"/>
                <w:caps w:val="0"/>
                <w:color w:val="000000"/>
                <w:spacing w:val="0"/>
                <w:sz w:val="28"/>
                <w:szCs w:val="28"/>
                <w:shd w:val="clear" w:fill="FFFFFF"/>
              </w:rPr>
              <w:t>2.5 依法缴纳税收和社会保障资金。</w:t>
            </w:r>
          </w:p>
        </w:tc>
        <w:tc>
          <w:tcPr>
            <w:tcW w:w="1399" w:type="pct"/>
            <w:vAlign w:val="center"/>
          </w:tcPr>
          <w:p w14:paraId="55E852B8">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24BB4361">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44B7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254" w:type="pct"/>
            <w:vAlign w:val="center"/>
          </w:tcPr>
          <w:p w14:paraId="0EEF5D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adjustRightInd/>
              <w:snapToGrid/>
              <w:spacing w:before="0" w:beforeAutospacing="0" w:after="0" w:afterAutospacing="0" w:line="500" w:lineRule="exact"/>
              <w:ind w:left="0" w:leftChars="0" w:right="0" w:rightChars="0" w:firstLine="0" w:firstLineChars="0"/>
              <w:jc w:val="left"/>
              <w:textAlignment w:val="auto"/>
              <w:rPr>
                <w:rFonts w:hint="default"/>
                <w:sz w:val="28"/>
                <w:szCs w:val="28"/>
                <w:lang w:val="en-US" w:eastAsia="zh-CN"/>
              </w:rPr>
            </w:pPr>
            <w:r>
              <w:rPr>
                <w:rFonts w:hint="eastAsia" w:ascii="仿宋" w:hAnsi="仿宋" w:eastAsia="仿宋" w:cs="仿宋"/>
                <w:i w:val="0"/>
                <w:iCs w:val="0"/>
                <w:caps w:val="0"/>
                <w:color w:val="000000"/>
                <w:spacing w:val="0"/>
                <w:kern w:val="0"/>
                <w:sz w:val="28"/>
                <w:szCs w:val="28"/>
                <w:shd w:val="clear" w:fill="FFFFFF"/>
                <w:lang w:val="en-US" w:eastAsia="zh-CN" w:bidi="ar"/>
              </w:rPr>
              <w:t>2.6 未</w:t>
            </w:r>
            <w:r>
              <w:rPr>
                <w:rFonts w:hint="eastAsia" w:ascii="仿宋" w:hAnsi="仿宋" w:eastAsia="仿宋" w:cs="仿宋"/>
                <w:i w:val="0"/>
                <w:iCs w:val="0"/>
                <w:caps w:val="0"/>
                <w:color w:val="auto"/>
                <w:spacing w:val="0"/>
                <w:kern w:val="0"/>
                <w:sz w:val="28"/>
                <w:szCs w:val="28"/>
                <w:shd w:val="clear" w:fill="FFFFFF"/>
                <w:lang w:val="en-US" w:eastAsia="zh-CN" w:bidi="ar"/>
              </w:rPr>
              <w:t>被“</w:t>
            </w:r>
            <w:r>
              <w:rPr>
                <w:rFonts w:hint="eastAsia" w:ascii="仿宋" w:hAnsi="仿宋" w:eastAsia="仿宋" w:cs="仿宋"/>
                <w:i w:val="0"/>
                <w:iCs w:val="0"/>
                <w:caps w:val="0"/>
                <w:color w:val="auto"/>
                <w:spacing w:val="0"/>
                <w:kern w:val="0"/>
                <w:sz w:val="28"/>
                <w:szCs w:val="28"/>
                <w:u w:val="none"/>
                <w:shd w:val="clear" w:fill="FFFFFF"/>
                <w:lang w:val="en-US" w:eastAsia="zh-CN" w:bidi="ar"/>
              </w:rPr>
              <w:t>信用</w:t>
            </w:r>
            <w:r>
              <w:rPr>
                <w:rFonts w:hint="eastAsia" w:ascii="仿宋" w:hAnsi="仿宋" w:eastAsia="仿宋" w:cs="仿宋"/>
                <w:i w:val="0"/>
                <w:iCs w:val="0"/>
                <w:caps w:val="0"/>
                <w:color w:val="auto"/>
                <w:spacing w:val="0"/>
                <w:kern w:val="0"/>
                <w:sz w:val="28"/>
                <w:szCs w:val="28"/>
                <w:shd w:val="clear" w:fill="FFFFFF"/>
                <w:lang w:val="en-US" w:eastAsia="zh-CN" w:bidi="ar"/>
              </w:rPr>
              <w:t>中国”网列入“重大税收违法案件当事人名单”、未被“中国执行信息公开网”列入“</w:t>
            </w:r>
            <w:r>
              <w:rPr>
                <w:rFonts w:hint="eastAsia" w:ascii="仿宋" w:hAnsi="仿宋" w:eastAsia="仿宋" w:cs="仿宋"/>
                <w:i w:val="0"/>
                <w:iCs w:val="0"/>
                <w:caps w:val="0"/>
                <w:color w:val="auto"/>
                <w:spacing w:val="0"/>
                <w:kern w:val="0"/>
                <w:sz w:val="28"/>
                <w:szCs w:val="28"/>
                <w:u w:val="none"/>
                <w:shd w:val="clear" w:fill="FFFFFF"/>
                <w:lang w:val="en-US" w:eastAsia="zh-CN" w:bidi="ar"/>
              </w:rPr>
              <w:t>失信</w:t>
            </w:r>
            <w:r>
              <w:rPr>
                <w:rFonts w:hint="eastAsia" w:ascii="仿宋" w:hAnsi="仿宋" w:eastAsia="仿宋" w:cs="仿宋"/>
                <w:i w:val="0"/>
                <w:iCs w:val="0"/>
                <w:caps w:val="0"/>
                <w:color w:val="auto"/>
                <w:spacing w:val="0"/>
                <w:kern w:val="0"/>
                <w:sz w:val="28"/>
                <w:szCs w:val="28"/>
                <w:shd w:val="clear" w:fill="FFFFFF"/>
                <w:lang w:val="en-US" w:eastAsia="zh-CN" w:bidi="ar"/>
              </w:rPr>
              <w:t>被执行人名单”、未被“中国政府采购网”列入“政府采购严重违法失信行为信息记录名单”、未被“国家</w:t>
            </w:r>
            <w:r>
              <w:rPr>
                <w:rFonts w:hint="eastAsia" w:ascii="仿宋" w:hAnsi="仿宋" w:eastAsia="仿宋" w:cs="仿宋"/>
                <w:i w:val="0"/>
                <w:iCs w:val="0"/>
                <w:caps w:val="0"/>
                <w:color w:val="000000"/>
                <w:spacing w:val="0"/>
                <w:kern w:val="0"/>
                <w:sz w:val="28"/>
                <w:szCs w:val="28"/>
                <w:shd w:val="clear" w:fill="FFFFFF"/>
                <w:lang w:val="en-US" w:eastAsia="zh-CN" w:bidi="ar"/>
              </w:rPr>
              <w:t>企业信用信息公示系统”列入网站“严重违法失信企业名单”，不在兴业银行供应商禁用/退出期内。</w:t>
            </w:r>
          </w:p>
        </w:tc>
        <w:tc>
          <w:tcPr>
            <w:tcW w:w="1399" w:type="pct"/>
            <w:vAlign w:val="center"/>
          </w:tcPr>
          <w:p w14:paraId="0B328161">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009FCF61">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0B622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254" w:type="pct"/>
            <w:vAlign w:val="center"/>
          </w:tcPr>
          <w:p w14:paraId="5F0398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adjustRightInd/>
              <w:snapToGrid/>
              <w:spacing w:before="0" w:beforeAutospacing="0" w:after="0" w:afterAutospacing="0" w:line="500" w:lineRule="exact"/>
              <w:ind w:left="0" w:leftChars="0" w:right="0" w:rightChars="0" w:firstLine="0" w:firstLineChars="0"/>
              <w:jc w:val="left"/>
              <w:textAlignment w:val="auto"/>
              <w:rPr>
                <w:rFonts w:hint="default"/>
                <w:sz w:val="28"/>
                <w:szCs w:val="28"/>
                <w:lang w:val="en-US" w:eastAsia="zh-CN"/>
              </w:rPr>
            </w:pPr>
            <w:r>
              <w:rPr>
                <w:rFonts w:hint="eastAsia" w:ascii="仿宋" w:hAnsi="仿宋" w:eastAsia="仿宋" w:cs="仿宋"/>
                <w:i w:val="0"/>
                <w:iCs w:val="0"/>
                <w:caps w:val="0"/>
                <w:color w:val="000000"/>
                <w:spacing w:val="0"/>
                <w:kern w:val="0"/>
                <w:sz w:val="28"/>
                <w:szCs w:val="28"/>
                <w:shd w:val="clear" w:fill="FFFFFF"/>
                <w:lang w:val="en-US" w:eastAsia="zh-CN" w:bidi="ar"/>
              </w:rPr>
              <w:t>2.7 经营范围经国家行政管理部门依法批准，同时获得从事行业有效执业证明、行政许可、专业资质等证照。</w:t>
            </w:r>
          </w:p>
        </w:tc>
        <w:tc>
          <w:tcPr>
            <w:tcW w:w="1399" w:type="pct"/>
            <w:vAlign w:val="center"/>
          </w:tcPr>
          <w:p w14:paraId="0D129E9C">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616DA317">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14:paraId="455A3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254" w:type="pct"/>
            <w:vAlign w:val="center"/>
          </w:tcPr>
          <w:p w14:paraId="18BBEA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adjustRightInd/>
              <w:snapToGrid/>
              <w:spacing w:before="0" w:beforeAutospacing="0" w:after="0" w:afterAutospacing="0" w:line="500" w:lineRule="exact"/>
              <w:ind w:left="0" w:leftChars="0" w:right="0" w:rightChars="0" w:firstLine="0" w:firstLineChars="0"/>
              <w:jc w:val="left"/>
              <w:textAlignment w:val="auto"/>
              <w:rPr>
                <w:rFonts w:hint="default"/>
                <w:sz w:val="28"/>
                <w:szCs w:val="28"/>
                <w:lang w:val="en-US" w:eastAsia="zh-CN"/>
              </w:rPr>
            </w:pPr>
            <w:r>
              <w:rPr>
                <w:rFonts w:hint="eastAsia" w:ascii="仿宋" w:hAnsi="仿宋" w:eastAsia="仿宋" w:cs="仿宋"/>
                <w:i w:val="0"/>
                <w:iCs w:val="0"/>
                <w:caps w:val="0"/>
                <w:color w:val="000000"/>
                <w:spacing w:val="0"/>
                <w:kern w:val="0"/>
                <w:sz w:val="28"/>
                <w:szCs w:val="28"/>
                <w:shd w:val="clear" w:fill="FFFFFF"/>
                <w:lang w:val="en-US" w:eastAsia="zh-CN" w:bidi="ar"/>
              </w:rPr>
              <w:t>2.8 两年内目标服务领域未出现严重安全事件。</w:t>
            </w:r>
          </w:p>
        </w:tc>
        <w:tc>
          <w:tcPr>
            <w:tcW w:w="1399" w:type="pct"/>
            <w:vAlign w:val="center"/>
          </w:tcPr>
          <w:p w14:paraId="4A1D60AE">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1345" w:type="pct"/>
            <w:vAlign w:val="center"/>
          </w:tcPr>
          <w:p w14:paraId="5AC0FAF0">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bl>
    <w:p w14:paraId="25934C4F">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14:paraId="306CEB60">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10"/>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14:paraId="6234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283BF7FA">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14:paraId="545C933C">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14:paraId="5733A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51F4266D">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14:paraId="4E42AFB3">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14:paraId="2A809C79">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14:paraId="0E17D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69793437">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14:paraId="34005B8C">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14:paraId="21EEF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5493C4C2">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14:paraId="05A2FB65">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14:paraId="6E74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0FDFF523">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14:paraId="099DE22D">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14:paraId="0C6FA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1964759A">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14:paraId="23508EF4">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14:paraId="576AD569">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14:paraId="419C1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1A3583E6">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14:paraId="707F14BD">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14:paraId="366C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6F62E2DE">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14:paraId="755884A8">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i w:val="0"/>
                <w:iCs w:val="0"/>
                <w:sz w:val="28"/>
                <w:szCs w:val="28"/>
                <w:lang w:val="en-US" w:eastAsia="zh-CN"/>
              </w:rPr>
              <w:t>央企</w:t>
            </w:r>
            <w:r>
              <w:rPr>
                <w:rFonts w:hint="eastAsia" w:ascii="仿宋" w:hAnsi="仿宋" w:eastAsia="仿宋" w:cs="仿宋"/>
                <w:i w:val="0"/>
                <w:iCs w:val="0"/>
                <w:sz w:val="28"/>
                <w:szCs w:val="28"/>
              </w:rPr>
              <w:t>/</w:t>
            </w:r>
            <w:r>
              <w:rPr>
                <w:rFonts w:hint="eastAsia" w:ascii="仿宋" w:hAnsi="仿宋" w:eastAsia="仿宋" w:cs="仿宋"/>
                <w:i w:val="0"/>
                <w:iCs w:val="0"/>
                <w:sz w:val="28"/>
                <w:szCs w:val="28"/>
                <w:lang w:val="en-US" w:eastAsia="zh-CN"/>
              </w:rPr>
              <w:t>国有控股企业/国有参股企业/国有企业/外资企业</w:t>
            </w:r>
            <w:r>
              <w:rPr>
                <w:rFonts w:hint="eastAsia" w:ascii="仿宋" w:hAnsi="仿宋" w:eastAsia="仿宋" w:cs="仿宋"/>
                <w:i w:val="0"/>
                <w:iCs w:val="0"/>
                <w:sz w:val="28"/>
                <w:szCs w:val="28"/>
              </w:rPr>
              <w:t>/</w:t>
            </w:r>
            <w:r>
              <w:rPr>
                <w:rFonts w:hint="eastAsia" w:ascii="仿宋" w:hAnsi="仿宋" w:eastAsia="仿宋" w:cs="仿宋"/>
                <w:i w:val="0"/>
                <w:iCs w:val="0"/>
                <w:sz w:val="28"/>
                <w:szCs w:val="28"/>
                <w:lang w:val="en-US" w:eastAsia="zh-CN"/>
              </w:rPr>
              <w:t>港资企业/台资企业/民营</w:t>
            </w:r>
            <w:r>
              <w:rPr>
                <w:rFonts w:hint="eastAsia" w:ascii="仿宋" w:hAnsi="仿宋" w:eastAsia="仿宋" w:cs="仿宋"/>
                <w:i w:val="0"/>
                <w:iCs w:val="0"/>
                <w:sz w:val="28"/>
                <w:szCs w:val="28"/>
              </w:rPr>
              <w:t>企业/中外合资企业/</w:t>
            </w:r>
            <w:r>
              <w:rPr>
                <w:rFonts w:hint="eastAsia" w:ascii="仿宋" w:hAnsi="仿宋" w:eastAsia="仿宋" w:cs="仿宋"/>
                <w:i w:val="0"/>
                <w:iCs w:val="0"/>
                <w:sz w:val="28"/>
                <w:szCs w:val="28"/>
                <w:lang w:val="en-US" w:eastAsia="zh-CN"/>
              </w:rPr>
              <w:t>境外企业</w:t>
            </w:r>
          </w:p>
        </w:tc>
      </w:tr>
      <w:tr w14:paraId="34F4D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2D520789">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14:paraId="3339DF2C">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14:paraId="060EE89D">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14:paraId="3D7854E5">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14:paraId="56588497">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14:paraId="41BCB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51787006">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14:paraId="423F4FBF">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14:paraId="0FE2FB15">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14:paraId="5C2E6614">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14:paraId="26F18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2FC43F08">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14:paraId="6EE24784">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14:paraId="36BA9017">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14:paraId="7CCEAC63">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14:paraId="572EB1B3">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14:paraId="5883C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118B6C57">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14:paraId="21EA9FE1">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14:paraId="50BB8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14:paraId="4EFC7554">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14:paraId="52DC8B28">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14:paraId="74BC1B5B">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14:paraId="164D6C58">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14:paraId="7BE72CF2">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14:paraId="0FA4F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14:paraId="46BBC67E">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14:paraId="00450DBE">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14:paraId="1BF2F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14:paraId="7D0A2856">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14:paraId="1B99FD65">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14:paraId="53CD2DDE">
            <w:pPr>
              <w:pStyle w:val="12"/>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14:paraId="6BC81668">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14:paraId="7C1DC655">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w:t>
      </w:r>
      <w:r>
        <w:rPr>
          <w:rFonts w:hint="eastAsia" w:ascii="仿宋" w:hAnsi="仿宋" w:eastAsia="仿宋" w:cs="仿宋"/>
          <w:color w:val="4472C4" w:themeColor="accent5"/>
          <w:sz w:val="32"/>
          <w:szCs w:val="32"/>
          <w14:textFill>
            <w14:solidFill>
              <w14:schemeClr w14:val="accent5"/>
            </w14:solidFill>
          </w14:textFill>
        </w:rPr>
        <w:t>如有</w:t>
      </w:r>
      <w:r>
        <w:rPr>
          <w:rFonts w:hint="eastAsia" w:ascii="仿宋" w:hAnsi="仿宋" w:eastAsia="仿宋" w:cs="仿宋"/>
          <w:color w:val="4472C4" w:themeColor="accent5"/>
          <w:sz w:val="32"/>
          <w:szCs w:val="32"/>
          <w:lang w:eastAsia="zh-CN"/>
          <w14:textFill>
            <w14:solidFill>
              <w14:schemeClr w14:val="accent5"/>
            </w14:solidFill>
          </w14:textFill>
        </w:rPr>
        <w:t>，</w:t>
      </w:r>
      <w:r>
        <w:rPr>
          <w:rFonts w:hint="eastAsia" w:ascii="仿宋" w:hAnsi="仿宋" w:eastAsia="仿宋" w:cs="仿宋"/>
          <w:color w:val="4472C4" w:themeColor="accent5"/>
          <w:sz w:val="32"/>
          <w:szCs w:val="32"/>
          <w:lang w:val="en-US" w:eastAsia="zh-CN"/>
          <w14:textFill>
            <w14:solidFill>
              <w14:schemeClr w14:val="accent5"/>
            </w14:solidFill>
          </w14:textFill>
        </w:rPr>
        <w:t>提供关键</w:t>
      </w:r>
      <w:r>
        <w:rPr>
          <w:rFonts w:hint="eastAsia" w:ascii="仿宋" w:hAnsi="仿宋" w:eastAsia="仿宋" w:cs="仿宋"/>
          <w:color w:val="4472C4" w:themeColor="accent5"/>
          <w:sz w:val="32"/>
          <w:szCs w:val="32"/>
          <w14:textFill>
            <w14:solidFill>
              <w14:schemeClr w14:val="accent5"/>
            </w14:solidFill>
          </w14:textFill>
        </w:rPr>
        <w:t>章程</w:t>
      </w:r>
      <w:r>
        <w:rPr>
          <w:rFonts w:hint="eastAsia" w:ascii="仿宋" w:hAnsi="仿宋" w:eastAsia="仿宋" w:cs="仿宋"/>
          <w:color w:val="4472C4" w:themeColor="accent5"/>
          <w:sz w:val="32"/>
          <w:szCs w:val="32"/>
          <w:lang w:val="en-US" w:eastAsia="zh-CN"/>
          <w14:textFill>
            <w14:solidFill>
              <w14:schemeClr w14:val="accent5"/>
            </w14:solidFill>
          </w14:textFill>
        </w:rPr>
        <w:t>文字版，无需提供扫描件</w:t>
      </w:r>
      <w:r>
        <w:rPr>
          <w:rFonts w:hint="eastAsia" w:ascii="仿宋" w:hAnsi="仿宋" w:eastAsia="仿宋" w:cs="仿宋"/>
          <w:color w:val="000000" w:themeColor="text1"/>
          <w:sz w:val="32"/>
          <w:szCs w:val="32"/>
          <w14:textFill>
            <w14:solidFill>
              <w14:schemeClr w14:val="tx1"/>
            </w14:solidFill>
          </w14:textFill>
        </w:rPr>
        <w:t>）</w:t>
      </w:r>
    </w:p>
    <w:p w14:paraId="574AB9E5">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w:t>
      </w:r>
      <w:r>
        <w:rPr>
          <w:rFonts w:hint="eastAsia" w:ascii="仿宋" w:hAnsi="仿宋" w:eastAsia="仿宋" w:cs="仿宋"/>
          <w:color w:val="000000" w:themeColor="text1"/>
          <w:sz w:val="32"/>
          <w:szCs w:val="32"/>
          <w:lang w:val="en-US" w:eastAsia="zh-CN"/>
          <w14:textFill>
            <w14:solidFill>
              <w14:schemeClr w14:val="tx1"/>
            </w14:solidFill>
          </w14:textFill>
        </w:rPr>
        <w:t>包含</w:t>
      </w:r>
      <w:r>
        <w:rPr>
          <w:rFonts w:hint="eastAsia" w:ascii="仿宋" w:hAnsi="仿宋" w:eastAsia="仿宋" w:cs="仿宋"/>
          <w:color w:val="000000" w:themeColor="text1"/>
          <w:sz w:val="32"/>
          <w:szCs w:val="32"/>
          <w14:textFill>
            <w14:solidFill>
              <w14:schemeClr w14:val="tx1"/>
            </w14:solidFill>
          </w14:textFill>
        </w:rPr>
        <w:t>事业单位法人证书或类似执业许可证）原件扫描件</w:t>
      </w:r>
    </w:p>
    <w:p w14:paraId="4C00C4A0">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14:paraId="35986F8D">
      <w:pPr>
        <w:pStyle w:val="3"/>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14:paraId="6DA4D13D">
      <w:pPr>
        <w:pStyle w:val="3"/>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5.近三年经审计的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14:paraId="38B8AC28">
      <w:pPr>
        <w:pStyle w:val="3"/>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14:paraId="07CA44D9">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14:paraId="00384D88">
      <w:pPr>
        <w:keepNext w:val="0"/>
        <w:keepLines w:val="0"/>
        <w:pageBreakBefore w:val="0"/>
        <w:kinsoku/>
        <w:wordWrap/>
        <w:overflowPunct/>
        <w:autoSpaceDE/>
        <w:autoSpaceDN/>
        <w:bidi w:val="0"/>
        <w:adjustRightInd/>
        <w:snapToGrid/>
        <w:spacing w:line="579" w:lineRule="exact"/>
        <w:ind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i w:val="0"/>
          <w:iCs w:val="0"/>
          <w:caps w:val="0"/>
          <w:color w:val="000000"/>
          <w:spacing w:val="0"/>
          <w:kern w:val="0"/>
          <w:sz w:val="32"/>
          <w:szCs w:val="32"/>
          <w:shd w:val="clear" w:fill="FFFFFF"/>
          <w:lang w:val="en-US" w:eastAsia="zh-CN" w:bidi="ar"/>
        </w:rPr>
        <w:t>具备2023年至今与21家</w:t>
      </w:r>
      <w:r>
        <w:rPr>
          <w:rFonts w:hint="eastAsia" w:ascii="仿宋" w:hAnsi="仿宋" w:eastAsia="仿宋" w:cs="宋体"/>
          <w:color w:val="000000"/>
          <w:kern w:val="0"/>
          <w:sz w:val="32"/>
          <w:szCs w:val="32"/>
        </w:rPr>
        <w:t>国内系统重要性银行分行级/或其子公司合作开展</w:t>
      </w:r>
      <w:r>
        <w:rPr>
          <w:rFonts w:hint="eastAsia" w:ascii="仿宋" w:hAnsi="仿宋" w:eastAsia="仿宋" w:cs="仿宋"/>
          <w:i w:val="0"/>
          <w:iCs w:val="0"/>
          <w:caps w:val="0"/>
          <w:color w:val="000000"/>
          <w:spacing w:val="0"/>
          <w:kern w:val="0"/>
          <w:sz w:val="32"/>
          <w:szCs w:val="32"/>
          <w:shd w:val="clear" w:fill="FFFFFF"/>
          <w:lang w:val="en-US" w:eastAsia="zh-CN" w:bidi="ar"/>
        </w:rPr>
        <w:t>与本项目相似的</w:t>
      </w:r>
      <w:r>
        <w:rPr>
          <w:rFonts w:hint="eastAsia" w:ascii="仿宋" w:hAnsi="仿宋" w:eastAsia="仿宋" w:cs="仿宋"/>
          <w:i w:val="0"/>
          <w:iCs w:val="0"/>
          <w:caps w:val="0"/>
          <w:color w:val="000000"/>
          <w:spacing w:val="0"/>
          <w:kern w:val="0"/>
          <w:sz w:val="32"/>
          <w:szCs w:val="32"/>
          <w:highlight w:val="none"/>
          <w:shd w:val="clear" w:fill="FFFFFF"/>
          <w:lang w:val="en-US" w:eastAsia="zh-CN" w:bidi="ar"/>
        </w:rPr>
        <w:t>成功案例</w:t>
      </w:r>
      <w:r>
        <w:rPr>
          <w:rFonts w:hint="eastAsia" w:ascii="仿宋" w:hAnsi="仿宋" w:eastAsia="仿宋" w:cs="仿宋"/>
          <w:i w:val="0"/>
          <w:iCs w:val="0"/>
          <w:caps w:val="0"/>
          <w:color w:val="000000"/>
          <w:spacing w:val="0"/>
          <w:kern w:val="0"/>
          <w:sz w:val="32"/>
          <w:szCs w:val="32"/>
          <w:shd w:val="clear" w:fill="FFFFFF"/>
          <w:lang w:val="en-US" w:eastAsia="zh-CN" w:bidi="ar"/>
        </w:rPr>
        <w:t>。(需提供合同扫描件及发票，合同签订时间、合同签订双方名称、签章应清晰可见，服务内容与入围类型相关，合同履约方必须为供应商自身；若本项目应标供应商是分支机构，则以上案例需提供分支机构的案例）。备注：①供应商若只提供一个符合要求的案例，则默认为该供应商仅有一个案例符合要求；②若供应商有多个案例符合要求，请供应商提供多个符合要求的案例。</w:t>
      </w:r>
      <w:r>
        <w:rPr>
          <w:rFonts w:hint="eastAsia" w:ascii="仿宋" w:hAnsi="仿宋" w:eastAsia="仿宋" w:cs="仿宋"/>
          <w:b w:val="0"/>
          <w:bCs w:val="0"/>
          <w:sz w:val="32"/>
          <w:szCs w:val="32"/>
          <w:lang w:val="en-US" w:eastAsia="zh-CN"/>
        </w:rPr>
        <w:t>【重要提醒：请供应商将符合本项要求的案例，尽量全部提交】</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698"/>
        <w:gridCol w:w="2063"/>
        <w:gridCol w:w="2521"/>
        <w:gridCol w:w="1453"/>
      </w:tblGrid>
      <w:tr w14:paraId="7F164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460" w:type="pct"/>
            <w:vAlign w:val="center"/>
          </w:tcPr>
          <w:p w14:paraId="5EA79C55">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996" w:type="pct"/>
            <w:vAlign w:val="center"/>
          </w:tcPr>
          <w:p w14:paraId="47F1A7BC">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210" w:type="pct"/>
            <w:vAlign w:val="center"/>
          </w:tcPr>
          <w:p w14:paraId="57A6B00C">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w:t>
            </w:r>
            <w:r>
              <w:rPr>
                <w:rFonts w:hint="eastAsia" w:ascii="仿宋" w:hAnsi="仿宋" w:eastAsia="仿宋" w:cs="仿宋"/>
                <w:b/>
                <w:bCs/>
                <w:sz w:val="28"/>
                <w:szCs w:val="28"/>
                <w:lang w:val="en-US" w:eastAsia="zh-CN"/>
              </w:rPr>
              <w:t>全</w:t>
            </w:r>
            <w:r>
              <w:rPr>
                <w:rFonts w:hint="eastAsia" w:ascii="仿宋" w:hAnsi="仿宋" w:eastAsia="仿宋" w:cs="仿宋"/>
                <w:b/>
                <w:bCs/>
                <w:sz w:val="28"/>
                <w:szCs w:val="28"/>
              </w:rPr>
              <w:t>称</w:t>
            </w:r>
          </w:p>
        </w:tc>
        <w:tc>
          <w:tcPr>
            <w:tcW w:w="1479" w:type="pct"/>
            <w:vAlign w:val="center"/>
          </w:tcPr>
          <w:p w14:paraId="141806AE">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14:paraId="63D9959F">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14:paraId="24D80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460" w:type="pct"/>
          </w:tcPr>
          <w:p w14:paraId="7F4895CF">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996" w:type="pct"/>
          </w:tcPr>
          <w:p w14:paraId="5CDC5DEA">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color w:val="4472C4" w:themeColor="accent5"/>
                <w:sz w:val="28"/>
                <w:szCs w:val="28"/>
                <w14:textFill>
                  <w14:solidFill>
                    <w14:schemeClr w14:val="accent5"/>
                  </w14:solidFill>
                </w14:textFill>
              </w:rPr>
            </w:pPr>
            <w:r>
              <w:rPr>
                <w:rFonts w:hint="eastAsia" w:ascii="仿宋" w:hAnsi="仿宋" w:eastAsia="仿宋" w:cs="仿宋"/>
                <w:color w:val="4472C4" w:themeColor="accent5"/>
                <w:sz w:val="28"/>
                <w:szCs w:val="28"/>
                <w14:textFill>
                  <w14:solidFill>
                    <w14:schemeClr w14:val="accent5"/>
                  </w14:solidFill>
                </w14:textFill>
              </w:rPr>
              <w:t>例：</w:t>
            </w:r>
            <w:r>
              <w:rPr>
                <w:rFonts w:hint="eastAsia" w:ascii="仿宋" w:hAnsi="仿宋" w:eastAsia="仿宋" w:cs="仿宋"/>
                <w:color w:val="4472C4" w:themeColor="accent5"/>
                <w:sz w:val="28"/>
                <w:szCs w:val="28"/>
                <w:lang w:val="en-US" w:eastAsia="zh-CN"/>
                <w14:textFill>
                  <w14:solidFill>
                    <w14:schemeClr w14:val="accent5"/>
                  </w14:solidFill>
                </w14:textFill>
              </w:rPr>
              <w:t>**</w:t>
            </w:r>
            <w:r>
              <w:rPr>
                <w:rFonts w:hint="eastAsia" w:ascii="仿宋" w:hAnsi="仿宋" w:eastAsia="仿宋" w:cs="仿宋"/>
                <w:color w:val="4472C4" w:themeColor="accent5"/>
                <w:sz w:val="28"/>
                <w:szCs w:val="28"/>
                <w14:textFill>
                  <w14:solidFill>
                    <w14:schemeClr w14:val="accent5"/>
                  </w14:solidFill>
                </w14:textFill>
              </w:rPr>
              <w:t>银行</w:t>
            </w:r>
            <w:r>
              <w:rPr>
                <w:rFonts w:hint="eastAsia" w:ascii="仿宋" w:hAnsi="仿宋" w:eastAsia="仿宋" w:cs="仿宋"/>
                <w:color w:val="4472C4" w:themeColor="accent5"/>
                <w:sz w:val="28"/>
                <w:szCs w:val="28"/>
                <w14:textFill>
                  <w14:solidFill>
                    <w14:schemeClr w14:val="accent5"/>
                  </w14:solidFill>
                </w14:textFill>
              </w:rPr>
              <w:br w:type="textWrapping"/>
            </w:r>
            <w:r>
              <w:rPr>
                <w:rFonts w:hint="eastAsia" w:ascii="仿宋" w:hAnsi="仿宋" w:eastAsia="仿宋" w:cs="仿宋"/>
                <w:color w:val="4472C4" w:themeColor="accent5"/>
                <w:sz w:val="28"/>
                <w:szCs w:val="28"/>
                <w14:textFill>
                  <w14:solidFill>
                    <w14:schemeClr w14:val="accent5"/>
                  </w14:solidFill>
                </w14:textFill>
              </w:rPr>
              <w:t>（甲方全称）</w:t>
            </w:r>
          </w:p>
        </w:tc>
        <w:tc>
          <w:tcPr>
            <w:tcW w:w="1210" w:type="pct"/>
          </w:tcPr>
          <w:p w14:paraId="14D1D59B">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color w:val="4472C4" w:themeColor="accent5"/>
                <w:sz w:val="28"/>
                <w:szCs w:val="28"/>
                <w:lang w:val="en-US" w:eastAsia="zh-CN"/>
                <w14:textFill>
                  <w14:solidFill>
                    <w14:schemeClr w14:val="accent5"/>
                  </w14:solidFill>
                </w14:textFill>
              </w:rPr>
            </w:pPr>
            <w:r>
              <w:rPr>
                <w:rFonts w:hint="eastAsia" w:ascii="仿宋" w:hAnsi="仿宋" w:eastAsia="仿宋" w:cs="仿宋"/>
                <w:color w:val="4472C4" w:themeColor="accent5"/>
                <w:sz w:val="28"/>
                <w:szCs w:val="28"/>
                <w14:textFill>
                  <w14:solidFill>
                    <w14:schemeClr w14:val="accent5"/>
                  </w14:solidFill>
                </w14:textFill>
              </w:rPr>
              <w:t>例：</w:t>
            </w:r>
            <w:r>
              <w:rPr>
                <w:rFonts w:hint="eastAsia" w:ascii="仿宋" w:hAnsi="仿宋" w:eastAsia="仿宋" w:cs="仿宋"/>
                <w:color w:val="4472C4" w:themeColor="accent5"/>
                <w:sz w:val="28"/>
                <w:szCs w:val="28"/>
                <w:lang w:val="en-US" w:eastAsia="zh-CN"/>
                <w14:textFill>
                  <w14:solidFill>
                    <w14:schemeClr w14:val="accent5"/>
                  </w14:solidFill>
                </w14:textFill>
              </w:rPr>
              <w:t>**项目**合同/协议</w:t>
            </w:r>
          </w:p>
          <w:p w14:paraId="48656C21">
            <w:pPr>
              <w:keepNext w:val="0"/>
              <w:keepLines w:val="0"/>
              <w:pageBreakBefore w:val="0"/>
              <w:widowControl w:val="0"/>
              <w:kinsoku/>
              <w:wordWrap/>
              <w:overflowPunct/>
              <w:topLinePunct/>
              <w:autoSpaceDE/>
              <w:autoSpaceDN/>
              <w:bidi w:val="0"/>
              <w:adjustRightInd/>
              <w:snapToGrid/>
              <w:spacing w:line="460" w:lineRule="exact"/>
              <w:textAlignment w:val="auto"/>
              <w:rPr>
                <w:rFonts w:hint="default" w:ascii="仿宋" w:hAnsi="仿宋" w:eastAsia="仿宋" w:cs="仿宋"/>
                <w:color w:val="4472C4" w:themeColor="accent5"/>
                <w:sz w:val="28"/>
                <w:szCs w:val="28"/>
                <w:lang w:val="en-US" w:eastAsia="zh-CN"/>
                <w14:textFill>
                  <w14:solidFill>
                    <w14:schemeClr w14:val="accent5"/>
                  </w14:solidFill>
                </w14:textFill>
              </w:rPr>
            </w:pPr>
            <w:r>
              <w:rPr>
                <w:rFonts w:hint="eastAsia" w:ascii="仿宋" w:hAnsi="仿宋" w:eastAsia="仿宋" w:cs="仿宋"/>
                <w:color w:val="4472C4" w:themeColor="accent5"/>
                <w:sz w:val="28"/>
                <w:szCs w:val="28"/>
                <w:lang w:val="en-US" w:eastAsia="zh-CN"/>
                <w14:textFill>
                  <w14:solidFill>
                    <w14:schemeClr w14:val="accent5"/>
                  </w14:solidFill>
                </w14:textFill>
              </w:rPr>
              <w:t>（与合同一致）</w:t>
            </w:r>
          </w:p>
        </w:tc>
        <w:tc>
          <w:tcPr>
            <w:tcW w:w="1479" w:type="pct"/>
          </w:tcPr>
          <w:p w14:paraId="0E181417">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color w:val="4472C4" w:themeColor="accent5"/>
                <w:sz w:val="28"/>
                <w:szCs w:val="28"/>
                <w:lang w:val="en-US" w:eastAsia="zh-CN"/>
                <w14:textFill>
                  <w14:solidFill>
                    <w14:schemeClr w14:val="accent5"/>
                  </w14:solidFill>
                </w14:textFill>
              </w:rPr>
            </w:pPr>
            <w:r>
              <w:rPr>
                <w:rFonts w:hint="eastAsia" w:ascii="仿宋" w:hAnsi="仿宋" w:eastAsia="仿宋" w:cs="仿宋"/>
                <w:color w:val="4472C4" w:themeColor="accent5"/>
                <w:sz w:val="28"/>
                <w:szCs w:val="28"/>
                <w14:textFill>
                  <w14:solidFill>
                    <w14:schemeClr w14:val="accent5"/>
                  </w14:solidFill>
                </w14:textFill>
              </w:rPr>
              <w:t>例：</w:t>
            </w:r>
            <w:r>
              <w:rPr>
                <w:rFonts w:hint="eastAsia" w:ascii="仿宋" w:hAnsi="仿宋" w:eastAsia="仿宋" w:cs="仿宋"/>
                <w:color w:val="4472C4" w:themeColor="accent5"/>
                <w:sz w:val="28"/>
                <w:szCs w:val="28"/>
                <w:lang w:val="en-US" w:eastAsia="zh-CN"/>
                <w14:textFill>
                  <w14:solidFill>
                    <w14:schemeClr w14:val="accent5"/>
                  </w14:solidFill>
                </w14:textFill>
              </w:rPr>
              <w:t>为满足**需要，采用总价/单价合同，约定在**期间，提供**产品/服务，（具体包括**）</w:t>
            </w:r>
          </w:p>
          <w:p w14:paraId="7935BF66">
            <w:pPr>
              <w:pStyle w:val="3"/>
              <w:ind w:left="0" w:firstLine="0"/>
              <w:rPr>
                <w:rFonts w:hint="default" w:ascii="仿宋_GB2312" w:hAnsi="仿宋_GB2312" w:eastAsia="仿宋_GB2312" w:cs="仿宋_GB2312"/>
                <w:lang w:val="en-US" w:eastAsia="zh-CN"/>
              </w:rPr>
            </w:pPr>
            <w:r>
              <w:rPr>
                <w:rFonts w:hint="eastAsia" w:ascii="仿宋" w:hAnsi="仿宋" w:eastAsia="仿宋" w:cs="仿宋"/>
                <w:i/>
                <w:iCs/>
                <w:color w:val="FF0000"/>
                <w:sz w:val="24"/>
                <w:szCs w:val="24"/>
                <w:lang w:val="en-US" w:eastAsia="zh-CN"/>
              </w:rPr>
              <w:t>（**产品/服务要求请需求部门明确）</w:t>
            </w:r>
          </w:p>
        </w:tc>
        <w:tc>
          <w:tcPr>
            <w:tcW w:w="852" w:type="pct"/>
          </w:tcPr>
          <w:p w14:paraId="58C688E5">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w:t>
            </w:r>
            <w:r>
              <w:rPr>
                <w:rFonts w:hint="eastAsia" w:ascii="仿宋" w:hAnsi="仿宋" w:eastAsia="仿宋" w:cs="仿宋"/>
                <w:sz w:val="28"/>
                <w:szCs w:val="28"/>
                <w:lang w:val="en-US" w:eastAsia="zh-CN"/>
              </w:rPr>
              <w:t>*</w:t>
            </w:r>
            <w:r>
              <w:rPr>
                <w:rFonts w:hint="eastAsia" w:ascii="仿宋" w:hAnsi="仿宋" w:eastAsia="仿宋" w:cs="仿宋"/>
                <w:sz w:val="28"/>
                <w:szCs w:val="28"/>
              </w:rPr>
              <w:t>部分第*页</w:t>
            </w:r>
          </w:p>
        </w:tc>
      </w:tr>
      <w:tr w14:paraId="5E687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460" w:type="pct"/>
          </w:tcPr>
          <w:p w14:paraId="6BE41205">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996" w:type="pct"/>
          </w:tcPr>
          <w:p w14:paraId="4A0001F9">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210" w:type="pct"/>
          </w:tcPr>
          <w:p w14:paraId="537A9CC7">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79" w:type="pct"/>
          </w:tcPr>
          <w:p w14:paraId="1EA22D15">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14:paraId="2927BAB7">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14:paraId="5A09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60" w:type="pct"/>
          </w:tcPr>
          <w:p w14:paraId="155E2939">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996" w:type="pct"/>
          </w:tcPr>
          <w:p w14:paraId="5B887CDC">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210" w:type="pct"/>
          </w:tcPr>
          <w:p w14:paraId="2A426C4A">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79" w:type="pct"/>
          </w:tcPr>
          <w:p w14:paraId="5BDA240D">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14:paraId="24DF3151">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14:paraId="230F5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60" w:type="pct"/>
          </w:tcPr>
          <w:p w14:paraId="099C3856">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996" w:type="pct"/>
          </w:tcPr>
          <w:p w14:paraId="64E96615">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210" w:type="pct"/>
          </w:tcPr>
          <w:p w14:paraId="4007154E">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79" w:type="pct"/>
          </w:tcPr>
          <w:p w14:paraId="2D1D552C">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14:paraId="1C7CCB6D">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14:paraId="70991D10">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outlineLvl w:val="1"/>
        <w:rPr>
          <w:rFonts w:hint="eastAsia" w:ascii="黑体" w:hAnsi="黑体" w:eastAsia="黑体" w:cs="黑体"/>
          <w:b w:val="0"/>
          <w:bCs/>
          <w:sz w:val="32"/>
          <w:szCs w:val="32"/>
          <w:lang w:val="en-US" w:eastAsia="zh-CN"/>
        </w:rPr>
      </w:pPr>
      <w:r>
        <w:rPr>
          <w:rFonts w:hint="eastAsia" w:ascii="仿宋" w:hAnsi="仿宋" w:eastAsia="仿宋" w:cs="仿宋"/>
          <w:b/>
          <w:bCs/>
          <w:sz w:val="32"/>
          <w:szCs w:val="32"/>
          <w:lang w:val="en-US" w:eastAsia="zh-CN"/>
        </w:rPr>
        <w:t>在此根据上述所列合同清单依次附录合同证明材料。需包含合同首尾页，内容页及服务内容证明页的扫描件。（与本项目相关的合同关键页未提供，统一认定为无效案例，如调研有对关键内容需要，须标示）。</w:t>
      </w:r>
    </w:p>
    <w:p w14:paraId="2829926C">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14:paraId="58A4BFE2">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w:t>
      </w:r>
      <w:r>
        <w:rPr>
          <w:rFonts w:hint="eastAsia" w:ascii="楷体" w:hAnsi="楷体" w:eastAsia="楷体" w:cs="楷体"/>
          <w:b w:val="0"/>
          <w:bCs w:val="0"/>
          <w:sz w:val="32"/>
          <w:szCs w:val="32"/>
          <w:lang w:val="en-US" w:eastAsia="zh-CN"/>
        </w:rPr>
        <w:t>简介</w:t>
      </w:r>
    </w:p>
    <w:p w14:paraId="23C994A5">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14:paraId="01017BC0">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color w:val="4472C4" w:themeColor="accent5"/>
          <w:sz w:val="32"/>
          <w:szCs w:val="32"/>
          <w:lang w:eastAsia="zh-CN"/>
          <w14:textFill>
            <w14:solidFill>
              <w14:schemeClr w14:val="accent5"/>
            </w14:solidFill>
          </w14:textFill>
        </w:rPr>
        <w:t>（</w:t>
      </w:r>
      <w:r>
        <w:rPr>
          <w:rFonts w:hint="eastAsia" w:ascii="楷体" w:hAnsi="楷体" w:eastAsia="楷体" w:cs="楷体"/>
          <w:b w:val="0"/>
          <w:bCs w:val="0"/>
          <w:color w:val="4472C4" w:themeColor="accent5"/>
          <w:sz w:val="32"/>
          <w:szCs w:val="32"/>
          <w:lang w:val="en-US" w:eastAsia="zh-CN"/>
          <w14:textFill>
            <w14:solidFill>
              <w14:schemeClr w14:val="accent5"/>
            </w14:solidFill>
          </w14:textFill>
        </w:rPr>
        <w:t>需</w:t>
      </w:r>
      <w:r>
        <w:rPr>
          <w:rFonts w:hint="eastAsia" w:ascii="楷体" w:hAnsi="楷体" w:eastAsia="楷体" w:cs="楷体"/>
          <w:strike w:val="0"/>
          <w:color w:val="4472C4" w:themeColor="accent5"/>
          <w:sz w:val="32"/>
          <w:szCs w:val="32"/>
          <w:lang w:val="en-US" w:eastAsia="zh-CN"/>
          <w14:textFill>
            <w14:solidFill>
              <w14:schemeClr w14:val="accent5"/>
            </w14:solidFill>
          </w14:textFill>
        </w:rPr>
        <w:t>提供</w:t>
      </w:r>
      <w:r>
        <w:rPr>
          <w:rFonts w:hint="eastAsia" w:ascii="楷体" w:hAnsi="楷体" w:eastAsia="楷体" w:cs="楷体"/>
          <w:b w:val="0"/>
          <w:bCs w:val="0"/>
          <w:color w:val="4472C4" w:themeColor="accent5"/>
          <w:sz w:val="32"/>
          <w:szCs w:val="32"/>
          <w:lang w:val="en-US" w:eastAsia="zh-CN"/>
          <w14:textFill>
            <w14:solidFill>
              <w14:schemeClr w14:val="accent5"/>
            </w14:solidFill>
          </w14:textFill>
        </w:rPr>
        <w:t>扫描件</w:t>
      </w:r>
      <w:r>
        <w:rPr>
          <w:rFonts w:hint="eastAsia" w:ascii="楷体" w:hAnsi="楷体" w:eastAsia="楷体" w:cs="楷体"/>
          <w:b w:val="0"/>
          <w:bCs w:val="0"/>
          <w:color w:val="4472C4" w:themeColor="accent5"/>
          <w:sz w:val="32"/>
          <w:szCs w:val="32"/>
          <w:lang w:eastAsia="zh-CN"/>
          <w14:textFill>
            <w14:solidFill>
              <w14:schemeClr w14:val="accent5"/>
            </w14:solidFill>
          </w14:textFill>
        </w:rPr>
        <w:t>）</w:t>
      </w:r>
    </w:p>
    <w:p w14:paraId="017B8673">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14:paraId="255E7F92">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w:t>
      </w:r>
      <w:r>
        <w:rPr>
          <w:rFonts w:hint="eastAsia" w:ascii="仿宋" w:hAnsi="仿宋" w:eastAsia="仿宋" w:cs="仿宋"/>
          <w:i/>
          <w:iCs/>
          <w:color w:val="000000" w:themeColor="text1"/>
          <w:sz w:val="32"/>
          <w:szCs w:val="32"/>
          <w:lang w:val="en-US" w:eastAsia="zh-CN"/>
          <w14:textFill>
            <w14:solidFill>
              <w14:schemeClr w14:val="tx1"/>
            </w14:solidFill>
          </w14:textFill>
        </w:rPr>
        <w:t>例如：质量管理体系认证，环境管理体系认证，职业健康安全管理体系认证等</w:t>
      </w:r>
      <w:r>
        <w:rPr>
          <w:rFonts w:hint="eastAsia" w:ascii="仿宋" w:hAnsi="仿宋" w:eastAsia="仿宋" w:cs="仿宋"/>
          <w:color w:val="000000" w:themeColor="text1"/>
          <w:sz w:val="32"/>
          <w:szCs w:val="32"/>
          <w:lang w:val="en-US" w:eastAsia="zh-CN"/>
          <w14:textFill>
            <w14:solidFill>
              <w14:schemeClr w14:val="tx1"/>
            </w14:solidFill>
          </w14:textFill>
        </w:rPr>
        <w:t>。</w:t>
      </w:r>
    </w:p>
    <w:p w14:paraId="42D72274">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w:t>
      </w:r>
      <w:r>
        <w:rPr>
          <w:rFonts w:hint="eastAsia" w:ascii="仿宋" w:hAnsi="仿宋" w:eastAsia="仿宋" w:cs="仿宋"/>
          <w:i/>
          <w:iCs/>
          <w:color w:val="000000" w:themeColor="text1"/>
          <w:sz w:val="32"/>
          <w:szCs w:val="32"/>
          <w:lang w:val="en-US" w:eastAsia="zh-CN"/>
          <w14:textFill>
            <w14:solidFill>
              <w14:schemeClr w14:val="tx1"/>
            </w14:solidFill>
          </w14:textFill>
        </w:rPr>
        <w:t>如</w:t>
      </w:r>
      <w:r>
        <w:rPr>
          <w:rFonts w:hint="eastAsia" w:ascii="仿宋" w:hAnsi="仿宋" w:eastAsia="仿宋" w:cs="仿宋"/>
          <w:b/>
          <w:bCs/>
          <w:i/>
          <w:iCs/>
          <w:color w:val="4472C4" w:themeColor="accent5"/>
          <w:sz w:val="32"/>
          <w:szCs w:val="32"/>
          <w:lang w:val="en-US" w:eastAsia="zh-CN"/>
          <w14:textFill>
            <w14:solidFill>
              <w14:schemeClr w14:val="accent5"/>
            </w14:solidFill>
          </w14:textFill>
        </w:rPr>
        <w:t>3C 认证</w:t>
      </w:r>
      <w:r>
        <w:rPr>
          <w:rFonts w:hint="eastAsia" w:ascii="仿宋" w:hAnsi="仿宋" w:eastAsia="仿宋" w:cs="仿宋"/>
          <w:i w:val="0"/>
          <w:iCs w:val="0"/>
          <w:color w:val="000000" w:themeColor="text1"/>
          <w:sz w:val="32"/>
          <w:szCs w:val="32"/>
          <w:lang w:val="en-US" w:eastAsia="zh-CN"/>
          <w14:textFill>
            <w14:solidFill>
              <w14:schemeClr w14:val="tx1"/>
            </w14:solidFill>
          </w14:textFill>
        </w:rPr>
        <w:t>，</w:t>
      </w:r>
      <w:r>
        <w:rPr>
          <w:rFonts w:hint="eastAsia" w:ascii="仿宋" w:hAnsi="仿宋" w:eastAsia="仿宋" w:cs="仿宋"/>
          <w:i/>
          <w:iCs/>
          <w:color w:val="000000" w:themeColor="text1"/>
          <w:sz w:val="32"/>
          <w:szCs w:val="32"/>
          <w:lang w:val="en-US" w:eastAsia="zh-CN"/>
          <w14:textFill>
            <w14:solidFill>
              <w14:schemeClr w14:val="tx1"/>
            </w14:solidFill>
          </w14:textFill>
        </w:rPr>
        <w:t>节能环保产品认证等</w:t>
      </w:r>
      <w:r>
        <w:rPr>
          <w:rFonts w:hint="eastAsia" w:ascii="仿宋" w:hAnsi="仿宋" w:eastAsia="仿宋" w:cs="仿宋"/>
          <w:color w:val="000000" w:themeColor="text1"/>
          <w:sz w:val="32"/>
          <w:szCs w:val="32"/>
          <w:lang w:val="en-US" w:eastAsia="zh-CN"/>
          <w14:textFill>
            <w14:solidFill>
              <w14:schemeClr w14:val="tx1"/>
            </w14:solidFill>
          </w14:textFill>
        </w:rPr>
        <w:t>。</w:t>
      </w:r>
    </w:p>
    <w:p w14:paraId="127B31D5">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3.技术能力介绍：①公司拥有的自主知识产权名称、数量，②行业内龙头企业排名或优质企业资质认证材料。</w:t>
      </w:r>
    </w:p>
    <w:p w14:paraId="6A343EFA">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9"/>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14:paraId="369ED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882C8">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default" w:ascii="仿宋" w:hAnsi="仿宋" w:eastAsia="仿宋" w:cs="仿宋"/>
                <w:b/>
                <w:bCs/>
                <w:i w:val="0"/>
                <w:iCs w:val="0"/>
                <w:color w:val="000000"/>
                <w:sz w:val="28"/>
                <w:szCs w:val="28"/>
                <w:u w:val="none"/>
                <w:lang w:val="en-US"/>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与兴业银行合作情况（相关情况无需提供合同证明材料）</w:t>
            </w:r>
          </w:p>
        </w:tc>
      </w:tr>
      <w:tr w14:paraId="00490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4D1AA">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E98E1">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7B663">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E1103">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DD846">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3A186">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14:paraId="12ACD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AAEDB">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D1D98">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6B98E">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2A07B">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559D3">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FB308">
            <w:pPr>
              <w:jc w:val="both"/>
              <w:rPr>
                <w:rFonts w:hint="eastAsia" w:ascii="仿宋" w:hAnsi="仿宋" w:eastAsia="仿宋" w:cs="仿宋"/>
                <w:i w:val="0"/>
                <w:iCs w:val="0"/>
                <w:color w:val="000000"/>
                <w:sz w:val="28"/>
                <w:szCs w:val="28"/>
                <w:u w:val="none"/>
              </w:rPr>
            </w:pPr>
          </w:p>
        </w:tc>
      </w:tr>
      <w:tr w14:paraId="6073F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9E44E">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D0C3B">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FFF7B">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82B82">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6FAC8">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30475">
            <w:pPr>
              <w:jc w:val="both"/>
              <w:rPr>
                <w:rFonts w:hint="eastAsia" w:ascii="仿宋" w:hAnsi="仿宋" w:eastAsia="仿宋" w:cs="仿宋"/>
                <w:i w:val="0"/>
                <w:iCs w:val="0"/>
                <w:color w:val="000000"/>
                <w:sz w:val="28"/>
                <w:szCs w:val="28"/>
                <w:u w:val="none"/>
              </w:rPr>
            </w:pPr>
          </w:p>
        </w:tc>
      </w:tr>
      <w:tr w14:paraId="15C46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94DA6">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A641D">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8768F">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A0CD4">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2294D">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CE29D">
            <w:pPr>
              <w:jc w:val="both"/>
              <w:rPr>
                <w:rFonts w:hint="eastAsia" w:ascii="仿宋" w:hAnsi="仿宋" w:eastAsia="仿宋" w:cs="仿宋"/>
                <w:i w:val="0"/>
                <w:iCs w:val="0"/>
                <w:color w:val="000000"/>
                <w:sz w:val="28"/>
                <w:szCs w:val="28"/>
                <w:u w:val="none"/>
              </w:rPr>
            </w:pPr>
          </w:p>
        </w:tc>
      </w:tr>
      <w:tr w14:paraId="20CED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78296">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0895E">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E52A8">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75990">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A4417">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D8772">
            <w:pPr>
              <w:jc w:val="both"/>
              <w:rPr>
                <w:rFonts w:hint="eastAsia" w:ascii="仿宋" w:hAnsi="仿宋" w:eastAsia="仿宋" w:cs="仿宋"/>
                <w:i w:val="0"/>
                <w:iCs w:val="0"/>
                <w:color w:val="000000"/>
                <w:sz w:val="28"/>
                <w:szCs w:val="28"/>
                <w:u w:val="none"/>
              </w:rPr>
            </w:pPr>
          </w:p>
        </w:tc>
      </w:tr>
    </w:tbl>
    <w:p w14:paraId="0C96DFE6">
      <w:pPr>
        <w:pStyle w:val="3"/>
        <w:ind w:left="0" w:leftChars="0" w:firstLine="0" w:firstLineChars="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26C8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792874">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9792874">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5E90989"/>
    <w:rsid w:val="074B0DF6"/>
    <w:rsid w:val="080676D1"/>
    <w:rsid w:val="082527D5"/>
    <w:rsid w:val="0A733501"/>
    <w:rsid w:val="0AE26B25"/>
    <w:rsid w:val="0C787AEA"/>
    <w:rsid w:val="0DED7F9F"/>
    <w:rsid w:val="122B3E34"/>
    <w:rsid w:val="13DD0D7A"/>
    <w:rsid w:val="157910C9"/>
    <w:rsid w:val="16761996"/>
    <w:rsid w:val="191D663C"/>
    <w:rsid w:val="194E3E5D"/>
    <w:rsid w:val="196258E0"/>
    <w:rsid w:val="1B950EA8"/>
    <w:rsid w:val="1BC71F34"/>
    <w:rsid w:val="1C556C05"/>
    <w:rsid w:val="1C6B051D"/>
    <w:rsid w:val="1FA81379"/>
    <w:rsid w:val="1FC71BE9"/>
    <w:rsid w:val="21C62E98"/>
    <w:rsid w:val="22765FC9"/>
    <w:rsid w:val="233C4EB8"/>
    <w:rsid w:val="23714E92"/>
    <w:rsid w:val="237743BF"/>
    <w:rsid w:val="23EE1032"/>
    <w:rsid w:val="25707870"/>
    <w:rsid w:val="2784429A"/>
    <w:rsid w:val="28BA64D2"/>
    <w:rsid w:val="2BF13661"/>
    <w:rsid w:val="30625819"/>
    <w:rsid w:val="30871DAD"/>
    <w:rsid w:val="31194100"/>
    <w:rsid w:val="31A14391"/>
    <w:rsid w:val="32AC24FA"/>
    <w:rsid w:val="33294ECA"/>
    <w:rsid w:val="34785308"/>
    <w:rsid w:val="364F2D17"/>
    <w:rsid w:val="365B1D40"/>
    <w:rsid w:val="36957939"/>
    <w:rsid w:val="39DA2FFB"/>
    <w:rsid w:val="3ABC0EB9"/>
    <w:rsid w:val="3ACD1C57"/>
    <w:rsid w:val="3E3D6EE4"/>
    <w:rsid w:val="3F034E6C"/>
    <w:rsid w:val="3F6B6E98"/>
    <w:rsid w:val="401B6382"/>
    <w:rsid w:val="40932EB4"/>
    <w:rsid w:val="41A66CE4"/>
    <w:rsid w:val="41AF0FC4"/>
    <w:rsid w:val="43384792"/>
    <w:rsid w:val="43851E88"/>
    <w:rsid w:val="43AA4F5F"/>
    <w:rsid w:val="43EA07E5"/>
    <w:rsid w:val="45014E1C"/>
    <w:rsid w:val="467378B5"/>
    <w:rsid w:val="46780977"/>
    <w:rsid w:val="46A85A02"/>
    <w:rsid w:val="494329A0"/>
    <w:rsid w:val="498356E1"/>
    <w:rsid w:val="4A32674D"/>
    <w:rsid w:val="4C7D54EA"/>
    <w:rsid w:val="4E3975ED"/>
    <w:rsid w:val="4ECE31F9"/>
    <w:rsid w:val="503B1E49"/>
    <w:rsid w:val="513367D2"/>
    <w:rsid w:val="514334E2"/>
    <w:rsid w:val="52370FF1"/>
    <w:rsid w:val="53445FE2"/>
    <w:rsid w:val="553431FA"/>
    <w:rsid w:val="58750A7A"/>
    <w:rsid w:val="5966279D"/>
    <w:rsid w:val="5B7865D3"/>
    <w:rsid w:val="5CA92FB0"/>
    <w:rsid w:val="5D0A477C"/>
    <w:rsid w:val="5DAB6DF8"/>
    <w:rsid w:val="5DB5522E"/>
    <w:rsid w:val="5ED6232D"/>
    <w:rsid w:val="61190A09"/>
    <w:rsid w:val="62524A3B"/>
    <w:rsid w:val="62A63CAF"/>
    <w:rsid w:val="63E44881"/>
    <w:rsid w:val="662A6846"/>
    <w:rsid w:val="6ACC4869"/>
    <w:rsid w:val="6B014ED0"/>
    <w:rsid w:val="6B9B3FD1"/>
    <w:rsid w:val="6C105C47"/>
    <w:rsid w:val="6D6514C5"/>
    <w:rsid w:val="704F172C"/>
    <w:rsid w:val="70867405"/>
    <w:rsid w:val="721E1865"/>
    <w:rsid w:val="72CB65F3"/>
    <w:rsid w:val="74F5625F"/>
    <w:rsid w:val="76B02117"/>
    <w:rsid w:val="77300FA6"/>
    <w:rsid w:val="77EE4AA3"/>
    <w:rsid w:val="78F80540"/>
    <w:rsid w:val="79093E30"/>
    <w:rsid w:val="79286E08"/>
    <w:rsid w:val="79330017"/>
    <w:rsid w:val="7AC953E2"/>
    <w:rsid w:val="7D74675F"/>
    <w:rsid w:val="7F7B98EB"/>
    <w:rsid w:val="7FAA6E0D"/>
    <w:rsid w:val="7FE4330D"/>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3">
    <w:name w:val="Body Text First Indent 2"/>
    <w:basedOn w:val="2"/>
    <w:next w:val="4"/>
    <w:qFormat/>
    <w:uiPriority w:val="0"/>
    <w:pPr>
      <w:tabs>
        <w:tab w:val="left" w:pos="0"/>
        <w:tab w:val="left" w:pos="993"/>
        <w:tab w:val="left" w:pos="1134"/>
      </w:tabs>
      <w:spacing w:line="312" w:lineRule="atLeast"/>
      <w:ind w:firstLine="420"/>
    </w:p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semiHidden/>
    <w:qFormat/>
    <w:uiPriority w:val="0"/>
    <w:pPr>
      <w:topLinePunct w:val="0"/>
    </w:pPr>
    <w:rPr>
      <w:rFonts w:ascii="Courier New" w:hAnsi="Courier New" w:cs="Courier New"/>
      <w:sz w:val="20"/>
      <w:szCs w:val="20"/>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正文首行缩进 21"/>
    <w:basedOn w:val="13"/>
    <w:qFormat/>
    <w:uiPriority w:val="0"/>
    <w:pPr>
      <w:widowControl/>
      <w:ind w:firstLine="420"/>
    </w:pPr>
    <w:rPr>
      <w:szCs w:val="20"/>
    </w:rPr>
  </w:style>
  <w:style w:type="paragraph" w:customStyle="1" w:styleId="13">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2098</Words>
  <Characters>2310</Characters>
  <Lines>0</Lines>
  <Paragraphs>0</Paragraphs>
  <TotalTime>0</TotalTime>
  <ScaleCrop>false</ScaleCrop>
  <LinksUpToDate>false</LinksUpToDate>
  <CharactersWithSpaces>2337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CIB</cp:lastModifiedBy>
  <dcterms:modified xsi:type="dcterms:W3CDTF">2026-04-01T09:02:43Z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E3EA411D0A4C4A8B91645A19DAB00B44</vt:lpwstr>
  </property>
  <property fmtid="{D5CDD505-2E9C-101B-9397-08002B2CF9AE}" pid="4" name="KSOTemplateDocerSaveRecord">
    <vt:lpwstr>eyJoZGlkIjoiYTkwYTM0MDk5OTY1MTUwNzU1MzNiZTliMDZiYjQ0NzAiLCJ1c2VySWQiOiIzMTY1MDkwODcifQ==</vt:lpwstr>
  </property>
</Properties>
</file>