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eastAsia" w:ascii="黑体" w:hAnsi="黑体" w:eastAsia="黑体" w:cs="黑体"/>
          <w:b w:val="0"/>
          <w:bCs/>
          <w:sz w:val="32"/>
          <w:szCs w:val="32"/>
          <w:lang w:val="en-US" w:eastAsia="zh-CN"/>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0"/>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《兴业银行深圳分行日立品牌现金类自助机具维保服务项目》供应商征集反馈材料-公司名称（全称）</w:t>
      </w:r>
    </w:p>
    <w:p>
      <w:pPr>
        <w:ind w:left="0" w:leftChars="0" w:firstLine="0" w:firstLineChars="0"/>
        <w:jc w:val="center"/>
        <w:rPr>
          <w:rFonts w:hint="eastAsia" w:ascii="仿宋" w:hAnsi="仿宋" w:eastAsia="仿宋"/>
          <w:b/>
          <w:bCs/>
          <w:sz w:val="36"/>
          <w:szCs w:val="36"/>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color w:val="FF0000"/>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w:t>
      </w:r>
      <w:r>
        <w:rPr>
          <w:rFonts w:hint="eastAsia" w:ascii="仿宋" w:hAnsi="仿宋" w:eastAsia="仿宋" w:cs="Times New Roman"/>
          <w:b/>
          <w:bCs/>
          <w:color w:val="FF0000"/>
          <w:kern w:val="2"/>
          <w:sz w:val="28"/>
          <w:szCs w:val="28"/>
          <w:lang w:val="en-US" w:eastAsia="zh-CN" w:bidi="ar-SA"/>
        </w:rPr>
        <w:t>P1-P20</w:t>
      </w:r>
    </w:p>
    <w:p>
      <w:pPr>
        <w:pStyle w:val="4"/>
        <w:tabs>
          <w:tab w:val="left" w:pos="992"/>
        </w:tabs>
        <w:ind w:left="0" w:leftChars="0" w:firstLine="0" w:firstLineChars="0"/>
        <w:jc w:val="center"/>
        <w:outlineLvl w:val="0"/>
        <w:rPr>
          <w:rFonts w:hint="eastAsia" w:ascii="仿宋" w:hAnsi="仿宋" w:eastAsia="仿宋" w:cs="Times New Roman"/>
          <w:b/>
          <w:bCs/>
          <w:color w:val="FF0000"/>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w:t>
      </w:r>
      <w:r>
        <w:rPr>
          <w:rFonts w:hint="eastAsia" w:ascii="仿宋" w:hAnsi="仿宋" w:eastAsia="仿宋" w:cs="Times New Roman"/>
          <w:b/>
          <w:bCs/>
          <w:color w:val="FF0000"/>
          <w:kern w:val="2"/>
          <w:sz w:val="28"/>
          <w:szCs w:val="28"/>
          <w:lang w:val="en-US" w:eastAsia="zh-CN" w:bidi="ar-SA"/>
        </w:rPr>
        <w:t>P21-P30</w:t>
      </w:r>
    </w:p>
    <w:p>
      <w:pPr>
        <w:pStyle w:val="4"/>
        <w:tabs>
          <w:tab w:val="left" w:pos="992"/>
        </w:tabs>
        <w:ind w:left="0" w:leftChars="0" w:firstLine="0" w:firstLineChars="0"/>
        <w:jc w:val="center"/>
        <w:outlineLvl w:val="0"/>
        <w:rPr>
          <w:rFonts w:hint="default" w:ascii="仿宋" w:hAnsi="仿宋" w:eastAsia="仿宋" w:cs="Times New Roman"/>
          <w:b/>
          <w:bCs/>
          <w:color w:val="FF0000"/>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w:t>
      </w:r>
      <w:r>
        <w:rPr>
          <w:rFonts w:hint="eastAsia" w:ascii="仿宋" w:hAnsi="仿宋" w:eastAsia="仿宋" w:cs="Times New Roman"/>
          <w:b/>
          <w:bCs/>
          <w:color w:val="FF0000"/>
          <w:kern w:val="2"/>
          <w:sz w:val="28"/>
          <w:szCs w:val="28"/>
          <w:lang w:val="en-US" w:eastAsia="zh-CN" w:bidi="ar-SA"/>
        </w:rPr>
        <w:t>P31-P40</w:t>
      </w:r>
    </w:p>
    <w:p>
      <w:pPr>
        <w:pStyle w:val="4"/>
        <w:tabs>
          <w:tab w:val="left" w:pos="992"/>
        </w:tabs>
        <w:ind w:firstLine="0" w:firstLineChars="0"/>
        <w:jc w:val="center"/>
        <w:outlineLvl w:val="0"/>
        <w:rPr>
          <w:rFonts w:hint="eastAsia"/>
          <w:color w:val="FF0000"/>
          <w:lang w:val="en-US" w:eastAsia="zh-CN"/>
        </w:rPr>
      </w:pPr>
      <w:r>
        <w:rPr>
          <w:rFonts w:hint="eastAsia" w:ascii="仿宋" w:hAnsi="仿宋" w:eastAsia="仿宋" w:cs="Times New Roman"/>
          <w:b/>
          <w:bCs/>
          <w:kern w:val="2"/>
          <w:sz w:val="28"/>
          <w:szCs w:val="28"/>
          <w:lang w:val="en-US" w:eastAsia="zh-CN" w:bidi="ar-SA"/>
        </w:rPr>
        <w:t>第四部分 对应页码</w:t>
      </w:r>
      <w:r>
        <w:rPr>
          <w:rFonts w:hint="eastAsia" w:ascii="仿宋" w:hAnsi="仿宋" w:eastAsia="仿宋" w:cs="Times New Roman"/>
          <w:b/>
          <w:bCs/>
          <w:color w:val="FF0000"/>
          <w:kern w:val="2"/>
          <w:sz w:val="28"/>
          <w:szCs w:val="28"/>
          <w:lang w:val="en-US" w:eastAsia="zh-CN" w:bidi="ar-SA"/>
        </w:rPr>
        <w:t>P41-P50</w:t>
      </w:r>
    </w:p>
    <w:p>
      <w:pPr>
        <w:pStyle w:val="11"/>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（该部分的“审核事项”列由</w:t>
      </w:r>
      <w:r>
        <w:rPr>
          <w:rFonts w:hint="eastAsia" w:ascii="仿宋" w:hAnsi="仿宋" w:eastAsia="仿宋" w:cs="仿宋"/>
          <w:b w:val="0"/>
          <w:bCs w:val="0"/>
          <w:color w:val="000000" w:themeColor="text1"/>
          <w:sz w:val="32"/>
          <w:szCs w:val="32"/>
          <w:lang w:eastAsia="zh-CN"/>
          <w14:textFill>
            <w14:solidFill>
              <w14:schemeClr w14:val="tx1"/>
            </w14:solidFill>
          </w14:textFill>
        </w:rPr>
        <w:t>需求（统筹管理）部门</w:t>
      </w:r>
      <w:r>
        <w:rPr>
          <w:rFonts w:hint="eastAsia" w:ascii="仿宋" w:hAnsi="仿宋" w:eastAsia="仿宋" w:cs="仿宋"/>
          <w:b w:val="0"/>
          <w:bCs w:val="0"/>
          <w:color w:val="000000" w:themeColor="text1"/>
          <w:sz w:val="32"/>
          <w:szCs w:val="32"/>
          <w14:textFill>
            <w14:solidFill>
              <w14:schemeClr w14:val="tx1"/>
            </w14:solidFill>
          </w14:textFill>
        </w:rPr>
        <w:t>填写，“审核事项”中的各点，请和征集公告文档中的第一和第二部分要求一一对应。“是否满足”和“基本情况说明”列由供应商填写。）</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2016"/>
        <w:gridCol w:w="4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rPr>
            </w:pPr>
            <w:r>
              <w:rPr>
                <w:rFonts w:hint="eastAsia"/>
              </w:rPr>
              <w:t>1.1采购需求</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rPr>
            </w:pPr>
            <w:r>
              <w:rPr>
                <w:rFonts w:hint="eastAsia"/>
              </w:rPr>
              <w:t>双方根据实际服务期限以及实际投保的日立现金类自助机具数量、维护月份核算该服务期内日立品牌现金类自助机具实际维护费用，服务不足15天不计算当月费用，满15天及以上计算1个月费用。按半年进行付款。</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服务</w:t>
            </w:r>
            <w:r>
              <w:rPr>
                <w:rFonts w:hint="eastAsia" w:ascii="仿宋" w:hAnsi="仿宋" w:eastAsia="仿宋" w:cs="仿宋"/>
                <w:b w:val="0"/>
                <w:bCs w:val="0"/>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rPr>
              <w:t>.1</w:t>
            </w:r>
          </w:p>
          <w:p>
            <w:pPr>
              <w:pStyle w:val="2"/>
              <w:ind w:left="0" w:leftChars="0" w:firstLine="0" w:firstLineChars="0"/>
              <w:rPr>
                <w:rFonts w:hint="eastAsia"/>
              </w:rPr>
            </w:pPr>
            <w:r>
              <w:rPr>
                <w:rFonts w:hint="eastAsia" w:ascii="Times New Roman" w:eastAsia="宋体" w:cs="Times New Roman"/>
                <w:kern w:val="2"/>
                <w:sz w:val="24"/>
                <w:szCs w:val="24"/>
                <w:lang w:val="en-US" w:eastAsia="zh-CN" w:bidi="ar-SA"/>
              </w:rPr>
              <w:t>服务包括日立品牌现金类自助机具硬件的不定期的应急维护和定期的预防性维护。</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2</w:t>
            </w:r>
          </w:p>
          <w:p>
            <w:pPr>
              <w:pStyle w:val="2"/>
              <w:ind w:left="0" w:leftChars="0" w:firstLine="0" w:firstLineChars="0"/>
              <w:rPr>
                <w:rFonts w:hint="eastAsia" w:ascii="Times New Roman" w:eastAsia="宋体" w:cs="Times New Roman"/>
                <w:kern w:val="2"/>
                <w:sz w:val="24"/>
                <w:szCs w:val="24"/>
                <w:lang w:val="en-US" w:eastAsia="zh-CN" w:bidi="ar-SA"/>
              </w:rPr>
            </w:pPr>
            <w:r>
              <w:rPr>
                <w:rFonts w:hint="eastAsia" w:ascii="Times New Roman" w:eastAsia="宋体" w:cs="Times New Roman"/>
                <w:kern w:val="2"/>
                <w:sz w:val="24"/>
                <w:szCs w:val="24"/>
                <w:lang w:val="en-US" w:eastAsia="zh-CN" w:bidi="ar-SA"/>
              </w:rPr>
              <w:t>巡回时免费提供技术改进。免费对我行工程师提供技术培训及合理的技术支持。</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3</w:t>
            </w:r>
          </w:p>
          <w:p>
            <w:pPr>
              <w:pStyle w:val="2"/>
              <w:ind w:left="0" w:leftChars="0" w:firstLine="0" w:firstLineChars="0"/>
              <w:rPr>
                <w:rFonts w:hint="eastAsia" w:ascii="Times New Roman" w:eastAsia="宋体" w:cs="Times New Roman"/>
                <w:kern w:val="2"/>
                <w:sz w:val="24"/>
                <w:szCs w:val="24"/>
                <w:lang w:val="en-US" w:eastAsia="zh-CN" w:bidi="ar-SA"/>
              </w:rPr>
            </w:pPr>
            <w:r>
              <w:rPr>
                <w:rFonts w:hint="eastAsia" w:ascii="Times New Roman" w:eastAsia="宋体" w:cs="Times New Roman"/>
                <w:kern w:val="2"/>
                <w:sz w:val="24"/>
                <w:szCs w:val="24"/>
                <w:lang w:val="en-US" w:eastAsia="zh-CN" w:bidi="ar-SA"/>
              </w:rPr>
              <w:t>免费提供现场移机过程中的设备安装及调试服务。现金类自助机具免费外观清洁美容和修复。</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4</w:t>
            </w:r>
          </w:p>
          <w:p>
            <w:pPr>
              <w:pStyle w:val="2"/>
              <w:ind w:left="0" w:leftChars="0" w:firstLine="0" w:firstLineChars="0"/>
              <w:rPr>
                <w:rFonts w:hint="eastAsia" w:ascii="Times New Roman" w:eastAsia="宋体" w:cs="Times New Roman"/>
                <w:kern w:val="2"/>
                <w:sz w:val="24"/>
                <w:szCs w:val="24"/>
                <w:lang w:val="en-US" w:eastAsia="zh-CN" w:bidi="ar-SA"/>
              </w:rPr>
            </w:pPr>
            <w:r>
              <w:rPr>
                <w:rFonts w:hint="eastAsia" w:ascii="Times New Roman" w:eastAsia="宋体" w:cs="Times New Roman"/>
                <w:kern w:val="2"/>
                <w:sz w:val="24"/>
                <w:szCs w:val="24"/>
                <w:lang w:val="en-US" w:eastAsia="zh-CN" w:bidi="ar-SA"/>
              </w:rPr>
              <w:t>提供免费保修电话，提供全年365天，7*24技术服务支持。在接到到点服务请求后，0.5小时内予以响应。</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5</w:t>
            </w:r>
          </w:p>
          <w:p>
            <w:pPr>
              <w:pStyle w:val="2"/>
              <w:ind w:left="0" w:leftChars="0" w:firstLine="0" w:firstLineChars="0"/>
              <w:rPr>
                <w:rFonts w:hint="eastAsia" w:ascii="Times New Roman" w:eastAsia="宋体" w:cs="Times New Roman"/>
                <w:kern w:val="2"/>
                <w:sz w:val="24"/>
                <w:szCs w:val="24"/>
                <w:lang w:val="en-US" w:eastAsia="zh-CN" w:bidi="ar-SA"/>
              </w:rPr>
            </w:pPr>
            <w:r>
              <w:rPr>
                <w:rFonts w:hint="eastAsia" w:ascii="Times New Roman" w:eastAsia="宋体" w:cs="Times New Roman"/>
                <w:kern w:val="2"/>
                <w:sz w:val="24"/>
                <w:szCs w:val="24"/>
                <w:lang w:val="en-US" w:eastAsia="zh-CN" w:bidi="ar-SA"/>
              </w:rPr>
              <w:t>能够保证充足的备品和备件。维护用备件使用原装备件。</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6</w:t>
            </w:r>
          </w:p>
          <w:p>
            <w:pPr>
              <w:pStyle w:val="2"/>
              <w:ind w:left="0" w:leftChars="0" w:firstLine="0" w:firstLineChars="0"/>
              <w:rPr>
                <w:rFonts w:hint="eastAsia" w:ascii="Times New Roman" w:eastAsia="宋体" w:cs="Times New Roman"/>
                <w:kern w:val="2"/>
                <w:sz w:val="24"/>
                <w:szCs w:val="24"/>
                <w:lang w:val="en-US" w:eastAsia="zh-CN" w:bidi="ar-SA"/>
              </w:rPr>
            </w:pPr>
            <w:r>
              <w:rPr>
                <w:rFonts w:hint="eastAsia" w:ascii="Times New Roman" w:eastAsia="宋体" w:cs="Times New Roman"/>
                <w:kern w:val="2"/>
                <w:sz w:val="24"/>
                <w:szCs w:val="24"/>
                <w:lang w:val="en-US" w:eastAsia="zh-CN" w:bidi="ar-SA"/>
              </w:rPr>
              <w:t>维护工程师需持证上岗，应向我行提供相应资质证书。每20台日立品牌现金类自助机具至少配备1名专职维护工程师，指定专人负责维护服务。</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7</w:t>
            </w:r>
          </w:p>
          <w:p>
            <w:pPr>
              <w:pStyle w:val="2"/>
              <w:ind w:left="0" w:leftChars="0" w:firstLine="0" w:firstLineChars="0"/>
              <w:rPr>
                <w:rFonts w:hint="eastAsia" w:ascii="Times New Roman" w:eastAsia="宋体" w:cs="Times New Roman"/>
                <w:kern w:val="2"/>
                <w:sz w:val="24"/>
                <w:szCs w:val="24"/>
                <w:lang w:val="en-US" w:eastAsia="zh-CN" w:bidi="ar-SA"/>
              </w:rPr>
            </w:pPr>
            <w:r>
              <w:rPr>
                <w:rFonts w:hint="eastAsia" w:ascii="Times New Roman" w:eastAsia="宋体" w:cs="Times New Roman"/>
                <w:kern w:val="2"/>
                <w:sz w:val="24"/>
                <w:szCs w:val="24"/>
                <w:lang w:val="en-US" w:eastAsia="zh-CN" w:bidi="ar-SA"/>
              </w:rPr>
              <w:t>从我行获取的所有秘密信息能够采取严格的保密措施</w:t>
            </w:r>
            <w:bookmarkStart w:id="1" w:name="_GoBack"/>
            <w:bookmarkEnd w:id="1"/>
            <w:r>
              <w:rPr>
                <w:rFonts w:hint="eastAsia" w:ascii="Times New Roman" w:eastAsia="宋体" w:cs="Times New Roman"/>
                <w:kern w:val="2"/>
                <w:sz w:val="24"/>
                <w:szCs w:val="24"/>
                <w:lang w:val="en-US" w:eastAsia="zh-CN" w:bidi="ar-SA"/>
              </w:rPr>
              <w:t>。</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.1</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Times New Roman" w:hAnsi="Times New Roman" w:eastAsia="宋体" w:cs="Times New Roman"/>
                <w:kern w:val="2"/>
                <w:sz w:val="24"/>
                <w:szCs w:val="24"/>
                <w:lang w:val="en-US" w:eastAsia="zh-CN" w:bidi="ar-SA"/>
              </w:rPr>
              <w:t>企业成立三年以上，近三年财务稳健，可稳定提供服务。</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1.3.2</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Times New Roman" w:hAnsi="Times New Roman" w:eastAsia="宋体" w:cs="Times New Roman"/>
                <w:kern w:val="2"/>
                <w:sz w:val="24"/>
                <w:szCs w:val="24"/>
                <w:lang w:val="en-US" w:eastAsia="zh-CN" w:bidi="ar-SA"/>
              </w:rPr>
              <w:t>具备2022年9月至今与20家国内系统重要性银行</w:t>
            </w:r>
            <w:r>
              <w:rPr>
                <w:rFonts w:hint="eastAsia"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工行、中行、建行、农行、交行、邮储、招商、兴业、中信、浦发、光大、民生、平安、华夏、广发、宁波、江苏、上海、北京、南京</w:t>
            </w:r>
            <w:r>
              <w:rPr>
                <w:rFonts w:hint="eastAsia"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分行级/或其子公司合作开展与本项目相似的成功案例（须提供相关案例合同证明材料，以合同签订日期为准）。</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2.1</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Times New Roman" w:hAnsi="Times New Roman" w:eastAsia="宋体" w:cs="Times New Roman"/>
                <w:kern w:val="2"/>
                <w:sz w:val="24"/>
                <w:szCs w:val="24"/>
                <w:lang w:val="en-US" w:eastAsia="zh-CN" w:bidi="ar-SA"/>
              </w:rPr>
              <w:t>依法成立，为存续、在营、开业、在册、登记成立等正常企业状态。</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2.2</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Times New Roman" w:hAnsi="Times New Roman" w:eastAsia="宋体" w:cs="Times New Roman"/>
                <w:kern w:val="2"/>
                <w:sz w:val="24"/>
                <w:szCs w:val="24"/>
                <w:lang w:val="en-US" w:eastAsia="zh-CN" w:bidi="ar-SA"/>
              </w:rPr>
              <w:t>在兴业银行开立对公账户，若中标本项目，则通过兴业银行对公账户结算该项目相关费用。</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2.3</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Times New Roman" w:hAnsi="Times New Roman" w:eastAsia="宋体" w:cs="Times New Roman"/>
                <w:kern w:val="2"/>
                <w:sz w:val="24"/>
                <w:szCs w:val="24"/>
                <w:lang w:val="en-US" w:eastAsia="zh-CN" w:bidi="ar-SA"/>
              </w:rPr>
              <w:t>充分理解我行服务需求并能够根据需求提供相应的服务。</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2.4</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Times New Roman" w:hAnsi="Times New Roman" w:eastAsia="宋体" w:cs="Times New Roman"/>
                <w:kern w:val="2"/>
                <w:sz w:val="24"/>
                <w:szCs w:val="24"/>
                <w:lang w:val="en-US" w:eastAsia="zh-CN" w:bidi="ar-SA"/>
              </w:rPr>
              <w:t>具有良好的商业信誉和财务情况。</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2.5</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Times New Roman" w:hAnsi="Times New Roman" w:eastAsia="宋体" w:cs="Times New Roman"/>
                <w:kern w:val="2"/>
                <w:sz w:val="24"/>
                <w:szCs w:val="24"/>
                <w:lang w:val="en-US" w:eastAsia="zh-CN" w:bidi="ar-SA"/>
              </w:rPr>
              <w:t>依法缴纳税收和社会保障资金。</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lang w:val="en-US"/>
              </w:rPr>
            </w:pPr>
            <w:r>
              <w:rPr>
                <w:rFonts w:hint="eastAsia" w:ascii="仿宋" w:hAnsi="仿宋" w:eastAsia="仿宋" w:cs="仿宋"/>
                <w:b w:val="0"/>
                <w:bCs w:val="0"/>
                <w:sz w:val="28"/>
                <w:szCs w:val="28"/>
                <w:lang w:val="en-US" w:eastAsia="zh-CN"/>
              </w:rPr>
              <w:t>2.6</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rPr>
              <w:t>未被“信用中国”网列入“重大税收违法案件当事人名单”、未被“中国执行信息公开网”列入“失信被执行人名单”、未被“中国政府采购网”列入“政府采购严重违法失信行为信息记录名单”、未被“国家企业信用信息公示系统”列入网站“严重违法失信企业名单”，不在兴业银行供应商禁用/退出期内</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2.7</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Times New Roman" w:hAnsi="Times New Roman" w:eastAsia="宋体" w:cs="Times New Roman"/>
                <w:kern w:val="2"/>
                <w:sz w:val="24"/>
                <w:szCs w:val="24"/>
                <w:lang w:val="en-US" w:eastAsia="zh-CN" w:bidi="ar-SA"/>
              </w:rPr>
              <w:t>经营范围经国家行政管理部门依法批准，同时获得从事行业有效执业证明、行政许可、专业资质等证照。</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2.8</w:t>
            </w:r>
          </w:p>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Times New Roman" w:hAnsi="Times New Roman" w:eastAsia="宋体" w:cs="Times New Roman"/>
                <w:kern w:val="2"/>
                <w:sz w:val="24"/>
                <w:szCs w:val="24"/>
                <w:lang w:val="en-US" w:eastAsia="zh-CN" w:bidi="ar-SA"/>
              </w:rPr>
              <w:t>两年内目标服务领域未出现严重安全事件。</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pPr>
              <w:pStyle w:val="11"/>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9"/>
        <w:rPr>
          <w:rFonts w:hint="eastAsia" w:ascii="仿宋" w:hAnsi="仿宋" w:eastAsia="仿宋" w:cs="仿宋"/>
          <w:b w:val="0"/>
          <w:bCs w:val="0"/>
          <w:sz w:val="32"/>
          <w:szCs w:val="32"/>
        </w:rPr>
      </w:pPr>
      <w:r>
        <w:rPr>
          <w:rFonts w:hint="eastAsia" w:ascii="仿宋" w:hAnsi="仿宋" w:eastAsia="仿宋" w:cs="仿宋"/>
          <w:sz w:val="32"/>
          <w:szCs w:val="32"/>
          <w:highlight w:val="none"/>
          <w:lang w:val="en-US" w:eastAsia="zh-CN"/>
        </w:rPr>
        <w:t>具备</w:t>
      </w:r>
      <w:r>
        <w:rPr>
          <w:rFonts w:hint="eastAsia" w:ascii="仿宋" w:hAnsi="仿宋" w:eastAsia="仿宋" w:cs="仿宋"/>
          <w:sz w:val="32"/>
          <w:szCs w:val="32"/>
          <w:highlight w:val="none"/>
        </w:rPr>
        <w:t>20</w:t>
      </w:r>
      <w:r>
        <w:rPr>
          <w:rFonts w:hint="eastAsia" w:ascii="仿宋" w:hAnsi="仿宋" w:eastAsia="仿宋" w:cs="仿宋"/>
          <w:sz w:val="32"/>
          <w:szCs w:val="32"/>
          <w:highlight w:val="none"/>
          <w:lang w:val="en-US" w:eastAsia="zh-CN"/>
        </w:rPr>
        <w:t>22</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9月至今</w:t>
      </w:r>
      <w:r>
        <w:rPr>
          <w:rFonts w:hint="eastAsia" w:ascii="仿宋" w:hAnsi="仿宋" w:eastAsia="仿宋" w:cs="仿宋"/>
          <w:sz w:val="32"/>
          <w:szCs w:val="32"/>
          <w:highlight w:val="none"/>
        </w:rPr>
        <w:t>与20家国内系统重要性银行</w:t>
      </w:r>
      <w:r>
        <w:rPr>
          <w:rStyle w:val="10"/>
          <w:rFonts w:hint="eastAsia" w:ascii="仿宋" w:hAnsi="仿宋" w:eastAsia="仿宋" w:cs="仿宋"/>
          <w:kern w:val="0"/>
          <w:sz w:val="32"/>
          <w:szCs w:val="32"/>
          <w:highlight w:val="none"/>
          <w:lang w:val="en-US" w:eastAsia="zh-CN" w:bidi="ar"/>
        </w:rPr>
        <w:footnoteReference w:id="0"/>
      </w:r>
      <w:r>
        <w:rPr>
          <w:rFonts w:hint="eastAsia" w:ascii="仿宋" w:hAnsi="仿宋" w:eastAsia="仿宋" w:cs="仿宋"/>
          <w:i w:val="0"/>
          <w:iCs w:val="0"/>
          <w:sz w:val="32"/>
          <w:szCs w:val="32"/>
          <w:highlight w:val="none"/>
          <w:lang w:val="en-US" w:eastAsia="zh-CN"/>
        </w:rPr>
        <w:t>分行级/或其子公司</w:t>
      </w:r>
      <w:r>
        <w:rPr>
          <w:rFonts w:hint="eastAsia" w:ascii="仿宋" w:hAnsi="仿宋" w:eastAsia="仿宋" w:cs="仿宋"/>
          <w:sz w:val="32"/>
          <w:szCs w:val="32"/>
          <w:highlight w:val="none"/>
          <w:lang w:val="en-US" w:eastAsia="zh-CN"/>
        </w:rPr>
        <w:t>合作开展</w:t>
      </w:r>
      <w:r>
        <w:rPr>
          <w:rFonts w:hint="eastAsia" w:ascii="仿宋" w:hAnsi="仿宋" w:eastAsia="仿宋" w:cs="仿宋"/>
          <w:sz w:val="32"/>
          <w:szCs w:val="32"/>
          <w:highlight w:val="none"/>
        </w:rPr>
        <w:t>与</w:t>
      </w:r>
      <w:r>
        <w:rPr>
          <w:rFonts w:hint="eastAsia" w:ascii="仿宋" w:hAnsi="仿宋" w:eastAsia="仿宋" w:cs="仿宋"/>
          <w:sz w:val="32"/>
          <w:szCs w:val="32"/>
          <w:highlight w:val="none"/>
          <w:lang w:val="en-US" w:eastAsia="zh-CN"/>
        </w:rPr>
        <w:t>本</w:t>
      </w:r>
      <w:r>
        <w:rPr>
          <w:rFonts w:hint="eastAsia" w:ascii="仿宋" w:hAnsi="仿宋" w:eastAsia="仿宋" w:cs="仿宋"/>
          <w:sz w:val="32"/>
          <w:szCs w:val="32"/>
          <w:highlight w:val="none"/>
        </w:rPr>
        <w:t>项目相似</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成功案例</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须提供相关案例合同证明材料，以合同签订日期为准）</w:t>
      </w:r>
      <w:r>
        <w:rPr>
          <w:rFonts w:hint="eastAsia" w:ascii="仿宋" w:hAnsi="仿宋" w:eastAsia="仿宋" w:cs="仿宋"/>
          <w:b w:val="0"/>
          <w:bCs w:val="0"/>
          <w:sz w:val="32"/>
          <w:szCs w:val="32"/>
          <w:lang w:val="en-US" w:eastAsia="zh-CN"/>
        </w:rPr>
        <w:t>项目</w:t>
      </w:r>
      <w:r>
        <w:rPr>
          <w:rFonts w:hint="eastAsia" w:ascii="仿宋" w:hAnsi="仿宋" w:eastAsia="仿宋" w:cs="仿宋"/>
          <w:b w:val="0"/>
          <w:bCs w:val="0"/>
          <w:sz w:val="32"/>
          <w:szCs w:val="32"/>
        </w:rPr>
        <w:t>相关案例情况：</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（三）与兴业银行历史合作情况</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u w:val="none"/>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bl>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5"/>
        <w:keepNext w:val="0"/>
        <w:keepLines w:val="0"/>
        <w:pageBreakBefore w:val="0"/>
        <w:widowControl w:val="0"/>
        <w:kinsoku/>
        <w:wordWrap/>
        <w:overflowPunct/>
        <w:topLinePunct/>
        <w:autoSpaceDE/>
        <w:autoSpaceDN/>
        <w:bidi w:val="0"/>
        <w:adjustRightInd/>
        <w:snapToGrid w:val="0"/>
        <w:spacing w:line="440" w:lineRule="exact"/>
        <w:textAlignment w:val="auto"/>
        <w:rPr>
          <w:rStyle w:val="10"/>
          <w:rFonts w:hint="eastAsia" w:ascii="宋体" w:hAnsi="宋体" w:eastAsia="宋体" w:cs="宋体"/>
          <w:sz w:val="21"/>
          <w:szCs w:val="21"/>
          <w:vertAlign w:val="baseline"/>
          <w:lang w:eastAsia="zh-CN"/>
        </w:rPr>
      </w:pPr>
      <w:r>
        <w:rPr>
          <w:rStyle w:val="10"/>
          <w:rFonts w:hint="eastAsia" w:ascii="宋体" w:hAnsi="宋体" w:eastAsia="宋体" w:cs="宋体"/>
          <w:sz w:val="28"/>
          <w:szCs w:val="28"/>
        </w:rPr>
        <w:footnoteRef/>
      </w:r>
      <w:r>
        <w:rPr>
          <w:rStyle w:val="10"/>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0"/>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2FC6AF6"/>
    <w:rsid w:val="0D9B531F"/>
    <w:rsid w:val="0DED7F9F"/>
    <w:rsid w:val="11A81C21"/>
    <w:rsid w:val="13DD0D7A"/>
    <w:rsid w:val="148F2A78"/>
    <w:rsid w:val="1A841102"/>
    <w:rsid w:val="1B032C85"/>
    <w:rsid w:val="1CB02232"/>
    <w:rsid w:val="1F883425"/>
    <w:rsid w:val="233F6A9C"/>
    <w:rsid w:val="279A6AF8"/>
    <w:rsid w:val="2A633AD1"/>
    <w:rsid w:val="2C0A4EFF"/>
    <w:rsid w:val="2EAA4416"/>
    <w:rsid w:val="2F20693B"/>
    <w:rsid w:val="3647130C"/>
    <w:rsid w:val="365B1D40"/>
    <w:rsid w:val="3E577E11"/>
    <w:rsid w:val="4A9B256F"/>
    <w:rsid w:val="503B1E49"/>
    <w:rsid w:val="54DC5A84"/>
    <w:rsid w:val="5809477E"/>
    <w:rsid w:val="5966279D"/>
    <w:rsid w:val="5B6E700E"/>
    <w:rsid w:val="7236644C"/>
    <w:rsid w:val="79330017"/>
    <w:rsid w:val="79C73BFD"/>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note text"/>
    <w:basedOn w:val="1"/>
    <w:qFormat/>
    <w:uiPriority w:val="0"/>
    <w:pPr>
      <w:snapToGrid w:val="0"/>
      <w:jc w:val="left"/>
    </w:pPr>
    <w:rPr>
      <w:sz w:val="18"/>
    </w:rPr>
  </w:style>
  <w:style w:type="paragraph" w:styleId="6">
    <w:name w:val="HTML Preformatted"/>
    <w:basedOn w:val="1"/>
    <w:semiHidden/>
    <w:qFormat/>
    <w:uiPriority w:val="0"/>
    <w:pPr>
      <w:topLinePunct w:val="0"/>
    </w:pPr>
    <w:rPr>
      <w:rFonts w:ascii="Courier New" w:hAnsi="Courier New" w:cs="Courier New"/>
      <w:sz w:val="20"/>
      <w:szCs w:val="2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otnote reference"/>
    <w:basedOn w:val="9"/>
    <w:qFormat/>
    <w:uiPriority w:val="0"/>
    <w:rPr>
      <w:rFonts w:ascii="仿宋_GB2312" w:hAnsi="仿宋"/>
      <w:bCs/>
      <w:color w:val="000000"/>
      <w:szCs w:val="28"/>
      <w:vertAlign w:val="superscript"/>
    </w:rPr>
  </w:style>
  <w:style w:type="paragraph" w:customStyle="1" w:styleId="11">
    <w:name w:val="正文首行缩进 21"/>
    <w:basedOn w:val="12"/>
    <w:qFormat/>
    <w:uiPriority w:val="0"/>
    <w:pPr>
      <w:widowControl/>
      <w:ind w:firstLine="420"/>
    </w:pPr>
    <w:rPr>
      <w:szCs w:val="20"/>
    </w:rPr>
  </w:style>
  <w:style w:type="paragraph" w:customStyle="1" w:styleId="12">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0</Words>
  <Characters>0</Characters>
  <Lines>0</Lines>
  <Paragraphs>0</Paragraphs>
  <TotalTime>2</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CIB</cp:lastModifiedBy>
  <cp:lastPrinted>2025-09-16T08:37:00Z</cp:lastPrinted>
  <dcterms:modified xsi:type="dcterms:W3CDTF">2025-09-22T10:48:37Z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8E62F4B79F97452AB6734118E6D92494</vt:lpwstr>
  </property>
</Properties>
</file>