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0"/>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0"/>
        <w:gridCol w:w="930"/>
        <w:gridCol w:w="915"/>
        <w:gridCol w:w="2040"/>
        <w:gridCol w:w="2040"/>
      </w:tblGrid>
      <w:tr w14:paraId="18B6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1920"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cs="宋体"/>
                <w:b/>
                <w:color w:val="auto"/>
                <w:sz w:val="22"/>
                <w:lang w:val="en-US" w:eastAsia="zh-CN"/>
              </w:rPr>
              <w:t>采购</w:t>
            </w:r>
            <w:r>
              <w:rPr>
                <w:rFonts w:hint="eastAsia" w:ascii="宋体" w:hAnsi="宋体" w:eastAsia="宋体" w:cs="宋体"/>
                <w:b/>
                <w:color w:val="auto"/>
                <w:sz w:val="22"/>
              </w:rPr>
              <w:t>内容</w:t>
            </w:r>
          </w:p>
        </w:tc>
        <w:tc>
          <w:tcPr>
            <w:tcW w:w="930"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91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2040"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财政预算金额（元）</w:t>
            </w:r>
          </w:p>
        </w:tc>
        <w:tc>
          <w:tcPr>
            <w:tcW w:w="2040" w:type="dxa"/>
            <w:noWrap w:val="0"/>
            <w:vAlign w:val="center"/>
          </w:tcPr>
          <w:p w14:paraId="64C260C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b/>
                <w:color w:val="auto"/>
                <w:sz w:val="22"/>
                <w:lang w:val="en-US" w:eastAsia="zh-CN"/>
              </w:rPr>
            </w:pPr>
            <w:r>
              <w:rPr>
                <w:rFonts w:hint="eastAsia" w:ascii="宋体" w:hAnsi="宋体" w:cs="宋体"/>
                <w:b/>
                <w:color w:val="auto"/>
                <w:sz w:val="22"/>
                <w:lang w:val="en-US" w:eastAsia="zh-CN"/>
              </w:rPr>
              <w:t>最高限价（元）</w:t>
            </w:r>
          </w:p>
        </w:tc>
      </w:tr>
      <w:tr w14:paraId="5E3A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920"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肺功能测试系统</w:t>
            </w:r>
          </w:p>
        </w:tc>
        <w:tc>
          <w:tcPr>
            <w:tcW w:w="930"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套</w:t>
            </w:r>
          </w:p>
        </w:tc>
        <w:tc>
          <w:tcPr>
            <w:tcW w:w="91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204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1,700,000</w:t>
            </w:r>
            <w:r>
              <w:rPr>
                <w:rFonts w:hint="eastAsia" w:ascii="宋体" w:hAnsi="宋体" w:eastAsia="宋体" w:cs="宋体"/>
                <w:color w:val="auto"/>
                <w:sz w:val="21"/>
                <w:szCs w:val="21"/>
              </w:rPr>
              <w:t>.00</w:t>
            </w:r>
          </w:p>
        </w:tc>
        <w:tc>
          <w:tcPr>
            <w:tcW w:w="2040" w:type="dxa"/>
            <w:noWrap w:val="0"/>
            <w:vAlign w:val="center"/>
          </w:tcPr>
          <w:p w14:paraId="2DE7BE2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1,300,000</w:t>
            </w:r>
            <w:r>
              <w:rPr>
                <w:rFonts w:hint="eastAsia" w:ascii="宋体" w:hAnsi="宋体" w:eastAsia="宋体" w:cs="宋体"/>
                <w:color w:val="auto"/>
                <w:sz w:val="21"/>
                <w:szCs w:val="21"/>
              </w:rPr>
              <w:t>.00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2093CC9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二、技术要求</w:t>
      </w:r>
    </w:p>
    <w:tbl>
      <w:tblPr>
        <w:tblStyle w:val="20"/>
        <w:tblpPr w:leftFromText="180" w:rightFromText="180" w:vertAnchor="text" w:horzAnchor="page" w:tblpXSpec="center" w:tblpY="149"/>
        <w:tblOverlap w:val="never"/>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7460"/>
      </w:tblGrid>
      <w:tr w14:paraId="551D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14:paraId="33A5EF6D">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7460" w:type="dxa"/>
            <w:tcBorders>
              <w:top w:val="single" w:color="auto" w:sz="4" w:space="0"/>
              <w:left w:val="single" w:color="auto" w:sz="4" w:space="0"/>
              <w:bottom w:val="single" w:color="auto" w:sz="4" w:space="0"/>
              <w:right w:val="single" w:color="auto" w:sz="4" w:space="0"/>
            </w:tcBorders>
            <w:vAlign w:val="center"/>
          </w:tcPr>
          <w:p w14:paraId="2C37FBE7">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招标技术要求</w:t>
            </w:r>
          </w:p>
        </w:tc>
      </w:tr>
      <w:tr w14:paraId="7B5D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72" w:type="dxa"/>
            <w:vMerge w:val="restart"/>
            <w:tcBorders>
              <w:top w:val="single" w:color="auto" w:sz="4" w:space="0"/>
              <w:left w:val="single" w:color="auto" w:sz="4" w:space="0"/>
              <w:right w:val="single" w:color="auto" w:sz="4" w:space="0"/>
            </w:tcBorders>
            <w:vAlign w:val="center"/>
          </w:tcPr>
          <w:p w14:paraId="6179B460">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肺功能测试</w:t>
            </w:r>
            <w:r>
              <w:rPr>
                <w:rFonts w:hint="eastAsia" w:ascii="宋体" w:hAnsi="宋体" w:eastAsia="宋体" w:cs="宋体"/>
                <w:color w:val="auto"/>
                <w:sz w:val="21"/>
                <w:szCs w:val="21"/>
                <w:lang w:eastAsia="zh-CN"/>
              </w:rPr>
              <w:t>系统</w:t>
            </w:r>
          </w:p>
        </w:tc>
        <w:tc>
          <w:tcPr>
            <w:tcW w:w="7460" w:type="dxa"/>
            <w:tcBorders>
              <w:top w:val="single" w:color="auto" w:sz="4" w:space="0"/>
              <w:left w:val="single" w:color="auto" w:sz="4" w:space="0"/>
              <w:bottom w:val="single" w:color="auto" w:sz="4" w:space="0"/>
              <w:right w:val="single" w:color="auto" w:sz="4" w:space="0"/>
            </w:tcBorders>
          </w:tcPr>
          <w:p w14:paraId="6F422554">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1、慢通气功能：最大肺活量VC MAX、潮气量VT、呼吸频率BF、每分通气量MV、补呼气量ERV、深吸气量IC。</w:t>
            </w:r>
          </w:p>
        </w:tc>
      </w:tr>
      <w:tr w14:paraId="268F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53A248DF">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77B83D97">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流量容积环和用力时间肺活量：用力肺活量FVC、0.75秒量FEV0.75、一秒量FEV1、峰流量PEF、25%呼气流量MEF25、50%呼气流量MEF50、75%呼气流量MEF75、中段呼气流量MMEF、一秒率FEV1/FVC、外切容积EV、外切容积比EV/FVC，呼气时间FET、吸气峰流量PIF等。</w:t>
            </w:r>
          </w:p>
        </w:tc>
      </w:tr>
      <w:tr w14:paraId="0B0B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2" w:type="dxa"/>
            <w:vMerge w:val="continue"/>
            <w:tcBorders>
              <w:left w:val="single" w:color="auto" w:sz="4" w:space="0"/>
              <w:right w:val="single" w:color="auto" w:sz="4" w:space="0"/>
            </w:tcBorders>
          </w:tcPr>
          <w:p w14:paraId="0891839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6301021F">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3、每分最大通气量：最大通气量MVV、通过流量容积环推算的每分钟最大通气量FEV1*30、通气储备VR%等。</w:t>
            </w:r>
          </w:p>
        </w:tc>
      </w:tr>
      <w:tr w14:paraId="1195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59DADA7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281F4312">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▲4、婴幼儿潮气呼吸环：主要用于婴幼儿的肺功能测试，达峰时间比TPTEF/TE、达峰容积比VPEF/VE、公斤潮气量VT/Kg中期流量比TIF50/TEF50、呼吸频率RR等。</w:t>
            </w:r>
            <w:r>
              <w:rPr>
                <w:rFonts w:hint="eastAsia" w:ascii="宋体" w:hAnsi="宋体" w:eastAsia="宋体" w:cs="宋体"/>
                <w:b/>
                <w:bCs/>
                <w:color w:val="auto"/>
                <w:sz w:val="21"/>
                <w:szCs w:val="21"/>
                <w:lang w:bidi="ar"/>
              </w:rPr>
              <w:t>（提供产品说明书或技术白皮书或产品彩页或厂家参数确认函扫描件，证明材料能体现满足前述技术要求）</w:t>
            </w:r>
          </w:p>
        </w:tc>
      </w:tr>
      <w:tr w14:paraId="419E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277BE66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7ED0C78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5、一口气法弥散残气：肺总量TLC、残气量RV、功能残气FRC、残总比RV/TLC、弥散量DLCO、比弥散KCO等。</w:t>
            </w:r>
          </w:p>
        </w:tc>
      </w:tr>
      <w:tr w14:paraId="129F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2CA72130">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120343D7">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6、内呼吸法弥散残气：内呼吸法弥散量DLCO-ib、比弥散KCO-ib、肺总量TLC-ib、残气量RV-ib等</w:t>
            </w:r>
          </w:p>
        </w:tc>
      </w:tr>
      <w:tr w14:paraId="7C6C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154206D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5CFE9BAF">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7、体描法肺功能：特定气道阻力SRaw，气道阻力Raw、体描法胸腔气量TGV、体描法肺总量TLC、体描法残气量RV等。</w:t>
            </w:r>
          </w:p>
        </w:tc>
      </w:tr>
      <w:tr w14:paraId="3A4D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A3F1810">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351F5DA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8、连续脉冲振荡法呼吸阻抗肺功能测试：呼吸总阻抗Z5、总气道阻力R5、中心气道阻力R20、周边弹性阻力X5、共振频率Fres、电抗面积AX等</w:t>
            </w:r>
          </w:p>
        </w:tc>
      </w:tr>
      <w:tr w14:paraId="4204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3D5AB61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0537361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9、舒张试验：用药前后比较，一秒量FEV1的改善情况。</w:t>
            </w:r>
          </w:p>
        </w:tc>
      </w:tr>
      <w:tr w14:paraId="6CAD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2B422574">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57F9C3E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10、激发试验：具有自动给药装置，内置多种激发给药规程，能从一种或2种药物浓度产生不同的给药剂量，可精确完成各种支气管反应性检查。</w:t>
            </w:r>
          </w:p>
        </w:tc>
      </w:tr>
      <w:tr w14:paraId="2056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0A37D31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6F02FD5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11、运动激发试验功能：具备按病人实际肺功能一秒量FEV1、用力肺活量FVC情况给出运动激发剂量，能自动控制配套功率车运动激发的功率递增，记录运动过程中的心率、血压、血氧、功率变化并将记录数据上传到测试系统，根据运动后的肺功能数据变化，一秒量FEV1下降程度判断是否阳性。</w:t>
            </w:r>
            <w:r>
              <w:rPr>
                <w:rFonts w:hint="eastAsia" w:ascii="宋体" w:hAnsi="宋体" w:eastAsia="宋体" w:cs="宋体"/>
                <w:b/>
                <w:bCs/>
                <w:color w:val="auto"/>
                <w:sz w:val="21"/>
                <w:szCs w:val="21"/>
                <w:lang w:bidi="ar"/>
              </w:rPr>
              <w:t>（提供产品说明书或技术白皮书或产品彩页或厂家参数确认函扫描件，证明材料能体现满足前述技术要求）</w:t>
            </w:r>
          </w:p>
        </w:tc>
      </w:tr>
      <w:tr w14:paraId="5DBB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53A839D8">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1990E750">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气体代谢测试功能：</w:t>
            </w:r>
          </w:p>
          <w:p w14:paraId="38C0F198">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能量代谢：能量消耗EE、静息能量消耗REE、静息代谢率REE%等。</w:t>
            </w:r>
            <w:r>
              <w:rPr>
                <w:rFonts w:hint="eastAsia" w:ascii="宋体" w:hAnsi="宋体" w:eastAsia="宋体" w:cs="宋体"/>
                <w:b/>
                <w:bCs/>
                <w:color w:val="auto"/>
                <w:sz w:val="21"/>
                <w:szCs w:val="21"/>
                <w:lang w:bidi="ar"/>
              </w:rPr>
              <w:t>（提供产品说明书或技术白皮书或产品彩页或厂家参数确认函扫描件，证明材料能体现满足前述技术要求）</w:t>
            </w:r>
          </w:p>
        </w:tc>
      </w:tr>
      <w:tr w14:paraId="503D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08875FBA">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20ECEB44">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营养代谢：碳水化合物消耗量CHO、蛋白质消耗量PROT、脂类消耗量FAT、碳水化合物氧化率CHO%、蛋白质氧化率PROT%、脂类氧化率FAT%等。</w:t>
            </w:r>
          </w:p>
        </w:tc>
      </w:tr>
      <w:tr w14:paraId="7C76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52A6AD20">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32ED13C0">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无氧阈：无氧阈摄氧量VO2@AT、无氧阈公斤摄氧量VO2max/kg@AT、无氧阈摄氧占预计比VO2@AT%Pred等。</w:t>
            </w:r>
          </w:p>
        </w:tc>
      </w:tr>
      <w:tr w14:paraId="4393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7E17A56">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61DF5AE6">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氧代谢：摄氧量VO2、二氧化碳排出量VCO2、通气量VE、氧脉搏O2Plus等。</w:t>
            </w:r>
          </w:p>
        </w:tc>
      </w:tr>
      <w:tr w14:paraId="2211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592EB395">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39C7316">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摄氧量和功率变化：每瓦摄氧量dVO2/dWR、氧当量EQO2、二氧化当量EQCO2、呼末二氧化碳分压PETCO2、呼末氧分压PETO2等。</w:t>
            </w:r>
          </w:p>
        </w:tc>
      </w:tr>
      <w:tr w14:paraId="65BA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8FFF05A">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F76CE71">
            <w:pPr>
              <w:keepNext w:val="0"/>
              <w:keepLines w:val="0"/>
              <w:pageBreakBefore w:val="0"/>
              <w:numPr>
                <w:ilvl w:val="255"/>
                <w:numId w:val="0"/>
              </w:numPr>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摄氧量的动态正常值范围带：提供摄氧量的动态正常值范围带，以便临床上大量不能运动到力竭的病人的运动评估</w:t>
            </w:r>
          </w:p>
        </w:tc>
      </w:tr>
      <w:tr w14:paraId="6D1A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31B8A618">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3C02438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、肺内气体分布：解剖死腔VD-T、生理死腔VD-T、肺泡死腔VM2550、死腔潮气比VD/VT、呼末二氧化碳分压PETCO2等。</w:t>
            </w:r>
            <w:r>
              <w:rPr>
                <w:rFonts w:hint="eastAsia" w:ascii="宋体" w:hAnsi="宋体" w:eastAsia="宋体" w:cs="宋体"/>
                <w:b/>
                <w:bCs/>
                <w:color w:val="auto"/>
                <w:sz w:val="21"/>
                <w:szCs w:val="21"/>
                <w:lang w:bidi="ar"/>
              </w:rPr>
              <w:t>（提供产品说明书或技术白皮书或产品彩页或厂家参数确认函扫描件，证明材料能体现满足前述技术要求）</w:t>
            </w:r>
          </w:p>
        </w:tc>
      </w:tr>
      <w:tr w14:paraId="04B1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552BC96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7ECDF972">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、传感器：数字超声流量传感器，可不借助任何工具直接拆卸清洗，清洗后能立即投入使用。</w:t>
            </w:r>
          </w:p>
        </w:tc>
      </w:tr>
      <w:tr w14:paraId="4255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1654CA65">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54B7A47F">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、流量测量范围：0-±20升/秒；误差：±1.5%；容积测量范围：0-±21升；测量精度：±1.5%。</w:t>
            </w:r>
          </w:p>
        </w:tc>
      </w:tr>
      <w:tr w14:paraId="0BED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1DD0C522">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26E5947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、传感器中间没有任何阻力筛网等障碍物，呼吸阻力为0。</w:t>
            </w:r>
          </w:p>
        </w:tc>
      </w:tr>
      <w:tr w14:paraId="4906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00257A5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FDD2514">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、只使用一个流量传感器即可全部覆盖从婴幼儿至成人的呼吸功能检测，不需要更换，避免重复定标的问题。</w:t>
            </w:r>
          </w:p>
        </w:tc>
      </w:tr>
      <w:tr w14:paraId="0EB6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40B7C4E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05745102">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、CO气体分析器：浓度测量范围：0 - 0.33%，浓度偏差：±0.01%。</w:t>
            </w:r>
          </w:p>
        </w:tc>
      </w:tr>
      <w:tr w14:paraId="1395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4D12EF1F">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18907336">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、CH4气体分析器：浓度测量范围：0 - 0.33%，浓度偏差：±0.01%。</w:t>
            </w:r>
          </w:p>
        </w:tc>
      </w:tr>
      <w:tr w14:paraId="4D04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F92E39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3BA331B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、CO2气体分析器：浓度测量范围：0 –10%，浓度偏差：±0.1%。</w:t>
            </w:r>
          </w:p>
        </w:tc>
      </w:tr>
      <w:tr w14:paraId="5626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02F5DA5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6A431D5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、O2气体分析器：浓度测量范围：10-45%，浓度偏差：±0.1% 。</w:t>
            </w:r>
          </w:p>
        </w:tc>
      </w:tr>
      <w:tr w14:paraId="3811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5AE10B90">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2AA691B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27</w:t>
            </w:r>
            <w:r>
              <w:rPr>
                <w:rFonts w:hint="eastAsia" w:ascii="宋体" w:hAnsi="宋体" w:eastAsia="宋体" w:cs="宋体"/>
                <w:color w:val="auto"/>
                <w:sz w:val="21"/>
                <w:szCs w:val="21"/>
              </w:rPr>
              <w:t>、弥散测试方法：应符合ATS/ERS国际规范的快速一口气法弥散残气测定，具有小肺活量弥散残气测试的功能。</w:t>
            </w:r>
          </w:p>
        </w:tc>
      </w:tr>
      <w:tr w14:paraId="2ABE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69298898">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1D788E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、内置温度、湿度及大气压传感器，实时测量口腔处的环境参数，自动环境校正，具有三流量验证。</w:t>
            </w:r>
          </w:p>
        </w:tc>
      </w:tr>
      <w:tr w14:paraId="2C5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312DAF8">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EAA64E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振荡测试头</w:t>
            </w:r>
          </w:p>
          <w:p w14:paraId="2C57E317">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内部没有障碍物，所有共同呼吸回路可更换，避免交叉感染；</w:t>
            </w:r>
          </w:p>
        </w:tc>
      </w:tr>
      <w:tr w14:paraId="40C6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122844F4">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5A34C43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连续频率脉冲振荡，连续频率脉冲振荡，测试数据包含15Hz阻力R15，30Hz阻力R30，35Hz阻力R35；</w:t>
            </w:r>
          </w:p>
        </w:tc>
      </w:tr>
      <w:tr w14:paraId="38D4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72" w:type="dxa"/>
            <w:vMerge w:val="continue"/>
            <w:tcBorders>
              <w:left w:val="single" w:color="auto" w:sz="4" w:space="0"/>
              <w:right w:val="single" w:color="auto" w:sz="4" w:space="0"/>
            </w:tcBorders>
          </w:tcPr>
          <w:p w14:paraId="550CB47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b/>
                <w:bCs/>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07B1CEE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具备电抗面积参数</w:t>
            </w:r>
          </w:p>
        </w:tc>
      </w:tr>
      <w:tr w14:paraId="2EFF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400B00B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77809E70">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2、软件采用SQL数据库系统，提供数据查询、分析功能。</w:t>
            </w:r>
          </w:p>
        </w:tc>
      </w:tr>
      <w:tr w14:paraId="7460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6323EA97">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b/>
                <w:bCs/>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646D402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3、报告单中参数术语能够中文、英文同时显示，报告单可以word、excel、PDF等多种格式任意输出。</w:t>
            </w:r>
          </w:p>
        </w:tc>
      </w:tr>
      <w:tr w14:paraId="3C6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1D7044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6B6B5D4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4、数据组合：在测试界面，能从不同的用力流量容积环测试曲线上分别选取最佳的吸气环和呼气环，重新组成一个新的最好用力流量容积环和测试数据。</w:t>
            </w:r>
          </w:p>
        </w:tc>
      </w:tr>
      <w:tr w14:paraId="1B34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08089770">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1A4EA566">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5、自动智能质量控制功能：在测试界面，每次流量容积环测试结束后，测试软件能按ATS和ERS的质控要求，对测试结果自动分析每条测试数据是否满足其质控要求，并标记出哪一点没达到质控要求，方便受试者后续改进。</w:t>
            </w:r>
          </w:p>
        </w:tc>
      </w:tr>
      <w:tr w14:paraId="1031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1C1C0F5">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099F541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6、动画演示程序：流量容积环的动态图画演示程序，具有吹蜡烛、吹气球、鱼吹泡泡等动画，用以帮助小孩特别是学龄前儿童配合做好流量容积环检查。</w:t>
            </w:r>
          </w:p>
        </w:tc>
      </w:tr>
      <w:tr w14:paraId="7441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72" w:type="dxa"/>
            <w:vMerge w:val="continue"/>
            <w:tcBorders>
              <w:left w:val="single" w:color="auto" w:sz="4" w:space="0"/>
              <w:right w:val="single" w:color="auto" w:sz="4" w:space="0"/>
            </w:tcBorders>
          </w:tcPr>
          <w:p w14:paraId="694262B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607D428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7、自动智能评估功能：可根据流量容积环的测试结果自动给出中文的诊断文字意见，内容必须包括测试质控等级、是否正常、属于哪类型的通气功能障碍已经严重程度。</w:t>
            </w:r>
          </w:p>
        </w:tc>
      </w:tr>
      <w:tr w14:paraId="416B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10C09A88">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8176EDC">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8、通气和激发测试界面上显示心率血氧数据，并与通气数据同步记录到数据库中，最终能打印到通气测试报告单上。</w:t>
            </w:r>
            <w:r>
              <w:rPr>
                <w:rFonts w:hint="eastAsia" w:ascii="宋体" w:hAnsi="宋体" w:eastAsia="宋体" w:cs="宋体"/>
                <w:b/>
                <w:bCs/>
                <w:color w:val="auto"/>
                <w:sz w:val="21"/>
                <w:szCs w:val="21"/>
                <w:lang w:bidi="ar"/>
              </w:rPr>
              <w:t>（提供产品说明书或技术白皮书或产品彩页或厂家参数确认函扫描件，证明材料能体现满足前述技术要求）</w:t>
            </w:r>
          </w:p>
        </w:tc>
      </w:tr>
      <w:tr w14:paraId="2C89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42FE6EBF">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07E0904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9、体描箱材质：钢化玻璃，清洗消毒方便，可直接紫外线照射消毒。</w:t>
            </w:r>
          </w:p>
        </w:tc>
      </w:tr>
      <w:tr w14:paraId="4360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29AA304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D6B1DC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0、口压测量：测量范围：0～±15.00 kPa，压力误差：±2%或 0.20kpa</w:t>
            </w:r>
          </w:p>
        </w:tc>
      </w:tr>
      <w:tr w14:paraId="5D3E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65F0EBD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3CFB877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1、体描箱压：箱压范围：0～±500 Pa，压力误差：±2%或者 2Pa</w:t>
            </w:r>
          </w:p>
        </w:tc>
      </w:tr>
      <w:tr w14:paraId="2A41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105055C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3BEF055E">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心电图技术要求：</w:t>
            </w:r>
          </w:p>
          <w:p w14:paraId="09856B4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、双屏独立显示12导运动心电图和气体代谢数据；</w:t>
            </w:r>
          </w:p>
        </w:tc>
      </w:tr>
      <w:tr w14:paraId="1D57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095EF74">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21985F97">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心电图和气体代谢要内置无缝连接，测试数据在计算机内部自动交换；</w:t>
            </w:r>
          </w:p>
        </w:tc>
      </w:tr>
      <w:tr w14:paraId="20DB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3F42C8E6">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500E43E0">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44</w:t>
            </w:r>
            <w:r>
              <w:rPr>
                <w:rFonts w:hint="eastAsia" w:ascii="宋体" w:hAnsi="宋体" w:eastAsia="宋体" w:cs="宋体"/>
                <w:color w:val="auto"/>
                <w:sz w:val="21"/>
                <w:szCs w:val="21"/>
              </w:rPr>
              <w:t>、心电的病人资料自动由心肺功能主机控制并自动填写；</w:t>
            </w:r>
          </w:p>
        </w:tc>
      </w:tr>
      <w:tr w14:paraId="13E6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311D2FA">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101CD0D0">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、心电放大器于主机之间为无线连接（蓝牙或WIFI），有利于受试者自有运动；</w:t>
            </w:r>
          </w:p>
        </w:tc>
      </w:tr>
      <w:tr w14:paraId="6E08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4BF47D4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337CBB0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46</w:t>
            </w:r>
            <w:r>
              <w:rPr>
                <w:rFonts w:hint="eastAsia" w:ascii="宋体" w:hAnsi="宋体" w:eastAsia="宋体" w:cs="宋体"/>
                <w:color w:val="auto"/>
                <w:sz w:val="21"/>
                <w:szCs w:val="21"/>
              </w:rPr>
              <w:t>、能够进行线性功率规程控制；</w:t>
            </w:r>
          </w:p>
        </w:tc>
      </w:tr>
      <w:tr w14:paraId="5EAF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7DFE2089">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52A8928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47</w:t>
            </w:r>
            <w:r>
              <w:rPr>
                <w:rFonts w:hint="eastAsia" w:ascii="宋体" w:hAnsi="宋体" w:eastAsia="宋体" w:cs="宋体"/>
                <w:color w:val="auto"/>
                <w:sz w:val="21"/>
                <w:szCs w:val="21"/>
              </w:rPr>
              <w:t>、直立位恒功率负载型踏车：USB接口，功率调节范围：包含10-500W范围；</w:t>
            </w:r>
          </w:p>
        </w:tc>
      </w:tr>
      <w:tr w14:paraId="2664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06F49654">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442D676B">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48</w:t>
            </w:r>
            <w:r>
              <w:rPr>
                <w:rFonts w:hint="eastAsia" w:ascii="宋体" w:hAnsi="宋体" w:eastAsia="宋体" w:cs="宋体"/>
                <w:color w:val="auto"/>
                <w:sz w:val="21"/>
                <w:szCs w:val="21"/>
              </w:rPr>
              <w:t>、血压计：由心肺功能主机自动控制测试运动中的血压数据，测试结果自动进入心肺功能主机；</w:t>
            </w:r>
          </w:p>
        </w:tc>
      </w:tr>
      <w:tr w14:paraId="098D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right w:val="single" w:color="auto" w:sz="4" w:space="0"/>
            </w:tcBorders>
          </w:tcPr>
          <w:p w14:paraId="04CEA357">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0E2940B1">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49</w:t>
            </w:r>
            <w:r>
              <w:rPr>
                <w:rFonts w:hint="eastAsia" w:ascii="宋体" w:hAnsi="宋体" w:eastAsia="宋体" w:cs="宋体"/>
                <w:color w:val="auto"/>
                <w:sz w:val="21"/>
                <w:szCs w:val="21"/>
              </w:rPr>
              <w:t>、血氧饱和度监测：配备指脉探头，测试数据能自动上传心肺功能主机</w:t>
            </w:r>
          </w:p>
        </w:tc>
      </w:tr>
      <w:tr w14:paraId="2BE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72" w:type="dxa"/>
            <w:vMerge w:val="continue"/>
            <w:tcBorders>
              <w:left w:val="single" w:color="auto" w:sz="4" w:space="0"/>
              <w:bottom w:val="single" w:color="auto" w:sz="4" w:space="0"/>
              <w:right w:val="single" w:color="auto" w:sz="4" w:space="0"/>
            </w:tcBorders>
          </w:tcPr>
          <w:p w14:paraId="2177747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c>
          <w:tcPr>
            <w:tcW w:w="7460" w:type="dxa"/>
            <w:tcBorders>
              <w:top w:val="single" w:color="auto" w:sz="4" w:space="0"/>
              <w:left w:val="single" w:color="auto" w:sz="4" w:space="0"/>
              <w:bottom w:val="single" w:color="auto" w:sz="4" w:space="0"/>
              <w:right w:val="single" w:color="auto" w:sz="4" w:space="0"/>
            </w:tcBorders>
          </w:tcPr>
          <w:p w14:paraId="2572F16D">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配置清单</w:t>
            </w:r>
            <w:r>
              <w:rPr>
                <w:rFonts w:hint="eastAsia" w:ascii="宋体" w:hAnsi="宋体" w:eastAsia="宋体" w:cs="宋体"/>
                <w:color w:val="auto"/>
                <w:sz w:val="21"/>
                <w:szCs w:val="21"/>
                <w:lang w:eastAsia="zh-CN"/>
              </w:rPr>
              <w:t>：</w:t>
            </w:r>
          </w:p>
          <w:tbl>
            <w:tblPr>
              <w:tblStyle w:val="20"/>
              <w:tblpPr w:leftFromText="180" w:rightFromText="180" w:vertAnchor="text" w:horzAnchor="margin"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3505"/>
              <w:gridCol w:w="967"/>
              <w:gridCol w:w="1750"/>
            </w:tblGrid>
            <w:tr w14:paraId="5A00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Align w:val="center"/>
                </w:tcPr>
                <w:p w14:paraId="57DC525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505" w:type="dxa"/>
                  <w:vAlign w:val="center"/>
                </w:tcPr>
                <w:p w14:paraId="14A1A618">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配置名称</w:t>
                  </w:r>
                </w:p>
              </w:tc>
              <w:tc>
                <w:tcPr>
                  <w:tcW w:w="967" w:type="dxa"/>
                  <w:vAlign w:val="center"/>
                </w:tcPr>
                <w:p w14:paraId="3485038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c>
                <w:tcPr>
                  <w:tcW w:w="1750" w:type="dxa"/>
                  <w:vAlign w:val="center"/>
                </w:tcPr>
                <w:p w14:paraId="49F7E302">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r>
            <w:tr w14:paraId="4531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06EF6B1B">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505" w:type="dxa"/>
                  <w:vAlign w:val="center"/>
                </w:tcPr>
                <w:p w14:paraId="580105E7">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主机                                </w:t>
                  </w:r>
                </w:p>
              </w:tc>
              <w:tc>
                <w:tcPr>
                  <w:tcW w:w="967" w:type="dxa"/>
                </w:tcPr>
                <w:p w14:paraId="43E8629D">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56B27245">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0D5B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37FE9A11">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505" w:type="dxa"/>
                  <w:vAlign w:val="center"/>
                </w:tcPr>
                <w:p w14:paraId="2D6B0267">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超声流量传感器                      </w:t>
                  </w:r>
                </w:p>
              </w:tc>
              <w:tc>
                <w:tcPr>
                  <w:tcW w:w="967" w:type="dxa"/>
                </w:tcPr>
                <w:p w14:paraId="2557C049">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3</w:t>
                  </w:r>
                </w:p>
              </w:tc>
              <w:tc>
                <w:tcPr>
                  <w:tcW w:w="1750" w:type="dxa"/>
                  <w:vAlign w:val="center"/>
                </w:tcPr>
                <w:p w14:paraId="43C72769">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2B3D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21FB36AD">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505" w:type="dxa"/>
                  <w:vAlign w:val="center"/>
                </w:tcPr>
                <w:p w14:paraId="23FB8E4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体描箱                              </w:t>
                  </w:r>
                </w:p>
              </w:tc>
              <w:tc>
                <w:tcPr>
                  <w:tcW w:w="967" w:type="dxa"/>
                </w:tcPr>
                <w:p w14:paraId="33B9FF35">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5F6ABE17">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0C98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6EE586C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3505" w:type="dxa"/>
                  <w:vAlign w:val="center"/>
                </w:tcPr>
                <w:p w14:paraId="29AE0EF5">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振荡模块                            </w:t>
                  </w:r>
                </w:p>
              </w:tc>
              <w:tc>
                <w:tcPr>
                  <w:tcW w:w="967" w:type="dxa"/>
                </w:tcPr>
                <w:p w14:paraId="18620C82">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1BC91300">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61B6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0BB18EBE">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3505" w:type="dxa"/>
                  <w:vAlign w:val="center"/>
                </w:tcPr>
                <w:p w14:paraId="76566928">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弥散残气模块                        </w:t>
                  </w:r>
                </w:p>
              </w:tc>
              <w:tc>
                <w:tcPr>
                  <w:tcW w:w="967" w:type="dxa"/>
                </w:tcPr>
                <w:p w14:paraId="17F6945C">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5E06D48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31F5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047275B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3505" w:type="dxa"/>
                  <w:vAlign w:val="center"/>
                </w:tcPr>
                <w:p w14:paraId="607907C4">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药物雾化模块                        </w:t>
                  </w:r>
                </w:p>
              </w:tc>
              <w:tc>
                <w:tcPr>
                  <w:tcW w:w="967" w:type="dxa"/>
                </w:tcPr>
                <w:p w14:paraId="1352DBB9">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75B3C717">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3647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3DC9C398">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w:t>
                  </w:r>
                </w:p>
              </w:tc>
              <w:tc>
                <w:tcPr>
                  <w:tcW w:w="3505" w:type="dxa"/>
                  <w:vAlign w:val="center"/>
                </w:tcPr>
                <w:p w14:paraId="7426023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婴幼儿潮气呼吸环分析模块</w:t>
                  </w:r>
                </w:p>
              </w:tc>
              <w:tc>
                <w:tcPr>
                  <w:tcW w:w="967" w:type="dxa"/>
                  <w:vAlign w:val="top"/>
                </w:tcPr>
                <w:p w14:paraId="01A40C78">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5D2C98B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5AA5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tcPr>
                <w:p w14:paraId="49BE8321">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8</w:t>
                  </w:r>
                </w:p>
              </w:tc>
              <w:tc>
                <w:tcPr>
                  <w:tcW w:w="3505" w:type="dxa"/>
                  <w:vAlign w:val="center"/>
                </w:tcPr>
                <w:p w14:paraId="2637FC9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定标筒                              </w:t>
                  </w:r>
                </w:p>
              </w:tc>
              <w:tc>
                <w:tcPr>
                  <w:tcW w:w="967" w:type="dxa"/>
                </w:tcPr>
                <w:p w14:paraId="02DD9B7D">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7673E65B">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141C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724CAA40">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9</w:t>
                  </w:r>
                </w:p>
              </w:tc>
              <w:tc>
                <w:tcPr>
                  <w:tcW w:w="3505" w:type="dxa"/>
                  <w:vAlign w:val="center"/>
                </w:tcPr>
                <w:p w14:paraId="2BD7AA63">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移动台车                            </w:t>
                  </w:r>
                </w:p>
              </w:tc>
              <w:tc>
                <w:tcPr>
                  <w:tcW w:w="967" w:type="dxa"/>
                </w:tcPr>
                <w:p w14:paraId="496B3903">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130A578E">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2A6A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40BC0B07">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3505" w:type="dxa"/>
                  <w:vAlign w:val="center"/>
                </w:tcPr>
                <w:p w14:paraId="18A64CD3">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液压支撑臂                          </w:t>
                  </w:r>
                </w:p>
              </w:tc>
              <w:tc>
                <w:tcPr>
                  <w:tcW w:w="967" w:type="dxa"/>
                </w:tcPr>
                <w:p w14:paraId="55C45B90">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3</w:t>
                  </w:r>
                </w:p>
              </w:tc>
              <w:tc>
                <w:tcPr>
                  <w:tcW w:w="1750" w:type="dxa"/>
                  <w:vAlign w:val="center"/>
                </w:tcPr>
                <w:p w14:paraId="47770CE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个</w:t>
                  </w:r>
                </w:p>
              </w:tc>
            </w:tr>
            <w:tr w14:paraId="6819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41C112D8">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p>
              </w:tc>
              <w:tc>
                <w:tcPr>
                  <w:tcW w:w="3505" w:type="dxa"/>
                  <w:vAlign w:val="center"/>
                </w:tcPr>
                <w:p w14:paraId="2E8FD9AB">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图文输出设备                        </w:t>
                  </w:r>
                </w:p>
              </w:tc>
              <w:tc>
                <w:tcPr>
                  <w:tcW w:w="967" w:type="dxa"/>
                </w:tcPr>
                <w:p w14:paraId="38F28C65">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499862AB">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台</w:t>
                  </w:r>
                </w:p>
              </w:tc>
            </w:tr>
            <w:tr w14:paraId="1A6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64A42001">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p>
              </w:tc>
              <w:tc>
                <w:tcPr>
                  <w:tcW w:w="3505" w:type="dxa"/>
                  <w:vAlign w:val="center"/>
                </w:tcPr>
                <w:p w14:paraId="6ECEA545">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 xml:space="preserve">图文工作站                         </w:t>
                  </w:r>
                </w:p>
              </w:tc>
              <w:tc>
                <w:tcPr>
                  <w:tcW w:w="967" w:type="dxa"/>
                </w:tcPr>
                <w:p w14:paraId="61A332AB">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1</w:t>
                  </w:r>
                </w:p>
              </w:tc>
              <w:tc>
                <w:tcPr>
                  <w:tcW w:w="1750" w:type="dxa"/>
                  <w:vAlign w:val="center"/>
                </w:tcPr>
                <w:p w14:paraId="66098C0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台</w:t>
                  </w:r>
                </w:p>
              </w:tc>
            </w:tr>
            <w:tr w14:paraId="422E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7F53EBA9">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13</w:t>
                  </w:r>
                </w:p>
              </w:tc>
              <w:tc>
                <w:tcPr>
                  <w:tcW w:w="3505" w:type="dxa"/>
                  <w:vAlign w:val="center"/>
                </w:tcPr>
                <w:p w14:paraId="4CDEAC60">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肺内气体分布模块</w:t>
                  </w:r>
                </w:p>
              </w:tc>
              <w:tc>
                <w:tcPr>
                  <w:tcW w:w="967" w:type="dxa"/>
                  <w:vAlign w:val="top"/>
                </w:tcPr>
                <w:p w14:paraId="2CE004E9">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72F25F6C">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4ACC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2F1DADC0">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14</w:t>
                  </w:r>
                </w:p>
              </w:tc>
              <w:tc>
                <w:tcPr>
                  <w:tcW w:w="3505" w:type="dxa"/>
                  <w:vAlign w:val="center"/>
                </w:tcPr>
                <w:p w14:paraId="0A3C7B6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运动气体代谢模块</w:t>
                  </w:r>
                </w:p>
              </w:tc>
              <w:tc>
                <w:tcPr>
                  <w:tcW w:w="967" w:type="dxa"/>
                  <w:vAlign w:val="top"/>
                </w:tcPr>
                <w:p w14:paraId="790999F0">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06B6D35E">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37CB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7275CABF">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15</w:t>
                  </w:r>
                </w:p>
              </w:tc>
              <w:tc>
                <w:tcPr>
                  <w:tcW w:w="3505" w:type="dxa"/>
                  <w:vAlign w:val="center"/>
                </w:tcPr>
                <w:p w14:paraId="18674E93">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营养代谢测试模块</w:t>
                  </w:r>
                </w:p>
              </w:tc>
              <w:tc>
                <w:tcPr>
                  <w:tcW w:w="967" w:type="dxa"/>
                  <w:vAlign w:val="top"/>
                </w:tcPr>
                <w:p w14:paraId="0171FF81">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1397853B">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600A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7D72B605">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6</w:t>
                  </w:r>
                </w:p>
              </w:tc>
              <w:tc>
                <w:tcPr>
                  <w:tcW w:w="3505" w:type="dxa"/>
                  <w:vAlign w:val="center"/>
                </w:tcPr>
                <w:p w14:paraId="56CD593C">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运动激发测试模块</w:t>
                  </w:r>
                </w:p>
              </w:tc>
              <w:tc>
                <w:tcPr>
                  <w:tcW w:w="967" w:type="dxa"/>
                </w:tcPr>
                <w:p w14:paraId="62816CF7">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199CF7EC">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4762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3A54B2C5">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7</w:t>
                  </w:r>
                </w:p>
              </w:tc>
              <w:tc>
                <w:tcPr>
                  <w:tcW w:w="3505" w:type="dxa"/>
                  <w:vAlign w:val="center"/>
                </w:tcPr>
                <w:p w14:paraId="0F8D0CB1">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12导心电图机</w:t>
                  </w:r>
                </w:p>
              </w:tc>
              <w:tc>
                <w:tcPr>
                  <w:tcW w:w="967" w:type="dxa"/>
                </w:tcPr>
                <w:p w14:paraId="1A26CE8A">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7371957C">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50FE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7FE153AE">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8</w:t>
                  </w:r>
                </w:p>
              </w:tc>
              <w:tc>
                <w:tcPr>
                  <w:tcW w:w="3505" w:type="dxa"/>
                  <w:vAlign w:val="center"/>
                </w:tcPr>
                <w:p w14:paraId="1EABA294">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血压计</w:t>
                  </w:r>
                </w:p>
              </w:tc>
              <w:tc>
                <w:tcPr>
                  <w:tcW w:w="967" w:type="dxa"/>
                </w:tcPr>
                <w:p w14:paraId="13E62E34">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2054D6EB">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3652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tcPr>
                <w:p w14:paraId="54E2599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9</w:t>
                  </w:r>
                </w:p>
              </w:tc>
              <w:tc>
                <w:tcPr>
                  <w:tcW w:w="3505" w:type="dxa"/>
                  <w:vAlign w:val="center"/>
                </w:tcPr>
                <w:p w14:paraId="6EE71E7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血氧仪</w:t>
                  </w:r>
                </w:p>
              </w:tc>
              <w:tc>
                <w:tcPr>
                  <w:tcW w:w="967" w:type="dxa"/>
                </w:tcPr>
                <w:p w14:paraId="13B735CC">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750" w:type="dxa"/>
                  <w:vAlign w:val="center"/>
                </w:tcPr>
                <w:p w14:paraId="3B8EF6E0">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个</w:t>
                  </w:r>
                </w:p>
              </w:tc>
            </w:tr>
            <w:tr w14:paraId="5F8F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9" w:type="dxa"/>
                  <w:shd w:val="clear" w:color="auto" w:fill="auto"/>
                  <w:vAlign w:val="top"/>
                </w:tcPr>
                <w:p w14:paraId="2330FBB8">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20</w:t>
                  </w:r>
                </w:p>
              </w:tc>
              <w:tc>
                <w:tcPr>
                  <w:tcW w:w="3505" w:type="dxa"/>
                  <w:shd w:val="clear" w:color="auto" w:fill="auto"/>
                  <w:vAlign w:val="center"/>
                </w:tcPr>
                <w:p w14:paraId="4B5818D0">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弥散测试气体</w:t>
                  </w:r>
                  <w:r>
                    <w:rPr>
                      <w:rFonts w:hint="eastAsia" w:ascii="宋体" w:hAnsi="宋体" w:eastAsia="宋体" w:cs="宋体"/>
                      <w:color w:val="auto"/>
                      <w:kern w:val="0"/>
                      <w:sz w:val="21"/>
                      <w:szCs w:val="21"/>
                      <w:lang w:bidi="ar"/>
                    </w:rPr>
                    <w:t xml:space="preserve">                               </w:t>
                  </w:r>
                </w:p>
              </w:tc>
              <w:tc>
                <w:tcPr>
                  <w:tcW w:w="967" w:type="dxa"/>
                  <w:shd w:val="clear" w:color="auto" w:fill="auto"/>
                  <w:vAlign w:val="top"/>
                </w:tcPr>
                <w:p w14:paraId="5F2E4023">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1750" w:type="dxa"/>
                  <w:shd w:val="clear" w:color="auto" w:fill="auto"/>
                  <w:vAlign w:val="center"/>
                </w:tcPr>
                <w:p w14:paraId="0B486396">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瓶</w:t>
                  </w:r>
                </w:p>
              </w:tc>
            </w:tr>
          </w:tbl>
          <w:p w14:paraId="6C8D6A83">
            <w:pPr>
              <w:keepNext w:val="0"/>
              <w:keepLines w:val="0"/>
              <w:pageBreakBefore w:val="0"/>
              <w:kinsoku/>
              <w:wordWrap/>
              <w:overflowPunct/>
              <w:topLinePunct w:val="0"/>
              <w:autoSpaceDE/>
              <w:autoSpaceDN/>
              <w:bidi w:val="0"/>
              <w:adjustRightInd/>
              <w:snapToGrid/>
              <w:spacing w:beforeAutospacing="0" w:afterAutospacing="0" w:line="360" w:lineRule="auto"/>
              <w:jc w:val="left"/>
              <w:rPr>
                <w:rFonts w:hint="eastAsia" w:ascii="宋体" w:hAnsi="宋体" w:eastAsia="宋体" w:cs="宋体"/>
                <w:color w:val="auto"/>
                <w:sz w:val="21"/>
                <w:szCs w:val="21"/>
              </w:rPr>
            </w:pPr>
          </w:p>
        </w:tc>
      </w:tr>
    </w:tbl>
    <w:p w14:paraId="34A53C8E">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lang w:val="en-US" w:eastAsia="zh-CN"/>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、商务需求</w:t>
      </w:r>
    </w:p>
    <w:p w14:paraId="39DDBA5B">
      <w:pPr>
        <w:keepNext w:val="0"/>
        <w:keepLines w:val="0"/>
        <w:pageBreakBefore w:val="0"/>
        <w:widowControl/>
        <w:kinsoku/>
        <w:wordWrap/>
        <w:overflowPunct/>
        <w:topLinePunct w:val="0"/>
        <w:autoSpaceDE/>
        <w:autoSpaceDN/>
        <w:bidi w:val="0"/>
        <w:adjustRightInd w:val="0"/>
        <w:snapToGrid w:val="0"/>
        <w:spacing w:line="360" w:lineRule="auto"/>
        <w:ind w:left="0" w:leftChars="0"/>
        <w:jc w:val="left"/>
        <w:textAlignment w:val="auto"/>
        <w:outlineLvl w:val="0"/>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一</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rPr>
        <w:t>报价要求</w:t>
      </w:r>
      <w:r>
        <w:rPr>
          <w:rFonts w:hint="eastAsia" w:ascii="宋体" w:hAnsi="宋体" w:eastAsia="宋体" w:cs="宋体"/>
          <w:b/>
          <w:bCs/>
          <w:kern w:val="0"/>
          <w:sz w:val="21"/>
          <w:szCs w:val="21"/>
          <w:lang w:eastAsia="zh-CN"/>
        </w:rPr>
        <w:t>：</w:t>
      </w:r>
    </w:p>
    <w:p w14:paraId="66000A25">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84DB05">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7077ABD7">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2E73B8D9">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4、投标人应充分了解项目的位置、情况、道路及任何其它足以影响投标报价的情况，任何因忽视或误解项目情况而导致的索赔或服务期限延长申请将不获批准。</w:t>
      </w:r>
    </w:p>
    <w:p w14:paraId="2016E54B">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2BEF325F">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6、投标人须考虑本项目在实施期间的一切可能产生的费用。在项目实施过程中，如项目工作范围发生变更，由中标人和采购人双方协商解决；其余情况下，投标总价均不予调整。</w:t>
      </w:r>
    </w:p>
    <w:p w14:paraId="302A1F44">
      <w:pPr>
        <w:keepNext w:val="0"/>
        <w:keepLines w:val="0"/>
        <w:pageBreakBefore w:val="0"/>
        <w:widowControl/>
        <w:kinsoku/>
        <w:wordWrap/>
        <w:overflowPunct/>
        <w:topLinePunct w:val="0"/>
        <w:autoSpaceDE/>
        <w:autoSpaceDN/>
        <w:bidi w:val="0"/>
        <w:adjustRightInd w:val="0"/>
        <w:snapToGrid w:val="0"/>
        <w:spacing w:line="360" w:lineRule="auto"/>
        <w:ind w:left="0" w:leftChars="0"/>
        <w:jc w:val="left"/>
        <w:textAlignment w:val="auto"/>
        <w:outlineLvl w:val="0"/>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二</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rPr>
        <w:t>招标商务需求</w:t>
      </w:r>
      <w:r>
        <w:rPr>
          <w:rFonts w:hint="eastAsia" w:ascii="宋体" w:hAnsi="宋体" w:eastAsia="宋体" w:cs="宋体"/>
          <w:b/>
          <w:bCs/>
          <w:kern w:val="0"/>
          <w:sz w:val="21"/>
          <w:szCs w:val="21"/>
          <w:lang w:eastAsia="zh-CN"/>
        </w:rPr>
        <w:t>：</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562"/>
        <w:gridCol w:w="5758"/>
      </w:tblGrid>
      <w:tr w14:paraId="7EDB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pct"/>
            <w:vAlign w:val="center"/>
          </w:tcPr>
          <w:p w14:paraId="56E7D9AB">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917" w:type="pct"/>
            <w:vAlign w:val="center"/>
          </w:tcPr>
          <w:p w14:paraId="245E8B8B">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目录</w:t>
            </w:r>
          </w:p>
        </w:tc>
        <w:tc>
          <w:tcPr>
            <w:tcW w:w="3378" w:type="pct"/>
            <w:vAlign w:val="center"/>
          </w:tcPr>
          <w:p w14:paraId="4293FC7E">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招标商务需求</w:t>
            </w:r>
          </w:p>
        </w:tc>
      </w:tr>
      <w:tr w14:paraId="55EC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17E85102">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（一）免费保修期内售后服务要求</w:t>
            </w:r>
          </w:p>
        </w:tc>
      </w:tr>
      <w:tr w14:paraId="192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29A68A69">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917" w:type="pct"/>
          </w:tcPr>
          <w:p w14:paraId="6EC44E47">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维修响应及故障解决时间</w:t>
            </w:r>
          </w:p>
        </w:tc>
        <w:tc>
          <w:tcPr>
            <w:tcW w:w="3378" w:type="pct"/>
          </w:tcPr>
          <w:p w14:paraId="72227FB3">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由设备制造商或制造商授权认可的代理商提供售后服务，</w:t>
            </w:r>
            <w:r>
              <w:rPr>
                <w:rFonts w:hint="eastAsia" w:ascii="宋体" w:hAnsi="宋体" w:eastAsia="宋体" w:cs="宋体"/>
                <w:bCs/>
                <w:color w:val="auto"/>
                <w:sz w:val="21"/>
                <w:szCs w:val="21"/>
              </w:rPr>
              <w:t>在保修期内，一旦发生质量问题，投标人保证在接到通知</w:t>
            </w:r>
            <w:r>
              <w:rPr>
                <w:rFonts w:hint="eastAsia" w:ascii="宋体" w:hAnsi="宋体" w:eastAsia="宋体" w:cs="宋体"/>
                <w:color w:val="auto"/>
                <w:sz w:val="21"/>
                <w:szCs w:val="21"/>
              </w:rPr>
              <w:t>2 小时内响应， 24 小时维修到位（不可抗力情况除外）。消耗品和零配件供应及时。</w:t>
            </w:r>
          </w:p>
        </w:tc>
      </w:tr>
      <w:tr w14:paraId="1993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277FE24B">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917" w:type="pct"/>
          </w:tcPr>
          <w:p w14:paraId="62619A39">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关于保修期</w:t>
            </w:r>
          </w:p>
        </w:tc>
        <w:tc>
          <w:tcPr>
            <w:tcW w:w="3378" w:type="pct"/>
          </w:tcPr>
          <w:p w14:paraId="0F9F179B">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货物免费保修期</w:t>
            </w:r>
            <w:r>
              <w:rPr>
                <w:rFonts w:hint="eastAsia" w:ascii="宋体" w:hAnsi="宋体" w:eastAsia="宋体" w:cs="宋体"/>
                <w:bCs/>
                <w:color w:val="auto"/>
                <w:sz w:val="21"/>
                <w:szCs w:val="21"/>
                <w:u w:val="single"/>
              </w:rPr>
              <w:t xml:space="preserve">  5  </w:t>
            </w:r>
            <w:r>
              <w:rPr>
                <w:rFonts w:hint="eastAsia" w:ascii="宋体" w:hAnsi="宋体" w:eastAsia="宋体" w:cs="宋体"/>
                <w:bCs/>
                <w:color w:val="auto"/>
                <w:sz w:val="21"/>
                <w:szCs w:val="21"/>
              </w:rPr>
              <w:t>年，时间自最终验收合格并交付使用之日起计算。</w:t>
            </w:r>
          </w:p>
        </w:tc>
      </w:tr>
      <w:tr w14:paraId="1DC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2D4CA870">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p>
        </w:tc>
        <w:tc>
          <w:tcPr>
            <w:tcW w:w="917" w:type="pct"/>
          </w:tcPr>
          <w:p w14:paraId="03FD1337">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关于保修期内服务</w:t>
            </w:r>
          </w:p>
        </w:tc>
        <w:tc>
          <w:tcPr>
            <w:tcW w:w="3378" w:type="pct"/>
          </w:tcPr>
          <w:p w14:paraId="6C5CDE9F">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保修期内,年度定期预防性维护保养次数应不少于 4 次。保修期内免费更换零配件、免工时费。</w:t>
            </w:r>
          </w:p>
        </w:tc>
      </w:tr>
      <w:tr w14:paraId="218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1482B9A3">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p>
        </w:tc>
        <w:tc>
          <w:tcPr>
            <w:tcW w:w="917" w:type="pct"/>
          </w:tcPr>
          <w:p w14:paraId="5D263E7A">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关于维修配件及软件升级</w:t>
            </w:r>
          </w:p>
        </w:tc>
        <w:tc>
          <w:tcPr>
            <w:tcW w:w="3378" w:type="pct"/>
          </w:tcPr>
          <w:p w14:paraId="1AE02000">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投标人负责货物的终身维修，保证 8 年以上供应维修配件， 5 年内免费提供软件升级服务。</w:t>
            </w:r>
            <w:r>
              <w:rPr>
                <w:rFonts w:hint="eastAsia" w:ascii="宋体" w:hAnsi="宋体" w:eastAsia="宋体" w:cs="宋体"/>
                <w:b/>
                <w:bCs/>
                <w:color w:val="auto"/>
                <w:sz w:val="21"/>
                <w:szCs w:val="21"/>
              </w:rPr>
              <w:t>系统应负责调试接入医院His系统。</w:t>
            </w:r>
          </w:p>
        </w:tc>
      </w:tr>
      <w:tr w14:paraId="757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209D78F3">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w:t>
            </w:r>
          </w:p>
        </w:tc>
        <w:tc>
          <w:tcPr>
            <w:tcW w:w="917" w:type="pct"/>
          </w:tcPr>
          <w:p w14:paraId="4D9D99A9">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关于设备设计使用年限</w:t>
            </w:r>
          </w:p>
        </w:tc>
        <w:tc>
          <w:tcPr>
            <w:tcW w:w="3378" w:type="pct"/>
          </w:tcPr>
          <w:p w14:paraId="34FF686F">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★投标人提供的医疗器械（肺功能测试仪），其设计使用年限≥6年。</w:t>
            </w:r>
            <w:r>
              <w:rPr>
                <w:rFonts w:hint="eastAsia" w:ascii="宋体" w:hAnsi="宋体" w:eastAsia="宋体" w:cs="宋体"/>
                <w:b/>
                <w:color w:val="auto"/>
                <w:sz w:val="21"/>
                <w:szCs w:val="21"/>
              </w:rPr>
              <w:t>【设计年限需提供设备说明书或设备铭牌照片】</w:t>
            </w:r>
          </w:p>
        </w:tc>
      </w:tr>
      <w:tr w14:paraId="314C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7F664A37">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w:t>
            </w:r>
          </w:p>
        </w:tc>
        <w:tc>
          <w:tcPr>
            <w:tcW w:w="917" w:type="pct"/>
          </w:tcPr>
          <w:p w14:paraId="47561368">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关于设备生产日期</w:t>
            </w:r>
          </w:p>
        </w:tc>
        <w:tc>
          <w:tcPr>
            <w:tcW w:w="3378" w:type="pct"/>
          </w:tcPr>
          <w:p w14:paraId="77DFAC17">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投标人提供的仪器设备的生产日期必须在1年内生产，</w:t>
            </w:r>
            <w:r>
              <w:rPr>
                <w:rFonts w:hint="eastAsia" w:ascii="宋体" w:hAnsi="宋体" w:eastAsia="宋体" w:cs="宋体"/>
                <w:bCs/>
                <w:color w:val="auto"/>
                <w:sz w:val="21"/>
                <w:szCs w:val="21"/>
              </w:rPr>
              <w:t>时间自设备到货日期起算</w:t>
            </w:r>
            <w:r>
              <w:rPr>
                <w:rFonts w:hint="eastAsia" w:ascii="宋体" w:hAnsi="宋体" w:eastAsia="宋体" w:cs="宋体"/>
                <w:color w:val="auto"/>
                <w:sz w:val="21"/>
                <w:szCs w:val="21"/>
              </w:rPr>
              <w:t>【</w:t>
            </w:r>
            <w:r>
              <w:rPr>
                <w:rFonts w:hint="eastAsia" w:ascii="宋体" w:hAnsi="宋体" w:eastAsia="宋体" w:cs="宋体"/>
                <w:b/>
                <w:bCs/>
                <w:color w:val="auto"/>
                <w:sz w:val="21"/>
                <w:szCs w:val="21"/>
              </w:rPr>
              <w:t>生产日期需提供承诺书（格式自拟）</w:t>
            </w:r>
            <w:r>
              <w:rPr>
                <w:rFonts w:hint="eastAsia" w:ascii="宋体" w:hAnsi="宋体" w:eastAsia="宋体" w:cs="宋体"/>
                <w:color w:val="auto"/>
                <w:sz w:val="21"/>
                <w:szCs w:val="21"/>
              </w:rPr>
              <w:t>】</w:t>
            </w:r>
          </w:p>
        </w:tc>
      </w:tr>
      <w:tr w14:paraId="1F34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04" w:type="pct"/>
            <w:vAlign w:val="center"/>
          </w:tcPr>
          <w:p w14:paraId="0305792D">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w:t>
            </w:r>
          </w:p>
        </w:tc>
        <w:tc>
          <w:tcPr>
            <w:tcW w:w="917" w:type="pct"/>
          </w:tcPr>
          <w:p w14:paraId="20765B2D">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关于配套试剂及耗材</w:t>
            </w:r>
          </w:p>
        </w:tc>
        <w:tc>
          <w:tcPr>
            <w:tcW w:w="3378" w:type="pct"/>
          </w:tcPr>
          <w:p w14:paraId="7F735BC0">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★承诺可在深圳医用耗材阳光交易和监管平台上采购仪器配套封闭试剂及耗材，</w:t>
            </w:r>
            <w:r>
              <w:rPr>
                <w:rFonts w:hint="eastAsia" w:ascii="宋体" w:hAnsi="宋体" w:eastAsia="宋体" w:cs="宋体"/>
                <w:color w:val="auto"/>
                <w:sz w:val="21"/>
                <w:szCs w:val="21"/>
              </w:rPr>
              <w:t>阳光采购平台上注册为限价目录产品，</w:t>
            </w:r>
            <w:r>
              <w:rPr>
                <w:rFonts w:hint="eastAsia" w:ascii="宋体" w:hAnsi="宋体" w:eastAsia="宋体" w:cs="宋体"/>
                <w:bCs/>
                <w:color w:val="auto"/>
                <w:sz w:val="21"/>
                <w:szCs w:val="21"/>
              </w:rPr>
              <w:t>并承诺提供深圳市内最低供货价。</w:t>
            </w:r>
            <w:r>
              <w:rPr>
                <w:rFonts w:hint="eastAsia" w:ascii="宋体" w:hAnsi="宋体" w:eastAsia="宋体" w:cs="宋体"/>
                <w:b/>
                <w:color w:val="auto"/>
                <w:sz w:val="21"/>
                <w:szCs w:val="21"/>
              </w:rPr>
              <w:t>初始配套耗材试剂（一次性呼吸过滤器）应免费与系统同步到位。</w:t>
            </w:r>
            <w:r>
              <w:rPr>
                <w:rFonts w:hint="eastAsia" w:ascii="宋体" w:hAnsi="宋体" w:eastAsia="宋体" w:cs="宋体"/>
                <w:color w:val="auto"/>
                <w:sz w:val="21"/>
                <w:szCs w:val="21"/>
              </w:rPr>
              <w:t>【</w:t>
            </w:r>
            <w:r>
              <w:rPr>
                <w:rFonts w:hint="eastAsia" w:ascii="宋体" w:hAnsi="宋体" w:eastAsia="宋体" w:cs="宋体"/>
                <w:b/>
                <w:color w:val="auto"/>
                <w:sz w:val="21"/>
                <w:szCs w:val="21"/>
              </w:rPr>
              <w:t>提供承诺函，</w:t>
            </w:r>
            <w:r>
              <w:rPr>
                <w:rFonts w:hint="eastAsia" w:ascii="宋体" w:hAnsi="宋体" w:eastAsia="宋体" w:cs="宋体"/>
                <w:b/>
                <w:bCs/>
                <w:color w:val="auto"/>
                <w:sz w:val="21"/>
                <w:szCs w:val="21"/>
              </w:rPr>
              <w:t>（格式自拟）</w:t>
            </w:r>
            <w:r>
              <w:rPr>
                <w:rFonts w:hint="eastAsia" w:ascii="宋体" w:hAnsi="宋体" w:eastAsia="宋体" w:cs="宋体"/>
                <w:color w:val="auto"/>
                <w:sz w:val="21"/>
                <w:szCs w:val="21"/>
              </w:rPr>
              <w:t>】</w:t>
            </w:r>
            <w:r>
              <w:rPr>
                <w:rFonts w:hint="eastAsia" w:ascii="宋体" w:hAnsi="宋体" w:eastAsia="宋体" w:cs="宋体"/>
                <w:b/>
                <w:color w:val="auto"/>
                <w:sz w:val="21"/>
                <w:szCs w:val="21"/>
              </w:rPr>
              <w:t>。</w:t>
            </w:r>
          </w:p>
        </w:tc>
      </w:tr>
      <w:tr w14:paraId="0B3A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6CE10008">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w:t>
            </w:r>
          </w:p>
        </w:tc>
        <w:tc>
          <w:tcPr>
            <w:tcW w:w="917" w:type="pct"/>
          </w:tcPr>
          <w:p w14:paraId="7066CD82">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w:t>
            </w:r>
            <w:r>
              <w:rPr>
                <w:rFonts w:hint="eastAsia" w:ascii="宋体" w:hAnsi="宋体" w:eastAsia="宋体" w:cs="宋体"/>
                <w:bCs/>
                <w:color w:val="auto"/>
                <w:sz w:val="21"/>
                <w:szCs w:val="21"/>
              </w:rPr>
              <w:t>零配件、消耗品和延续保修</w:t>
            </w:r>
          </w:p>
        </w:tc>
        <w:tc>
          <w:tcPr>
            <w:tcW w:w="3378" w:type="pct"/>
          </w:tcPr>
          <w:p w14:paraId="230CF6EB">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bCs/>
                <w:color w:val="auto"/>
                <w:sz w:val="21"/>
                <w:szCs w:val="21"/>
              </w:rPr>
            </w:pPr>
            <w:r>
              <w:rPr>
                <w:rFonts w:hint="eastAsia" w:ascii="宋体" w:hAnsi="宋体" w:eastAsia="宋体" w:cs="宋体"/>
                <w:bCs/>
                <w:color w:val="auto"/>
                <w:sz w:val="21"/>
                <w:szCs w:val="21"/>
              </w:rPr>
              <w:t>投标人应提供维修零配件、消耗品和延续保修的报价单。价格最高的前</w:t>
            </w:r>
            <w:r>
              <w:rPr>
                <w:rFonts w:hint="eastAsia" w:ascii="宋体" w:hAnsi="宋体" w:eastAsia="宋体" w:cs="宋体"/>
                <w:bCs/>
                <w:color w:val="auto"/>
                <w:sz w:val="21"/>
                <w:szCs w:val="21"/>
                <w:u w:val="single"/>
              </w:rPr>
              <w:t xml:space="preserve"> 5</w:t>
            </w:r>
            <w:r>
              <w:rPr>
                <w:rFonts w:hint="eastAsia" w:ascii="宋体" w:hAnsi="宋体" w:eastAsia="宋体" w:cs="宋体"/>
                <w:bCs/>
                <w:color w:val="auto"/>
                <w:sz w:val="21"/>
                <w:szCs w:val="21"/>
              </w:rPr>
              <w:t>项零配件、消耗品和延续保修的报价明细必须填写于《零配件、消耗品和延续保修报价明细清单》中（清单格式自拟）。</w:t>
            </w:r>
          </w:p>
        </w:tc>
      </w:tr>
      <w:tr w14:paraId="52D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4" w:type="pct"/>
            <w:vAlign w:val="center"/>
          </w:tcPr>
          <w:p w14:paraId="0DA024DF">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w:t>
            </w:r>
          </w:p>
        </w:tc>
        <w:tc>
          <w:tcPr>
            <w:tcW w:w="917" w:type="pct"/>
          </w:tcPr>
          <w:p w14:paraId="65261C5F">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关于设备开机率</w:t>
            </w:r>
          </w:p>
        </w:tc>
        <w:tc>
          <w:tcPr>
            <w:tcW w:w="3378" w:type="pct"/>
          </w:tcPr>
          <w:p w14:paraId="2D953BD5">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在保修期内, 投标人应确保年开机率在95%（含）以上, 若不能达到此开机率，将作以下处理：</w:t>
            </w:r>
          </w:p>
          <w:p w14:paraId="441BF8A8">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A.年开机率在90（含）-95%（不含）之间按一赔</w:t>
            </w:r>
            <w:r>
              <w:rPr>
                <w:rFonts w:hint="eastAsia" w:ascii="宋体" w:hAnsi="宋体" w:eastAsia="宋体" w:cs="宋体"/>
                <w:bCs/>
                <w:color w:val="auto"/>
                <w:sz w:val="21"/>
                <w:szCs w:val="21"/>
                <w:u w:val="single"/>
              </w:rPr>
              <w:t xml:space="preserve"> 二 </w:t>
            </w:r>
            <w:r>
              <w:rPr>
                <w:rFonts w:hint="eastAsia" w:ascii="宋体" w:hAnsi="宋体" w:eastAsia="宋体" w:cs="宋体"/>
                <w:bCs/>
                <w:color w:val="auto"/>
                <w:sz w:val="21"/>
                <w:szCs w:val="21"/>
              </w:rPr>
              <w:t>延长保修期.</w:t>
            </w:r>
          </w:p>
          <w:p w14:paraId="0EA1A3EC">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B.年开机率在85（含）-90%（不含）之间按一赔</w:t>
            </w:r>
            <w:r>
              <w:rPr>
                <w:rFonts w:hint="eastAsia" w:ascii="宋体" w:hAnsi="宋体" w:eastAsia="宋体" w:cs="宋体"/>
                <w:bCs/>
                <w:color w:val="auto"/>
                <w:sz w:val="21"/>
                <w:szCs w:val="21"/>
                <w:u w:val="single"/>
              </w:rPr>
              <w:t xml:space="preserve"> 五 </w:t>
            </w:r>
            <w:r>
              <w:rPr>
                <w:rFonts w:hint="eastAsia" w:ascii="宋体" w:hAnsi="宋体" w:eastAsia="宋体" w:cs="宋体"/>
                <w:bCs/>
                <w:color w:val="auto"/>
                <w:sz w:val="21"/>
                <w:szCs w:val="21"/>
              </w:rPr>
              <w:t>延长保修期</w:t>
            </w:r>
          </w:p>
          <w:p w14:paraId="2223D81D">
            <w:pPr>
              <w:keepNext w:val="0"/>
              <w:keepLines w:val="0"/>
              <w:pageBreakBefore w:val="0"/>
              <w:kinsoku/>
              <w:wordWrap/>
              <w:overflowPunct/>
              <w:topLinePunct w:val="0"/>
              <w:autoSpaceDE/>
              <w:autoSpaceDN/>
              <w:bidi w:val="0"/>
              <w:spacing w:line="360" w:lineRule="auto"/>
              <w:ind w:left="315" w:leftChars="0" w:hanging="315" w:hangingChars="15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C.年开机率低于85%（不含），投标人须无条件更换新机，并重新计算保修期，以及赔偿用户的直接经济损失和间接经济损失。</w:t>
            </w:r>
          </w:p>
          <w:p w14:paraId="1159FCBC">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w:t>
            </w:r>
            <w:r>
              <w:rPr>
                <w:rFonts w:hint="eastAsia" w:ascii="宋体" w:hAnsi="宋体" w:eastAsia="宋体" w:cs="宋体"/>
                <w:bCs/>
                <w:color w:val="auto"/>
                <w:sz w:val="21"/>
                <w:szCs w:val="21"/>
              </w:rPr>
              <w:t>年开机率=（实际开机天数/</w:t>
            </w:r>
            <w:r>
              <w:rPr>
                <w:rFonts w:hint="eastAsia" w:ascii="宋体" w:hAnsi="宋体" w:eastAsia="宋体" w:cs="宋体"/>
                <w:color w:val="auto"/>
                <w:sz w:val="21"/>
                <w:szCs w:val="21"/>
              </w:rPr>
              <w:t>365天</w:t>
            </w:r>
            <w:r>
              <w:rPr>
                <w:rFonts w:hint="eastAsia" w:ascii="宋体" w:hAnsi="宋体" w:eastAsia="宋体" w:cs="宋体"/>
                <w:bCs/>
                <w:color w:val="auto"/>
                <w:sz w:val="21"/>
                <w:szCs w:val="21"/>
              </w:rPr>
              <w:t>*100%）</w:t>
            </w:r>
          </w:p>
        </w:tc>
      </w:tr>
      <w:tr w14:paraId="0D0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4" w:type="pct"/>
            <w:vAlign w:val="center"/>
          </w:tcPr>
          <w:p w14:paraId="36F51613">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10</w:t>
            </w:r>
          </w:p>
        </w:tc>
        <w:tc>
          <w:tcPr>
            <w:tcW w:w="917" w:type="pct"/>
            <w:vAlign w:val="center"/>
          </w:tcPr>
          <w:p w14:paraId="22905978">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其他</w:t>
            </w:r>
          </w:p>
        </w:tc>
        <w:tc>
          <w:tcPr>
            <w:tcW w:w="3378" w:type="pct"/>
            <w:vAlign w:val="center"/>
          </w:tcPr>
          <w:p w14:paraId="222A2E9B">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投标人应按其投标文件中的承诺，进行其他售后服务工作。</w:t>
            </w:r>
          </w:p>
        </w:tc>
      </w:tr>
      <w:tr w14:paraId="71C2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481B76E0">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（二）免费保修期外售后服务要求</w:t>
            </w:r>
          </w:p>
        </w:tc>
      </w:tr>
      <w:tr w14:paraId="6AB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Align w:val="center"/>
          </w:tcPr>
          <w:p w14:paraId="7E2A6170">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1</w:t>
            </w:r>
          </w:p>
        </w:tc>
        <w:tc>
          <w:tcPr>
            <w:tcW w:w="917" w:type="pct"/>
          </w:tcPr>
          <w:p w14:paraId="25042EEA">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免费保修期外售后服务要求</w:t>
            </w:r>
          </w:p>
        </w:tc>
        <w:tc>
          <w:tcPr>
            <w:tcW w:w="3378" w:type="pct"/>
          </w:tcPr>
          <w:p w14:paraId="2603B32A">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由设备制造商或制</w:t>
            </w:r>
            <w:bookmarkStart w:id="0" w:name="_GoBack"/>
            <w:bookmarkEnd w:id="0"/>
            <w:r>
              <w:rPr>
                <w:rFonts w:hint="eastAsia" w:ascii="宋体" w:hAnsi="宋体" w:eastAsia="宋体" w:cs="宋体"/>
                <w:color w:val="auto"/>
                <w:sz w:val="21"/>
                <w:szCs w:val="21"/>
              </w:rPr>
              <w:t>造商授权认可的代理商提供售后服务。</w:t>
            </w:r>
          </w:p>
        </w:tc>
      </w:tr>
      <w:tr w14:paraId="3A67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74080334">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（三）其他商务要求</w:t>
            </w:r>
          </w:p>
        </w:tc>
      </w:tr>
      <w:tr w14:paraId="63FD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pct"/>
            <w:vMerge w:val="restart"/>
            <w:vAlign w:val="center"/>
          </w:tcPr>
          <w:p w14:paraId="7E63519C">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917" w:type="pct"/>
            <w:vMerge w:val="restart"/>
            <w:vAlign w:val="center"/>
          </w:tcPr>
          <w:p w14:paraId="71BA5742">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关于交货</w:t>
            </w:r>
          </w:p>
        </w:tc>
        <w:tc>
          <w:tcPr>
            <w:tcW w:w="3378" w:type="pct"/>
          </w:tcPr>
          <w:p w14:paraId="34FF80C8">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t>★</w:t>
            </w:r>
            <w:r>
              <w:rPr>
                <w:rFonts w:hint="eastAsia" w:ascii="宋体" w:hAnsi="宋体" w:eastAsia="宋体" w:cs="宋体"/>
                <w:bCs/>
                <w:color w:val="auto"/>
                <w:sz w:val="21"/>
                <w:szCs w:val="21"/>
              </w:rPr>
              <w:t>1.1</w:t>
            </w:r>
            <w:r>
              <w:rPr>
                <w:rFonts w:hint="eastAsia" w:ascii="宋体" w:hAnsi="宋体" w:eastAsia="宋体" w:cs="宋体"/>
                <w:color w:val="auto"/>
                <w:sz w:val="21"/>
                <w:szCs w:val="21"/>
              </w:rPr>
              <w:t xml:space="preserve">签订合同后  </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 xml:space="preserve"> 天（日历日）内交货。</w:t>
            </w:r>
          </w:p>
        </w:tc>
      </w:tr>
      <w:tr w14:paraId="726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pct"/>
            <w:vMerge w:val="continue"/>
            <w:vAlign w:val="center"/>
          </w:tcPr>
          <w:p w14:paraId="3413EC21">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5FFFA18E">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24EB41A5">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1.2交货地点：</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负责将</w:t>
            </w:r>
            <w:r>
              <w:rPr>
                <w:rFonts w:hint="eastAsia" w:ascii="宋体" w:hAnsi="宋体" w:eastAsia="宋体" w:cs="宋体"/>
                <w:color w:val="auto"/>
                <w:sz w:val="21"/>
                <w:szCs w:val="21"/>
              </w:rPr>
              <w:t>货物</w:t>
            </w:r>
            <w:r>
              <w:rPr>
                <w:rFonts w:hint="eastAsia" w:ascii="宋体" w:hAnsi="宋体" w:eastAsia="宋体" w:cs="宋体"/>
                <w:bCs/>
                <w:color w:val="auto"/>
                <w:sz w:val="21"/>
                <w:szCs w:val="21"/>
              </w:rPr>
              <w:t>安全无损运抵采购人指定地点,并承担设备的包装、运输、保险、装卸、安装调试、培训及计量检测、增值税等费用</w:t>
            </w:r>
            <w:r>
              <w:rPr>
                <w:rFonts w:hint="eastAsia" w:ascii="宋体" w:hAnsi="宋体" w:eastAsia="宋体" w:cs="宋体"/>
                <w:color w:val="auto"/>
                <w:sz w:val="21"/>
                <w:szCs w:val="21"/>
              </w:rPr>
              <w:t>。</w:t>
            </w:r>
          </w:p>
        </w:tc>
      </w:tr>
      <w:tr w14:paraId="4A70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4" w:type="pct"/>
            <w:vMerge w:val="continue"/>
            <w:vAlign w:val="center"/>
          </w:tcPr>
          <w:p w14:paraId="37F96C3E">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2A693C88">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043ED0B5">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应提供货物的技术文件，包括但不限于设备配置清单、产品说明书、图纸、操作手册等，所有外文资料须提供中文译本。文件应随货物一并交付至采购人指定地点</w:t>
            </w:r>
            <w:r>
              <w:rPr>
                <w:rFonts w:hint="eastAsia" w:ascii="宋体" w:hAnsi="宋体" w:eastAsia="宋体" w:cs="宋体"/>
                <w:color w:val="auto"/>
                <w:sz w:val="21"/>
                <w:szCs w:val="21"/>
              </w:rPr>
              <w:t>。</w:t>
            </w:r>
          </w:p>
        </w:tc>
      </w:tr>
      <w:tr w14:paraId="2BCF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4" w:type="pct"/>
            <w:vMerge w:val="continue"/>
            <w:vAlign w:val="center"/>
          </w:tcPr>
          <w:p w14:paraId="24EF845E">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2C9D9442">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2832174A">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1.4</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提供的货物必须为全新、经检验合格的产品。产品如需要计量检定的中标后应</w:t>
            </w:r>
            <w:r>
              <w:rPr>
                <w:rFonts w:hint="eastAsia" w:ascii="宋体" w:hAnsi="宋体" w:eastAsia="宋体" w:cs="宋体"/>
                <w:color w:val="auto"/>
                <w:sz w:val="21"/>
                <w:szCs w:val="21"/>
              </w:rPr>
              <w:t>提供</w:t>
            </w:r>
            <w:r>
              <w:rPr>
                <w:rFonts w:hint="eastAsia" w:ascii="宋体" w:hAnsi="宋体" w:eastAsia="宋体" w:cs="宋体"/>
                <w:bCs/>
                <w:color w:val="auto"/>
                <w:sz w:val="21"/>
                <w:szCs w:val="21"/>
              </w:rPr>
              <w:t>相关计量检定部门出具的合法检定报告。</w:t>
            </w:r>
          </w:p>
        </w:tc>
      </w:tr>
      <w:tr w14:paraId="6A2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4" w:type="pct"/>
            <w:vMerge w:val="continue"/>
            <w:vAlign w:val="center"/>
          </w:tcPr>
          <w:p w14:paraId="053647AB">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731E2867">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6D3FAA37">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1.5采购人有权检验或测试货物，以确认货物是否符合合同规格的要求。如果发现所交货物与投标文件中所承诺的不符或存在质量、技术缺陷等,采购人可以拒绝接收该货物。</w:t>
            </w:r>
          </w:p>
        </w:tc>
      </w:tr>
      <w:tr w14:paraId="73AF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4" w:type="pct"/>
            <w:vMerge w:val="continue"/>
            <w:vAlign w:val="center"/>
          </w:tcPr>
          <w:p w14:paraId="2C4FEAA1">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0E8B493F">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383E7CB9">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1.6中标人负责货物的现场安装和调试,提供货物安装、调试和维修所需的专用工具和辅助材料。中标人应在货物运至指定地点后</w:t>
            </w:r>
            <w:r>
              <w:rPr>
                <w:rFonts w:hint="eastAsia" w:ascii="宋体" w:hAnsi="宋体" w:eastAsia="宋体" w:cs="宋体"/>
                <w:color w:val="auto"/>
                <w:sz w:val="21"/>
                <w:szCs w:val="21"/>
                <w:u w:val="single"/>
              </w:rPr>
              <w:t xml:space="preserve"> 5 </w:t>
            </w:r>
            <w:r>
              <w:rPr>
                <w:rFonts w:hint="eastAsia" w:ascii="宋体" w:hAnsi="宋体" w:eastAsia="宋体" w:cs="宋体"/>
                <w:color w:val="auto"/>
                <w:sz w:val="21"/>
                <w:szCs w:val="21"/>
              </w:rPr>
              <w:t>天内开始安装调试,并在</w:t>
            </w:r>
            <w:r>
              <w:rPr>
                <w:rFonts w:hint="eastAsia" w:ascii="宋体" w:hAnsi="宋体" w:eastAsia="宋体" w:cs="宋体"/>
                <w:bCs/>
                <w:color w:val="auto"/>
                <w:sz w:val="21"/>
                <w:szCs w:val="21"/>
                <w:u w:val="single"/>
              </w:rPr>
              <w:t xml:space="preserve"> 5 </w:t>
            </w:r>
            <w:r>
              <w:rPr>
                <w:rFonts w:hint="eastAsia" w:ascii="宋体" w:hAnsi="宋体" w:eastAsia="宋体" w:cs="宋体"/>
                <w:color w:val="auto"/>
                <w:sz w:val="21"/>
                <w:szCs w:val="21"/>
              </w:rPr>
              <w:t>天内安装调试完毕。</w:t>
            </w:r>
          </w:p>
        </w:tc>
      </w:tr>
      <w:tr w14:paraId="0578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Merge w:val="restart"/>
            <w:vAlign w:val="center"/>
          </w:tcPr>
          <w:p w14:paraId="40764C52">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917" w:type="pct"/>
            <w:vMerge w:val="restart"/>
            <w:vAlign w:val="center"/>
          </w:tcPr>
          <w:p w14:paraId="7692AFE1">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★关于验收</w:t>
            </w:r>
          </w:p>
        </w:tc>
        <w:tc>
          <w:tcPr>
            <w:tcW w:w="3378" w:type="pct"/>
          </w:tcPr>
          <w:p w14:paraId="1E918C66">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2.1</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货物经过双方检验认可后，签署验收报告，产品保修期自验收合格之日起算，由投标人提供产品保修文件。</w:t>
            </w:r>
          </w:p>
        </w:tc>
      </w:tr>
      <w:tr w14:paraId="556A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Merge w:val="continue"/>
            <w:vAlign w:val="center"/>
          </w:tcPr>
          <w:p w14:paraId="3168FB7D">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5D8352B9">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7B2B56F4">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2.2当满足以下条件时，采购人才向中标人签发货物验收报告：</w:t>
            </w:r>
          </w:p>
          <w:p w14:paraId="35D8B072">
            <w:pPr>
              <w:keepNext w:val="0"/>
              <w:keepLines w:val="0"/>
              <w:pageBreakBefore w:val="0"/>
              <w:tabs>
                <w:tab w:val="left" w:pos="1260"/>
              </w:tabs>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a、中标人已按照合同规定提供了全部产品及完整的技术资料。</w:t>
            </w:r>
          </w:p>
          <w:p w14:paraId="2992689B">
            <w:pPr>
              <w:keepNext w:val="0"/>
              <w:keepLines w:val="0"/>
              <w:pageBreakBefore w:val="0"/>
              <w:tabs>
                <w:tab w:val="left" w:pos="1260"/>
              </w:tabs>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b、货物符合招标文件技术规格书的要求，性能满足要求。</w:t>
            </w:r>
          </w:p>
        </w:tc>
      </w:tr>
      <w:tr w14:paraId="6C5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Merge w:val="continue"/>
            <w:vAlign w:val="center"/>
          </w:tcPr>
          <w:p w14:paraId="606FB313">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056B2DF0">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46744618">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2.3</w:t>
            </w:r>
            <w:r>
              <w:rPr>
                <w:rFonts w:hint="eastAsia" w:ascii="宋体" w:hAnsi="宋体" w:eastAsia="宋体" w:cs="宋体"/>
                <w:color w:val="auto"/>
                <w:sz w:val="21"/>
                <w:szCs w:val="21"/>
              </w:rPr>
              <w:t>由中标人代表和采购人组成验收小组对产品进行验收，必要时采购人有权邀请第三方机构及本单位以外专家参与验收，相关验收意见作为验收参考资料。验收标准按照国家规定标准执行。经检验设备正常运作后签署验收报告,产品保修期自验收合格之日起算。</w:t>
            </w:r>
          </w:p>
        </w:tc>
      </w:tr>
      <w:tr w14:paraId="7B62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Merge w:val="restart"/>
            <w:vAlign w:val="center"/>
          </w:tcPr>
          <w:p w14:paraId="2E37E4E5">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p>
        </w:tc>
        <w:tc>
          <w:tcPr>
            <w:tcW w:w="917" w:type="pct"/>
            <w:vMerge w:val="restart"/>
            <w:vAlign w:val="center"/>
          </w:tcPr>
          <w:p w14:paraId="3800A738">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★关于违约</w:t>
            </w:r>
          </w:p>
        </w:tc>
        <w:tc>
          <w:tcPr>
            <w:tcW w:w="3378" w:type="pct"/>
          </w:tcPr>
          <w:p w14:paraId="5DCFE608">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3.1中标</w:t>
            </w:r>
            <w:r>
              <w:rPr>
                <w:rFonts w:hint="eastAsia" w:ascii="宋体" w:hAnsi="宋体" w:eastAsia="宋体" w:cs="宋体"/>
                <w:color w:val="auto"/>
                <w:sz w:val="21"/>
                <w:szCs w:val="21"/>
              </w:rPr>
              <w:t>人</w:t>
            </w:r>
            <w:r>
              <w:rPr>
                <w:rFonts w:hint="eastAsia" w:ascii="宋体" w:hAnsi="宋体" w:eastAsia="宋体" w:cs="宋体"/>
                <w:bCs/>
                <w:color w:val="auto"/>
                <w:sz w:val="21"/>
                <w:szCs w:val="21"/>
              </w:rPr>
              <w:t>未按照投标文件中承诺的时间交货或提供服务，投标人</w:t>
            </w:r>
            <w:r>
              <w:rPr>
                <w:rFonts w:hint="eastAsia" w:ascii="宋体" w:hAnsi="宋体" w:eastAsia="宋体" w:cs="宋体"/>
                <w:color w:val="auto"/>
                <w:sz w:val="21"/>
                <w:szCs w:val="21"/>
              </w:rPr>
              <w:t>应承担</w:t>
            </w:r>
            <w:r>
              <w:rPr>
                <w:rFonts w:hint="eastAsia" w:ascii="宋体" w:hAnsi="宋体" w:eastAsia="宋体" w:cs="宋体"/>
                <w:bCs/>
                <w:color w:val="auto"/>
                <w:sz w:val="21"/>
                <w:szCs w:val="21"/>
              </w:rPr>
              <w:t>延期交货和延期服务的违约责任，并赔偿采购人因此造成的实际经济损失。实际经济损失超出履约保证金额，采购人有权终止合同。</w:t>
            </w:r>
          </w:p>
        </w:tc>
      </w:tr>
      <w:tr w14:paraId="33BE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Merge w:val="continue"/>
            <w:vAlign w:val="center"/>
          </w:tcPr>
          <w:p w14:paraId="67B1D1C1">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3039051C">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7F3EF085">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3.2</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所交设备的品种、型号、规格、质量、功能、技术参数等方面不能实质性满足招标文件要求的，采购人有权拒绝收货，</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向采购人偿付项目采购金额千分之</w:t>
            </w:r>
            <w:r>
              <w:rPr>
                <w:rFonts w:hint="eastAsia" w:ascii="宋体" w:hAnsi="宋体" w:eastAsia="宋体" w:cs="宋体"/>
                <w:bCs/>
                <w:color w:val="auto"/>
                <w:sz w:val="21"/>
                <w:szCs w:val="21"/>
                <w:u w:val="single"/>
              </w:rPr>
              <w:t xml:space="preserve"> 10 </w:t>
            </w:r>
            <w:r>
              <w:rPr>
                <w:rFonts w:hint="eastAsia" w:ascii="宋体" w:hAnsi="宋体" w:eastAsia="宋体" w:cs="宋体"/>
                <w:bCs/>
                <w:color w:val="auto"/>
                <w:sz w:val="21"/>
                <w:szCs w:val="21"/>
              </w:rPr>
              <w:t>的违约金；造成严重后果的，根据《深圳经济特区政府采购条例》第五十七条第（二）款规定，由主管部门对投标人进行处罚。</w:t>
            </w:r>
          </w:p>
        </w:tc>
      </w:tr>
      <w:tr w14:paraId="7187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Merge w:val="continue"/>
            <w:vAlign w:val="center"/>
          </w:tcPr>
          <w:p w14:paraId="325A9F7E">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3282B331">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2CDA81DF">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3.3</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不能交付设备的，投标人向采购人偿付项目采购金额百分之</w:t>
            </w:r>
            <w:r>
              <w:rPr>
                <w:rFonts w:hint="eastAsia" w:ascii="宋体" w:hAnsi="宋体" w:eastAsia="宋体" w:cs="宋体"/>
                <w:bCs/>
                <w:color w:val="auto"/>
                <w:sz w:val="21"/>
                <w:szCs w:val="21"/>
                <w:u w:val="single"/>
              </w:rPr>
              <w:t xml:space="preserve"> 5 </w:t>
            </w:r>
            <w:r>
              <w:rPr>
                <w:rFonts w:hint="eastAsia" w:ascii="宋体" w:hAnsi="宋体" w:eastAsia="宋体" w:cs="宋体"/>
                <w:bCs/>
                <w:color w:val="auto"/>
                <w:sz w:val="21"/>
                <w:szCs w:val="21"/>
              </w:rPr>
              <w:t>的违约金；造成严重后果的，根据《深圳经济特区政府采购条例》第五十七条第（二）款规定，由主管部门对投标人进行处罚。</w:t>
            </w:r>
          </w:p>
        </w:tc>
      </w:tr>
      <w:tr w14:paraId="2919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Merge w:val="continue"/>
            <w:vAlign w:val="center"/>
          </w:tcPr>
          <w:p w14:paraId="769EA5D7">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5618917D">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26AF3F22">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3.4</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逾期未交设备的，</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向采购人每日偿付设备款千分之</w:t>
            </w:r>
            <w:r>
              <w:rPr>
                <w:rFonts w:hint="eastAsia" w:ascii="宋体" w:hAnsi="宋体" w:eastAsia="宋体" w:cs="宋体"/>
                <w:bCs/>
                <w:color w:val="auto"/>
                <w:sz w:val="21"/>
                <w:szCs w:val="21"/>
                <w:u w:val="single"/>
              </w:rPr>
              <w:t xml:space="preserve"> 1</w:t>
            </w:r>
            <w:r>
              <w:rPr>
                <w:rFonts w:hint="eastAsia" w:ascii="宋体" w:hAnsi="宋体" w:eastAsia="宋体" w:cs="宋体"/>
                <w:bCs/>
                <w:color w:val="auto"/>
                <w:sz w:val="21"/>
                <w:szCs w:val="21"/>
              </w:rPr>
              <w:t>的违约金。中标人超过交货期限</w:t>
            </w:r>
            <w:r>
              <w:rPr>
                <w:rFonts w:hint="eastAsia" w:ascii="宋体" w:hAnsi="宋体" w:eastAsia="宋体" w:cs="宋体"/>
                <w:bCs/>
                <w:color w:val="auto"/>
                <w:sz w:val="21"/>
                <w:szCs w:val="21"/>
                <w:u w:val="single"/>
              </w:rPr>
              <w:t xml:space="preserve"> 10 </w:t>
            </w:r>
            <w:r>
              <w:rPr>
                <w:rFonts w:hint="eastAsia" w:ascii="宋体" w:hAnsi="宋体" w:eastAsia="宋体" w:cs="宋体"/>
                <w:bCs/>
                <w:color w:val="auto"/>
                <w:sz w:val="21"/>
                <w:szCs w:val="21"/>
              </w:rPr>
              <w:t>日仍未交货，采购人有权解除合同</w:t>
            </w:r>
          </w:p>
        </w:tc>
      </w:tr>
      <w:tr w14:paraId="3F62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04" w:type="pct"/>
            <w:vMerge w:val="continue"/>
            <w:vAlign w:val="center"/>
          </w:tcPr>
          <w:p w14:paraId="43449E08">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2E8793C5">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2C25DC90">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3.5中标人逾期交货的，将被没收履约保证金并按主管部门相关规定处理，违约金先从由投标人履约保证金中扣除，若有不足部分则由中标人补齐。</w:t>
            </w:r>
          </w:p>
        </w:tc>
      </w:tr>
      <w:tr w14:paraId="44D9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04" w:type="pct"/>
            <w:vMerge w:val="continue"/>
            <w:vAlign w:val="center"/>
          </w:tcPr>
          <w:p w14:paraId="40BBD79C">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917" w:type="pct"/>
            <w:vMerge w:val="continue"/>
            <w:vAlign w:val="center"/>
          </w:tcPr>
          <w:p w14:paraId="2F813878">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p>
        </w:tc>
        <w:tc>
          <w:tcPr>
            <w:tcW w:w="3378" w:type="pct"/>
          </w:tcPr>
          <w:p w14:paraId="6E6A2140">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3.6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488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Align w:val="center"/>
          </w:tcPr>
          <w:p w14:paraId="7FA69039">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w:t>
            </w:r>
          </w:p>
        </w:tc>
        <w:tc>
          <w:tcPr>
            <w:tcW w:w="917" w:type="pct"/>
            <w:vAlign w:val="center"/>
          </w:tcPr>
          <w:p w14:paraId="3FCA0324">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关于付款</w:t>
            </w:r>
          </w:p>
        </w:tc>
        <w:tc>
          <w:tcPr>
            <w:tcW w:w="3378" w:type="pct"/>
          </w:tcPr>
          <w:p w14:paraId="197379D2">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4.1全部合同货物到达交货地点，并安装调试且验收合格后，提交验收资料，采购人在收到验收资料和发票后向中标人支付合同总价的 </w:t>
            </w:r>
            <w:r>
              <w:rPr>
                <w:rFonts w:hint="eastAsia" w:ascii="宋体" w:hAnsi="宋体" w:eastAsia="宋体" w:cs="宋体"/>
                <w:bCs/>
                <w:color w:val="auto"/>
                <w:sz w:val="21"/>
                <w:szCs w:val="21"/>
                <w:u w:val="single"/>
              </w:rPr>
              <w:t xml:space="preserve"> 100 </w:t>
            </w:r>
            <w:r>
              <w:rPr>
                <w:rFonts w:hint="eastAsia" w:ascii="宋体" w:hAnsi="宋体" w:eastAsia="宋体" w:cs="宋体"/>
                <w:bCs/>
                <w:color w:val="auto"/>
                <w:sz w:val="21"/>
                <w:szCs w:val="21"/>
              </w:rPr>
              <w:t xml:space="preserve">  %。</w:t>
            </w:r>
          </w:p>
          <w:p w14:paraId="20391068">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4.2每次</w:t>
            </w:r>
            <w:r>
              <w:rPr>
                <w:rFonts w:hint="eastAsia" w:ascii="宋体" w:hAnsi="宋体" w:eastAsia="宋体" w:cs="宋体"/>
                <w:bCs/>
                <w:color w:val="auto"/>
                <w:sz w:val="21"/>
                <w:szCs w:val="21"/>
                <w:lang w:eastAsia="zh-TW"/>
              </w:rPr>
              <w:t>按合同支付款项前，</w:t>
            </w:r>
            <w:r>
              <w:rPr>
                <w:rFonts w:hint="eastAsia" w:ascii="宋体" w:hAnsi="宋体" w:eastAsia="宋体" w:cs="宋体"/>
                <w:bCs/>
                <w:color w:val="auto"/>
                <w:sz w:val="21"/>
                <w:szCs w:val="21"/>
              </w:rPr>
              <w:t>中标人应</w:t>
            </w:r>
            <w:r>
              <w:rPr>
                <w:rFonts w:hint="eastAsia" w:ascii="宋体" w:hAnsi="宋体" w:eastAsia="宋体" w:cs="宋体"/>
                <w:bCs/>
                <w:color w:val="auto"/>
                <w:sz w:val="21"/>
                <w:szCs w:val="21"/>
                <w:lang w:eastAsia="zh-TW"/>
              </w:rPr>
              <w:t>向采购人提供与支付金额相符的有效发票，且收款方、出具发票方、合同乙方均必须与</w:t>
            </w:r>
            <w:r>
              <w:rPr>
                <w:rFonts w:hint="eastAsia" w:ascii="宋体" w:hAnsi="宋体" w:eastAsia="宋体" w:cs="宋体"/>
                <w:bCs/>
                <w:color w:val="auto"/>
                <w:sz w:val="21"/>
                <w:szCs w:val="21"/>
              </w:rPr>
              <w:t>中标人</w:t>
            </w:r>
            <w:r>
              <w:rPr>
                <w:rFonts w:hint="eastAsia" w:ascii="宋体" w:hAnsi="宋体" w:eastAsia="宋体" w:cs="宋体"/>
                <w:bCs/>
                <w:color w:val="auto"/>
                <w:sz w:val="21"/>
                <w:szCs w:val="21"/>
                <w:lang w:eastAsia="zh-TW"/>
              </w:rPr>
              <w:t>名称一致；</w:t>
            </w:r>
          </w:p>
          <w:p w14:paraId="0E877BC1">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4.3违约责任：</w:t>
            </w:r>
            <w:r>
              <w:rPr>
                <w:rFonts w:hint="eastAsia" w:ascii="宋体" w:hAnsi="宋体" w:eastAsia="宋体" w:cs="宋体"/>
                <w:bCs/>
                <w:color w:val="auto"/>
                <w:sz w:val="21"/>
                <w:szCs w:val="21"/>
                <w:lang w:eastAsia="zh-TW"/>
              </w:rPr>
              <w:t>采购人逾期</w:t>
            </w:r>
            <w:r>
              <w:rPr>
                <w:rFonts w:hint="eastAsia" w:ascii="宋体" w:hAnsi="宋体" w:eastAsia="宋体" w:cs="宋体"/>
                <w:bCs/>
                <w:color w:val="auto"/>
                <w:sz w:val="21"/>
                <w:szCs w:val="21"/>
              </w:rPr>
              <w:t>支付合同款项</w:t>
            </w:r>
            <w:r>
              <w:rPr>
                <w:rFonts w:hint="eastAsia" w:ascii="宋体" w:hAnsi="宋体" w:eastAsia="宋体" w:cs="宋体"/>
                <w:bCs/>
                <w:color w:val="auto"/>
                <w:sz w:val="21"/>
                <w:szCs w:val="21"/>
                <w:lang w:eastAsia="zh-TW"/>
              </w:rPr>
              <w:t>的，除应当</w:t>
            </w:r>
            <w:r>
              <w:rPr>
                <w:rFonts w:hint="eastAsia" w:ascii="宋体" w:hAnsi="宋体" w:eastAsia="宋体" w:cs="宋体"/>
                <w:bCs/>
                <w:color w:val="auto"/>
                <w:sz w:val="21"/>
                <w:szCs w:val="21"/>
              </w:rPr>
              <w:t>支付合同款项</w:t>
            </w:r>
            <w:r>
              <w:rPr>
                <w:rFonts w:hint="eastAsia" w:ascii="宋体" w:hAnsi="宋体" w:eastAsia="宋体" w:cs="宋体"/>
                <w:bCs/>
                <w:color w:val="auto"/>
                <w:sz w:val="21"/>
                <w:szCs w:val="21"/>
                <w:lang w:eastAsia="zh-TW"/>
              </w:rPr>
              <w:t>外，还应当每日按合同总价的</w:t>
            </w:r>
            <w:r>
              <w:rPr>
                <w:rFonts w:hint="eastAsia" w:ascii="宋体" w:hAnsi="宋体" w:eastAsia="宋体" w:cs="宋体"/>
                <w:bCs/>
                <w:color w:val="auto"/>
                <w:sz w:val="21"/>
                <w:szCs w:val="21"/>
              </w:rPr>
              <w:t>1</w:t>
            </w:r>
            <w:r>
              <w:rPr>
                <w:rFonts w:hint="eastAsia" w:ascii="宋体" w:hAnsi="宋体" w:eastAsia="宋体" w:cs="宋体"/>
                <w:bCs/>
                <w:color w:val="auto"/>
                <w:sz w:val="21"/>
                <w:szCs w:val="21"/>
                <w:lang w:eastAsia="zh-TW"/>
              </w:rPr>
              <w:t>‰向</w:t>
            </w:r>
            <w:r>
              <w:rPr>
                <w:rFonts w:hint="eastAsia" w:ascii="宋体" w:hAnsi="宋体" w:eastAsia="宋体" w:cs="宋体"/>
                <w:bCs/>
                <w:color w:val="auto"/>
                <w:sz w:val="21"/>
                <w:szCs w:val="21"/>
              </w:rPr>
              <w:t>中标人</w:t>
            </w:r>
            <w:r>
              <w:rPr>
                <w:rFonts w:hint="eastAsia" w:ascii="宋体" w:hAnsi="宋体" w:eastAsia="宋体" w:cs="宋体"/>
                <w:bCs/>
                <w:color w:val="auto"/>
                <w:sz w:val="21"/>
                <w:szCs w:val="21"/>
                <w:lang w:eastAsia="zh-TW"/>
              </w:rPr>
              <w:t>偿付违约金，但因</w:t>
            </w:r>
            <w:r>
              <w:rPr>
                <w:rFonts w:hint="eastAsia" w:ascii="宋体" w:hAnsi="宋体" w:eastAsia="宋体" w:cs="宋体"/>
                <w:bCs/>
                <w:color w:val="auto"/>
                <w:sz w:val="21"/>
                <w:szCs w:val="21"/>
              </w:rPr>
              <w:t>中标人</w:t>
            </w:r>
            <w:r>
              <w:rPr>
                <w:rFonts w:hint="eastAsia" w:ascii="宋体" w:hAnsi="宋体" w:eastAsia="宋体" w:cs="宋体"/>
                <w:bCs/>
                <w:color w:val="auto"/>
                <w:sz w:val="21"/>
                <w:szCs w:val="21"/>
                <w:lang w:eastAsia="zh-TW"/>
              </w:rPr>
              <w:t>自身原因导致无法及时</w:t>
            </w:r>
            <w:r>
              <w:rPr>
                <w:rFonts w:hint="eastAsia" w:ascii="宋体" w:hAnsi="宋体" w:eastAsia="宋体" w:cs="宋体"/>
                <w:bCs/>
                <w:color w:val="auto"/>
                <w:sz w:val="21"/>
                <w:szCs w:val="21"/>
              </w:rPr>
              <w:t>支付</w:t>
            </w:r>
            <w:r>
              <w:rPr>
                <w:rFonts w:hint="eastAsia" w:ascii="宋体" w:hAnsi="宋体" w:eastAsia="宋体" w:cs="宋体"/>
                <w:bCs/>
                <w:color w:val="auto"/>
                <w:sz w:val="21"/>
                <w:szCs w:val="21"/>
                <w:lang w:eastAsia="zh-TW"/>
              </w:rPr>
              <w:t>的除外</w:t>
            </w:r>
            <w:r>
              <w:rPr>
                <w:rFonts w:hint="eastAsia" w:ascii="宋体" w:hAnsi="宋体" w:eastAsia="宋体" w:cs="宋体"/>
                <w:bCs/>
                <w:color w:val="auto"/>
                <w:sz w:val="21"/>
                <w:szCs w:val="21"/>
              </w:rPr>
              <w:t>。</w:t>
            </w:r>
          </w:p>
          <w:p w14:paraId="008E936F">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4.4涉及政府投资项目待资金下达后进行支付。</w:t>
            </w:r>
          </w:p>
        </w:tc>
      </w:tr>
      <w:tr w14:paraId="0281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Align w:val="center"/>
          </w:tcPr>
          <w:p w14:paraId="2FE3B20B">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w:t>
            </w:r>
          </w:p>
        </w:tc>
        <w:tc>
          <w:tcPr>
            <w:tcW w:w="917" w:type="pct"/>
            <w:vAlign w:val="center"/>
          </w:tcPr>
          <w:p w14:paraId="781EC5DB">
            <w:pPr>
              <w:keepNext w:val="0"/>
              <w:keepLines w:val="0"/>
              <w:pageBreakBefore w:val="0"/>
              <w:tabs>
                <w:tab w:val="left" w:pos="540"/>
              </w:tabs>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知识产权合规承诺</w:t>
            </w:r>
          </w:p>
        </w:tc>
        <w:tc>
          <w:tcPr>
            <w:tcW w:w="3378" w:type="pct"/>
          </w:tcPr>
          <w:p w14:paraId="50DDD17F">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5.1</w:t>
            </w:r>
            <w:r>
              <w:rPr>
                <w:rFonts w:hint="eastAsia" w:ascii="宋体" w:hAnsi="宋体" w:eastAsia="宋体" w:cs="宋体"/>
                <w:bCs/>
                <w:color w:val="auto"/>
                <w:sz w:val="21"/>
                <w:szCs w:val="21"/>
              </w:rPr>
              <w:t>投标人</w:t>
            </w:r>
            <w:r>
              <w:rPr>
                <w:rFonts w:hint="eastAsia" w:ascii="宋体" w:hAnsi="宋体" w:eastAsia="宋体" w:cs="宋体"/>
                <w:color w:val="auto"/>
                <w:kern w:val="0"/>
                <w:sz w:val="21"/>
                <w:szCs w:val="21"/>
                <w:lang w:bidi="ar"/>
              </w:rPr>
              <w:t>在履行合同的过程中不得侵犯他人知识产权，不得提供虚假知识产权申请材料或者违背知识产权合规性承诺，否则依法追究其违约等责任，并将其失信违法信息依法纳入公共信用信息系统。</w:t>
            </w:r>
          </w:p>
          <w:p w14:paraId="0EB06F22">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5.2</w:t>
            </w:r>
            <w:r>
              <w:rPr>
                <w:rFonts w:hint="eastAsia" w:ascii="宋体" w:hAnsi="宋体" w:eastAsia="宋体" w:cs="宋体"/>
                <w:bCs/>
                <w:color w:val="auto"/>
                <w:sz w:val="21"/>
                <w:szCs w:val="21"/>
              </w:rPr>
              <w:t>投标人</w:t>
            </w:r>
            <w:r>
              <w:rPr>
                <w:rFonts w:hint="eastAsia" w:ascii="宋体" w:hAnsi="宋体" w:eastAsia="宋体" w:cs="宋体"/>
                <w:color w:val="auto"/>
                <w:kern w:val="0"/>
                <w:sz w:val="21"/>
                <w:szCs w:val="21"/>
                <w:lang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eastAsia="宋体" w:cs="宋体"/>
                <w:bCs/>
                <w:color w:val="auto"/>
                <w:sz w:val="21"/>
                <w:szCs w:val="21"/>
              </w:rPr>
              <w:t>投标人</w:t>
            </w:r>
            <w:r>
              <w:rPr>
                <w:rFonts w:hint="eastAsia" w:ascii="宋体" w:hAnsi="宋体" w:eastAsia="宋体" w:cs="宋体"/>
                <w:color w:val="auto"/>
                <w:kern w:val="0"/>
                <w:sz w:val="21"/>
                <w:szCs w:val="21"/>
                <w:lang w:bidi="ar"/>
              </w:rPr>
              <w:t>应赔偿因采购人被第三方索赔所引起的一切损失，包括但不限于采购人所支付的侵权损害赔偿费、律师费、诉讼费、仲裁费、办案差旅费等因应诉、沟通协调所发的一切费用。</w:t>
            </w:r>
          </w:p>
          <w:p w14:paraId="0B1F2484">
            <w:pPr>
              <w:keepNext w:val="0"/>
              <w:keepLines w:val="0"/>
              <w:pageBreakBefore w:val="0"/>
              <w:tabs>
                <w:tab w:val="left" w:pos="540"/>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b/>
                <w:color w:val="auto"/>
                <w:sz w:val="21"/>
                <w:szCs w:val="21"/>
              </w:rPr>
            </w:pPr>
            <w:r>
              <w:rPr>
                <w:rFonts w:hint="eastAsia" w:ascii="宋体" w:hAnsi="宋体" w:eastAsia="宋体" w:cs="宋体"/>
                <w:bCs/>
                <w:color w:val="auto"/>
                <w:kern w:val="0"/>
                <w:sz w:val="21"/>
                <w:szCs w:val="21"/>
                <w:lang w:bidi="ar"/>
              </w:rPr>
              <w:t>5.3</w:t>
            </w:r>
            <w:r>
              <w:rPr>
                <w:rFonts w:hint="eastAsia" w:ascii="宋体" w:hAnsi="宋体" w:eastAsia="宋体" w:cs="宋体"/>
                <w:bCs/>
                <w:color w:val="auto"/>
                <w:sz w:val="21"/>
                <w:szCs w:val="21"/>
              </w:rPr>
              <w:t>投标人</w:t>
            </w:r>
            <w:r>
              <w:rPr>
                <w:rFonts w:hint="eastAsia" w:ascii="宋体" w:hAnsi="宋体" w:eastAsia="宋体" w:cs="宋体"/>
                <w:bCs/>
                <w:color w:val="auto"/>
                <w:kern w:val="0"/>
                <w:sz w:val="21"/>
                <w:szCs w:val="21"/>
                <w:lang w:bidi="ar"/>
              </w:rPr>
              <w:t>实施本项目所形成成果的知识产权归采购人所有，未经采购人许可，</w:t>
            </w:r>
            <w:r>
              <w:rPr>
                <w:rFonts w:hint="eastAsia" w:ascii="宋体" w:hAnsi="宋体" w:eastAsia="宋体" w:cs="宋体"/>
                <w:bCs/>
                <w:color w:val="auto"/>
                <w:sz w:val="21"/>
                <w:szCs w:val="21"/>
              </w:rPr>
              <w:t>投标人</w:t>
            </w:r>
            <w:r>
              <w:rPr>
                <w:rFonts w:hint="eastAsia" w:ascii="宋体" w:hAnsi="宋体" w:eastAsia="宋体" w:cs="宋体"/>
                <w:bCs/>
                <w:color w:val="auto"/>
                <w:kern w:val="0"/>
                <w:sz w:val="21"/>
                <w:szCs w:val="21"/>
                <w:lang w:bidi="ar"/>
              </w:rPr>
              <w:t>不得随意使用。</w:t>
            </w:r>
          </w:p>
        </w:tc>
      </w:tr>
      <w:tr w14:paraId="0B7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Align w:val="center"/>
          </w:tcPr>
          <w:p w14:paraId="20E143CF">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w:t>
            </w:r>
          </w:p>
        </w:tc>
        <w:tc>
          <w:tcPr>
            <w:tcW w:w="917" w:type="pct"/>
            <w:vAlign w:val="center"/>
          </w:tcPr>
          <w:p w14:paraId="6DAF8A9B">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履约保证金</w:t>
            </w:r>
          </w:p>
        </w:tc>
        <w:tc>
          <w:tcPr>
            <w:tcW w:w="3378" w:type="pct"/>
          </w:tcPr>
          <w:p w14:paraId="10C39453">
            <w:pPr>
              <w:keepNext w:val="0"/>
              <w:keepLines w:val="0"/>
              <w:pageBreakBefore w:val="0"/>
              <w:kinsoku/>
              <w:wordWrap/>
              <w:overflowPunct/>
              <w:topLinePunct w:val="0"/>
              <w:autoSpaceDE/>
              <w:autoSpaceDN/>
              <w:bidi w:val="0"/>
              <w:adjustRightInd w:val="0"/>
              <w:snapToGrid w:val="0"/>
              <w:spacing w:line="360" w:lineRule="auto"/>
              <w:ind w:left="0" w:leftChars="0" w:hanging="4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1.提交说明</w:t>
            </w:r>
          </w:p>
          <w:p w14:paraId="57264B88">
            <w:pPr>
              <w:keepNext w:val="0"/>
              <w:keepLines w:val="0"/>
              <w:pageBreakBefore w:val="0"/>
              <w:numPr>
                <w:ilvl w:val="0"/>
                <w:numId w:val="2"/>
              </w:numPr>
              <w:tabs>
                <w:tab w:val="clear" w:pos="840"/>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时间：收到中标通知书后</w:t>
            </w:r>
            <w:r>
              <w:rPr>
                <w:rFonts w:hint="eastAsia" w:ascii="宋体" w:hAnsi="宋体" w:eastAsia="宋体" w:cs="宋体"/>
                <w:color w:val="auto"/>
                <w:sz w:val="21"/>
                <w:szCs w:val="21"/>
                <w:shd w:val="clear" w:fill="FFFFFF" w:themeFill="background1"/>
              </w:rPr>
              <w:t>五个工作日内提交</w:t>
            </w:r>
            <w:r>
              <w:rPr>
                <w:rFonts w:hint="eastAsia" w:ascii="宋体" w:hAnsi="宋体" w:eastAsia="宋体" w:cs="宋体"/>
                <w:color w:val="auto"/>
                <w:sz w:val="21"/>
                <w:szCs w:val="21"/>
              </w:rPr>
              <w:t>；</w:t>
            </w:r>
          </w:p>
          <w:p w14:paraId="280242CB">
            <w:pPr>
              <w:keepNext w:val="0"/>
              <w:keepLines w:val="0"/>
              <w:pageBreakBefore w:val="0"/>
              <w:numPr>
                <w:ilvl w:val="0"/>
                <w:numId w:val="2"/>
              </w:numPr>
              <w:tabs>
                <w:tab w:val="clear" w:pos="840"/>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金额：合同（成交）金额的</w:t>
            </w:r>
            <w:r>
              <w:rPr>
                <w:rFonts w:hint="eastAsia" w:ascii="宋体" w:hAnsi="宋体" w:eastAsia="宋体" w:cs="宋体"/>
                <w:color w:val="auto"/>
                <w:sz w:val="21"/>
                <w:szCs w:val="21"/>
                <w:u w:val="single"/>
              </w:rPr>
              <w:t xml:space="preserve">   5   </w:t>
            </w:r>
            <w:r>
              <w:rPr>
                <w:rFonts w:hint="eastAsia" w:ascii="宋体" w:hAnsi="宋体" w:eastAsia="宋体" w:cs="宋体"/>
                <w:color w:val="auto"/>
                <w:sz w:val="21"/>
                <w:szCs w:val="21"/>
              </w:rPr>
              <w:t>%；</w:t>
            </w:r>
          </w:p>
          <w:p w14:paraId="2A4645C4">
            <w:pPr>
              <w:keepNext w:val="0"/>
              <w:keepLines w:val="0"/>
              <w:pageBreakBefore w:val="0"/>
              <w:numPr>
                <w:ilvl w:val="0"/>
                <w:numId w:val="2"/>
              </w:numPr>
              <w:tabs>
                <w:tab w:val="clear" w:pos="840"/>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方式：中标人自主选择；</w:t>
            </w:r>
          </w:p>
          <w:p w14:paraId="32C919D0">
            <w:pPr>
              <w:keepNext w:val="0"/>
              <w:keepLines w:val="0"/>
              <w:pageBreakBefore w:val="0"/>
              <w:kinsoku/>
              <w:wordWrap/>
              <w:overflowPunct/>
              <w:topLinePunct w:val="0"/>
              <w:autoSpaceDE/>
              <w:autoSpaceDN/>
              <w:bidi w:val="0"/>
              <w:adjustRightInd w:val="0"/>
              <w:snapToGrid w:val="0"/>
              <w:spacing w:line="360" w:lineRule="auto"/>
              <w:ind w:left="0" w:leftChars="0" w:hanging="4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2.退还说明：</w:t>
            </w:r>
          </w:p>
          <w:p w14:paraId="70A98B7C">
            <w:pPr>
              <w:keepNext w:val="0"/>
              <w:keepLines w:val="0"/>
              <w:pageBreakBefore w:val="0"/>
              <w:kinsoku/>
              <w:wordWrap/>
              <w:overflowPunct/>
              <w:topLinePunct w:val="0"/>
              <w:autoSpaceDE/>
              <w:autoSpaceDN/>
              <w:bidi w:val="0"/>
              <w:snapToGrid w:val="0"/>
              <w:spacing w:line="360" w:lineRule="auto"/>
              <w:ind w:left="0" w:leftChars="0" w:hanging="28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1)时间、方式和条件：</w:t>
            </w:r>
            <w:r>
              <w:rPr>
                <w:rFonts w:hint="eastAsia" w:ascii="宋体" w:hAnsi="宋体" w:eastAsia="宋体" w:cs="宋体"/>
                <w:bCs/>
                <w:color w:val="auto"/>
                <w:sz w:val="21"/>
                <w:szCs w:val="21"/>
              </w:rPr>
              <w:t>中标人</w:t>
            </w:r>
            <w:r>
              <w:rPr>
                <w:rFonts w:hint="eastAsia" w:ascii="宋体" w:hAnsi="宋体" w:eastAsia="宋体" w:cs="宋体"/>
                <w:color w:val="auto"/>
                <w:sz w:val="21"/>
                <w:szCs w:val="21"/>
              </w:rPr>
              <w:t>供货完成调试、验收、培训且提供了厂家（或厂家授权）的售后服务承诺书后向甲方申请退回该履约保证金，甲方收到申请审核同意后，无息返还乙方的履约保证金。因乙方原因而未能达到本项目验收标准或验收不通过的，履约保证金不予退还。</w:t>
            </w:r>
          </w:p>
          <w:p w14:paraId="13B0C3ED">
            <w:pPr>
              <w:keepNext w:val="0"/>
              <w:keepLines w:val="0"/>
              <w:pageBreakBefore w:val="0"/>
              <w:kinsoku/>
              <w:wordWrap/>
              <w:overflowPunct/>
              <w:topLinePunct w:val="0"/>
              <w:autoSpaceDE/>
              <w:autoSpaceDN/>
              <w:bidi w:val="0"/>
              <w:snapToGrid w:val="0"/>
              <w:spacing w:line="360" w:lineRule="auto"/>
              <w:ind w:left="0" w:leftChars="0" w:hanging="28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2)违约责任：采购人逾期退还履约保证金的，除应当退还履约保证金本金外，还应当每日按合同总价的1‰向中标人偿付违约金，但因</w:t>
            </w:r>
            <w:r>
              <w:rPr>
                <w:rFonts w:hint="eastAsia" w:ascii="宋体" w:hAnsi="宋体" w:eastAsia="宋体" w:cs="宋体"/>
                <w:bCs/>
                <w:color w:val="auto"/>
                <w:sz w:val="21"/>
                <w:szCs w:val="21"/>
              </w:rPr>
              <w:t>投标人</w:t>
            </w:r>
            <w:r>
              <w:rPr>
                <w:rFonts w:hint="eastAsia" w:ascii="宋体" w:hAnsi="宋体" w:eastAsia="宋体" w:cs="宋体"/>
                <w:color w:val="auto"/>
                <w:sz w:val="21"/>
                <w:szCs w:val="21"/>
              </w:rPr>
              <w:t>自身原因导致无法及时退还的除外。</w:t>
            </w:r>
          </w:p>
          <w:p w14:paraId="7E2F9C6E">
            <w:pPr>
              <w:keepNext w:val="0"/>
              <w:keepLines w:val="0"/>
              <w:pageBreakBefore w:val="0"/>
              <w:kinsoku/>
              <w:wordWrap/>
              <w:overflowPunct/>
              <w:topLinePunct w:val="0"/>
              <w:autoSpaceDE/>
              <w:autoSpaceDN/>
              <w:bidi w:val="0"/>
              <w:snapToGrid w:val="0"/>
              <w:spacing w:line="360" w:lineRule="auto"/>
              <w:ind w:left="0" w:leftChars="0" w:hanging="284"/>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color w:val="auto"/>
                <w:sz w:val="21"/>
                <w:szCs w:val="21"/>
              </w:rPr>
              <w:t>中标人违反合同及其附件约定的任何义务，采购人有权在履约保证金中直接扣除</w:t>
            </w:r>
            <w:r>
              <w:rPr>
                <w:rFonts w:hint="eastAsia" w:ascii="宋体" w:hAnsi="宋体" w:eastAsia="宋体" w:cs="宋体"/>
                <w:bCs/>
                <w:color w:val="auto"/>
                <w:sz w:val="21"/>
                <w:szCs w:val="21"/>
              </w:rPr>
              <w:t>投标人</w:t>
            </w:r>
            <w:r>
              <w:rPr>
                <w:rFonts w:hint="eastAsia" w:ascii="宋体" w:hAnsi="宋体" w:eastAsia="宋体" w:cs="宋体"/>
                <w:color w:val="auto"/>
                <w:sz w:val="21"/>
                <w:szCs w:val="21"/>
              </w:rPr>
              <w:t>应向采购人支付的违约金或损失赔偿额，如有不足的，中标人应对超过的部分予以赔偿。</w:t>
            </w:r>
          </w:p>
        </w:tc>
      </w:tr>
      <w:tr w14:paraId="1F4D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4" w:type="pct"/>
            <w:vAlign w:val="center"/>
          </w:tcPr>
          <w:p w14:paraId="768142D2">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w:t>
            </w:r>
          </w:p>
        </w:tc>
        <w:tc>
          <w:tcPr>
            <w:tcW w:w="917" w:type="pct"/>
            <w:vAlign w:val="center"/>
          </w:tcPr>
          <w:p w14:paraId="6B785005">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医疗器械注册证</w:t>
            </w:r>
          </w:p>
        </w:tc>
        <w:tc>
          <w:tcPr>
            <w:tcW w:w="3378" w:type="pct"/>
            <w:vAlign w:val="center"/>
          </w:tcPr>
          <w:p w14:paraId="5F54E364">
            <w:pPr>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5630D9F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1">
    <w:nsid w:val="61623B4C"/>
    <w:multiLevelType w:val="multilevel"/>
    <w:tmpl w:val="61623B4C"/>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90A0E"/>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3F58FF"/>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6"/>
    <w:autoRedefine/>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9"/>
    <w:autoRedefine/>
    <w:qFormat/>
    <w:uiPriority w:val="0"/>
    <w:rPr>
      <w:rFonts w:ascii="宋体" w:hAnsi="Courier New" w:eastAsiaTheme="minorEastAsia" w:cstheme="minorBidi"/>
    </w:rPr>
  </w:style>
  <w:style w:type="paragraph" w:styleId="11">
    <w:name w:val="Date"/>
    <w:basedOn w:val="1"/>
    <w:next w:val="1"/>
    <w:link w:val="31"/>
    <w:autoRedefine/>
    <w:qFormat/>
    <w:uiPriority w:val="0"/>
    <w:rPr>
      <w:rFonts w:ascii="宋体" w:hAnsi="Courier New"/>
      <w:kern w:val="0"/>
      <w:sz w:val="32"/>
      <w:szCs w:val="20"/>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7"/>
    <w:autoRedefine/>
    <w:semiHidden/>
    <w:unhideWhenUsed/>
    <w:qFormat/>
    <w:uiPriority w:val="99"/>
    <w:rPr>
      <w:b/>
      <w:bCs/>
    </w:rPr>
  </w:style>
  <w:style w:type="paragraph" w:styleId="19">
    <w:name w:val="Body Text First Indent 2"/>
    <w:basedOn w:val="8"/>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paragraph" w:styleId="28">
    <w:name w:val="List Paragraph"/>
    <w:basedOn w:val="1"/>
    <w:autoRedefine/>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0">
    <w:name w:val="日期 Char"/>
    <w:basedOn w:val="22"/>
    <w:link w:val="11"/>
    <w:autoRedefine/>
    <w:qFormat/>
    <w:uiPriority w:val="0"/>
    <w:rPr>
      <w:rFonts w:ascii="宋体" w:hAnsi="Courier New" w:eastAsia="宋体" w:cs="Times New Roman"/>
      <w:kern w:val="0"/>
      <w:sz w:val="32"/>
      <w:szCs w:val="20"/>
    </w:rPr>
  </w:style>
  <w:style w:type="character" w:customStyle="1" w:styleId="31">
    <w:name w:val="日期 Char1"/>
    <w:basedOn w:val="22"/>
    <w:link w:val="11"/>
    <w:autoRedefine/>
    <w:semiHidden/>
    <w:qFormat/>
    <w:uiPriority w:val="99"/>
    <w:rPr>
      <w:rFonts w:ascii="Calibri" w:hAnsi="Calibri" w:eastAsia="宋体" w:cs="Times New Roman"/>
    </w:rPr>
  </w:style>
  <w:style w:type="character" w:customStyle="1" w:styleId="32">
    <w:name w:val="批注框文本 Char"/>
    <w:basedOn w:val="22"/>
    <w:link w:val="12"/>
    <w:autoRedefine/>
    <w:semiHidden/>
    <w:qFormat/>
    <w:uiPriority w:val="99"/>
    <w:rPr>
      <w:rFonts w:ascii="Calibri" w:hAnsi="Calibri" w:eastAsia="宋体" w:cs="Times New Roman"/>
      <w:sz w:val="18"/>
      <w:szCs w:val="18"/>
    </w:rPr>
  </w:style>
  <w:style w:type="character" w:customStyle="1" w:styleId="33">
    <w:name w:val="页眉 Char"/>
    <w:basedOn w:val="22"/>
    <w:link w:val="14"/>
    <w:autoRedefine/>
    <w:semiHidden/>
    <w:qFormat/>
    <w:uiPriority w:val="99"/>
    <w:rPr>
      <w:rFonts w:ascii="Calibri" w:hAnsi="Calibri" w:eastAsia="宋体" w:cs="Times New Roman"/>
      <w:sz w:val="18"/>
      <w:szCs w:val="18"/>
    </w:rPr>
  </w:style>
  <w:style w:type="character" w:customStyle="1" w:styleId="34">
    <w:name w:val="页脚 Char"/>
    <w:basedOn w:val="22"/>
    <w:link w:val="13"/>
    <w:autoRedefine/>
    <w:qFormat/>
    <w:uiPriority w:val="99"/>
    <w:rPr>
      <w:rFonts w:ascii="Calibri" w:hAnsi="Calibri" w:eastAsia="宋体" w:cs="Times New Roman"/>
      <w:sz w:val="18"/>
      <w:szCs w:val="18"/>
    </w:rPr>
  </w:style>
  <w:style w:type="character" w:customStyle="1" w:styleId="35">
    <w:name w:val="标题 1 Char"/>
    <w:basedOn w:val="22"/>
    <w:link w:val="2"/>
    <w:autoRedefine/>
    <w:qFormat/>
    <w:uiPriority w:val="0"/>
    <w:rPr>
      <w:rFonts w:ascii="宋体" w:hAnsi="Calibri" w:eastAsia="宋体" w:cs="Times New Roman"/>
      <w:color w:val="000000"/>
      <w:sz w:val="28"/>
      <w:szCs w:val="20"/>
    </w:rPr>
  </w:style>
  <w:style w:type="character" w:customStyle="1" w:styleId="36">
    <w:name w:val="批注文字 Char"/>
    <w:basedOn w:val="22"/>
    <w:link w:val="6"/>
    <w:autoRedefine/>
    <w:qFormat/>
    <w:uiPriority w:val="99"/>
    <w:rPr>
      <w:rFonts w:ascii="Calibri" w:hAnsi="Calibri" w:eastAsia="宋体" w:cs="Times New Roman"/>
    </w:rPr>
  </w:style>
  <w:style w:type="character" w:customStyle="1" w:styleId="37">
    <w:name w:val="批注主题 Char"/>
    <w:basedOn w:val="36"/>
    <w:link w:val="18"/>
    <w:autoRedefine/>
    <w:semiHidden/>
    <w:qFormat/>
    <w:uiPriority w:val="99"/>
    <w:rPr>
      <w:b/>
      <w:bCs/>
    </w:rPr>
  </w:style>
  <w:style w:type="character" w:customStyle="1" w:styleId="38">
    <w:name w:val="纯文本 Char"/>
    <w:link w:val="10"/>
    <w:autoRedefine/>
    <w:qFormat/>
    <w:uiPriority w:val="0"/>
    <w:rPr>
      <w:rFonts w:ascii="宋体" w:hAnsi="Courier New"/>
    </w:rPr>
  </w:style>
  <w:style w:type="character" w:customStyle="1" w:styleId="39">
    <w:name w:val="纯文本 Char1"/>
    <w:basedOn w:val="22"/>
    <w:link w:val="10"/>
    <w:autoRedefine/>
    <w:semiHidden/>
    <w:qFormat/>
    <w:uiPriority w:val="99"/>
    <w:rPr>
      <w:rFonts w:ascii="宋体" w:hAnsi="Courier New" w:eastAsia="宋体" w:cs="Courier New"/>
      <w:szCs w:val="21"/>
    </w:rPr>
  </w:style>
  <w:style w:type="character" w:customStyle="1" w:styleId="40">
    <w:name w:val="标题 2 Char"/>
    <w:basedOn w:val="22"/>
    <w:link w:val="3"/>
    <w:autoRedefine/>
    <w:qFormat/>
    <w:uiPriority w:val="0"/>
    <w:rPr>
      <w:rFonts w:ascii="Arial" w:hAnsi="Arial" w:eastAsia="宋体" w:cs="Times New Roman"/>
      <w:b/>
      <w:bCs/>
      <w:sz w:val="32"/>
      <w:szCs w:val="32"/>
    </w:rPr>
  </w:style>
  <w:style w:type="character" w:customStyle="1" w:styleId="41">
    <w:name w:val="标题 3 Char"/>
    <w:basedOn w:val="22"/>
    <w:link w:val="4"/>
    <w:autoRedefine/>
    <w:semiHidden/>
    <w:qFormat/>
    <w:uiPriority w:val="9"/>
    <w:rPr>
      <w:rFonts w:ascii="Calibri" w:hAnsi="Calibri" w:eastAsia="宋体" w:cs="Times New Roman"/>
      <w:b/>
      <w:bCs/>
      <w:sz w:val="32"/>
      <w:szCs w:val="32"/>
    </w:rPr>
  </w:style>
  <w:style w:type="character" w:customStyle="1" w:styleId="42">
    <w:name w:val="标题 4 Char"/>
    <w:basedOn w:val="22"/>
    <w:link w:val="5"/>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0"/>
    <w:autoRedefine/>
    <w:qFormat/>
    <w:uiPriority w:val="0"/>
    <w:rPr>
      <w:rFonts w:ascii="宋体" w:hAnsi="Courier New"/>
      <w:szCs w:val="20"/>
    </w:rPr>
  </w:style>
  <w:style w:type="paragraph" w:customStyle="1" w:styleId="45">
    <w:name w:val="8"/>
    <w:basedOn w:val="1"/>
    <w:next w:val="10"/>
    <w:autoRedefine/>
    <w:qFormat/>
    <w:uiPriority w:val="0"/>
    <w:rPr>
      <w:rFonts w:ascii="宋体" w:hAnsi="Courier New"/>
      <w:szCs w:val="20"/>
    </w:rPr>
  </w:style>
  <w:style w:type="paragraph" w:customStyle="1" w:styleId="46">
    <w:name w:val="_Style 55"/>
    <w:basedOn w:val="1"/>
    <w:next w:val="10"/>
    <w:autoRedefine/>
    <w:qFormat/>
    <w:uiPriority w:val="0"/>
    <w:rPr>
      <w:rFonts w:ascii="宋体" w:hAnsi="Courier New"/>
      <w:szCs w:val="20"/>
    </w:rPr>
  </w:style>
  <w:style w:type="paragraph" w:customStyle="1" w:styleId="47">
    <w:name w:val="7"/>
    <w:basedOn w:val="1"/>
    <w:next w:val="10"/>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28"/>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6">
    <w:name w:val="批注文字 字符"/>
    <w:basedOn w:val="22"/>
    <w:link w:val="6"/>
    <w:autoRedefine/>
    <w:qFormat/>
    <w:uiPriority w:val="0"/>
    <w:rPr>
      <w:rFonts w:asciiTheme="minorHAnsi" w:hAnsiTheme="minorHAnsi" w:eastAsiaTheme="minorEastAsia" w:cstheme="minorBidi"/>
      <w:kern w:val="2"/>
      <w:sz w:val="21"/>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4427</Words>
  <Characters>4596</Characters>
  <Lines>229</Lines>
  <Paragraphs>64</Paragraphs>
  <TotalTime>1</TotalTime>
  <ScaleCrop>false</ScaleCrop>
  <LinksUpToDate>false</LinksUpToDate>
  <CharactersWithSpaces>4662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2026-06-18T08:36:32Z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