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071F4">
      <w:pPr>
        <w:keepNext w:val="0"/>
        <w:keepLines w:val="0"/>
        <w:pageBreakBefore w:val="0"/>
        <w:widowControl w:val="0"/>
        <w:kinsoku/>
        <w:wordWrap/>
        <w:overflowPunct/>
        <w:topLinePunct w:val="0"/>
        <w:autoSpaceDE/>
        <w:autoSpaceDN/>
        <w:bidi w:val="0"/>
        <w:spacing w:line="360" w:lineRule="auto"/>
        <w:ind w:left="0"/>
        <w:jc w:val="center"/>
        <w:textAlignment w:val="auto"/>
        <w:rPr>
          <w:rFonts w:hint="eastAsia" w:ascii="宋体" w:hAnsi="宋体" w:eastAsia="宋体" w:cs="宋体"/>
          <w:b/>
          <w:color w:val="auto"/>
          <w:sz w:val="36"/>
          <w:szCs w:val="36"/>
        </w:rPr>
      </w:pPr>
      <w:r>
        <w:rPr>
          <w:rFonts w:hint="eastAsia" w:ascii="宋体" w:hAnsi="宋体" w:eastAsia="宋体" w:cs="宋体"/>
          <w:b/>
          <w:color w:val="auto"/>
          <w:sz w:val="36"/>
          <w:szCs w:val="36"/>
        </w:rPr>
        <w:t>项目需求</w:t>
      </w:r>
    </w:p>
    <w:p w14:paraId="5BE53BA8">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rPr>
      </w:pPr>
      <w:r>
        <w:rPr>
          <w:rFonts w:hint="eastAsia" w:ascii="宋体" w:hAnsi="宋体" w:eastAsia="宋体" w:cs="宋体"/>
          <w:b/>
          <w:color w:val="auto"/>
          <w:sz w:val="28"/>
          <w:szCs w:val="28"/>
        </w:rPr>
        <w:t>一、项目清单</w:t>
      </w:r>
    </w:p>
    <w:tbl>
      <w:tblPr>
        <w:tblStyle w:val="24"/>
        <w:tblW w:w="83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2145"/>
        <w:gridCol w:w="735"/>
        <w:gridCol w:w="735"/>
        <w:gridCol w:w="1605"/>
        <w:gridCol w:w="1320"/>
        <w:gridCol w:w="1106"/>
      </w:tblGrid>
      <w:tr w14:paraId="11CAB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0" w:type="dxa"/>
            <w:noWrap w:val="0"/>
            <w:vAlign w:val="center"/>
          </w:tcPr>
          <w:p w14:paraId="594EE76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序号</w:t>
            </w:r>
          </w:p>
        </w:tc>
        <w:tc>
          <w:tcPr>
            <w:tcW w:w="2145" w:type="dxa"/>
            <w:noWrap w:val="0"/>
            <w:vAlign w:val="center"/>
          </w:tcPr>
          <w:p w14:paraId="5C48956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lang w:val="en-US" w:eastAsia="zh-CN"/>
              </w:rPr>
              <w:t>采购</w:t>
            </w:r>
            <w:r>
              <w:rPr>
                <w:rFonts w:hint="eastAsia" w:ascii="宋体" w:hAnsi="宋体" w:eastAsia="宋体" w:cs="宋体"/>
                <w:b/>
                <w:color w:val="auto"/>
                <w:sz w:val="22"/>
              </w:rPr>
              <w:t>内容</w:t>
            </w:r>
          </w:p>
        </w:tc>
        <w:tc>
          <w:tcPr>
            <w:tcW w:w="735" w:type="dxa"/>
            <w:noWrap w:val="0"/>
            <w:vAlign w:val="center"/>
          </w:tcPr>
          <w:p w14:paraId="665FF04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单位</w:t>
            </w:r>
          </w:p>
        </w:tc>
        <w:tc>
          <w:tcPr>
            <w:tcW w:w="735" w:type="dxa"/>
            <w:noWrap w:val="0"/>
            <w:vAlign w:val="center"/>
          </w:tcPr>
          <w:p w14:paraId="186D285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数量</w:t>
            </w:r>
          </w:p>
        </w:tc>
        <w:tc>
          <w:tcPr>
            <w:tcW w:w="1605" w:type="dxa"/>
            <w:noWrap w:val="0"/>
            <w:vAlign w:val="center"/>
          </w:tcPr>
          <w:p w14:paraId="4A1B839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财政预算金额</w:t>
            </w:r>
          </w:p>
          <w:p w14:paraId="5873910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（元）</w:t>
            </w:r>
          </w:p>
        </w:tc>
        <w:tc>
          <w:tcPr>
            <w:tcW w:w="1320" w:type="dxa"/>
            <w:noWrap w:val="0"/>
            <w:vAlign w:val="center"/>
          </w:tcPr>
          <w:p w14:paraId="307BE6B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lang w:val="en-US" w:eastAsia="zh-CN"/>
              </w:rPr>
            </w:pPr>
            <w:r>
              <w:rPr>
                <w:rFonts w:hint="eastAsia" w:ascii="宋体" w:hAnsi="宋体" w:eastAsia="宋体" w:cs="宋体"/>
                <w:b/>
                <w:color w:val="auto"/>
                <w:sz w:val="22"/>
                <w:lang w:val="en-US" w:eastAsia="zh-CN"/>
              </w:rPr>
              <w:t>最高限价</w:t>
            </w:r>
          </w:p>
          <w:p w14:paraId="632E667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lang w:val="en-US" w:eastAsia="zh-CN"/>
              </w:rPr>
            </w:pPr>
            <w:r>
              <w:rPr>
                <w:rFonts w:hint="eastAsia" w:ascii="宋体" w:hAnsi="宋体" w:eastAsia="宋体" w:cs="宋体"/>
                <w:b/>
                <w:color w:val="auto"/>
                <w:sz w:val="22"/>
              </w:rPr>
              <w:t>（元）</w:t>
            </w:r>
          </w:p>
        </w:tc>
        <w:tc>
          <w:tcPr>
            <w:tcW w:w="1106" w:type="dxa"/>
            <w:noWrap w:val="0"/>
            <w:vAlign w:val="center"/>
          </w:tcPr>
          <w:p w14:paraId="4AE2FD8C">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宋体" w:hAnsi="宋体" w:cs="宋体"/>
                <w:b/>
                <w:color w:val="auto"/>
                <w:sz w:val="22"/>
                <w:lang w:val="en-US" w:eastAsia="zh-CN"/>
              </w:rPr>
            </w:pPr>
            <w:r>
              <w:rPr>
                <w:rFonts w:hint="eastAsia" w:ascii="宋体" w:hAnsi="宋体" w:cs="宋体"/>
                <w:b/>
                <w:color w:val="auto"/>
                <w:sz w:val="22"/>
                <w:lang w:val="en-US" w:eastAsia="zh-CN"/>
              </w:rPr>
              <w:t>备注</w:t>
            </w:r>
          </w:p>
        </w:tc>
      </w:tr>
      <w:tr w14:paraId="6A7D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730" w:type="dxa"/>
            <w:noWrap w:val="0"/>
            <w:vAlign w:val="center"/>
          </w:tcPr>
          <w:p w14:paraId="3143CD8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1</w:t>
            </w:r>
          </w:p>
        </w:tc>
        <w:tc>
          <w:tcPr>
            <w:tcW w:w="2145" w:type="dxa"/>
            <w:noWrap w:val="0"/>
            <w:vAlign w:val="center"/>
          </w:tcPr>
          <w:p w14:paraId="2343C32E">
            <w:pPr>
              <w:adjustRightInd w:val="0"/>
              <w:snapToGrid w:val="0"/>
              <w:jc w:val="center"/>
              <w:rPr>
                <w:rFonts w:hint="eastAsia" w:ascii="宋体" w:hAnsi="宋体" w:eastAsia="宋体" w:cs="宋体"/>
                <w:color w:val="auto"/>
                <w:sz w:val="21"/>
                <w:szCs w:val="21"/>
                <w:lang w:eastAsia="zh-CN"/>
              </w:rPr>
            </w:pPr>
            <w:r>
              <w:rPr>
                <w:rFonts w:hint="eastAsia" w:ascii="宋体" w:hAnsi="宋体" w:cs="宋体"/>
                <w:color w:val="000000"/>
                <w:szCs w:val="21"/>
                <w:lang w:val="en-US" w:eastAsia="zh-CN"/>
              </w:rPr>
              <w:t>防火墙</w:t>
            </w:r>
          </w:p>
        </w:tc>
        <w:tc>
          <w:tcPr>
            <w:tcW w:w="735" w:type="dxa"/>
            <w:noWrap w:val="0"/>
            <w:vAlign w:val="center"/>
          </w:tcPr>
          <w:p w14:paraId="3041CEBB">
            <w:pPr>
              <w:adjustRightInd w:val="0"/>
              <w:snapToGrid w:val="0"/>
              <w:jc w:val="center"/>
              <w:rPr>
                <w:rFonts w:hint="eastAsia" w:ascii="宋体" w:hAnsi="宋体" w:eastAsia="宋体" w:cs="宋体"/>
                <w:color w:val="auto"/>
                <w:sz w:val="21"/>
                <w:szCs w:val="21"/>
                <w:lang w:val="en-US" w:eastAsia="zh-CN"/>
              </w:rPr>
            </w:pPr>
            <w:r>
              <w:rPr>
                <w:rFonts w:hint="eastAsia" w:ascii="宋体" w:hAnsi="宋体" w:cs="宋体"/>
                <w:color w:val="000000"/>
                <w:szCs w:val="21"/>
                <w:lang w:val="en-US" w:eastAsia="zh-CN"/>
              </w:rPr>
              <w:t>2</w:t>
            </w:r>
          </w:p>
        </w:tc>
        <w:tc>
          <w:tcPr>
            <w:tcW w:w="735" w:type="dxa"/>
            <w:noWrap w:val="0"/>
            <w:vAlign w:val="center"/>
          </w:tcPr>
          <w:p w14:paraId="1FCE30B2">
            <w:pPr>
              <w:adjustRightInd w:val="0"/>
              <w:snapToGrid w:val="0"/>
              <w:jc w:val="center"/>
              <w:rPr>
                <w:rFonts w:hint="eastAsia" w:ascii="宋体" w:hAnsi="宋体" w:eastAsia="宋体" w:cs="宋体"/>
                <w:color w:val="auto"/>
                <w:sz w:val="21"/>
                <w:szCs w:val="21"/>
                <w:lang w:val="en-US" w:eastAsia="zh-CN"/>
              </w:rPr>
            </w:pPr>
            <w:r>
              <w:rPr>
                <w:rFonts w:hint="eastAsia" w:ascii="宋体" w:hAnsi="宋体" w:cs="宋体"/>
                <w:color w:val="000000"/>
                <w:szCs w:val="21"/>
                <w:lang w:val="en-US" w:eastAsia="zh-CN"/>
              </w:rPr>
              <w:t>台</w:t>
            </w:r>
          </w:p>
        </w:tc>
        <w:tc>
          <w:tcPr>
            <w:tcW w:w="1605" w:type="dxa"/>
            <w:vMerge w:val="restart"/>
            <w:noWrap w:val="0"/>
            <w:vAlign w:val="center"/>
          </w:tcPr>
          <w:p w14:paraId="434D57D5">
            <w:pPr>
              <w:keepNext w:val="0"/>
              <w:keepLines w:val="0"/>
              <w:pageBreakBefore w:val="0"/>
              <w:widowControl w:val="0"/>
              <w:kinsoku/>
              <w:wordWrap/>
              <w:overflowPunct/>
              <w:topLinePunct w:val="0"/>
              <w:autoSpaceDE/>
              <w:autoSpaceDN/>
              <w:bidi w:val="0"/>
              <w:spacing w:line="360" w:lineRule="auto"/>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80</w:t>
            </w:r>
            <w:r>
              <w:rPr>
                <w:rFonts w:hint="eastAsia" w:ascii="宋体" w:hAnsi="宋体" w:eastAsia="宋体" w:cs="宋体"/>
                <w:color w:val="auto"/>
                <w:sz w:val="21"/>
                <w:szCs w:val="21"/>
                <w:lang w:val="en-US" w:eastAsia="zh-CN"/>
              </w:rPr>
              <w:t>0,000.00</w:t>
            </w:r>
          </w:p>
        </w:tc>
        <w:tc>
          <w:tcPr>
            <w:tcW w:w="1320" w:type="dxa"/>
            <w:vMerge w:val="restart"/>
            <w:noWrap w:val="0"/>
            <w:vAlign w:val="center"/>
          </w:tcPr>
          <w:p w14:paraId="032620C1">
            <w:pPr>
              <w:keepNext w:val="0"/>
              <w:keepLines w:val="0"/>
              <w:pageBreakBefore w:val="0"/>
              <w:widowControl w:val="0"/>
              <w:kinsoku/>
              <w:wordWrap/>
              <w:overflowPunct/>
              <w:topLinePunct w:val="0"/>
              <w:autoSpaceDE/>
              <w:autoSpaceDN/>
              <w:bidi w:val="0"/>
              <w:spacing w:line="360" w:lineRule="auto"/>
              <w:jc w:val="center"/>
              <w:rPr>
                <w:rFonts w:hint="default" w:ascii="宋体" w:hAnsi="宋体" w:eastAsia="宋体" w:cs="宋体"/>
                <w:szCs w:val="21"/>
                <w:lang w:val="en-US" w:eastAsia="zh-CN"/>
              </w:rPr>
            </w:pPr>
            <w:r>
              <w:rPr>
                <w:rFonts w:hint="eastAsia" w:ascii="宋体" w:hAnsi="宋体" w:cs="宋体"/>
                <w:szCs w:val="21"/>
                <w:lang w:val="en-US" w:eastAsia="zh-CN"/>
              </w:rPr>
              <w:t>720,000.00</w:t>
            </w:r>
          </w:p>
        </w:tc>
        <w:tc>
          <w:tcPr>
            <w:tcW w:w="1106" w:type="dxa"/>
            <w:vMerge w:val="restart"/>
            <w:noWrap w:val="0"/>
            <w:vAlign w:val="center"/>
          </w:tcPr>
          <w:p w14:paraId="5213E004">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szCs w:val="21"/>
              </w:rPr>
            </w:pPr>
            <w:r>
              <w:rPr>
                <w:rFonts w:hint="eastAsia" w:ascii="宋体" w:hAnsi="宋体" w:eastAsia="宋体" w:cs="宋体"/>
                <w:szCs w:val="21"/>
              </w:rPr>
              <w:t>拒绝进口</w:t>
            </w:r>
          </w:p>
        </w:tc>
      </w:tr>
      <w:tr w14:paraId="637A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730" w:type="dxa"/>
            <w:noWrap w:val="0"/>
            <w:vAlign w:val="center"/>
          </w:tcPr>
          <w:p w14:paraId="088A2EB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w:t>
            </w:r>
          </w:p>
        </w:tc>
        <w:tc>
          <w:tcPr>
            <w:tcW w:w="2145" w:type="dxa"/>
            <w:noWrap w:val="0"/>
            <w:vAlign w:val="center"/>
          </w:tcPr>
          <w:p w14:paraId="0DB238AB">
            <w:pPr>
              <w:adjustRightInd w:val="0"/>
              <w:snapToGrid w:val="0"/>
              <w:jc w:val="center"/>
              <w:rPr>
                <w:rFonts w:hint="eastAsia" w:ascii="宋体" w:hAnsi="宋体" w:eastAsia="宋体" w:cs="宋体"/>
                <w:color w:val="auto"/>
                <w:sz w:val="21"/>
                <w:szCs w:val="21"/>
                <w:lang w:eastAsia="zh-CN"/>
              </w:rPr>
            </w:pPr>
            <w:r>
              <w:rPr>
                <w:rFonts w:hint="eastAsia" w:ascii="宋体" w:hAnsi="宋体" w:cs="宋体"/>
                <w:color w:val="000000"/>
                <w:szCs w:val="21"/>
                <w:lang w:val="en-US" w:eastAsia="zh-CN"/>
              </w:rPr>
              <w:t>上网行为管理</w:t>
            </w:r>
          </w:p>
        </w:tc>
        <w:tc>
          <w:tcPr>
            <w:tcW w:w="735" w:type="dxa"/>
            <w:noWrap w:val="0"/>
            <w:vAlign w:val="center"/>
          </w:tcPr>
          <w:p w14:paraId="7FF0D99A">
            <w:pPr>
              <w:adjustRightInd w:val="0"/>
              <w:snapToGrid w:val="0"/>
              <w:jc w:val="center"/>
              <w:rPr>
                <w:rFonts w:hint="eastAsia" w:asciiTheme="minorEastAsia" w:hAnsiTheme="minorEastAsia" w:eastAsiaTheme="minorEastAsia"/>
                <w:szCs w:val="21"/>
              </w:rPr>
            </w:pPr>
            <w:r>
              <w:rPr>
                <w:rFonts w:hint="eastAsia" w:ascii="宋体" w:hAnsi="宋体" w:eastAsia="宋体" w:cs="宋体"/>
                <w:color w:val="000000"/>
                <w:szCs w:val="21"/>
                <w:lang w:val="en-US" w:eastAsia="zh-CN"/>
              </w:rPr>
              <w:t>2</w:t>
            </w:r>
          </w:p>
        </w:tc>
        <w:tc>
          <w:tcPr>
            <w:tcW w:w="735" w:type="dxa"/>
            <w:noWrap w:val="0"/>
            <w:vAlign w:val="center"/>
          </w:tcPr>
          <w:p w14:paraId="14A0902F">
            <w:pPr>
              <w:adjustRightInd w:val="0"/>
              <w:snapToGrid w:val="0"/>
              <w:jc w:val="center"/>
              <w:rPr>
                <w:rFonts w:hint="eastAsia" w:ascii="宋体" w:hAnsi="宋体" w:cs="宋体"/>
                <w:szCs w:val="21"/>
                <w:lang w:val="en-US" w:eastAsia="zh-CN"/>
              </w:rPr>
            </w:pPr>
            <w:r>
              <w:rPr>
                <w:rFonts w:hint="eastAsia" w:ascii="宋体" w:hAnsi="宋体" w:cs="宋体"/>
                <w:color w:val="000000"/>
                <w:szCs w:val="21"/>
                <w:lang w:val="en-US" w:eastAsia="zh-CN"/>
              </w:rPr>
              <w:t>台</w:t>
            </w:r>
          </w:p>
        </w:tc>
        <w:tc>
          <w:tcPr>
            <w:tcW w:w="1605" w:type="dxa"/>
            <w:vMerge w:val="continue"/>
            <w:tcBorders/>
            <w:noWrap w:val="0"/>
            <w:vAlign w:val="center"/>
          </w:tcPr>
          <w:p w14:paraId="63ABE60A">
            <w:pPr>
              <w:keepNext w:val="0"/>
              <w:keepLines w:val="0"/>
              <w:pageBreakBefore w:val="0"/>
              <w:widowControl w:val="0"/>
              <w:kinsoku/>
              <w:wordWrap/>
              <w:overflowPunct/>
              <w:topLinePunct w:val="0"/>
              <w:autoSpaceDE/>
              <w:autoSpaceDN/>
              <w:bidi w:val="0"/>
              <w:spacing w:line="360" w:lineRule="auto"/>
              <w:jc w:val="center"/>
              <w:rPr>
                <w:rFonts w:hint="eastAsia" w:ascii="宋体" w:hAnsi="宋体" w:cs="宋体"/>
                <w:color w:val="auto"/>
                <w:sz w:val="21"/>
                <w:szCs w:val="21"/>
                <w:lang w:val="en-US" w:eastAsia="zh-CN"/>
              </w:rPr>
            </w:pPr>
          </w:p>
        </w:tc>
        <w:tc>
          <w:tcPr>
            <w:tcW w:w="1320" w:type="dxa"/>
            <w:vMerge w:val="continue"/>
            <w:tcBorders/>
            <w:noWrap w:val="0"/>
            <w:vAlign w:val="center"/>
          </w:tcPr>
          <w:p w14:paraId="6430768A">
            <w:pPr>
              <w:keepNext w:val="0"/>
              <w:keepLines w:val="0"/>
              <w:pageBreakBefore w:val="0"/>
              <w:widowControl w:val="0"/>
              <w:kinsoku/>
              <w:wordWrap/>
              <w:overflowPunct/>
              <w:topLinePunct w:val="0"/>
              <w:autoSpaceDE/>
              <w:autoSpaceDN/>
              <w:bidi w:val="0"/>
              <w:spacing w:line="360" w:lineRule="auto"/>
              <w:jc w:val="center"/>
              <w:rPr>
                <w:rFonts w:hint="eastAsia" w:ascii="宋体" w:hAnsi="宋体" w:cs="宋体"/>
                <w:szCs w:val="21"/>
                <w:lang w:val="en-US" w:eastAsia="zh-CN"/>
              </w:rPr>
            </w:pPr>
          </w:p>
        </w:tc>
        <w:tc>
          <w:tcPr>
            <w:tcW w:w="1106" w:type="dxa"/>
            <w:vMerge w:val="continue"/>
            <w:tcBorders/>
            <w:noWrap w:val="0"/>
            <w:vAlign w:val="center"/>
          </w:tcPr>
          <w:p w14:paraId="0FAB0668">
            <w:pPr>
              <w:keepNext w:val="0"/>
              <w:keepLines w:val="0"/>
              <w:pageBreakBefore w:val="0"/>
              <w:widowControl w:val="0"/>
              <w:kinsoku/>
              <w:wordWrap/>
              <w:overflowPunct/>
              <w:topLinePunct w:val="0"/>
              <w:autoSpaceDE/>
              <w:autoSpaceDN/>
              <w:bidi w:val="0"/>
              <w:spacing w:line="360" w:lineRule="auto"/>
              <w:jc w:val="center"/>
              <w:rPr>
                <w:rFonts w:hint="eastAsia" w:ascii="宋体" w:hAnsi="宋体" w:eastAsia="宋体" w:cs="宋体"/>
                <w:szCs w:val="21"/>
              </w:rPr>
            </w:pPr>
          </w:p>
        </w:tc>
      </w:tr>
    </w:tbl>
    <w:p w14:paraId="08CA42E1">
      <w:pPr>
        <w:pStyle w:val="8"/>
        <w:keepNext w:val="0"/>
        <w:keepLines w:val="0"/>
        <w:pageBreakBefore w:val="0"/>
        <w:widowControl w:val="0"/>
        <w:kinsoku/>
        <w:wordWrap/>
        <w:overflowPunct/>
        <w:topLinePunct w:val="0"/>
        <w:autoSpaceDE/>
        <w:autoSpaceDN/>
        <w:bidi w:val="0"/>
        <w:adjustRightInd/>
        <w:snapToGrid/>
        <w:spacing w:after="0" w:line="360" w:lineRule="auto"/>
        <w:ind w:left="0"/>
        <w:textAlignment w:val="auto"/>
        <w:rPr>
          <w:rFonts w:hint="eastAsia" w:ascii="宋体" w:hAnsi="宋体" w:eastAsia="宋体" w:cs="宋体"/>
          <w:color w:val="auto"/>
        </w:rPr>
      </w:pPr>
    </w:p>
    <w:p w14:paraId="5EBF993B">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lang w:val="en-US" w:eastAsia="zh-CN"/>
        </w:rPr>
      </w:pPr>
      <w:r>
        <w:rPr>
          <w:rFonts w:hint="eastAsia" w:ascii="宋体" w:hAnsi="宋体" w:cs="宋体"/>
          <w:b/>
          <w:color w:val="auto"/>
          <w:sz w:val="28"/>
          <w:szCs w:val="28"/>
          <w:lang w:val="en-US" w:eastAsia="zh-CN"/>
        </w:rPr>
        <w:t>二</w:t>
      </w:r>
      <w:r>
        <w:rPr>
          <w:rFonts w:hint="eastAsia" w:ascii="宋体" w:hAnsi="宋体" w:eastAsia="宋体" w:cs="宋体"/>
          <w:b/>
          <w:color w:val="auto"/>
          <w:sz w:val="28"/>
          <w:szCs w:val="28"/>
          <w:lang w:val="en-US" w:eastAsia="zh-CN"/>
        </w:rPr>
        <w:t>、技术要求</w:t>
      </w:r>
    </w:p>
    <w:tbl>
      <w:tblPr>
        <w:tblStyle w:val="24"/>
        <w:tblW w:w="81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856"/>
        <w:gridCol w:w="6544"/>
      </w:tblGrid>
      <w:tr w14:paraId="3B39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shd w:val="clear" w:color="auto" w:fill="auto"/>
            <w:noWrap w:val="0"/>
            <w:vAlign w:val="top"/>
          </w:tcPr>
          <w:p w14:paraId="4AB83869">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序号</w:t>
            </w:r>
          </w:p>
        </w:tc>
        <w:tc>
          <w:tcPr>
            <w:tcW w:w="856" w:type="dxa"/>
            <w:shd w:val="clear" w:color="auto" w:fill="FFFFFF"/>
            <w:noWrap w:val="0"/>
            <w:vAlign w:val="top"/>
          </w:tcPr>
          <w:p w14:paraId="115AD2C3">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名称</w:t>
            </w:r>
          </w:p>
        </w:tc>
        <w:tc>
          <w:tcPr>
            <w:tcW w:w="6544" w:type="dxa"/>
            <w:shd w:val="clear" w:color="auto" w:fill="FFFFFF"/>
            <w:noWrap w:val="0"/>
            <w:vAlign w:val="top"/>
          </w:tcPr>
          <w:p w14:paraId="6D0C5006">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技术</w:t>
            </w:r>
            <w:r>
              <w:rPr>
                <w:rFonts w:hint="eastAsia" w:ascii="宋体" w:hAnsi="宋体" w:eastAsia="宋体" w:cs="宋体"/>
                <w:b w:val="0"/>
                <w:bCs w:val="0"/>
                <w:color w:val="auto"/>
                <w:sz w:val="21"/>
                <w:szCs w:val="21"/>
              </w:rPr>
              <w:t>要求</w:t>
            </w:r>
          </w:p>
        </w:tc>
      </w:tr>
      <w:tr w14:paraId="1BF92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restart"/>
            <w:shd w:val="clear" w:color="auto" w:fill="auto"/>
            <w:noWrap w:val="0"/>
            <w:vAlign w:val="center"/>
          </w:tcPr>
          <w:p w14:paraId="613B84C9">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z w:val="21"/>
                <w:szCs w:val="21"/>
                <w:lang w:val="en-US" w:eastAsia="zh-CN"/>
              </w:rPr>
              <w:t>1</w:t>
            </w:r>
          </w:p>
        </w:tc>
        <w:tc>
          <w:tcPr>
            <w:tcW w:w="856" w:type="dxa"/>
            <w:vMerge w:val="restart"/>
            <w:shd w:val="clear" w:color="auto" w:fill="FFFFFF"/>
            <w:noWrap w:val="0"/>
            <w:vAlign w:val="center"/>
          </w:tcPr>
          <w:p w14:paraId="3C263835">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出口防火墙</w:t>
            </w:r>
          </w:p>
        </w:tc>
        <w:tc>
          <w:tcPr>
            <w:tcW w:w="6544" w:type="dxa"/>
            <w:shd w:val="clear" w:color="auto" w:fill="FFFFFF"/>
            <w:noWrap w:val="0"/>
            <w:vAlign w:val="top"/>
          </w:tcPr>
          <w:p w14:paraId="63B586BF">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i w:val="0"/>
                <w:iCs w:val="0"/>
                <w:color w:val="auto"/>
                <w:kern w:val="0"/>
                <w:sz w:val="21"/>
                <w:szCs w:val="21"/>
                <w:u w:val="none"/>
                <w:lang w:val="en-US" w:eastAsia="zh-CN" w:bidi="ar"/>
              </w:rPr>
              <w:t>▲</w:t>
            </w:r>
            <w:r>
              <w:rPr>
                <w:rFonts w:hint="eastAsia" w:ascii="宋体" w:hAnsi="宋体" w:eastAsia="宋体" w:cs="宋体"/>
                <w:b w:val="0"/>
                <w:bCs w:val="0"/>
                <w:color w:val="auto"/>
                <w:kern w:val="2"/>
                <w:sz w:val="21"/>
                <w:szCs w:val="21"/>
                <w:lang w:val="en-US" w:eastAsia="zh-CN" w:bidi="ar-SA"/>
              </w:rPr>
              <w:t>1.</w:t>
            </w:r>
            <w:r>
              <w:rPr>
                <w:rFonts w:hint="eastAsia" w:ascii="宋体" w:hAnsi="宋体" w:eastAsia="宋体" w:cs="宋体"/>
                <w:b w:val="0"/>
                <w:bCs w:val="0"/>
                <w:i w:val="0"/>
                <w:iCs w:val="0"/>
                <w:color w:val="auto"/>
                <w:kern w:val="0"/>
                <w:sz w:val="21"/>
                <w:szCs w:val="21"/>
                <w:u w:val="none"/>
                <w:lang w:val="en-US" w:eastAsia="zh-CN" w:bidi="ar"/>
              </w:rPr>
              <w:t>性能参数：网络层吞吐量≥40G，并发连接数≥600万，最大新建数≥20万/秒。</w:t>
            </w:r>
            <w:r>
              <w:rPr>
                <w:rFonts w:hint="eastAsia" w:ascii="宋体" w:hAnsi="宋体" w:eastAsia="宋体" w:cs="宋体"/>
                <w:b w:val="0"/>
                <w:bCs w:val="0"/>
                <w:color w:val="auto"/>
                <w:szCs w:val="21"/>
                <w:lang w:val="en-US" w:eastAsia="zh-CN"/>
              </w:rPr>
              <w:t>（投标时需提供厂家参数确认函、或产品彩页、或产品技术说明、或出厂检验证明作为证明材料）</w:t>
            </w:r>
          </w:p>
        </w:tc>
      </w:tr>
      <w:tr w14:paraId="23F0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continue"/>
            <w:shd w:val="clear" w:color="auto" w:fill="auto"/>
            <w:noWrap w:val="0"/>
            <w:vAlign w:val="center"/>
          </w:tcPr>
          <w:p w14:paraId="106381F9">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rPr>
            </w:pPr>
          </w:p>
        </w:tc>
        <w:tc>
          <w:tcPr>
            <w:tcW w:w="856" w:type="dxa"/>
            <w:vMerge w:val="continue"/>
            <w:shd w:val="clear" w:color="auto" w:fill="FFFFFF"/>
            <w:noWrap w:val="0"/>
            <w:vAlign w:val="center"/>
          </w:tcPr>
          <w:p w14:paraId="3A52B129">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rPr>
            </w:pPr>
          </w:p>
        </w:tc>
        <w:tc>
          <w:tcPr>
            <w:tcW w:w="6544" w:type="dxa"/>
            <w:shd w:val="clear" w:color="auto" w:fill="FFFFFF"/>
            <w:noWrap w:val="0"/>
            <w:vAlign w:val="top"/>
          </w:tcPr>
          <w:p w14:paraId="3E404313">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1"/>
                <w:szCs w:val="21"/>
              </w:rPr>
            </w:pPr>
            <w:r>
              <w:rPr>
                <w:rFonts w:hint="eastAsia" w:ascii="宋体" w:hAnsi="宋体" w:eastAsia="宋体" w:cs="宋体"/>
                <w:b w:val="0"/>
                <w:bCs w:val="0"/>
                <w:i w:val="0"/>
                <w:iCs w:val="0"/>
                <w:color w:val="auto"/>
                <w:kern w:val="0"/>
                <w:sz w:val="21"/>
                <w:szCs w:val="21"/>
                <w:u w:val="none"/>
                <w:lang w:val="en-US" w:eastAsia="zh-CN" w:bidi="ar"/>
              </w:rPr>
              <w:t>▲</w:t>
            </w:r>
            <w:r>
              <w:rPr>
                <w:rFonts w:hint="eastAsia" w:ascii="宋体" w:hAnsi="宋体" w:eastAsia="宋体" w:cs="宋体"/>
                <w:b w:val="0"/>
                <w:bCs w:val="0"/>
                <w:color w:val="auto"/>
                <w:kern w:val="2"/>
                <w:sz w:val="21"/>
                <w:szCs w:val="21"/>
                <w:lang w:val="en-US" w:eastAsia="zh-CN" w:bidi="ar-SA"/>
              </w:rPr>
              <w:t>2.</w:t>
            </w:r>
            <w:r>
              <w:rPr>
                <w:rFonts w:hint="eastAsia" w:ascii="宋体" w:hAnsi="宋体" w:eastAsia="宋体" w:cs="宋体"/>
                <w:b w:val="0"/>
                <w:bCs w:val="0"/>
                <w:i w:val="0"/>
                <w:iCs w:val="0"/>
                <w:color w:val="auto"/>
                <w:kern w:val="0"/>
                <w:sz w:val="21"/>
                <w:szCs w:val="21"/>
                <w:u w:val="none"/>
                <w:lang w:val="en-US" w:eastAsia="zh-CN" w:bidi="ar"/>
              </w:rPr>
              <w:t>硬件参数：规格≥2U，国产化CPU及操作系统，内存≥16G，硬盘≥1T SSD；冗余电源，≥4千兆电口，≥2万兆光口SFP+（配置相应万兆多模光模块）。</w:t>
            </w:r>
            <w:r>
              <w:rPr>
                <w:rFonts w:hint="eastAsia" w:ascii="宋体" w:hAnsi="宋体" w:eastAsia="宋体" w:cs="宋体"/>
                <w:b w:val="0"/>
                <w:bCs w:val="0"/>
                <w:color w:val="auto"/>
                <w:szCs w:val="21"/>
                <w:lang w:val="en-US" w:eastAsia="zh-CN"/>
              </w:rPr>
              <w:t>（投标时需提供厂家参数确认函、或产品彩页、或产品技术说明、或出厂检验证明作为证明材料）</w:t>
            </w:r>
          </w:p>
        </w:tc>
      </w:tr>
      <w:tr w14:paraId="2B4A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continue"/>
            <w:shd w:val="clear" w:color="auto" w:fill="auto"/>
            <w:noWrap w:val="0"/>
            <w:vAlign w:val="center"/>
          </w:tcPr>
          <w:p w14:paraId="2A205DA7">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kern w:val="2"/>
                <w:sz w:val="21"/>
                <w:szCs w:val="21"/>
                <w:lang w:val="en-US" w:eastAsia="zh-CN" w:bidi="ar-SA"/>
              </w:rPr>
            </w:pPr>
          </w:p>
        </w:tc>
        <w:tc>
          <w:tcPr>
            <w:tcW w:w="856" w:type="dxa"/>
            <w:vMerge w:val="continue"/>
            <w:shd w:val="clear" w:color="auto" w:fill="FFFFFF"/>
            <w:noWrap w:val="0"/>
            <w:vAlign w:val="center"/>
          </w:tcPr>
          <w:p w14:paraId="2DB5ED91">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rPr>
            </w:pPr>
          </w:p>
        </w:tc>
        <w:tc>
          <w:tcPr>
            <w:tcW w:w="6544" w:type="dxa"/>
            <w:shd w:val="clear" w:color="auto" w:fill="FFFFFF"/>
            <w:noWrap w:val="0"/>
            <w:vAlign w:val="top"/>
          </w:tcPr>
          <w:p w14:paraId="743FBAA5">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2"/>
                <w:sz w:val="21"/>
                <w:szCs w:val="21"/>
                <w:lang w:val="en-US" w:eastAsia="zh-CN" w:bidi="ar-SA"/>
              </w:rPr>
              <w:t>3.</w:t>
            </w:r>
            <w:r>
              <w:rPr>
                <w:rFonts w:hint="eastAsia" w:ascii="宋体" w:hAnsi="宋体" w:eastAsia="宋体" w:cs="宋体"/>
                <w:b w:val="0"/>
                <w:bCs w:val="0"/>
                <w:color w:val="auto"/>
                <w:sz w:val="21"/>
                <w:szCs w:val="21"/>
                <w:lang w:val="en-US" w:eastAsia="zh-CN"/>
              </w:rPr>
              <w:t>具备链路状态检测、路由、NAT、VPN、流量控制、会话控制、访问控制策略、DDoS防护、文件过滤、加密流量安全检测、防病毒、入侵防御等能力，</w:t>
            </w:r>
            <w:r>
              <w:rPr>
                <w:rFonts w:hint="eastAsia" w:ascii="宋体" w:hAnsi="宋体" w:eastAsia="宋体" w:cs="宋体"/>
                <w:b w:val="0"/>
                <w:bCs w:val="0"/>
                <w:color w:val="auto"/>
                <w:szCs w:val="21"/>
              </w:rPr>
              <w:t>能够基于IP、IPv6、MAC地址、时间进行访问控制策略控制</w:t>
            </w:r>
            <w:r>
              <w:rPr>
                <w:rFonts w:hint="eastAsia" w:ascii="宋体" w:hAnsi="宋体" w:eastAsia="宋体" w:cs="宋体"/>
                <w:b w:val="0"/>
                <w:bCs w:val="0"/>
                <w:color w:val="auto"/>
                <w:szCs w:val="21"/>
                <w:lang w:eastAsia="zh-CN"/>
              </w:rPr>
              <w:t>；</w:t>
            </w:r>
            <w:r>
              <w:rPr>
                <w:rFonts w:hint="eastAsia" w:ascii="宋体" w:hAnsi="宋体" w:eastAsia="宋体" w:cs="宋体"/>
                <w:b w:val="0"/>
                <w:bCs w:val="0"/>
                <w:color w:val="auto"/>
                <w:szCs w:val="21"/>
              </w:rPr>
              <w:t xml:space="preserve"> 支持对HTTPS，POPS，SMTPS,IMAPS加密流量解密后，并进行内容过滤，审计，安全防护。</w:t>
            </w:r>
          </w:p>
        </w:tc>
      </w:tr>
      <w:tr w14:paraId="2212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731" w:type="dxa"/>
            <w:vMerge w:val="continue"/>
            <w:shd w:val="clear" w:color="auto" w:fill="auto"/>
            <w:noWrap w:val="0"/>
            <w:vAlign w:val="center"/>
          </w:tcPr>
          <w:p w14:paraId="1EE19854">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kern w:val="2"/>
                <w:sz w:val="21"/>
                <w:szCs w:val="21"/>
                <w:lang w:val="en-US" w:eastAsia="zh-CN" w:bidi="ar-SA"/>
              </w:rPr>
            </w:pPr>
          </w:p>
        </w:tc>
        <w:tc>
          <w:tcPr>
            <w:tcW w:w="856" w:type="dxa"/>
            <w:vMerge w:val="continue"/>
            <w:shd w:val="clear" w:color="auto" w:fill="FFFFFF"/>
            <w:noWrap w:val="0"/>
            <w:vAlign w:val="center"/>
          </w:tcPr>
          <w:p w14:paraId="4CD2B0FC">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rPr>
            </w:pPr>
          </w:p>
        </w:tc>
        <w:tc>
          <w:tcPr>
            <w:tcW w:w="6544" w:type="dxa"/>
            <w:shd w:val="clear" w:color="auto" w:fill="FFFFFF"/>
            <w:noWrap w:val="0"/>
            <w:vAlign w:val="top"/>
          </w:tcPr>
          <w:p w14:paraId="2A48DF21">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kern w:val="2"/>
                <w:sz w:val="21"/>
                <w:szCs w:val="21"/>
                <w:lang w:val="en-US" w:eastAsia="zh-CN" w:bidi="ar-SA"/>
              </w:rPr>
              <w:t>4.</w:t>
            </w:r>
            <w:r>
              <w:rPr>
                <w:rFonts w:hint="eastAsia" w:ascii="宋体" w:hAnsi="宋体" w:eastAsia="宋体" w:cs="宋体"/>
                <w:b w:val="0"/>
                <w:bCs w:val="0"/>
                <w:color w:val="auto"/>
                <w:szCs w:val="21"/>
              </w:rPr>
              <w:t>支持威胁情报订阅，开启订阅后，在威胁情报分析中能够发现C&amp;C、勒索软件、僵尸网络、挖矿软件及矿池地址等记录</w:t>
            </w:r>
            <w:r>
              <w:rPr>
                <w:rFonts w:hint="eastAsia" w:ascii="宋体" w:hAnsi="宋体" w:eastAsia="宋体" w:cs="宋体"/>
                <w:b w:val="0"/>
                <w:bCs w:val="0"/>
                <w:color w:val="auto"/>
                <w:szCs w:val="21"/>
                <w:lang w:eastAsia="zh-CN"/>
              </w:rPr>
              <w:t>，</w:t>
            </w:r>
            <w:r>
              <w:rPr>
                <w:rFonts w:hint="eastAsia" w:ascii="宋体" w:hAnsi="宋体" w:eastAsia="宋体" w:cs="宋体"/>
                <w:b w:val="0"/>
                <w:bCs w:val="0"/>
                <w:color w:val="auto"/>
                <w:szCs w:val="21"/>
                <w:lang w:val="en-US" w:eastAsia="zh-CN"/>
              </w:rPr>
              <w:t>实时检测及拦截，实现失陷外联实时阻断。（投标时需提供厂家参数确认函、或产品彩页、或产品技术说明、或出厂检验证明作为证明材料）</w:t>
            </w:r>
          </w:p>
        </w:tc>
      </w:tr>
      <w:tr w14:paraId="2D3B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continue"/>
            <w:shd w:val="clear" w:color="auto" w:fill="auto"/>
            <w:noWrap w:val="0"/>
            <w:vAlign w:val="center"/>
          </w:tcPr>
          <w:p w14:paraId="2058E8F5">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kern w:val="2"/>
                <w:sz w:val="21"/>
                <w:szCs w:val="21"/>
                <w:lang w:val="en-US" w:eastAsia="zh-CN" w:bidi="ar-SA"/>
              </w:rPr>
            </w:pPr>
          </w:p>
        </w:tc>
        <w:tc>
          <w:tcPr>
            <w:tcW w:w="856" w:type="dxa"/>
            <w:vMerge w:val="continue"/>
            <w:shd w:val="clear" w:color="auto" w:fill="FFFFFF"/>
            <w:noWrap w:val="0"/>
            <w:vAlign w:val="center"/>
          </w:tcPr>
          <w:p w14:paraId="0AFE2F71">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rPr>
            </w:pPr>
          </w:p>
        </w:tc>
        <w:tc>
          <w:tcPr>
            <w:tcW w:w="6544" w:type="dxa"/>
            <w:shd w:val="clear" w:color="auto" w:fill="FFFFFF"/>
            <w:noWrap w:val="0"/>
            <w:vAlign w:val="top"/>
          </w:tcPr>
          <w:p w14:paraId="11C668F2">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2"/>
                <w:sz w:val="21"/>
                <w:szCs w:val="21"/>
                <w:lang w:val="en-US" w:eastAsia="zh-CN" w:bidi="ar-SA"/>
              </w:rPr>
              <w:t>5.</w:t>
            </w:r>
            <w:r>
              <w:rPr>
                <w:rFonts w:hint="eastAsia" w:ascii="宋体" w:hAnsi="宋体" w:eastAsia="宋体" w:cs="宋体"/>
                <w:b w:val="0"/>
                <w:bCs w:val="0"/>
                <w:color w:val="auto"/>
                <w:sz w:val="21"/>
                <w:szCs w:val="21"/>
              </w:rPr>
              <w:t>具备账号全生命周期保护功能，包括用户账号多余入口检测、用户账号弱口令检测、用户账号暴力破解检测、失陷账号检测，防止因账号被暴力破解导致的非法提权情况发生。</w:t>
            </w:r>
          </w:p>
        </w:tc>
      </w:tr>
      <w:tr w14:paraId="6DA3B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continue"/>
            <w:shd w:val="clear" w:color="auto" w:fill="auto"/>
            <w:noWrap w:val="0"/>
            <w:vAlign w:val="center"/>
          </w:tcPr>
          <w:p w14:paraId="10DDAC7F">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kern w:val="2"/>
                <w:sz w:val="21"/>
                <w:szCs w:val="21"/>
                <w:lang w:val="en-US" w:eastAsia="zh-CN" w:bidi="ar-SA"/>
              </w:rPr>
            </w:pPr>
          </w:p>
        </w:tc>
        <w:tc>
          <w:tcPr>
            <w:tcW w:w="856" w:type="dxa"/>
            <w:vMerge w:val="continue"/>
            <w:shd w:val="clear" w:color="auto" w:fill="FFFFFF"/>
            <w:noWrap w:val="0"/>
            <w:vAlign w:val="center"/>
          </w:tcPr>
          <w:p w14:paraId="46D2C3C3">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rPr>
            </w:pPr>
          </w:p>
        </w:tc>
        <w:tc>
          <w:tcPr>
            <w:tcW w:w="6544" w:type="dxa"/>
            <w:shd w:val="clear" w:color="auto" w:fill="FFFFFF"/>
            <w:noWrap w:val="0"/>
            <w:vAlign w:val="top"/>
          </w:tcPr>
          <w:p w14:paraId="175B911A">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2"/>
                <w:sz w:val="21"/>
                <w:szCs w:val="21"/>
                <w:lang w:val="en-US" w:eastAsia="zh-CN" w:bidi="ar-SA"/>
              </w:rPr>
              <w:t>6.</w:t>
            </w:r>
            <w:r>
              <w:rPr>
                <w:rFonts w:hint="eastAsia" w:ascii="宋体" w:hAnsi="宋体" w:eastAsia="宋体" w:cs="宋体"/>
                <w:b w:val="0"/>
                <w:bCs w:val="0"/>
                <w:color w:val="auto"/>
                <w:szCs w:val="21"/>
              </w:rPr>
              <w:t>IPS支持用户自定义签名规则，支持正则表达式；具备热补丁功能，可在保证业务不中断的情况下，对设备当前软件版本问题进行修复。支持勒索病毒检测与防御能力，支持账号安全防护功能。</w:t>
            </w:r>
          </w:p>
        </w:tc>
      </w:tr>
      <w:tr w14:paraId="12E87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continue"/>
            <w:shd w:val="clear" w:color="auto" w:fill="auto"/>
            <w:noWrap w:val="0"/>
            <w:vAlign w:val="center"/>
          </w:tcPr>
          <w:p w14:paraId="25D00BDD">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kern w:val="2"/>
                <w:sz w:val="21"/>
                <w:szCs w:val="21"/>
                <w:lang w:val="en-US" w:eastAsia="zh-CN" w:bidi="ar-SA"/>
              </w:rPr>
            </w:pPr>
          </w:p>
        </w:tc>
        <w:tc>
          <w:tcPr>
            <w:tcW w:w="856" w:type="dxa"/>
            <w:vMerge w:val="continue"/>
            <w:shd w:val="clear" w:color="auto" w:fill="FFFFFF"/>
            <w:noWrap w:val="0"/>
            <w:vAlign w:val="center"/>
          </w:tcPr>
          <w:p w14:paraId="2DCD9EAE">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rPr>
            </w:pPr>
          </w:p>
        </w:tc>
        <w:tc>
          <w:tcPr>
            <w:tcW w:w="6544" w:type="dxa"/>
            <w:shd w:val="clear" w:color="auto" w:fill="FFFFFF"/>
            <w:noWrap w:val="0"/>
            <w:vAlign w:val="top"/>
          </w:tcPr>
          <w:p w14:paraId="4C60DA4B">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w:t>
            </w:r>
            <w:r>
              <w:rPr>
                <w:rFonts w:hint="eastAsia" w:ascii="宋体" w:hAnsi="宋体" w:eastAsia="宋体" w:cs="宋体"/>
                <w:b w:val="0"/>
                <w:bCs w:val="0"/>
                <w:color w:val="auto"/>
                <w:kern w:val="2"/>
                <w:sz w:val="21"/>
                <w:szCs w:val="21"/>
                <w:lang w:val="en-US" w:eastAsia="zh-CN" w:bidi="ar-SA"/>
              </w:rPr>
              <w:t>7.</w:t>
            </w:r>
            <w:r>
              <w:rPr>
                <w:rFonts w:hint="eastAsia" w:ascii="宋体" w:hAnsi="宋体" w:eastAsia="宋体" w:cs="宋体"/>
                <w:b w:val="0"/>
                <w:bCs w:val="0"/>
                <w:color w:val="auto"/>
                <w:szCs w:val="21"/>
              </w:rPr>
              <w:t>支持双机主从热备功能，双机切换不丢包。在双机部署场景下支持升级过程网络不中断。（投标时需提供厂家参数确认函</w:t>
            </w:r>
            <w:r>
              <w:rPr>
                <w:rFonts w:hint="eastAsia" w:ascii="宋体" w:hAnsi="宋体" w:eastAsia="宋体" w:cs="宋体"/>
                <w:b w:val="0"/>
                <w:bCs w:val="0"/>
                <w:color w:val="auto"/>
                <w:szCs w:val="21"/>
                <w:lang w:eastAsia="zh-CN"/>
              </w:rPr>
              <w:t>、</w:t>
            </w:r>
            <w:r>
              <w:rPr>
                <w:rFonts w:hint="eastAsia" w:ascii="宋体" w:hAnsi="宋体" w:eastAsia="宋体" w:cs="宋体"/>
                <w:b w:val="0"/>
                <w:bCs w:val="0"/>
                <w:color w:val="auto"/>
                <w:szCs w:val="21"/>
              </w:rPr>
              <w:t>或产品彩页</w:t>
            </w:r>
            <w:r>
              <w:rPr>
                <w:rFonts w:hint="eastAsia" w:ascii="宋体" w:hAnsi="宋体" w:eastAsia="宋体" w:cs="宋体"/>
                <w:b w:val="0"/>
                <w:bCs w:val="0"/>
                <w:color w:val="auto"/>
                <w:szCs w:val="21"/>
                <w:lang w:eastAsia="zh-CN"/>
              </w:rPr>
              <w:t>、</w:t>
            </w:r>
            <w:r>
              <w:rPr>
                <w:rFonts w:hint="eastAsia" w:ascii="宋体" w:hAnsi="宋体" w:eastAsia="宋体" w:cs="宋体"/>
                <w:b w:val="0"/>
                <w:bCs w:val="0"/>
                <w:color w:val="auto"/>
                <w:szCs w:val="21"/>
              </w:rPr>
              <w:t>或产品技术说明</w:t>
            </w:r>
            <w:r>
              <w:rPr>
                <w:rFonts w:hint="eastAsia" w:ascii="宋体" w:hAnsi="宋体" w:eastAsia="宋体" w:cs="宋体"/>
                <w:b w:val="0"/>
                <w:bCs w:val="0"/>
                <w:color w:val="auto"/>
                <w:szCs w:val="21"/>
                <w:lang w:eastAsia="zh-CN"/>
              </w:rPr>
              <w:t>、</w:t>
            </w:r>
            <w:r>
              <w:rPr>
                <w:rFonts w:hint="eastAsia" w:ascii="宋体" w:hAnsi="宋体" w:eastAsia="宋体" w:cs="宋体"/>
                <w:b w:val="0"/>
                <w:bCs w:val="0"/>
                <w:color w:val="auto"/>
                <w:szCs w:val="21"/>
              </w:rPr>
              <w:t>或出厂检验证明</w:t>
            </w:r>
            <w:r>
              <w:rPr>
                <w:rFonts w:hint="eastAsia" w:ascii="宋体" w:hAnsi="宋体" w:eastAsia="宋体" w:cs="宋体"/>
                <w:b w:val="0"/>
                <w:bCs w:val="0"/>
                <w:color w:val="auto"/>
                <w:szCs w:val="21"/>
                <w:lang w:val="en-US" w:eastAsia="zh-CN"/>
              </w:rPr>
              <w:t>作为证明材料</w:t>
            </w:r>
            <w:r>
              <w:rPr>
                <w:rFonts w:hint="eastAsia" w:ascii="宋体" w:hAnsi="宋体" w:eastAsia="宋体" w:cs="宋体"/>
                <w:b w:val="0"/>
                <w:bCs w:val="0"/>
                <w:color w:val="auto"/>
                <w:szCs w:val="21"/>
              </w:rPr>
              <w:t>）</w:t>
            </w:r>
          </w:p>
        </w:tc>
      </w:tr>
      <w:tr w14:paraId="66728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continue"/>
            <w:shd w:val="clear" w:color="auto" w:fill="auto"/>
            <w:noWrap w:val="0"/>
            <w:vAlign w:val="center"/>
          </w:tcPr>
          <w:p w14:paraId="6A0F9054">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kern w:val="2"/>
                <w:sz w:val="21"/>
                <w:szCs w:val="21"/>
                <w:lang w:val="en-US" w:eastAsia="zh-CN" w:bidi="ar-SA"/>
              </w:rPr>
            </w:pPr>
          </w:p>
        </w:tc>
        <w:tc>
          <w:tcPr>
            <w:tcW w:w="856" w:type="dxa"/>
            <w:vMerge w:val="continue"/>
            <w:shd w:val="clear" w:color="auto" w:fill="FFFFFF"/>
            <w:noWrap w:val="0"/>
            <w:vAlign w:val="center"/>
          </w:tcPr>
          <w:p w14:paraId="1A2DEBDD">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rPr>
            </w:pPr>
          </w:p>
        </w:tc>
        <w:tc>
          <w:tcPr>
            <w:tcW w:w="6544" w:type="dxa"/>
            <w:shd w:val="clear" w:color="auto" w:fill="FFFFFF"/>
            <w:noWrap w:val="0"/>
            <w:vAlign w:val="top"/>
          </w:tcPr>
          <w:p w14:paraId="5D6EDC98">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kern w:val="2"/>
                <w:sz w:val="21"/>
                <w:szCs w:val="21"/>
                <w:lang w:val="en-US" w:eastAsia="zh-CN" w:bidi="ar-SA"/>
              </w:rPr>
              <w:t>8.</w:t>
            </w:r>
            <w:r>
              <w:rPr>
                <w:rFonts w:hint="eastAsia" w:ascii="宋体" w:hAnsi="宋体" w:eastAsia="宋体" w:cs="宋体"/>
                <w:b w:val="0"/>
                <w:bCs w:val="0"/>
                <w:color w:val="auto"/>
                <w:sz w:val="21"/>
                <w:szCs w:val="21"/>
              </w:rPr>
              <w:t>包含六年</w:t>
            </w:r>
            <w:r>
              <w:rPr>
                <w:rFonts w:hint="eastAsia" w:ascii="宋体" w:hAnsi="宋体" w:eastAsia="宋体" w:cs="宋体"/>
                <w:b w:val="0"/>
                <w:bCs w:val="0"/>
                <w:color w:val="auto"/>
                <w:sz w:val="21"/>
                <w:szCs w:val="21"/>
                <w:lang w:eastAsia="zh-CN"/>
              </w:rPr>
              <w:t>或以上</w:t>
            </w:r>
            <w:r>
              <w:rPr>
                <w:rFonts w:hint="eastAsia" w:ascii="宋体" w:hAnsi="宋体" w:eastAsia="宋体" w:cs="宋体"/>
                <w:b w:val="0"/>
                <w:bCs w:val="0"/>
                <w:color w:val="auto"/>
                <w:sz w:val="21"/>
                <w:szCs w:val="21"/>
              </w:rPr>
              <w:t>WEB应用防护识别库、IPS特征库、僵尸网络防护库、URL&amp;应用识别库</w:t>
            </w:r>
            <w:r>
              <w:rPr>
                <w:rFonts w:hint="eastAsia" w:ascii="宋体" w:hAnsi="宋体" w:eastAsia="宋体" w:cs="宋体"/>
                <w:b w:val="0"/>
                <w:bCs w:val="0"/>
                <w:color w:val="auto"/>
                <w:sz w:val="21"/>
                <w:szCs w:val="21"/>
                <w:lang w:eastAsia="zh-CN"/>
              </w:rPr>
              <w:t>、病毒库</w:t>
            </w:r>
            <w:r>
              <w:rPr>
                <w:rFonts w:hint="eastAsia" w:ascii="宋体" w:hAnsi="宋体" w:eastAsia="宋体" w:cs="宋体"/>
                <w:b w:val="0"/>
                <w:bCs w:val="0"/>
                <w:color w:val="auto"/>
                <w:sz w:val="21"/>
                <w:szCs w:val="21"/>
              </w:rPr>
              <w:t>定期更新，保持设备具备检测防御最新威胁的能力，持续获得最新的功能特性和防护能力；提供六年</w:t>
            </w:r>
            <w:r>
              <w:rPr>
                <w:rFonts w:hint="eastAsia"/>
                <w:lang w:eastAsia="zh-CN"/>
              </w:rPr>
              <w:t>或以上</w:t>
            </w:r>
            <w:r>
              <w:rPr>
                <w:rFonts w:hint="eastAsia" w:ascii="宋体" w:hAnsi="宋体" w:eastAsia="宋体" w:cs="宋体"/>
                <w:b w:val="0"/>
                <w:bCs w:val="0"/>
                <w:color w:val="auto"/>
                <w:sz w:val="21"/>
                <w:szCs w:val="21"/>
              </w:rPr>
              <w:t>硬件设备故障返厂维修服务。</w:t>
            </w:r>
            <w:r>
              <w:rPr>
                <w:rFonts w:hint="eastAsia" w:ascii="宋体" w:hAnsi="宋体" w:eastAsia="宋体" w:cs="宋体"/>
                <w:b w:val="0"/>
                <w:bCs w:val="0"/>
                <w:color w:val="auto"/>
                <w:szCs w:val="21"/>
                <w:lang w:val="en-US" w:eastAsia="zh-CN"/>
              </w:rPr>
              <w:t>（投标时需提供厂家参数确认函、或产品彩页、或产品技术说明、或出厂检验证明作为证明材料）</w:t>
            </w:r>
          </w:p>
        </w:tc>
      </w:tr>
      <w:tr w14:paraId="049E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restart"/>
            <w:shd w:val="clear" w:color="auto" w:fill="auto"/>
            <w:noWrap w:val="0"/>
            <w:vAlign w:val="center"/>
          </w:tcPr>
          <w:p w14:paraId="57349BAE">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w:t>
            </w:r>
          </w:p>
        </w:tc>
        <w:tc>
          <w:tcPr>
            <w:tcW w:w="856" w:type="dxa"/>
            <w:vMerge w:val="restart"/>
            <w:shd w:val="clear" w:color="auto" w:fill="FFFFFF"/>
            <w:noWrap w:val="0"/>
            <w:vAlign w:val="center"/>
          </w:tcPr>
          <w:p w14:paraId="0E42770D">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上网行为管理</w:t>
            </w:r>
          </w:p>
        </w:tc>
        <w:tc>
          <w:tcPr>
            <w:tcW w:w="6544" w:type="dxa"/>
            <w:shd w:val="clear" w:color="auto" w:fill="FFFFFF"/>
            <w:noWrap w:val="0"/>
            <w:vAlign w:val="top"/>
          </w:tcPr>
          <w:p w14:paraId="71D64984">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kern w:val="2"/>
                <w:sz w:val="21"/>
                <w:szCs w:val="21"/>
                <w:lang w:val="en-US" w:eastAsia="zh-CN" w:bidi="ar-SA"/>
              </w:rPr>
              <w:t>1.</w:t>
            </w:r>
            <w:r>
              <w:rPr>
                <w:rFonts w:hint="eastAsia" w:ascii="宋体" w:hAnsi="宋体" w:eastAsia="宋体" w:cs="宋体"/>
                <w:b w:val="0"/>
                <w:bCs w:val="0"/>
                <w:color w:val="auto"/>
                <w:sz w:val="21"/>
                <w:szCs w:val="21"/>
              </w:rPr>
              <w:t>性能参数：网络层吞吐量≥20Gb，应用层吞吐量≥6Gb，带宽≥4Gb，支持用户数≥40000</w:t>
            </w:r>
            <w:r>
              <w:rPr>
                <w:rFonts w:hint="eastAsia" w:ascii="宋体" w:hAnsi="宋体" w:eastAsia="宋体" w:cs="宋体"/>
                <w:b w:val="0"/>
                <w:bCs w:val="0"/>
                <w:color w:val="auto"/>
                <w:sz w:val="21"/>
                <w:szCs w:val="21"/>
                <w:lang w:eastAsia="zh-CN"/>
              </w:rPr>
              <w:t>。</w:t>
            </w:r>
          </w:p>
        </w:tc>
      </w:tr>
      <w:tr w14:paraId="7EFAF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continue"/>
            <w:shd w:val="clear" w:color="auto" w:fill="auto"/>
            <w:noWrap w:val="0"/>
            <w:vAlign w:val="center"/>
          </w:tcPr>
          <w:p w14:paraId="2C94D3E9">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sz w:val="21"/>
                <w:szCs w:val="21"/>
                <w:lang w:val="en-US" w:eastAsia="zh-CN"/>
              </w:rPr>
            </w:pPr>
          </w:p>
        </w:tc>
        <w:tc>
          <w:tcPr>
            <w:tcW w:w="856" w:type="dxa"/>
            <w:vMerge w:val="continue"/>
            <w:shd w:val="clear" w:color="auto" w:fill="FFFFFF"/>
            <w:noWrap w:val="0"/>
            <w:vAlign w:val="center"/>
          </w:tcPr>
          <w:p w14:paraId="2FFDAB4D">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lang w:val="en-US" w:eastAsia="zh-CN"/>
              </w:rPr>
            </w:pPr>
          </w:p>
        </w:tc>
        <w:tc>
          <w:tcPr>
            <w:tcW w:w="6544" w:type="dxa"/>
            <w:shd w:val="clear" w:color="auto" w:fill="FFFFFF"/>
            <w:noWrap w:val="0"/>
            <w:vAlign w:val="top"/>
          </w:tcPr>
          <w:p w14:paraId="77D1F7F3">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kern w:val="2"/>
                <w:sz w:val="21"/>
                <w:szCs w:val="21"/>
                <w:lang w:val="en-US" w:eastAsia="zh-CN" w:bidi="ar-SA"/>
              </w:rPr>
              <w:t>2.</w:t>
            </w:r>
            <w:r>
              <w:rPr>
                <w:rFonts w:hint="eastAsia" w:ascii="宋体" w:hAnsi="宋体" w:eastAsia="宋体" w:cs="宋体"/>
                <w:b w:val="0"/>
                <w:bCs w:val="0"/>
                <w:color w:val="auto"/>
                <w:sz w:val="21"/>
                <w:szCs w:val="21"/>
              </w:rPr>
              <w:t>硬件参数：规格≥2U，</w:t>
            </w:r>
            <w:r>
              <w:rPr>
                <w:rFonts w:hint="eastAsia" w:ascii="宋体" w:hAnsi="宋体" w:eastAsia="宋体" w:cs="宋体"/>
                <w:b w:val="0"/>
                <w:bCs w:val="0"/>
                <w:color w:val="auto"/>
                <w:sz w:val="21"/>
                <w:szCs w:val="21"/>
                <w:lang w:val="en-US" w:eastAsia="zh-CN"/>
              </w:rPr>
              <w:t>国产化CPU及操作系统，</w:t>
            </w:r>
            <w:r>
              <w:rPr>
                <w:rFonts w:hint="eastAsia" w:ascii="宋体" w:hAnsi="宋体" w:eastAsia="宋体" w:cs="宋体"/>
                <w:b w:val="0"/>
                <w:bCs w:val="0"/>
                <w:color w:val="auto"/>
                <w:sz w:val="21"/>
                <w:szCs w:val="21"/>
              </w:rPr>
              <w:t>内存≥32G，硬盘≥128G SSD</w:t>
            </w:r>
            <w:r>
              <w:rPr>
                <w:rFonts w:hint="eastAsia" w:ascii="宋体" w:hAnsi="宋体" w:eastAsia="宋体" w:cs="宋体"/>
                <w:b w:val="0"/>
                <w:bCs w:val="0"/>
                <w:color w:val="auto"/>
                <w:sz w:val="21"/>
                <w:szCs w:val="21"/>
                <w:lang w:eastAsia="zh-CN"/>
              </w:rPr>
              <w:t>系统盘</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960G日志存储盘</w:t>
            </w:r>
            <w:r>
              <w:rPr>
                <w:rFonts w:hint="eastAsia" w:ascii="宋体" w:hAnsi="宋体" w:eastAsia="宋体" w:cs="宋体"/>
                <w:b w:val="0"/>
                <w:bCs w:val="0"/>
                <w:color w:val="auto"/>
                <w:sz w:val="21"/>
                <w:szCs w:val="21"/>
              </w:rPr>
              <w:t>，冗余电源，≥4千兆电口，≥4千兆光口SFP，≥2万兆光口SFP+</w:t>
            </w:r>
            <w:r>
              <w:rPr>
                <w:rFonts w:hint="eastAsia" w:ascii="宋体" w:hAnsi="宋体" w:eastAsia="宋体" w:cs="宋体"/>
                <w:b w:val="0"/>
                <w:bCs w:val="0"/>
                <w:color w:val="auto"/>
                <w:sz w:val="21"/>
                <w:szCs w:val="21"/>
                <w:lang w:val="en-US" w:eastAsia="zh-CN"/>
              </w:rPr>
              <w:t>（配置相应万兆多模光模块）。</w:t>
            </w:r>
            <w:r>
              <w:rPr>
                <w:rFonts w:hint="eastAsia" w:ascii="宋体" w:hAnsi="宋体" w:eastAsia="宋体" w:cs="宋体"/>
                <w:b w:val="0"/>
                <w:bCs w:val="0"/>
                <w:color w:val="auto"/>
                <w:szCs w:val="21"/>
                <w:lang w:val="en-US" w:eastAsia="zh-CN"/>
              </w:rPr>
              <w:t>（投标时需提供厂家参数确认函、或产品彩页、或产品技术说明、或出厂检验证明作为证明材料）</w:t>
            </w:r>
          </w:p>
        </w:tc>
      </w:tr>
      <w:tr w14:paraId="3EC4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continue"/>
            <w:shd w:val="clear" w:color="auto" w:fill="auto"/>
            <w:noWrap w:val="0"/>
            <w:vAlign w:val="center"/>
          </w:tcPr>
          <w:p w14:paraId="48A91B0C">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sz w:val="21"/>
                <w:szCs w:val="21"/>
                <w:lang w:val="en-US" w:eastAsia="zh-CN"/>
              </w:rPr>
            </w:pPr>
          </w:p>
        </w:tc>
        <w:tc>
          <w:tcPr>
            <w:tcW w:w="856" w:type="dxa"/>
            <w:vMerge w:val="continue"/>
            <w:shd w:val="clear" w:color="auto" w:fill="FFFFFF"/>
            <w:noWrap w:val="0"/>
            <w:vAlign w:val="center"/>
          </w:tcPr>
          <w:p w14:paraId="22AB4DF7">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lang w:val="en-US" w:eastAsia="zh-CN"/>
              </w:rPr>
            </w:pPr>
          </w:p>
        </w:tc>
        <w:tc>
          <w:tcPr>
            <w:tcW w:w="6544" w:type="dxa"/>
            <w:shd w:val="clear" w:color="auto" w:fill="FFFFFF"/>
            <w:noWrap w:val="0"/>
            <w:vAlign w:val="top"/>
          </w:tcPr>
          <w:p w14:paraId="556B9A74">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kern w:val="2"/>
                <w:sz w:val="21"/>
                <w:szCs w:val="21"/>
                <w:lang w:val="en-US" w:eastAsia="zh-CN" w:bidi="ar-SA"/>
              </w:rPr>
              <w:t>3.</w:t>
            </w:r>
            <w:r>
              <w:rPr>
                <w:rFonts w:hint="eastAsia" w:ascii="宋体" w:hAnsi="宋体" w:eastAsia="宋体" w:cs="宋体"/>
                <w:b w:val="0"/>
                <w:bCs w:val="0"/>
                <w:color w:val="auto"/>
                <w:sz w:val="21"/>
                <w:szCs w:val="21"/>
                <w:lang w:val="en-US" w:eastAsia="zh-CN"/>
              </w:rPr>
              <w:t>状态信息显示要求：参照GB/T25000.51-2016要求，检测系统的状态信息显示能力，检测结果：支持首页显示在线用户、流量分析、行为日志分析、应用流量排名、用户流量排名、资产类型分布、新设备发现趋势、TOP违规检查项、TOP违规用户、行为风险分析包括：泄密风险、终端接入、上网安全、系统状态、接入状态。（投标时需提供厂家参数确认函、或产品彩页、或产品技术说明、或出厂检验证明作为证明材料）</w:t>
            </w:r>
          </w:p>
        </w:tc>
      </w:tr>
      <w:tr w14:paraId="6862D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continue"/>
            <w:shd w:val="clear" w:color="auto" w:fill="auto"/>
            <w:noWrap w:val="0"/>
            <w:vAlign w:val="center"/>
          </w:tcPr>
          <w:p w14:paraId="1CAE484C">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sz w:val="21"/>
                <w:szCs w:val="21"/>
                <w:lang w:val="en-US" w:eastAsia="zh-CN"/>
              </w:rPr>
            </w:pPr>
          </w:p>
        </w:tc>
        <w:tc>
          <w:tcPr>
            <w:tcW w:w="856" w:type="dxa"/>
            <w:vMerge w:val="continue"/>
            <w:shd w:val="clear" w:color="auto" w:fill="FFFFFF"/>
            <w:noWrap w:val="0"/>
            <w:vAlign w:val="center"/>
          </w:tcPr>
          <w:p w14:paraId="65F4B7A8">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lang w:val="en-US" w:eastAsia="zh-CN"/>
              </w:rPr>
            </w:pPr>
          </w:p>
        </w:tc>
        <w:tc>
          <w:tcPr>
            <w:tcW w:w="6544" w:type="dxa"/>
            <w:shd w:val="clear" w:color="auto" w:fill="FFFFFF"/>
            <w:noWrap w:val="0"/>
            <w:vAlign w:val="top"/>
          </w:tcPr>
          <w:p w14:paraId="663FFAE8">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i w:val="0"/>
                <w:iCs w:val="0"/>
                <w:color w:val="auto"/>
                <w:kern w:val="0"/>
                <w:sz w:val="21"/>
                <w:szCs w:val="21"/>
                <w:u w:val="none"/>
                <w:lang w:val="en-US" w:eastAsia="zh-CN" w:bidi="ar"/>
              </w:rPr>
              <w:t>▲</w:t>
            </w:r>
            <w:r>
              <w:rPr>
                <w:rFonts w:hint="eastAsia" w:ascii="宋体" w:hAnsi="宋体" w:eastAsia="宋体" w:cs="宋体"/>
                <w:b w:val="0"/>
                <w:bCs w:val="0"/>
                <w:color w:val="auto"/>
                <w:kern w:val="2"/>
                <w:sz w:val="21"/>
                <w:szCs w:val="21"/>
                <w:lang w:val="en-US" w:eastAsia="zh-CN" w:bidi="ar-SA"/>
              </w:rPr>
              <w:t>4.</w:t>
            </w:r>
            <w:r>
              <w:rPr>
                <w:rFonts w:hint="eastAsia" w:ascii="宋体" w:hAnsi="宋体" w:eastAsia="宋体" w:cs="宋体"/>
                <w:b w:val="0"/>
                <w:bCs w:val="0"/>
                <w:i w:val="0"/>
                <w:iCs w:val="0"/>
                <w:color w:val="auto"/>
                <w:kern w:val="0"/>
                <w:sz w:val="21"/>
                <w:szCs w:val="21"/>
                <w:u w:val="none"/>
                <w:lang w:val="en-US" w:eastAsia="zh-CN" w:bidi="ar"/>
              </w:rPr>
              <w:t>动态流量调整要求：参照</w:t>
            </w:r>
            <w:r>
              <w:rPr>
                <w:rFonts w:hint="eastAsia" w:ascii="宋体" w:hAnsi="宋体" w:eastAsia="宋体" w:cs="宋体"/>
                <w:b w:val="0"/>
                <w:bCs w:val="0"/>
                <w:color w:val="auto"/>
                <w:sz w:val="21"/>
                <w:szCs w:val="21"/>
                <w:lang w:val="en-US" w:eastAsia="zh-CN"/>
              </w:rPr>
              <w:t>GB/T25000.51-2016要求，检测系统的动态流量调整能力，</w:t>
            </w:r>
            <w:r>
              <w:rPr>
                <w:rFonts w:hint="eastAsia" w:ascii="宋体" w:hAnsi="宋体" w:eastAsia="宋体" w:cs="宋体"/>
                <w:b w:val="0"/>
                <w:bCs w:val="0"/>
                <w:i w:val="0"/>
                <w:iCs w:val="0"/>
                <w:color w:val="auto"/>
                <w:kern w:val="0"/>
                <w:sz w:val="21"/>
                <w:szCs w:val="21"/>
                <w:u w:val="none"/>
                <w:lang w:val="en-US" w:eastAsia="zh-CN" w:bidi="ar"/>
              </w:rPr>
              <w:t>在设置流量策略后根据整体线路或者某流量通道内的空闲情况，自动启用和停止使用流量控制策略以提升带宽的高使用率，线路空闲值可自定义。（投标时需提供厂家参数确认函、或产品彩页、或产品技术说明、或出厂检验证明作为证明材料）</w:t>
            </w:r>
          </w:p>
        </w:tc>
      </w:tr>
      <w:tr w14:paraId="2889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31" w:type="dxa"/>
            <w:vMerge w:val="continue"/>
            <w:shd w:val="clear" w:color="auto" w:fill="auto"/>
            <w:noWrap w:val="0"/>
            <w:vAlign w:val="center"/>
          </w:tcPr>
          <w:p w14:paraId="3B5F46C8">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sz w:val="21"/>
                <w:szCs w:val="21"/>
                <w:lang w:val="en-US" w:eastAsia="zh-CN"/>
              </w:rPr>
            </w:pPr>
          </w:p>
        </w:tc>
        <w:tc>
          <w:tcPr>
            <w:tcW w:w="856" w:type="dxa"/>
            <w:vMerge w:val="continue"/>
            <w:shd w:val="clear" w:color="auto" w:fill="FFFFFF"/>
            <w:noWrap w:val="0"/>
            <w:vAlign w:val="center"/>
          </w:tcPr>
          <w:p w14:paraId="5BF5F7D4">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lang w:val="en-US" w:eastAsia="zh-CN"/>
              </w:rPr>
            </w:pPr>
          </w:p>
        </w:tc>
        <w:tc>
          <w:tcPr>
            <w:tcW w:w="6544" w:type="dxa"/>
            <w:shd w:val="clear" w:color="auto" w:fill="FFFFFF"/>
            <w:noWrap w:val="0"/>
            <w:vAlign w:val="top"/>
          </w:tcPr>
          <w:p w14:paraId="621EDD74">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5.</w:t>
            </w:r>
            <w:r>
              <w:rPr>
                <w:rFonts w:hint="eastAsia" w:ascii="宋体" w:hAnsi="宋体" w:eastAsia="宋体" w:cs="宋体"/>
                <w:b w:val="0"/>
                <w:bCs w:val="0"/>
                <w:color w:val="auto"/>
                <w:sz w:val="21"/>
                <w:szCs w:val="21"/>
              </w:rPr>
              <w:t>支持账号密码+动态令牌（Authenticator APP）验证码身份认证，支持通过短信和密码绑定动态令牌。</w:t>
            </w:r>
          </w:p>
        </w:tc>
      </w:tr>
      <w:tr w14:paraId="7AD6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continue"/>
            <w:shd w:val="clear" w:color="auto" w:fill="auto"/>
            <w:noWrap w:val="0"/>
            <w:vAlign w:val="center"/>
          </w:tcPr>
          <w:p w14:paraId="5F56F9D0">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sz w:val="21"/>
                <w:szCs w:val="21"/>
                <w:lang w:val="en-US" w:eastAsia="zh-CN"/>
              </w:rPr>
            </w:pPr>
          </w:p>
        </w:tc>
        <w:tc>
          <w:tcPr>
            <w:tcW w:w="856" w:type="dxa"/>
            <w:vMerge w:val="continue"/>
            <w:shd w:val="clear" w:color="auto" w:fill="FFFFFF"/>
            <w:noWrap w:val="0"/>
            <w:vAlign w:val="center"/>
          </w:tcPr>
          <w:p w14:paraId="15C71F27">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lang w:val="en-US" w:eastAsia="zh-CN"/>
              </w:rPr>
            </w:pPr>
          </w:p>
        </w:tc>
        <w:tc>
          <w:tcPr>
            <w:tcW w:w="6544" w:type="dxa"/>
            <w:shd w:val="clear" w:color="auto" w:fill="FFFFFF"/>
            <w:noWrap w:val="0"/>
            <w:vAlign w:val="top"/>
          </w:tcPr>
          <w:p w14:paraId="3CAD4F69">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6.</w:t>
            </w:r>
            <w:r>
              <w:rPr>
                <w:rFonts w:hint="eastAsia" w:ascii="宋体" w:hAnsi="宋体" w:eastAsia="宋体" w:cs="宋体"/>
                <w:b w:val="0"/>
                <w:bCs w:val="0"/>
                <w:color w:val="auto"/>
                <w:sz w:val="21"/>
                <w:szCs w:val="21"/>
              </w:rPr>
              <w:t>Web访问质量检测，针对内网用户的web访问质量进行检测，对整体网络提供清晰的整体网络质量评级</w:t>
            </w:r>
            <w:r>
              <w:rPr>
                <w:rFonts w:hint="eastAsia" w:ascii="宋体" w:hAnsi="宋体" w:eastAsia="宋体" w:cs="宋体"/>
                <w:b w:val="0"/>
                <w:bCs w:val="0"/>
                <w:color w:val="auto"/>
                <w:szCs w:val="21"/>
              </w:rPr>
              <w:t>。</w:t>
            </w:r>
          </w:p>
        </w:tc>
      </w:tr>
      <w:tr w14:paraId="2603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continue"/>
            <w:shd w:val="clear" w:color="auto" w:fill="auto"/>
            <w:noWrap w:val="0"/>
            <w:vAlign w:val="center"/>
          </w:tcPr>
          <w:p w14:paraId="3DA41C00">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sz w:val="21"/>
                <w:szCs w:val="21"/>
                <w:lang w:val="en-US" w:eastAsia="zh-CN"/>
              </w:rPr>
            </w:pPr>
          </w:p>
        </w:tc>
        <w:tc>
          <w:tcPr>
            <w:tcW w:w="856" w:type="dxa"/>
            <w:vMerge w:val="continue"/>
            <w:shd w:val="clear" w:color="auto" w:fill="FFFFFF"/>
            <w:noWrap w:val="0"/>
            <w:vAlign w:val="center"/>
          </w:tcPr>
          <w:p w14:paraId="3760E6D8">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lang w:val="en-US" w:eastAsia="zh-CN"/>
              </w:rPr>
            </w:pPr>
          </w:p>
        </w:tc>
        <w:tc>
          <w:tcPr>
            <w:tcW w:w="6544" w:type="dxa"/>
            <w:shd w:val="clear" w:color="auto" w:fill="FFFFFF"/>
            <w:noWrap w:val="0"/>
            <w:vAlign w:val="top"/>
          </w:tcPr>
          <w:p w14:paraId="216C0303">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kern w:val="2"/>
                <w:sz w:val="21"/>
                <w:szCs w:val="21"/>
                <w:lang w:val="en-US" w:eastAsia="zh-CN" w:bidi="ar-SA"/>
              </w:rPr>
              <w:t>7.</w:t>
            </w:r>
            <w:r>
              <w:rPr>
                <w:rFonts w:hint="eastAsia" w:ascii="宋体" w:hAnsi="宋体" w:eastAsia="宋体" w:cs="宋体"/>
                <w:b w:val="0"/>
                <w:bCs w:val="0"/>
                <w:color w:val="auto"/>
                <w:sz w:val="21"/>
                <w:szCs w:val="21"/>
              </w:rPr>
              <w:t>设备内置应用识别规则库，支持超过9000种</w:t>
            </w:r>
            <w:r>
              <w:rPr>
                <w:rFonts w:hint="eastAsia" w:ascii="宋体" w:hAnsi="宋体" w:eastAsia="宋体" w:cs="宋体"/>
                <w:b w:val="0"/>
                <w:bCs w:val="0"/>
                <w:color w:val="auto"/>
                <w:sz w:val="21"/>
                <w:szCs w:val="21"/>
                <w:lang w:eastAsia="zh-CN"/>
              </w:rPr>
              <w:t>及</w:t>
            </w:r>
            <w:r>
              <w:rPr>
                <w:rFonts w:hint="eastAsia" w:ascii="宋体" w:hAnsi="宋体" w:eastAsia="宋体" w:cs="宋体"/>
                <w:b w:val="0"/>
                <w:bCs w:val="0"/>
                <w:color w:val="auto"/>
                <w:sz w:val="21"/>
                <w:szCs w:val="21"/>
              </w:rPr>
              <w:t>以上应用规则数、支持超过6000种</w:t>
            </w:r>
            <w:r>
              <w:rPr>
                <w:rFonts w:hint="eastAsia" w:ascii="宋体" w:hAnsi="宋体" w:eastAsia="宋体" w:cs="宋体"/>
                <w:b w:val="0"/>
                <w:bCs w:val="0"/>
                <w:color w:val="auto"/>
                <w:sz w:val="21"/>
                <w:szCs w:val="21"/>
                <w:lang w:eastAsia="zh-CN"/>
              </w:rPr>
              <w:t>及</w:t>
            </w:r>
            <w:r>
              <w:rPr>
                <w:rFonts w:hint="eastAsia" w:ascii="宋体" w:hAnsi="宋体" w:eastAsia="宋体" w:cs="宋体"/>
                <w:b w:val="0"/>
                <w:bCs w:val="0"/>
                <w:color w:val="auto"/>
                <w:sz w:val="21"/>
                <w:szCs w:val="21"/>
              </w:rPr>
              <w:t>以上的应用；支持根据标签选择应用，并支持给每个应用自定义标签；支持根据标签选择一类应用做控制；支持超过900种</w:t>
            </w:r>
            <w:r>
              <w:rPr>
                <w:rFonts w:hint="eastAsia" w:ascii="宋体" w:hAnsi="宋体" w:eastAsia="宋体" w:cs="宋体"/>
                <w:b w:val="0"/>
                <w:bCs w:val="0"/>
                <w:color w:val="auto"/>
                <w:sz w:val="21"/>
                <w:szCs w:val="21"/>
                <w:lang w:eastAsia="zh-CN"/>
              </w:rPr>
              <w:t>及以上</w:t>
            </w:r>
            <w:r>
              <w:rPr>
                <w:rFonts w:hint="eastAsia" w:ascii="宋体" w:hAnsi="宋体" w:eastAsia="宋体" w:cs="宋体"/>
                <w:b w:val="0"/>
                <w:bCs w:val="0"/>
                <w:color w:val="auto"/>
                <w:sz w:val="21"/>
                <w:szCs w:val="21"/>
              </w:rPr>
              <w:t>主流Saas应用，对Saas应用有默认分类标签，帮助客户统一配置策略</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（投标时需提供厂家参数确认函、或产品彩页、或产品技术说明、或出厂检验证明作为证明材料）</w:t>
            </w:r>
          </w:p>
        </w:tc>
      </w:tr>
      <w:tr w14:paraId="55287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continue"/>
            <w:shd w:val="clear" w:color="auto" w:fill="auto"/>
            <w:noWrap w:val="0"/>
            <w:vAlign w:val="center"/>
          </w:tcPr>
          <w:p w14:paraId="2F986F21">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sz w:val="21"/>
                <w:szCs w:val="21"/>
                <w:lang w:val="en-US" w:eastAsia="zh-CN"/>
              </w:rPr>
            </w:pPr>
          </w:p>
        </w:tc>
        <w:tc>
          <w:tcPr>
            <w:tcW w:w="856" w:type="dxa"/>
            <w:vMerge w:val="continue"/>
            <w:shd w:val="clear" w:color="auto" w:fill="FFFFFF"/>
            <w:noWrap w:val="0"/>
            <w:vAlign w:val="center"/>
          </w:tcPr>
          <w:p w14:paraId="5BBB1982">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lang w:val="en-US" w:eastAsia="zh-CN"/>
              </w:rPr>
            </w:pPr>
          </w:p>
        </w:tc>
        <w:tc>
          <w:tcPr>
            <w:tcW w:w="6544" w:type="dxa"/>
            <w:shd w:val="clear" w:color="auto" w:fill="FFFFFF"/>
            <w:noWrap w:val="0"/>
            <w:vAlign w:val="top"/>
          </w:tcPr>
          <w:p w14:paraId="7A7EEB50">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8.</w:t>
            </w:r>
            <w:r>
              <w:rPr>
                <w:rFonts w:hint="eastAsia" w:ascii="宋体" w:hAnsi="宋体" w:eastAsia="宋体" w:cs="宋体"/>
                <w:b w:val="0"/>
                <w:bCs w:val="0"/>
                <w:color w:val="auto"/>
                <w:sz w:val="21"/>
                <w:szCs w:val="21"/>
                <w:lang w:val="en-US" w:eastAsia="zh-CN"/>
              </w:rPr>
              <w:t>代理控制功能要求：参照GB/T25000.51-2016要求，检测系统的代理控制能力，检测结果：支持代理控制，不允许使用外部HTTP代理，不允许使用外部SOCKS4/5代理，不允许在HTTP，SSL一些的标准端口上使用其他协议（比如在80端口上传输非HTTP协议数据，在443端口上传输非HTTPS协议数据等）。</w:t>
            </w:r>
          </w:p>
        </w:tc>
      </w:tr>
      <w:tr w14:paraId="73C07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continue"/>
            <w:shd w:val="clear" w:color="auto" w:fill="auto"/>
            <w:noWrap w:val="0"/>
            <w:vAlign w:val="center"/>
          </w:tcPr>
          <w:p w14:paraId="3C1F9095">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sz w:val="21"/>
                <w:szCs w:val="21"/>
                <w:lang w:val="en-US" w:eastAsia="zh-CN"/>
              </w:rPr>
            </w:pPr>
          </w:p>
        </w:tc>
        <w:tc>
          <w:tcPr>
            <w:tcW w:w="856" w:type="dxa"/>
            <w:vMerge w:val="continue"/>
            <w:shd w:val="clear" w:color="auto" w:fill="FFFFFF"/>
            <w:noWrap w:val="0"/>
            <w:vAlign w:val="center"/>
          </w:tcPr>
          <w:p w14:paraId="59C5FC41">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lang w:val="en-US" w:eastAsia="zh-CN"/>
              </w:rPr>
            </w:pPr>
          </w:p>
        </w:tc>
        <w:tc>
          <w:tcPr>
            <w:tcW w:w="6544" w:type="dxa"/>
            <w:shd w:val="clear" w:color="auto" w:fill="FFFFFF"/>
            <w:noWrap w:val="0"/>
            <w:vAlign w:val="top"/>
          </w:tcPr>
          <w:p w14:paraId="0856B42E">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9.支持图形化查看当前内部网络IP使用情况，帮助管理员减少人工维护IP表的工作量。</w:t>
            </w:r>
          </w:p>
        </w:tc>
      </w:tr>
      <w:tr w14:paraId="57D53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Merge w:val="continue"/>
            <w:shd w:val="clear" w:color="auto" w:fill="auto"/>
            <w:noWrap w:val="0"/>
            <w:vAlign w:val="center"/>
          </w:tcPr>
          <w:p w14:paraId="34895397">
            <w:pPr>
              <w:pStyle w:val="32"/>
              <w:keepNext w:val="0"/>
              <w:keepLines w:val="0"/>
              <w:pageBreakBefore w:val="0"/>
              <w:widowControl w:val="0"/>
              <w:kinsoku/>
              <w:wordWrap/>
              <w:overflowPunct/>
              <w:topLinePunct w:val="0"/>
              <w:autoSpaceDE/>
              <w:autoSpaceDN/>
              <w:bidi w:val="0"/>
              <w:adjustRightInd/>
              <w:snapToGrid/>
              <w:spacing w:line="360" w:lineRule="auto"/>
              <w:ind w:left="0" w:firstLine="0" w:firstLineChars="0"/>
              <w:jc w:val="center"/>
              <w:textAlignment w:val="auto"/>
              <w:rPr>
                <w:rFonts w:hint="eastAsia" w:ascii="宋体" w:hAnsi="宋体" w:eastAsia="宋体" w:cs="宋体"/>
                <w:b w:val="0"/>
                <w:bCs w:val="0"/>
                <w:color w:val="auto"/>
                <w:sz w:val="21"/>
                <w:szCs w:val="21"/>
                <w:lang w:val="en-US" w:eastAsia="zh-CN"/>
              </w:rPr>
            </w:pPr>
          </w:p>
        </w:tc>
        <w:tc>
          <w:tcPr>
            <w:tcW w:w="856" w:type="dxa"/>
            <w:vMerge w:val="continue"/>
            <w:shd w:val="clear" w:color="auto" w:fill="FFFFFF"/>
            <w:noWrap w:val="0"/>
            <w:vAlign w:val="center"/>
          </w:tcPr>
          <w:p w14:paraId="31156D34">
            <w:pPr>
              <w:keepNext w:val="0"/>
              <w:keepLines w:val="0"/>
              <w:pageBreakBefore w:val="0"/>
              <w:widowControl w:val="0"/>
              <w:kinsoku/>
              <w:wordWrap/>
              <w:overflowPunct/>
              <w:topLinePunct w:val="0"/>
              <w:autoSpaceDE/>
              <w:autoSpaceDN/>
              <w:bidi w:val="0"/>
              <w:adjustRightInd/>
              <w:snapToGrid/>
              <w:spacing w:line="360" w:lineRule="auto"/>
              <w:ind w:left="0" w:firstLine="0"/>
              <w:jc w:val="center"/>
              <w:textAlignment w:val="auto"/>
              <w:rPr>
                <w:rFonts w:hint="eastAsia" w:ascii="宋体" w:hAnsi="宋体" w:eastAsia="宋体" w:cs="宋体"/>
                <w:b w:val="0"/>
                <w:bCs w:val="0"/>
                <w:color w:val="auto"/>
                <w:sz w:val="21"/>
                <w:szCs w:val="21"/>
                <w:lang w:val="en-US" w:eastAsia="zh-CN"/>
              </w:rPr>
            </w:pPr>
          </w:p>
        </w:tc>
        <w:tc>
          <w:tcPr>
            <w:tcW w:w="6544" w:type="dxa"/>
            <w:shd w:val="clear" w:color="auto" w:fill="FFFFFF"/>
            <w:noWrap w:val="0"/>
            <w:vAlign w:val="top"/>
          </w:tcPr>
          <w:p w14:paraId="21E7D763">
            <w:pPr>
              <w:pStyle w:val="32"/>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kern w:val="2"/>
                <w:sz w:val="21"/>
                <w:szCs w:val="21"/>
                <w:lang w:val="en-US" w:eastAsia="zh-CN" w:bidi="ar-SA"/>
              </w:rPr>
              <w:t>10.</w:t>
            </w:r>
            <w:r>
              <w:rPr>
                <w:rFonts w:hint="eastAsia" w:ascii="宋体" w:hAnsi="宋体" w:eastAsia="宋体" w:cs="宋体"/>
                <w:b w:val="0"/>
                <w:bCs w:val="0"/>
                <w:color w:val="auto"/>
                <w:sz w:val="21"/>
                <w:szCs w:val="21"/>
              </w:rPr>
              <w:t>包含六年</w:t>
            </w:r>
            <w:r>
              <w:rPr>
                <w:rFonts w:hint="eastAsia" w:ascii="宋体" w:hAnsi="宋体" w:eastAsia="宋体" w:cs="宋体"/>
                <w:b w:val="0"/>
                <w:bCs w:val="0"/>
                <w:color w:val="auto"/>
                <w:sz w:val="21"/>
                <w:szCs w:val="21"/>
                <w:lang w:eastAsia="zh-CN"/>
              </w:rPr>
              <w:t>或以上</w:t>
            </w:r>
            <w:r>
              <w:rPr>
                <w:rFonts w:hint="eastAsia" w:ascii="宋体" w:hAnsi="宋体" w:eastAsia="宋体" w:cs="宋体"/>
                <w:b w:val="0"/>
                <w:bCs w:val="0"/>
                <w:color w:val="auto"/>
                <w:sz w:val="21"/>
                <w:szCs w:val="21"/>
              </w:rPr>
              <w:t>URL系统软件(含URL&amp;应用识别规则库)及软件持续获得最新的功能特性和防护能力更新升级；提供六年</w:t>
            </w:r>
            <w:r>
              <w:rPr>
                <w:rFonts w:hint="eastAsia" w:ascii="宋体" w:hAnsi="宋体" w:eastAsia="宋体" w:cs="宋体"/>
                <w:b w:val="0"/>
                <w:bCs w:val="0"/>
                <w:color w:val="auto"/>
                <w:sz w:val="21"/>
                <w:szCs w:val="21"/>
                <w:lang w:eastAsia="zh-CN"/>
              </w:rPr>
              <w:t>或以上</w:t>
            </w:r>
            <w:r>
              <w:rPr>
                <w:rFonts w:hint="eastAsia" w:ascii="宋体" w:hAnsi="宋体" w:eastAsia="宋体" w:cs="宋体"/>
                <w:b w:val="0"/>
                <w:bCs w:val="0"/>
                <w:color w:val="auto"/>
                <w:sz w:val="21"/>
                <w:szCs w:val="21"/>
              </w:rPr>
              <w:t>硬件设备故障返厂维修服务。</w:t>
            </w:r>
            <w:r>
              <w:rPr>
                <w:rFonts w:hint="eastAsia" w:ascii="宋体" w:hAnsi="宋体" w:eastAsia="宋体" w:cs="宋体"/>
                <w:b w:val="0"/>
                <w:bCs w:val="0"/>
                <w:color w:val="auto"/>
                <w:sz w:val="21"/>
                <w:szCs w:val="21"/>
                <w:lang w:val="en-US" w:eastAsia="zh-CN"/>
              </w:rPr>
              <w:t>（投标时需提供厂家参数确认函、或产品彩页、或产品技术说明、或出厂检验证明作为证明材料）</w:t>
            </w:r>
          </w:p>
        </w:tc>
      </w:tr>
    </w:tbl>
    <w:p w14:paraId="1833427E">
      <w:pPr>
        <w:pStyle w:val="8"/>
        <w:keepNext w:val="0"/>
        <w:keepLines w:val="0"/>
        <w:pageBreakBefore w:val="0"/>
        <w:widowControl w:val="0"/>
        <w:kinsoku/>
        <w:wordWrap/>
        <w:overflowPunct/>
        <w:topLinePunct w:val="0"/>
        <w:autoSpaceDE/>
        <w:autoSpaceDN/>
        <w:bidi w:val="0"/>
        <w:adjustRightInd/>
        <w:snapToGrid/>
        <w:spacing w:after="0" w:line="360" w:lineRule="auto"/>
        <w:ind w:left="0"/>
        <w:textAlignment w:val="auto"/>
        <w:rPr>
          <w:rFonts w:hint="eastAsia" w:ascii="宋体" w:hAnsi="宋体" w:eastAsia="宋体" w:cs="宋体"/>
          <w:color w:val="auto"/>
        </w:rPr>
      </w:pPr>
    </w:p>
    <w:p w14:paraId="321F0FD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lang w:eastAsia="zh-CN"/>
        </w:rPr>
      </w:pPr>
      <w:r>
        <w:rPr>
          <w:rFonts w:hint="eastAsia" w:ascii="宋体" w:hAnsi="宋体" w:cs="宋体"/>
          <w:b/>
          <w:color w:val="auto"/>
          <w:sz w:val="28"/>
          <w:szCs w:val="28"/>
          <w:lang w:val="en-US" w:eastAsia="zh-CN"/>
        </w:rPr>
        <w:t>三</w:t>
      </w:r>
      <w:r>
        <w:rPr>
          <w:rFonts w:hint="eastAsia" w:ascii="宋体" w:hAnsi="宋体" w:eastAsia="宋体" w:cs="宋体"/>
          <w:b/>
          <w:color w:val="auto"/>
          <w:sz w:val="28"/>
          <w:szCs w:val="28"/>
        </w:rPr>
        <w:t>、商务</w:t>
      </w:r>
      <w:r>
        <w:rPr>
          <w:rFonts w:hint="eastAsia" w:ascii="宋体" w:hAnsi="宋体" w:cs="宋体"/>
          <w:b/>
          <w:color w:val="auto"/>
          <w:sz w:val="28"/>
          <w:szCs w:val="28"/>
          <w:lang w:val="en-US" w:eastAsia="zh-CN"/>
        </w:rPr>
        <w:t>要求</w:t>
      </w:r>
    </w:p>
    <w:p w14:paraId="1914E84B">
      <w:pPr>
        <w:keepNext w:val="0"/>
        <w:keepLines w:val="0"/>
        <w:pageBreakBefore w:val="0"/>
        <w:widowControl/>
        <w:kinsoku/>
        <w:wordWrap/>
        <w:overflowPunct/>
        <w:topLinePunct w:val="0"/>
        <w:autoSpaceDE/>
        <w:autoSpaceDN/>
        <w:bidi w:val="0"/>
        <w:adjustRightInd w:val="0"/>
        <w:snapToGrid w:val="0"/>
        <w:spacing w:line="360" w:lineRule="auto"/>
        <w:jc w:val="left"/>
        <w:textAlignment w:val="auto"/>
        <w:outlineLvl w:val="0"/>
        <w:rPr>
          <w:rFonts w:hint="eastAsia" w:ascii="宋体" w:hAnsi="宋体" w:eastAsia="宋体" w:cs="宋体"/>
          <w:b/>
          <w:bCs/>
          <w:color w:val="000000"/>
          <w:kern w:val="0"/>
          <w:sz w:val="21"/>
          <w:szCs w:val="21"/>
          <w:lang w:eastAsia="zh-CN"/>
        </w:rPr>
      </w:pPr>
      <w:r>
        <w:rPr>
          <w:rFonts w:hint="eastAsia" w:ascii="宋体" w:hAnsi="宋体" w:eastAsia="宋体" w:cs="宋体"/>
          <w:b/>
          <w:bCs/>
          <w:color w:val="000000"/>
          <w:kern w:val="0"/>
          <w:sz w:val="21"/>
          <w:szCs w:val="21"/>
          <w:lang w:eastAsia="zh-CN"/>
        </w:rPr>
        <w:t>（</w:t>
      </w:r>
      <w:r>
        <w:rPr>
          <w:rFonts w:hint="eastAsia" w:ascii="宋体" w:hAnsi="宋体" w:eastAsia="宋体" w:cs="宋体"/>
          <w:b/>
          <w:bCs/>
          <w:color w:val="000000"/>
          <w:kern w:val="0"/>
          <w:sz w:val="21"/>
          <w:szCs w:val="21"/>
          <w:lang w:val="en-US" w:eastAsia="zh-CN"/>
        </w:rPr>
        <w:t>一</w:t>
      </w:r>
      <w:r>
        <w:rPr>
          <w:rFonts w:hint="eastAsia" w:ascii="宋体" w:hAnsi="宋体" w:eastAsia="宋体" w:cs="宋体"/>
          <w:b/>
          <w:bCs/>
          <w:color w:val="000000"/>
          <w:kern w:val="0"/>
          <w:sz w:val="21"/>
          <w:szCs w:val="21"/>
          <w:lang w:eastAsia="zh-CN"/>
        </w:rPr>
        <w:t>）</w:t>
      </w:r>
      <w:r>
        <w:rPr>
          <w:rFonts w:hint="eastAsia" w:ascii="宋体" w:hAnsi="宋体" w:eastAsia="宋体" w:cs="宋体"/>
          <w:b/>
          <w:bCs/>
          <w:color w:val="000000"/>
          <w:kern w:val="0"/>
          <w:sz w:val="21"/>
          <w:szCs w:val="21"/>
        </w:rPr>
        <w:t>报价要求</w:t>
      </w:r>
      <w:r>
        <w:rPr>
          <w:rFonts w:hint="eastAsia" w:ascii="宋体" w:hAnsi="宋体" w:eastAsia="宋体" w:cs="宋体"/>
          <w:b/>
          <w:bCs/>
          <w:color w:val="000000"/>
          <w:kern w:val="0"/>
          <w:sz w:val="21"/>
          <w:szCs w:val="21"/>
          <w:lang w:eastAsia="zh-CN"/>
        </w:rPr>
        <w:t>：</w:t>
      </w:r>
    </w:p>
    <w:p w14:paraId="66A1E701">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outlineLvl w:val="0"/>
        <w:rPr>
          <w:rFonts w:hint="eastAsia" w:ascii="宋体" w:hAnsi="宋体" w:eastAsia="宋体" w:cs="宋体"/>
          <w:color w:val="000000"/>
          <w:sz w:val="21"/>
          <w:szCs w:val="21"/>
        </w:rPr>
      </w:pPr>
      <w:r>
        <w:rPr>
          <w:rFonts w:hint="eastAsia" w:ascii="宋体" w:hAnsi="宋体" w:eastAsia="宋体" w:cs="宋体"/>
          <w:color w:val="000000"/>
          <w:sz w:val="21"/>
          <w:szCs w:val="21"/>
        </w:rPr>
        <w:t>1、投标人应根据本企业的成本自行决定报价，但不得以低于其企业成本的报价投标；评标时，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7E5598D">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outlineLvl w:val="0"/>
        <w:rPr>
          <w:rFonts w:hint="eastAsia" w:ascii="宋体" w:hAnsi="宋体" w:eastAsia="宋体" w:cs="宋体"/>
          <w:color w:val="000000"/>
          <w:sz w:val="21"/>
          <w:szCs w:val="21"/>
        </w:rPr>
      </w:pPr>
      <w:r>
        <w:rPr>
          <w:rFonts w:hint="eastAsia" w:ascii="宋体" w:hAnsi="宋体" w:eastAsia="宋体" w:cs="宋体"/>
          <w:color w:val="000000"/>
          <w:sz w:val="21"/>
          <w:szCs w:val="21"/>
        </w:rPr>
        <w:t>2、投标人的投标报价，应是本项目招标范围和招标文件及合同条款上所列的各项内容中所述的全部，不得以任何理由予以重复，并以投标人在投标文件中提出的综合单价或总价为依据。</w:t>
      </w:r>
    </w:p>
    <w:p w14:paraId="08315630">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outlineLvl w:val="0"/>
        <w:rPr>
          <w:rFonts w:hint="eastAsia" w:ascii="宋体" w:hAnsi="宋体" w:eastAsia="宋体" w:cs="宋体"/>
          <w:color w:val="000000"/>
          <w:sz w:val="21"/>
          <w:szCs w:val="21"/>
        </w:rPr>
      </w:pPr>
      <w:r>
        <w:rPr>
          <w:rFonts w:hint="eastAsia" w:ascii="宋体" w:hAnsi="宋体" w:eastAsia="宋体" w:cs="宋体"/>
          <w:color w:val="000000"/>
          <w:sz w:val="21"/>
          <w:szCs w:val="21"/>
        </w:rPr>
        <w:t>3、除非政府集中采购机构通过修改招标文件予以更正，否则，投标人应毫无例外地按招标文件所列的清单中项目和数量填报综合单价或总价。投标人未填综合单价或总价的项目，在实施后，将不得以支付，并视作该项费用已包括在其它有价款的综合单价或总价内。</w:t>
      </w:r>
    </w:p>
    <w:p w14:paraId="6A687EC2">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outlineLvl w:val="0"/>
        <w:rPr>
          <w:rFonts w:hint="eastAsia" w:ascii="宋体" w:hAnsi="宋体" w:eastAsia="宋体" w:cs="宋体"/>
          <w:color w:val="000000"/>
          <w:sz w:val="21"/>
          <w:szCs w:val="21"/>
        </w:rPr>
      </w:pPr>
      <w:r>
        <w:rPr>
          <w:rFonts w:hint="eastAsia" w:ascii="宋体" w:hAnsi="宋体" w:eastAsia="宋体" w:cs="宋体"/>
          <w:color w:val="000000"/>
          <w:sz w:val="21"/>
          <w:szCs w:val="21"/>
        </w:rPr>
        <w:t>4、投标人应充分了解项目的位置、情况、道路及任何其它足以影响投标报价的情况，任何因忽视或误解项目情况而导致的索赔或服务期限延长申请将不获批准。</w:t>
      </w:r>
    </w:p>
    <w:p w14:paraId="3CADAFE7">
      <w:pPr>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outlineLvl w:val="0"/>
        <w:rPr>
          <w:rFonts w:hint="eastAsia" w:ascii="宋体" w:hAnsi="宋体" w:eastAsia="宋体" w:cs="宋体"/>
          <w:color w:val="000000"/>
          <w:sz w:val="21"/>
          <w:szCs w:val="21"/>
        </w:rPr>
      </w:pPr>
      <w:r>
        <w:rPr>
          <w:rFonts w:hint="eastAsia" w:ascii="宋体" w:hAnsi="宋体" w:eastAsia="宋体" w:cs="宋体"/>
          <w:color w:val="000000"/>
          <w:sz w:val="21"/>
          <w:szCs w:val="21"/>
        </w:rPr>
        <w:t>5、投标人不得期望通过索赔等方式获取补偿，否则，除可能遭到拒绝外，还可能将被作为不良行为记录在案，并可能影响其以后参加政府采购的项目投标。各投标人在投标报价时，应充分考虑投标报价的风险。</w:t>
      </w:r>
    </w:p>
    <w:p w14:paraId="323D3CF2">
      <w:pPr>
        <w:keepNext w:val="0"/>
        <w:keepLines w:val="0"/>
        <w:pageBreakBefore w:val="0"/>
        <w:kinsoku/>
        <w:wordWrap/>
        <w:overflowPunct/>
        <w:topLinePunct w:val="0"/>
        <w:autoSpaceDE/>
        <w:autoSpaceDN/>
        <w:bidi w:val="0"/>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6、投标人须考虑本项目在实施期间的一切可能产生的费用。在项目实施过程中，如项目工作范围发生变更，由中标人和采购人双方协商解决；其余情况下，投标总价均不予调整。</w:t>
      </w:r>
    </w:p>
    <w:p w14:paraId="1DE5F2B6">
      <w:pPr>
        <w:keepNext w:val="0"/>
        <w:keepLines w:val="0"/>
        <w:pageBreakBefore w:val="0"/>
        <w:widowControl/>
        <w:kinsoku/>
        <w:wordWrap/>
        <w:overflowPunct/>
        <w:topLinePunct w:val="0"/>
        <w:autoSpaceDE/>
        <w:autoSpaceDN/>
        <w:bidi w:val="0"/>
        <w:adjustRightInd w:val="0"/>
        <w:snapToGrid w:val="0"/>
        <w:spacing w:line="360" w:lineRule="auto"/>
        <w:jc w:val="left"/>
        <w:textAlignment w:val="auto"/>
        <w:outlineLvl w:val="0"/>
        <w:rPr>
          <w:rFonts w:hint="eastAsia" w:ascii="宋体" w:hAnsi="宋体" w:eastAsia="宋体" w:cs="宋体"/>
          <w:b/>
          <w:bCs/>
          <w:color w:val="000000"/>
          <w:kern w:val="0"/>
          <w:sz w:val="21"/>
          <w:szCs w:val="21"/>
          <w:lang w:eastAsia="zh-CN"/>
        </w:rPr>
      </w:pPr>
      <w:r>
        <w:rPr>
          <w:rFonts w:hint="eastAsia" w:ascii="宋体" w:hAnsi="宋体" w:eastAsia="宋体" w:cs="宋体"/>
          <w:b/>
          <w:bCs/>
          <w:color w:val="000000"/>
          <w:kern w:val="0"/>
          <w:sz w:val="21"/>
          <w:szCs w:val="21"/>
          <w:lang w:eastAsia="zh-CN"/>
        </w:rPr>
        <w:t>（</w:t>
      </w:r>
      <w:r>
        <w:rPr>
          <w:rFonts w:hint="eastAsia" w:ascii="宋体" w:hAnsi="宋体" w:eastAsia="宋体" w:cs="宋体"/>
          <w:b/>
          <w:bCs/>
          <w:color w:val="000000"/>
          <w:kern w:val="0"/>
          <w:sz w:val="21"/>
          <w:szCs w:val="21"/>
          <w:lang w:val="en-US" w:eastAsia="zh-CN"/>
        </w:rPr>
        <w:t>二</w:t>
      </w:r>
      <w:r>
        <w:rPr>
          <w:rFonts w:hint="eastAsia" w:ascii="宋体" w:hAnsi="宋体" w:eastAsia="宋体" w:cs="宋体"/>
          <w:b/>
          <w:bCs/>
          <w:color w:val="000000"/>
          <w:kern w:val="0"/>
          <w:sz w:val="21"/>
          <w:szCs w:val="21"/>
          <w:lang w:eastAsia="zh-CN"/>
        </w:rPr>
        <w:t>）</w:t>
      </w:r>
      <w:r>
        <w:rPr>
          <w:rFonts w:hint="eastAsia" w:ascii="宋体" w:hAnsi="宋体" w:eastAsia="宋体" w:cs="宋体"/>
          <w:b/>
          <w:bCs/>
          <w:color w:val="000000"/>
          <w:kern w:val="0"/>
          <w:sz w:val="21"/>
          <w:szCs w:val="21"/>
        </w:rPr>
        <w:t>招标商务需求</w:t>
      </w:r>
      <w:r>
        <w:rPr>
          <w:rFonts w:hint="eastAsia" w:ascii="宋体" w:hAnsi="宋体" w:eastAsia="宋体" w:cs="宋体"/>
          <w:b/>
          <w:bCs/>
          <w:color w:val="000000"/>
          <w:kern w:val="0"/>
          <w:sz w:val="21"/>
          <w:szCs w:val="21"/>
          <w:lang w:eastAsia="zh-CN"/>
        </w:rPr>
        <w:t>：</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3"/>
        <w:gridCol w:w="1562"/>
        <w:gridCol w:w="5753"/>
      </w:tblGrid>
      <w:tr w14:paraId="373C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06" w:type="pct"/>
            <w:noWrap w:val="0"/>
            <w:vAlign w:val="center"/>
          </w:tcPr>
          <w:p w14:paraId="0331B32D">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序号</w:t>
            </w:r>
          </w:p>
        </w:tc>
        <w:tc>
          <w:tcPr>
            <w:tcW w:w="917" w:type="pct"/>
            <w:noWrap w:val="0"/>
            <w:vAlign w:val="center"/>
          </w:tcPr>
          <w:p w14:paraId="50B5C4AB">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目录</w:t>
            </w:r>
          </w:p>
        </w:tc>
        <w:tc>
          <w:tcPr>
            <w:tcW w:w="3376" w:type="pct"/>
            <w:noWrap w:val="0"/>
            <w:vAlign w:val="center"/>
          </w:tcPr>
          <w:p w14:paraId="17C0F1C4">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sz w:val="21"/>
                <w:szCs w:val="21"/>
              </w:rPr>
            </w:pPr>
            <w:r>
              <w:rPr>
                <w:rFonts w:hint="eastAsia" w:ascii="宋体" w:hAnsi="宋体" w:eastAsia="宋体" w:cs="宋体"/>
                <w:b/>
                <w:sz w:val="21"/>
                <w:szCs w:val="21"/>
              </w:rPr>
              <w:t>招标商务需求</w:t>
            </w:r>
          </w:p>
        </w:tc>
      </w:tr>
      <w:tr w14:paraId="0103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000" w:type="pct"/>
            <w:gridSpan w:val="3"/>
            <w:noWrap w:val="0"/>
            <w:vAlign w:val="top"/>
          </w:tcPr>
          <w:p w14:paraId="5EAF8FDB">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sz w:val="21"/>
                <w:szCs w:val="21"/>
              </w:rPr>
            </w:pPr>
            <w:r>
              <w:rPr>
                <w:rFonts w:hint="eastAsia" w:ascii="宋体" w:hAnsi="宋体" w:eastAsia="宋体" w:cs="宋体"/>
                <w:b/>
                <w:sz w:val="21"/>
                <w:szCs w:val="21"/>
              </w:rPr>
              <w:t>（一）免费保修期内售后服务要求</w:t>
            </w:r>
          </w:p>
        </w:tc>
      </w:tr>
      <w:tr w14:paraId="26F60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06" w:type="pct"/>
            <w:noWrap w:val="0"/>
            <w:vAlign w:val="center"/>
          </w:tcPr>
          <w:p w14:paraId="571A59BA">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w:t>
            </w:r>
          </w:p>
        </w:tc>
        <w:tc>
          <w:tcPr>
            <w:tcW w:w="917" w:type="pct"/>
            <w:noWrap w:val="0"/>
            <w:vAlign w:val="top"/>
          </w:tcPr>
          <w:p w14:paraId="1B8A81E1">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维修响应及故障解决时间</w:t>
            </w:r>
          </w:p>
        </w:tc>
        <w:tc>
          <w:tcPr>
            <w:tcW w:w="3376" w:type="pct"/>
            <w:noWrap w:val="0"/>
            <w:vAlign w:val="top"/>
          </w:tcPr>
          <w:p w14:paraId="44FD4F71">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在保修期内，一旦发生质量问题，投标人保证在接到通知24小时内赶到现场进行修理或更换。</w:t>
            </w:r>
          </w:p>
        </w:tc>
      </w:tr>
      <w:tr w14:paraId="64A4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06" w:type="pct"/>
            <w:noWrap w:val="0"/>
            <w:vAlign w:val="center"/>
          </w:tcPr>
          <w:p w14:paraId="4425B40E">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w:t>
            </w:r>
          </w:p>
        </w:tc>
        <w:tc>
          <w:tcPr>
            <w:tcW w:w="917" w:type="pct"/>
            <w:noWrap w:val="0"/>
            <w:vAlign w:val="top"/>
          </w:tcPr>
          <w:p w14:paraId="7E9190D9">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关于免费保修期</w:t>
            </w:r>
          </w:p>
        </w:tc>
        <w:tc>
          <w:tcPr>
            <w:tcW w:w="3376" w:type="pct"/>
            <w:noWrap w:val="0"/>
            <w:vAlign w:val="top"/>
          </w:tcPr>
          <w:p w14:paraId="0E4D363D">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货物免费保修期</w:t>
            </w:r>
            <w:r>
              <w:rPr>
                <w:rFonts w:hint="eastAsia" w:ascii="宋体" w:hAnsi="宋体" w:eastAsia="宋体" w:cs="宋体"/>
                <w:b w:val="0"/>
                <w:bCs/>
                <w:sz w:val="21"/>
                <w:szCs w:val="21"/>
                <w:u w:val="single"/>
              </w:rPr>
              <w:t>6</w:t>
            </w:r>
            <w:r>
              <w:rPr>
                <w:rFonts w:hint="eastAsia" w:ascii="宋体" w:hAnsi="宋体" w:eastAsia="宋体" w:cs="宋体"/>
                <w:b w:val="0"/>
                <w:bCs/>
                <w:sz w:val="21"/>
                <w:szCs w:val="21"/>
              </w:rPr>
              <w:t>年，时间自最终验收合格并交付使用之日起计算。</w:t>
            </w:r>
          </w:p>
        </w:tc>
      </w:tr>
      <w:tr w14:paraId="08D2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000" w:type="pct"/>
            <w:gridSpan w:val="3"/>
            <w:noWrap w:val="0"/>
            <w:vAlign w:val="center"/>
          </w:tcPr>
          <w:p w14:paraId="1EB4BBAA">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Cs/>
                <w:sz w:val="21"/>
                <w:szCs w:val="21"/>
              </w:rPr>
            </w:pPr>
            <w:r>
              <w:rPr>
                <w:rFonts w:hint="eastAsia" w:ascii="宋体" w:hAnsi="宋体" w:eastAsia="宋体" w:cs="宋体"/>
                <w:b/>
                <w:sz w:val="21"/>
                <w:szCs w:val="21"/>
              </w:rPr>
              <w:t>（二）免费保修期外售后服务要求</w:t>
            </w:r>
          </w:p>
        </w:tc>
      </w:tr>
      <w:tr w14:paraId="6A530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06" w:type="pct"/>
            <w:noWrap w:val="0"/>
            <w:vAlign w:val="center"/>
          </w:tcPr>
          <w:p w14:paraId="3B1EC465">
            <w:pPr>
              <w:pStyle w:val="7"/>
              <w:keepNext w:val="0"/>
              <w:keepLines w:val="0"/>
              <w:pageBreakBefore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917" w:type="pct"/>
            <w:noWrap w:val="0"/>
            <w:vAlign w:val="top"/>
          </w:tcPr>
          <w:p w14:paraId="5546D5AD">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sz w:val="21"/>
                <w:szCs w:val="21"/>
              </w:rPr>
            </w:pPr>
            <w:r>
              <w:rPr>
                <w:rFonts w:hint="eastAsia" w:ascii="宋体" w:hAnsi="宋体" w:eastAsia="宋体" w:cs="宋体"/>
                <w:bCs/>
                <w:sz w:val="21"/>
                <w:szCs w:val="21"/>
              </w:rPr>
              <w:t>保修期外售后服务要求</w:t>
            </w:r>
          </w:p>
        </w:tc>
        <w:tc>
          <w:tcPr>
            <w:tcW w:w="3376" w:type="pct"/>
            <w:noWrap w:val="0"/>
            <w:vAlign w:val="top"/>
          </w:tcPr>
          <w:p w14:paraId="368317FA">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sz w:val="21"/>
                <w:szCs w:val="21"/>
              </w:rPr>
            </w:pPr>
            <w:r>
              <w:rPr>
                <w:rFonts w:hint="eastAsia" w:ascii="宋体" w:hAnsi="宋体" w:eastAsia="宋体" w:cs="宋体"/>
                <w:bCs/>
                <w:sz w:val="21"/>
                <w:szCs w:val="21"/>
              </w:rPr>
              <w:t>中标人提供的产品不能正常使用时，中标人可收取费用，同时提供维修、更换以确保产品正常使用的时间期限。此时间期限从免费保修期期满之日起计算。具体是指免费保修期满后4年。</w:t>
            </w:r>
          </w:p>
        </w:tc>
      </w:tr>
      <w:tr w14:paraId="55A4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5000" w:type="pct"/>
            <w:gridSpan w:val="3"/>
            <w:noWrap w:val="0"/>
            <w:vAlign w:val="top"/>
          </w:tcPr>
          <w:p w14:paraId="065FCBFD">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sz w:val="21"/>
                <w:szCs w:val="21"/>
              </w:rPr>
            </w:pPr>
            <w:r>
              <w:rPr>
                <w:rFonts w:hint="eastAsia" w:ascii="宋体" w:hAnsi="宋体" w:eastAsia="宋体" w:cs="宋体"/>
                <w:b/>
                <w:sz w:val="21"/>
                <w:szCs w:val="21"/>
              </w:rPr>
              <w:t>（三）其他商务要求</w:t>
            </w:r>
          </w:p>
        </w:tc>
      </w:tr>
      <w:tr w14:paraId="2BA3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706" w:type="pct"/>
            <w:vMerge w:val="restart"/>
            <w:noWrap w:val="0"/>
            <w:vAlign w:val="center"/>
          </w:tcPr>
          <w:p w14:paraId="5A458A8E">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w:t>
            </w:r>
          </w:p>
        </w:tc>
        <w:tc>
          <w:tcPr>
            <w:tcW w:w="917" w:type="pct"/>
            <w:vMerge w:val="restart"/>
            <w:noWrap w:val="0"/>
            <w:vAlign w:val="center"/>
          </w:tcPr>
          <w:p w14:paraId="17FF80AA">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关于交货</w:t>
            </w:r>
          </w:p>
        </w:tc>
        <w:tc>
          <w:tcPr>
            <w:tcW w:w="3376" w:type="pct"/>
            <w:noWrap w:val="0"/>
            <w:vAlign w:val="top"/>
          </w:tcPr>
          <w:p w14:paraId="111D52E6">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1.1交货地点：</w:t>
            </w:r>
            <w:bookmarkStart w:id="0" w:name="_GoBack"/>
            <w:bookmarkEnd w:id="0"/>
            <w:r>
              <w:rPr>
                <w:rFonts w:hint="eastAsia" w:ascii="宋体" w:hAnsi="宋体" w:eastAsia="宋体" w:cs="宋体"/>
                <w:b w:val="0"/>
                <w:bCs/>
                <w:sz w:val="21"/>
                <w:szCs w:val="21"/>
              </w:rPr>
              <w:t>甲方指定交货地点。</w:t>
            </w:r>
          </w:p>
        </w:tc>
      </w:tr>
      <w:tr w14:paraId="7A60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06" w:type="pct"/>
            <w:vMerge w:val="continue"/>
            <w:noWrap w:val="0"/>
            <w:vAlign w:val="center"/>
          </w:tcPr>
          <w:p w14:paraId="37DDCECB">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sz w:val="21"/>
                <w:szCs w:val="21"/>
              </w:rPr>
            </w:pPr>
          </w:p>
        </w:tc>
        <w:tc>
          <w:tcPr>
            <w:tcW w:w="917" w:type="pct"/>
            <w:vMerge w:val="continue"/>
            <w:noWrap w:val="0"/>
            <w:vAlign w:val="center"/>
          </w:tcPr>
          <w:p w14:paraId="30D877B9">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sz w:val="21"/>
                <w:szCs w:val="21"/>
              </w:rPr>
            </w:pPr>
          </w:p>
        </w:tc>
        <w:tc>
          <w:tcPr>
            <w:tcW w:w="3376" w:type="pct"/>
            <w:noWrap w:val="0"/>
            <w:vAlign w:val="top"/>
          </w:tcPr>
          <w:p w14:paraId="77BF7296">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1.2投标人必须承担的设备运输、安装调试、验收检测和提供设备操作说明书、图纸等其他类似的义务。</w:t>
            </w:r>
          </w:p>
        </w:tc>
      </w:tr>
      <w:tr w14:paraId="5F6E9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06" w:type="pct"/>
            <w:vMerge w:val="continue"/>
            <w:noWrap w:val="0"/>
            <w:vAlign w:val="center"/>
          </w:tcPr>
          <w:p w14:paraId="0010F428">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sz w:val="21"/>
                <w:szCs w:val="21"/>
              </w:rPr>
            </w:pPr>
          </w:p>
        </w:tc>
        <w:tc>
          <w:tcPr>
            <w:tcW w:w="917" w:type="pct"/>
            <w:vMerge w:val="continue"/>
            <w:noWrap w:val="0"/>
            <w:vAlign w:val="center"/>
          </w:tcPr>
          <w:p w14:paraId="14792154">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sz w:val="21"/>
                <w:szCs w:val="21"/>
              </w:rPr>
            </w:pPr>
          </w:p>
        </w:tc>
        <w:tc>
          <w:tcPr>
            <w:tcW w:w="3376" w:type="pct"/>
            <w:noWrap w:val="0"/>
            <w:vAlign w:val="top"/>
          </w:tcPr>
          <w:p w14:paraId="32AB8722">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1.3签订合同后15天（日历日）内交货。</w:t>
            </w:r>
          </w:p>
        </w:tc>
      </w:tr>
      <w:tr w14:paraId="6CB53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6" w:type="pct"/>
            <w:vMerge w:val="restart"/>
            <w:noWrap w:val="0"/>
            <w:vAlign w:val="center"/>
          </w:tcPr>
          <w:p w14:paraId="0C09C4FB">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highlight w:val="none"/>
              </w:rPr>
              <w:t>★2</w:t>
            </w:r>
          </w:p>
        </w:tc>
        <w:tc>
          <w:tcPr>
            <w:tcW w:w="917" w:type="pct"/>
            <w:vMerge w:val="restart"/>
            <w:noWrap w:val="0"/>
            <w:vAlign w:val="center"/>
          </w:tcPr>
          <w:p w14:paraId="60346CDB">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关于验收</w:t>
            </w:r>
          </w:p>
        </w:tc>
        <w:tc>
          <w:tcPr>
            <w:tcW w:w="3376" w:type="pct"/>
            <w:noWrap w:val="0"/>
            <w:vAlign w:val="top"/>
          </w:tcPr>
          <w:p w14:paraId="654381D6">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2.1投标人货物经过双方检验认可后，签署验收报告，产品保修期自验收合格之日起算，由投标人提供产品保修文件。</w:t>
            </w:r>
          </w:p>
        </w:tc>
      </w:tr>
      <w:tr w14:paraId="3FBA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6" w:type="pct"/>
            <w:vMerge w:val="continue"/>
            <w:noWrap w:val="0"/>
            <w:vAlign w:val="center"/>
          </w:tcPr>
          <w:p w14:paraId="582A1043">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sz w:val="21"/>
                <w:szCs w:val="21"/>
              </w:rPr>
            </w:pPr>
          </w:p>
        </w:tc>
        <w:tc>
          <w:tcPr>
            <w:tcW w:w="917" w:type="pct"/>
            <w:vMerge w:val="continue"/>
            <w:noWrap w:val="0"/>
            <w:vAlign w:val="center"/>
          </w:tcPr>
          <w:p w14:paraId="3B9375B9">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sz w:val="21"/>
                <w:szCs w:val="21"/>
              </w:rPr>
            </w:pPr>
          </w:p>
        </w:tc>
        <w:tc>
          <w:tcPr>
            <w:tcW w:w="3376" w:type="pct"/>
            <w:noWrap w:val="0"/>
            <w:vAlign w:val="top"/>
          </w:tcPr>
          <w:p w14:paraId="6FB72C1E">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2.2当满足以下条件时，采购人才向中标人签发货物验收报告：</w:t>
            </w:r>
          </w:p>
          <w:p w14:paraId="7CDA53C8">
            <w:pPr>
              <w:keepNext w:val="0"/>
              <w:keepLines w:val="0"/>
              <w:pageBreakBefore w:val="0"/>
              <w:tabs>
                <w:tab w:val="left" w:pos="1260"/>
              </w:tabs>
              <w:kinsoku/>
              <w:wordWrap/>
              <w:overflowPunct/>
              <w:topLinePunct w:val="0"/>
              <w:autoSpaceDE/>
              <w:autoSpaceDN/>
              <w:bidi w:val="0"/>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a、中标人已按照合同规定提供了全部产品及完整的技术资料。</w:t>
            </w:r>
          </w:p>
          <w:p w14:paraId="0F81C0BE">
            <w:pPr>
              <w:keepNext w:val="0"/>
              <w:keepLines w:val="0"/>
              <w:pageBreakBefore w:val="0"/>
              <w:tabs>
                <w:tab w:val="left" w:pos="1260"/>
              </w:tabs>
              <w:kinsoku/>
              <w:wordWrap/>
              <w:overflowPunct/>
              <w:topLinePunct w:val="0"/>
              <w:autoSpaceDE/>
              <w:autoSpaceDN/>
              <w:bidi w:val="0"/>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b、货物符合招标文件技术规格书的要求，性能满足要求。</w:t>
            </w:r>
          </w:p>
          <w:p w14:paraId="1DD820C3">
            <w:pPr>
              <w:keepNext w:val="0"/>
              <w:keepLines w:val="0"/>
              <w:pageBreakBefore w:val="0"/>
              <w:tabs>
                <w:tab w:val="left" w:pos="1260"/>
              </w:tabs>
              <w:kinsoku/>
              <w:wordWrap/>
              <w:overflowPunct/>
              <w:topLinePunct w:val="0"/>
              <w:autoSpaceDE/>
              <w:autoSpaceDN/>
              <w:bidi w:val="0"/>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c、货物具备产品合格证。</w:t>
            </w:r>
          </w:p>
        </w:tc>
      </w:tr>
      <w:tr w14:paraId="0AF2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6" w:type="pct"/>
            <w:vMerge w:val="restart"/>
            <w:noWrap w:val="0"/>
            <w:vAlign w:val="center"/>
          </w:tcPr>
          <w:p w14:paraId="02998783">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3</w:t>
            </w:r>
          </w:p>
        </w:tc>
        <w:tc>
          <w:tcPr>
            <w:tcW w:w="917" w:type="pct"/>
            <w:vMerge w:val="restart"/>
            <w:noWrap w:val="0"/>
            <w:vAlign w:val="center"/>
          </w:tcPr>
          <w:p w14:paraId="618902B2">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关于违约</w:t>
            </w:r>
          </w:p>
        </w:tc>
        <w:tc>
          <w:tcPr>
            <w:tcW w:w="3376" w:type="pct"/>
            <w:noWrap w:val="0"/>
            <w:vAlign w:val="top"/>
          </w:tcPr>
          <w:p w14:paraId="59BFAFBD">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3.1中标人不能交货的，需偿付不能交货部分货款的</w:t>
            </w:r>
            <w:r>
              <w:rPr>
                <w:rFonts w:hint="eastAsia" w:ascii="宋体" w:hAnsi="宋体" w:eastAsia="宋体" w:cs="宋体"/>
                <w:b w:val="0"/>
                <w:bCs/>
                <w:color w:val="auto"/>
                <w:sz w:val="21"/>
                <w:szCs w:val="21"/>
                <w:u w:val="single"/>
              </w:rPr>
              <w:t>10</w:t>
            </w:r>
            <w:r>
              <w:rPr>
                <w:rFonts w:hint="eastAsia" w:ascii="宋体" w:hAnsi="宋体" w:eastAsia="宋体" w:cs="宋体"/>
                <w:b w:val="0"/>
                <w:bCs/>
                <w:color w:val="auto"/>
                <w:sz w:val="21"/>
                <w:szCs w:val="21"/>
              </w:rPr>
              <w:t>%的违约金并按主管部门相关规定处理。</w:t>
            </w:r>
          </w:p>
        </w:tc>
      </w:tr>
      <w:tr w14:paraId="4161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6" w:type="pct"/>
            <w:vMerge w:val="continue"/>
            <w:noWrap w:val="0"/>
            <w:vAlign w:val="center"/>
          </w:tcPr>
          <w:p w14:paraId="6F594955">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p>
        </w:tc>
        <w:tc>
          <w:tcPr>
            <w:tcW w:w="917" w:type="pct"/>
            <w:vMerge w:val="continue"/>
            <w:noWrap w:val="0"/>
            <w:vAlign w:val="center"/>
          </w:tcPr>
          <w:p w14:paraId="5B83DBCB">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p>
        </w:tc>
        <w:tc>
          <w:tcPr>
            <w:tcW w:w="3376" w:type="pct"/>
            <w:noWrap w:val="0"/>
            <w:vAlign w:val="top"/>
          </w:tcPr>
          <w:p w14:paraId="15F87C7C">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3.2中标人逾期交货的，将被没收履约保证金并按主管部门相关规定处理。</w:t>
            </w:r>
          </w:p>
        </w:tc>
      </w:tr>
      <w:tr w14:paraId="5715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6" w:type="pct"/>
            <w:vMerge w:val="continue"/>
            <w:noWrap w:val="0"/>
            <w:vAlign w:val="center"/>
          </w:tcPr>
          <w:p w14:paraId="10D56564">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p>
        </w:tc>
        <w:tc>
          <w:tcPr>
            <w:tcW w:w="917" w:type="pct"/>
            <w:vMerge w:val="continue"/>
            <w:noWrap w:val="0"/>
            <w:vAlign w:val="center"/>
          </w:tcPr>
          <w:p w14:paraId="77583E6E">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p>
        </w:tc>
        <w:tc>
          <w:tcPr>
            <w:tcW w:w="3376" w:type="pct"/>
            <w:noWrap w:val="0"/>
            <w:vAlign w:val="top"/>
          </w:tcPr>
          <w:p w14:paraId="429F981D">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3.3中标人所交付产品、工程或服务不符合其投标承诺的，或在投标阶段为了中标而盲目虚假承诺、低价恶性竞争，在履约阶段则通过偷工减料、以次充好而获取利润的，将被没收履约保证金，并被履约评价工作实施机构评为履约等级“差”并按主管部门相关规定处理。</w:t>
            </w:r>
          </w:p>
        </w:tc>
      </w:tr>
      <w:tr w14:paraId="4A04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6" w:type="pct"/>
            <w:noWrap w:val="0"/>
            <w:vAlign w:val="center"/>
          </w:tcPr>
          <w:p w14:paraId="33FACF14">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★4</w:t>
            </w:r>
          </w:p>
        </w:tc>
        <w:tc>
          <w:tcPr>
            <w:tcW w:w="917" w:type="pct"/>
            <w:noWrap w:val="0"/>
            <w:vAlign w:val="center"/>
          </w:tcPr>
          <w:p w14:paraId="75D4F0FD">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关于付款</w:t>
            </w:r>
          </w:p>
        </w:tc>
        <w:tc>
          <w:tcPr>
            <w:tcW w:w="3376" w:type="pct"/>
            <w:noWrap w:val="0"/>
            <w:vAlign w:val="top"/>
          </w:tcPr>
          <w:p w14:paraId="768EE61B">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color w:val="auto"/>
                <w:sz w:val="21"/>
                <w:szCs w:val="21"/>
                <w:highlight w:val="none"/>
                <w:lang w:eastAsia="zh-TW"/>
              </w:rPr>
            </w:pPr>
            <w:r>
              <w:rPr>
                <w:rFonts w:hint="eastAsia" w:ascii="宋体" w:hAnsi="宋体" w:eastAsia="宋体" w:cs="宋体"/>
                <w:b w:val="0"/>
                <w:bCs/>
                <w:color w:val="auto"/>
                <w:sz w:val="21"/>
                <w:szCs w:val="21"/>
                <w:highlight w:val="none"/>
                <w:lang w:eastAsia="zh-TW"/>
              </w:rPr>
              <w:t>4.1中标人需在签订合同后1</w:t>
            </w:r>
            <w:r>
              <w:rPr>
                <w:rFonts w:hint="eastAsia" w:ascii="宋体" w:hAnsi="宋体" w:eastAsia="宋体" w:cs="宋体"/>
                <w:b w:val="0"/>
                <w:bCs/>
                <w:color w:val="auto"/>
                <w:sz w:val="21"/>
                <w:szCs w:val="21"/>
                <w:highlight w:val="none"/>
              </w:rPr>
              <w:t>0</w:t>
            </w:r>
            <w:r>
              <w:rPr>
                <w:rFonts w:hint="eastAsia" w:ascii="宋体" w:hAnsi="宋体" w:eastAsia="宋体" w:cs="宋体"/>
                <w:b w:val="0"/>
                <w:bCs/>
                <w:color w:val="auto"/>
                <w:sz w:val="21"/>
                <w:szCs w:val="21"/>
                <w:highlight w:val="none"/>
                <w:lang w:eastAsia="zh-TW"/>
              </w:rPr>
              <w:t>个工作日内以非现金形式支付合同总额的10%（如为中小企业：合同总额的5%）作为履约保证金给采购人，货到安装完成，经采购人验收合格且中标人提供全额增值税发票后，采购人向中标人一次性支付货款的100%；中标人履行完毕本合同全部义务后，中标人向采购人申请退回该履约保证金，采购人收到申请审核同意后，无息返还中标人的履约保证金。因中标人原因而未能达到本项目验收标准或验收不通过的，履约保证金不予退还。</w:t>
            </w:r>
          </w:p>
          <w:p w14:paraId="31197B13">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color w:val="auto"/>
                <w:sz w:val="21"/>
                <w:szCs w:val="21"/>
                <w:highlight w:val="none"/>
                <w:lang w:eastAsia="zh-TW"/>
              </w:rPr>
            </w:pPr>
            <w:r>
              <w:rPr>
                <w:rFonts w:hint="eastAsia" w:ascii="宋体" w:hAnsi="宋体" w:eastAsia="宋体" w:cs="宋体"/>
                <w:b w:val="0"/>
                <w:bCs/>
                <w:color w:val="auto"/>
                <w:sz w:val="21"/>
                <w:szCs w:val="21"/>
                <w:highlight w:val="none"/>
                <w:lang w:eastAsia="zh-TW"/>
              </w:rPr>
              <w:t>4.2支付合同款项前，中标人需向采购人提供与支付金额相符的有效发票，且收款方、出具发票方、合同乙方均必须与中标人名称一致。</w:t>
            </w:r>
          </w:p>
          <w:p w14:paraId="501708E0">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4.3违约责任：</w:t>
            </w:r>
            <w:r>
              <w:rPr>
                <w:rFonts w:hint="eastAsia" w:ascii="宋体" w:hAnsi="宋体" w:eastAsia="宋体" w:cs="宋体"/>
                <w:b w:val="0"/>
                <w:bCs/>
                <w:color w:val="auto"/>
                <w:sz w:val="21"/>
                <w:szCs w:val="21"/>
                <w:highlight w:val="none"/>
                <w:lang w:eastAsia="zh-TW"/>
              </w:rPr>
              <w:t>采购人逾期</w:t>
            </w:r>
            <w:r>
              <w:rPr>
                <w:rFonts w:hint="eastAsia" w:ascii="宋体" w:hAnsi="宋体" w:eastAsia="宋体" w:cs="宋体"/>
                <w:b w:val="0"/>
                <w:bCs/>
                <w:color w:val="auto"/>
                <w:sz w:val="21"/>
                <w:szCs w:val="21"/>
                <w:highlight w:val="none"/>
              </w:rPr>
              <w:t>支付合同款项</w:t>
            </w:r>
            <w:r>
              <w:rPr>
                <w:rFonts w:hint="eastAsia" w:ascii="宋体" w:hAnsi="宋体" w:eastAsia="宋体" w:cs="宋体"/>
                <w:b w:val="0"/>
                <w:bCs/>
                <w:color w:val="auto"/>
                <w:sz w:val="21"/>
                <w:szCs w:val="21"/>
                <w:highlight w:val="none"/>
                <w:lang w:eastAsia="zh-TW"/>
              </w:rPr>
              <w:t>的，除应当</w:t>
            </w:r>
            <w:r>
              <w:rPr>
                <w:rFonts w:hint="eastAsia" w:ascii="宋体" w:hAnsi="宋体" w:eastAsia="宋体" w:cs="宋体"/>
                <w:b w:val="0"/>
                <w:bCs/>
                <w:color w:val="auto"/>
                <w:sz w:val="21"/>
                <w:szCs w:val="21"/>
                <w:highlight w:val="none"/>
              </w:rPr>
              <w:t>支付合同款项</w:t>
            </w:r>
            <w:r>
              <w:rPr>
                <w:rFonts w:hint="eastAsia" w:ascii="宋体" w:hAnsi="宋体" w:eastAsia="宋体" w:cs="宋体"/>
                <w:b w:val="0"/>
                <w:bCs/>
                <w:color w:val="auto"/>
                <w:sz w:val="21"/>
                <w:szCs w:val="21"/>
                <w:highlight w:val="none"/>
                <w:lang w:eastAsia="zh-TW"/>
              </w:rPr>
              <w:t>外，还应当每日按合同总价的3‰向</w:t>
            </w:r>
            <w:r>
              <w:rPr>
                <w:rFonts w:hint="eastAsia" w:ascii="宋体" w:hAnsi="宋体" w:eastAsia="宋体" w:cs="宋体"/>
                <w:b w:val="0"/>
                <w:bCs/>
                <w:color w:val="auto"/>
                <w:sz w:val="21"/>
                <w:szCs w:val="21"/>
                <w:highlight w:val="none"/>
              </w:rPr>
              <w:t>中标人</w:t>
            </w:r>
            <w:r>
              <w:rPr>
                <w:rFonts w:hint="eastAsia" w:ascii="宋体" w:hAnsi="宋体" w:eastAsia="宋体" w:cs="宋体"/>
                <w:b w:val="0"/>
                <w:bCs/>
                <w:color w:val="auto"/>
                <w:sz w:val="21"/>
                <w:szCs w:val="21"/>
                <w:highlight w:val="none"/>
                <w:lang w:eastAsia="zh-TW"/>
              </w:rPr>
              <w:t>偿付违约金，但因中标人自身原因导致无法及时</w:t>
            </w:r>
            <w:r>
              <w:rPr>
                <w:rFonts w:hint="eastAsia" w:ascii="宋体" w:hAnsi="宋体" w:eastAsia="宋体" w:cs="宋体"/>
                <w:b w:val="0"/>
                <w:bCs/>
                <w:color w:val="auto"/>
                <w:sz w:val="21"/>
                <w:szCs w:val="21"/>
                <w:highlight w:val="none"/>
              </w:rPr>
              <w:t>支付</w:t>
            </w:r>
            <w:r>
              <w:rPr>
                <w:rFonts w:hint="eastAsia" w:ascii="宋体" w:hAnsi="宋体" w:eastAsia="宋体" w:cs="宋体"/>
                <w:b w:val="0"/>
                <w:bCs/>
                <w:color w:val="auto"/>
                <w:sz w:val="21"/>
                <w:szCs w:val="21"/>
                <w:highlight w:val="none"/>
                <w:lang w:eastAsia="zh-TW"/>
              </w:rPr>
              <w:t>的除外</w:t>
            </w:r>
            <w:r>
              <w:rPr>
                <w:rFonts w:hint="eastAsia" w:ascii="宋体" w:hAnsi="宋体" w:eastAsia="宋体" w:cs="宋体"/>
                <w:b w:val="0"/>
                <w:bCs/>
                <w:color w:val="auto"/>
                <w:sz w:val="21"/>
                <w:szCs w:val="21"/>
                <w:highlight w:val="none"/>
              </w:rPr>
              <w:t>。</w:t>
            </w:r>
          </w:p>
        </w:tc>
      </w:tr>
      <w:tr w14:paraId="7A33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6" w:type="pct"/>
            <w:noWrap w:val="0"/>
            <w:vAlign w:val="center"/>
          </w:tcPr>
          <w:p w14:paraId="59861FB3">
            <w:pPr>
              <w:keepNext w:val="0"/>
              <w:keepLines w:val="0"/>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rPr>
              <w:t>★</w:t>
            </w:r>
            <w:r>
              <w:rPr>
                <w:rFonts w:hint="eastAsia" w:ascii="宋体" w:hAnsi="宋体" w:eastAsia="宋体" w:cs="宋体"/>
                <w:b w:val="0"/>
                <w:bCs/>
                <w:sz w:val="21"/>
                <w:szCs w:val="21"/>
                <w:lang w:val="en-US" w:eastAsia="zh-CN"/>
              </w:rPr>
              <w:t>5</w:t>
            </w:r>
          </w:p>
        </w:tc>
        <w:tc>
          <w:tcPr>
            <w:tcW w:w="917" w:type="pct"/>
            <w:noWrap w:val="0"/>
            <w:vAlign w:val="center"/>
          </w:tcPr>
          <w:p w14:paraId="003B0016">
            <w:pPr>
              <w:keepNext w:val="0"/>
              <w:keepLines w:val="0"/>
              <w:pageBreakBefore w:val="0"/>
              <w:tabs>
                <w:tab w:val="left" w:pos="540"/>
              </w:tabs>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知识产权合规承诺</w:t>
            </w:r>
          </w:p>
        </w:tc>
        <w:tc>
          <w:tcPr>
            <w:tcW w:w="3376" w:type="pct"/>
            <w:noWrap w:val="0"/>
            <w:vAlign w:val="top"/>
          </w:tcPr>
          <w:p w14:paraId="09A187DA">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lang w:bidi="ar"/>
              </w:rPr>
              <w:t>6.1中标人在履行合同的过程中不得侵犯他人知识产权，不得提供虚假知识产权申请材料或者违背知识产权合规性承诺，否则依法追究其违约等责任，并将其失信违法信息依法纳入公共信用信息系统。</w:t>
            </w:r>
          </w:p>
          <w:p w14:paraId="4C0B0E1E">
            <w:pPr>
              <w:keepNext w:val="0"/>
              <w:keepLines w:val="0"/>
              <w:pageBreakBefore w:val="0"/>
              <w:kinsoku/>
              <w:wordWrap/>
              <w:overflowPunct/>
              <w:topLinePunct w:val="0"/>
              <w:autoSpaceDE/>
              <w:autoSpaceDN/>
              <w:bidi w:val="0"/>
              <w:spacing w:line="360" w:lineRule="auto"/>
              <w:textAlignment w:val="auto"/>
              <w:rPr>
                <w:rFonts w:hint="eastAsia" w:ascii="宋体" w:hAnsi="宋体" w:eastAsia="宋体" w:cs="宋体"/>
                <w:b w:val="0"/>
                <w:bCs/>
                <w:kern w:val="0"/>
                <w:sz w:val="21"/>
                <w:szCs w:val="21"/>
              </w:rPr>
            </w:pPr>
            <w:r>
              <w:rPr>
                <w:rFonts w:hint="eastAsia" w:ascii="宋体" w:hAnsi="宋体" w:eastAsia="宋体" w:cs="宋体"/>
                <w:b w:val="0"/>
                <w:bCs/>
                <w:kern w:val="0"/>
                <w:sz w:val="21"/>
                <w:szCs w:val="21"/>
                <w:lang w:bidi="ar"/>
              </w:rPr>
              <w:t>6.2中标人应保证采购人在使用该货物或其任何一部分时免受第三方提出侵犯其专利、商标、版权等知识产权或商品名称及其他权利的起诉及索赔。若采购人因此被第三方起诉或以其它方式追究责任，中标人应赔偿因采购人被第三方索赔所引起的一切损失，包括但不限于采购人所支付的侵权损害赔偿费、律师费、诉讼费、仲裁费、办案差旅费等因应诉、沟通协调所发的一切费用。</w:t>
            </w:r>
          </w:p>
          <w:p w14:paraId="61763C15">
            <w:pPr>
              <w:keepNext w:val="0"/>
              <w:keepLines w:val="0"/>
              <w:pageBreakBefore w:val="0"/>
              <w:tabs>
                <w:tab w:val="left" w:pos="540"/>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sz w:val="21"/>
                <w:szCs w:val="21"/>
              </w:rPr>
            </w:pPr>
            <w:r>
              <w:rPr>
                <w:rFonts w:hint="eastAsia" w:ascii="宋体" w:hAnsi="宋体" w:eastAsia="宋体" w:cs="宋体"/>
                <w:b w:val="0"/>
                <w:bCs/>
                <w:kern w:val="0"/>
                <w:sz w:val="21"/>
                <w:szCs w:val="21"/>
                <w:lang w:bidi="ar"/>
              </w:rPr>
              <w:t>6.3中标人实施本项目所形成成果的知识产权归采购人所有，未经采购人许可，中标人不得随意使用。</w:t>
            </w:r>
          </w:p>
        </w:tc>
      </w:tr>
    </w:tbl>
    <w:p w14:paraId="3492B1F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b w:val="0"/>
          <w:bCs/>
          <w:color w:val="auto"/>
          <w:sz w:val="21"/>
          <w:szCs w:val="21"/>
        </w:rPr>
      </w:pPr>
    </w:p>
    <w:sectPr>
      <w:footerReference r:id="rId5" w:type="first"/>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H Yb 2gj">
    <w:altName w:val="黑体"/>
    <w:panose1 w:val="00000000000000000000"/>
    <w:charset w:val="86"/>
    <w:family w:val="auto"/>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长城仿宋">
    <w:altName w:val="黑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32002"/>
      <w:docPartObj>
        <w:docPartGallery w:val="autotext"/>
      </w:docPartObj>
    </w:sdtPr>
    <w:sdtContent>
      <w:p w14:paraId="6BF5143B">
        <w:pPr>
          <w:pStyle w:val="16"/>
          <w:jc w:val="center"/>
        </w:pPr>
        <w:r>
          <w:fldChar w:fldCharType="begin"/>
        </w:r>
        <w:r>
          <w:instrText xml:space="preserve"> PAGE   \* MERGEFORMAT </w:instrText>
        </w:r>
        <w:r>
          <w:fldChar w:fldCharType="separate"/>
        </w:r>
        <w:r>
          <w:rPr>
            <w:lang w:val="zh-CN"/>
          </w:rPr>
          <w:t>6</w:t>
        </w:r>
        <w:r>
          <w:rPr>
            <w:lang w:val="zh-CN"/>
          </w:rPr>
          <w:fldChar w:fldCharType="end"/>
        </w:r>
      </w:p>
    </w:sdtContent>
  </w:sdt>
  <w:p w14:paraId="04829997">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32003"/>
      <w:docPartObj>
        <w:docPartGallery w:val="autotext"/>
      </w:docPartObj>
    </w:sdtPr>
    <w:sdtContent>
      <w:p w14:paraId="34D04A62">
        <w:pPr>
          <w:pStyle w:val="16"/>
          <w:jc w:val="center"/>
        </w:pPr>
      </w:p>
    </w:sdtContent>
  </w:sdt>
  <w:p w14:paraId="7FA61508">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786B8">
    <w:pPr>
      <w:pStyle w:val="17"/>
      <w:ind w:firstLine="450" w:firstLineChars="250"/>
      <w:jc w:val="left"/>
      <w:rPr>
        <w:rFonts w:hint="default" w:eastAsia="宋体"/>
        <w:lang w:val="en-US" w:eastAsia="zh-CN"/>
      </w:rPr>
    </w:pPr>
    <w:r>
      <w:rPr>
        <w:rFonts w:hint="eastAsia"/>
      </w:rPr>
      <w:t>项目名称：</w:t>
    </w:r>
    <w:r>
      <w:rPr>
        <w:rFonts w:hint="eastAsia" w:ascii="宋体" w:hAnsi="宋体"/>
        <w:b w:val="0"/>
        <w:bCs w:val="0"/>
        <w:lang w:eastAsia="zh-CN"/>
      </w:rPr>
      <w:t>射频控温热凝器采购项目</w:t>
    </w:r>
    <w:r>
      <w:rPr>
        <w:rFonts w:hint="eastAsia"/>
      </w:rPr>
      <w:t xml:space="preserve">  </w:t>
    </w:r>
    <w:r>
      <w:rPr>
        <w:rFonts w:hint="eastAsia"/>
        <w:lang w:val="en-US" w:eastAsia="zh-CN"/>
      </w:rPr>
      <w:t xml:space="preserve">        </w:t>
    </w:r>
    <w:r>
      <w:rPr>
        <w:rFonts w:hint="eastAsia"/>
      </w:rPr>
      <w:t xml:space="preserve">    项目编号：</w:t>
    </w:r>
    <w:r>
      <w:t>SZZZ202</w:t>
    </w:r>
    <w:r>
      <w:rPr>
        <w:rFonts w:hint="eastAsia"/>
        <w:lang w:val="en-US" w:eastAsia="zh-CN"/>
      </w:rPr>
      <w:t>2</w:t>
    </w:r>
    <w:r>
      <w:t>-</w:t>
    </w:r>
    <w:r>
      <w:rPr>
        <w:rFonts w:hint="eastAsia"/>
        <w:lang w:eastAsia="zh-CN"/>
      </w:rPr>
      <w:t>QA0</w:t>
    </w:r>
    <w:r>
      <w:rPr>
        <w:rFonts w:hint="eastAsia"/>
        <w:lang w:val="en-US" w:eastAsia="zh-CN"/>
      </w:rPr>
      <w:t>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E42CC"/>
    <w:multiLevelType w:val="multilevel"/>
    <w:tmpl w:val="062E42CC"/>
    <w:lvl w:ilvl="0" w:tentative="0">
      <w:start w:val="1"/>
      <w:numFmt w:val="bullet"/>
      <w:pStyle w:val="57"/>
      <w:lvlText w:val=""/>
      <w:lvlJc w:val="left"/>
      <w:pPr>
        <w:tabs>
          <w:tab w:val="left" w:pos="839"/>
        </w:tabs>
        <w:ind w:left="840" w:hanging="420"/>
      </w:pPr>
      <w:rPr>
        <w:rFonts w:hint="default" w:ascii="Wingdings" w:hAnsi="Wingdings"/>
      </w:rPr>
    </w:lvl>
    <w:lvl w:ilvl="1" w:tentative="0">
      <w:start w:val="1"/>
      <w:numFmt w:val="lowerLetter"/>
      <w:lvlText w:val="%2)"/>
      <w:lvlJc w:val="left"/>
      <w:pPr>
        <w:ind w:left="1260" w:hanging="420"/>
      </w:pPr>
      <w:rPr>
        <w:rFonts w:hint="default"/>
      </w:rPr>
    </w:lvl>
    <w:lvl w:ilvl="2" w:tentative="0">
      <w:start w:val="1"/>
      <w:numFmt w:val="lowerRoman"/>
      <w:lvlText w:val="%3."/>
      <w:lvlJc w:val="right"/>
      <w:pPr>
        <w:ind w:left="1680" w:hanging="420"/>
      </w:pPr>
      <w:rPr>
        <w:rFonts w:hint="default"/>
      </w:rPr>
    </w:lvl>
    <w:lvl w:ilvl="3" w:tentative="0">
      <w:start w:val="1"/>
      <w:numFmt w:val="decimal"/>
      <w:lvlText w:val="%4."/>
      <w:lvlJc w:val="left"/>
      <w:pPr>
        <w:ind w:left="2100" w:hanging="420"/>
      </w:pPr>
      <w:rPr>
        <w:rFonts w:hint="default"/>
      </w:rPr>
    </w:lvl>
    <w:lvl w:ilvl="4" w:tentative="0">
      <w:start w:val="1"/>
      <w:numFmt w:val="lowerLetter"/>
      <w:lvlText w:val="%5)"/>
      <w:lvlJc w:val="left"/>
      <w:pPr>
        <w:ind w:left="2520" w:hanging="420"/>
      </w:pPr>
      <w:rPr>
        <w:rFonts w:hint="default"/>
      </w:rPr>
    </w:lvl>
    <w:lvl w:ilvl="5" w:tentative="0">
      <w:start w:val="1"/>
      <w:numFmt w:val="lowerRoman"/>
      <w:lvlText w:val="%6."/>
      <w:lvlJc w:val="right"/>
      <w:pPr>
        <w:ind w:left="2940" w:hanging="420"/>
      </w:pPr>
      <w:rPr>
        <w:rFonts w:hint="default"/>
      </w:rPr>
    </w:lvl>
    <w:lvl w:ilvl="6" w:tentative="0">
      <w:start w:val="1"/>
      <w:numFmt w:val="decimal"/>
      <w:lvlText w:val="%7."/>
      <w:lvlJc w:val="left"/>
      <w:pPr>
        <w:ind w:left="3360" w:hanging="420"/>
      </w:pPr>
      <w:rPr>
        <w:rFonts w:hint="default"/>
      </w:rPr>
    </w:lvl>
    <w:lvl w:ilvl="7" w:tentative="0">
      <w:start w:val="1"/>
      <w:numFmt w:val="lowerLetter"/>
      <w:lvlText w:val="%8)"/>
      <w:lvlJc w:val="left"/>
      <w:pPr>
        <w:ind w:left="3780" w:hanging="420"/>
      </w:pPr>
      <w:rPr>
        <w:rFonts w:hint="default"/>
      </w:rPr>
    </w:lvl>
    <w:lvl w:ilvl="8" w:tentative="0">
      <w:start w:val="1"/>
      <w:numFmt w:val="lowerRoman"/>
      <w:lvlText w:val="%9."/>
      <w:lvlJc w:val="right"/>
      <w:pPr>
        <w:ind w:left="4200" w:hanging="4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NiN2JjZGQwODQzNTVmMDg4ZGNmNzRhYmJlZDY2YTUifQ=="/>
  </w:docVars>
  <w:rsids>
    <w:rsidRoot w:val="00081812"/>
    <w:rsid w:val="00000DEE"/>
    <w:rsid w:val="00000F62"/>
    <w:rsid w:val="00000FB1"/>
    <w:rsid w:val="0000490F"/>
    <w:rsid w:val="00007ECB"/>
    <w:rsid w:val="00010E98"/>
    <w:rsid w:val="000111D4"/>
    <w:rsid w:val="0001133A"/>
    <w:rsid w:val="000159CF"/>
    <w:rsid w:val="000176BA"/>
    <w:rsid w:val="0002500E"/>
    <w:rsid w:val="0002675A"/>
    <w:rsid w:val="00027833"/>
    <w:rsid w:val="000309C1"/>
    <w:rsid w:val="00031BF4"/>
    <w:rsid w:val="00032DB0"/>
    <w:rsid w:val="0003579A"/>
    <w:rsid w:val="00036165"/>
    <w:rsid w:val="00037412"/>
    <w:rsid w:val="000375B9"/>
    <w:rsid w:val="00037D52"/>
    <w:rsid w:val="00050AB0"/>
    <w:rsid w:val="00050F57"/>
    <w:rsid w:val="0005394E"/>
    <w:rsid w:val="00053B8A"/>
    <w:rsid w:val="000550D9"/>
    <w:rsid w:val="00055193"/>
    <w:rsid w:val="00056E7C"/>
    <w:rsid w:val="000600D8"/>
    <w:rsid w:val="00060560"/>
    <w:rsid w:val="000614D2"/>
    <w:rsid w:val="0006220B"/>
    <w:rsid w:val="00063194"/>
    <w:rsid w:val="0006778F"/>
    <w:rsid w:val="000679AB"/>
    <w:rsid w:val="00072F2B"/>
    <w:rsid w:val="00075875"/>
    <w:rsid w:val="00076401"/>
    <w:rsid w:val="000771B0"/>
    <w:rsid w:val="00080FB8"/>
    <w:rsid w:val="00081812"/>
    <w:rsid w:val="00081C0F"/>
    <w:rsid w:val="000851F4"/>
    <w:rsid w:val="00086549"/>
    <w:rsid w:val="000875D3"/>
    <w:rsid w:val="00094345"/>
    <w:rsid w:val="00094CF9"/>
    <w:rsid w:val="000A02CF"/>
    <w:rsid w:val="000A103E"/>
    <w:rsid w:val="000A2045"/>
    <w:rsid w:val="000B12D8"/>
    <w:rsid w:val="000B3159"/>
    <w:rsid w:val="000B44BC"/>
    <w:rsid w:val="000B7A52"/>
    <w:rsid w:val="000C05F3"/>
    <w:rsid w:val="000C2FC4"/>
    <w:rsid w:val="000C4E01"/>
    <w:rsid w:val="000C7610"/>
    <w:rsid w:val="000C7E05"/>
    <w:rsid w:val="000D1227"/>
    <w:rsid w:val="000D16E0"/>
    <w:rsid w:val="000D3053"/>
    <w:rsid w:val="000D3DAD"/>
    <w:rsid w:val="000D4339"/>
    <w:rsid w:val="000D4C91"/>
    <w:rsid w:val="000D6CAD"/>
    <w:rsid w:val="000D74FE"/>
    <w:rsid w:val="000E1731"/>
    <w:rsid w:val="000E2AAA"/>
    <w:rsid w:val="000E41B3"/>
    <w:rsid w:val="000E647C"/>
    <w:rsid w:val="000E6F68"/>
    <w:rsid w:val="000F4536"/>
    <w:rsid w:val="000F47BD"/>
    <w:rsid w:val="000F5214"/>
    <w:rsid w:val="000F5791"/>
    <w:rsid w:val="001017A2"/>
    <w:rsid w:val="0010276A"/>
    <w:rsid w:val="001036FB"/>
    <w:rsid w:val="0010378A"/>
    <w:rsid w:val="00103A07"/>
    <w:rsid w:val="00103BD6"/>
    <w:rsid w:val="00103D0B"/>
    <w:rsid w:val="00103E57"/>
    <w:rsid w:val="00105AE0"/>
    <w:rsid w:val="001071FF"/>
    <w:rsid w:val="001075BE"/>
    <w:rsid w:val="0011046C"/>
    <w:rsid w:val="0011120F"/>
    <w:rsid w:val="00112047"/>
    <w:rsid w:val="001120AB"/>
    <w:rsid w:val="00113460"/>
    <w:rsid w:val="00113EC5"/>
    <w:rsid w:val="0011733C"/>
    <w:rsid w:val="001206C4"/>
    <w:rsid w:val="00120905"/>
    <w:rsid w:val="00120A80"/>
    <w:rsid w:val="00120DDA"/>
    <w:rsid w:val="00122482"/>
    <w:rsid w:val="001224CA"/>
    <w:rsid w:val="001235DF"/>
    <w:rsid w:val="001253C1"/>
    <w:rsid w:val="001300A8"/>
    <w:rsid w:val="001307EF"/>
    <w:rsid w:val="00130FFD"/>
    <w:rsid w:val="00131B9B"/>
    <w:rsid w:val="00132409"/>
    <w:rsid w:val="00132477"/>
    <w:rsid w:val="00134941"/>
    <w:rsid w:val="00135348"/>
    <w:rsid w:val="0013568E"/>
    <w:rsid w:val="0013577A"/>
    <w:rsid w:val="0013596A"/>
    <w:rsid w:val="001451A4"/>
    <w:rsid w:val="0015310D"/>
    <w:rsid w:val="0015356C"/>
    <w:rsid w:val="00155BE9"/>
    <w:rsid w:val="0015652F"/>
    <w:rsid w:val="0016076C"/>
    <w:rsid w:val="001618C7"/>
    <w:rsid w:val="00165708"/>
    <w:rsid w:val="00166E7A"/>
    <w:rsid w:val="001713CD"/>
    <w:rsid w:val="00174A8D"/>
    <w:rsid w:val="00176A0E"/>
    <w:rsid w:val="0018134E"/>
    <w:rsid w:val="00182643"/>
    <w:rsid w:val="001830D7"/>
    <w:rsid w:val="00185010"/>
    <w:rsid w:val="001850C4"/>
    <w:rsid w:val="001906D1"/>
    <w:rsid w:val="0019175D"/>
    <w:rsid w:val="00192E27"/>
    <w:rsid w:val="00194B76"/>
    <w:rsid w:val="00197685"/>
    <w:rsid w:val="0019777D"/>
    <w:rsid w:val="001A0D90"/>
    <w:rsid w:val="001A0EB6"/>
    <w:rsid w:val="001A1302"/>
    <w:rsid w:val="001A4995"/>
    <w:rsid w:val="001A529F"/>
    <w:rsid w:val="001B026C"/>
    <w:rsid w:val="001B0736"/>
    <w:rsid w:val="001B14D5"/>
    <w:rsid w:val="001B4B65"/>
    <w:rsid w:val="001B4C23"/>
    <w:rsid w:val="001C0532"/>
    <w:rsid w:val="001C0CCF"/>
    <w:rsid w:val="001C1FFB"/>
    <w:rsid w:val="001D3874"/>
    <w:rsid w:val="001D6198"/>
    <w:rsid w:val="001D6B2F"/>
    <w:rsid w:val="001D6CCA"/>
    <w:rsid w:val="001D7A7C"/>
    <w:rsid w:val="001E1BC7"/>
    <w:rsid w:val="001E398A"/>
    <w:rsid w:val="001E3C4F"/>
    <w:rsid w:val="001E4745"/>
    <w:rsid w:val="001E48C9"/>
    <w:rsid w:val="001E5169"/>
    <w:rsid w:val="001E60D1"/>
    <w:rsid w:val="001E6EA6"/>
    <w:rsid w:val="001E7031"/>
    <w:rsid w:val="001F0977"/>
    <w:rsid w:val="001F2061"/>
    <w:rsid w:val="001F259A"/>
    <w:rsid w:val="001F2D31"/>
    <w:rsid w:val="001F3E52"/>
    <w:rsid w:val="001F52C4"/>
    <w:rsid w:val="001F5A31"/>
    <w:rsid w:val="00201022"/>
    <w:rsid w:val="00204553"/>
    <w:rsid w:val="00207834"/>
    <w:rsid w:val="00211E1C"/>
    <w:rsid w:val="002131F0"/>
    <w:rsid w:val="002134C1"/>
    <w:rsid w:val="00213858"/>
    <w:rsid w:val="002140DF"/>
    <w:rsid w:val="002151EE"/>
    <w:rsid w:val="00215F43"/>
    <w:rsid w:val="00216C79"/>
    <w:rsid w:val="002172FA"/>
    <w:rsid w:val="00223218"/>
    <w:rsid w:val="00223C0E"/>
    <w:rsid w:val="002244FB"/>
    <w:rsid w:val="0022493F"/>
    <w:rsid w:val="002259B7"/>
    <w:rsid w:val="00226BD7"/>
    <w:rsid w:val="00230218"/>
    <w:rsid w:val="002304B2"/>
    <w:rsid w:val="00234AB5"/>
    <w:rsid w:val="00235A7C"/>
    <w:rsid w:val="00235E71"/>
    <w:rsid w:val="002366EC"/>
    <w:rsid w:val="00240B70"/>
    <w:rsid w:val="00241247"/>
    <w:rsid w:val="00241A35"/>
    <w:rsid w:val="00244EDA"/>
    <w:rsid w:val="002463C2"/>
    <w:rsid w:val="0024707D"/>
    <w:rsid w:val="00251EE6"/>
    <w:rsid w:val="00252A0E"/>
    <w:rsid w:val="00256F3C"/>
    <w:rsid w:val="002579AC"/>
    <w:rsid w:val="0026095A"/>
    <w:rsid w:val="00261E10"/>
    <w:rsid w:val="00262836"/>
    <w:rsid w:val="00266448"/>
    <w:rsid w:val="002666B6"/>
    <w:rsid w:val="00267F2E"/>
    <w:rsid w:val="00270AB4"/>
    <w:rsid w:val="0027125F"/>
    <w:rsid w:val="0027386D"/>
    <w:rsid w:val="00273CE7"/>
    <w:rsid w:val="00280004"/>
    <w:rsid w:val="00280295"/>
    <w:rsid w:val="00281900"/>
    <w:rsid w:val="00282D0F"/>
    <w:rsid w:val="00284440"/>
    <w:rsid w:val="00285487"/>
    <w:rsid w:val="00290049"/>
    <w:rsid w:val="0029092A"/>
    <w:rsid w:val="00290A37"/>
    <w:rsid w:val="00291A31"/>
    <w:rsid w:val="0029352A"/>
    <w:rsid w:val="00293E95"/>
    <w:rsid w:val="00294665"/>
    <w:rsid w:val="00297D1B"/>
    <w:rsid w:val="002A06F5"/>
    <w:rsid w:val="002A3990"/>
    <w:rsid w:val="002A3CF6"/>
    <w:rsid w:val="002A5275"/>
    <w:rsid w:val="002A78DB"/>
    <w:rsid w:val="002B11F2"/>
    <w:rsid w:val="002C12B1"/>
    <w:rsid w:val="002C3E2A"/>
    <w:rsid w:val="002C54D8"/>
    <w:rsid w:val="002C5F7F"/>
    <w:rsid w:val="002D285F"/>
    <w:rsid w:val="002D51A5"/>
    <w:rsid w:val="002D6413"/>
    <w:rsid w:val="002D78BD"/>
    <w:rsid w:val="002D7BEA"/>
    <w:rsid w:val="002E071E"/>
    <w:rsid w:val="002E23B1"/>
    <w:rsid w:val="002E3E90"/>
    <w:rsid w:val="002E3F94"/>
    <w:rsid w:val="002E4814"/>
    <w:rsid w:val="002E5B12"/>
    <w:rsid w:val="002E6738"/>
    <w:rsid w:val="002F0946"/>
    <w:rsid w:val="002F0E71"/>
    <w:rsid w:val="002F30E6"/>
    <w:rsid w:val="002F49D2"/>
    <w:rsid w:val="002F5D8F"/>
    <w:rsid w:val="002F5DF7"/>
    <w:rsid w:val="003007E9"/>
    <w:rsid w:val="00300F63"/>
    <w:rsid w:val="00302A03"/>
    <w:rsid w:val="00303151"/>
    <w:rsid w:val="0030484B"/>
    <w:rsid w:val="00305E56"/>
    <w:rsid w:val="00306415"/>
    <w:rsid w:val="00312539"/>
    <w:rsid w:val="00312A7C"/>
    <w:rsid w:val="00315ABB"/>
    <w:rsid w:val="003165DD"/>
    <w:rsid w:val="00320E9C"/>
    <w:rsid w:val="00321AB6"/>
    <w:rsid w:val="00321C69"/>
    <w:rsid w:val="00324BEB"/>
    <w:rsid w:val="00325DC4"/>
    <w:rsid w:val="0032699D"/>
    <w:rsid w:val="00331CBE"/>
    <w:rsid w:val="00331F0C"/>
    <w:rsid w:val="003344DE"/>
    <w:rsid w:val="0033607F"/>
    <w:rsid w:val="003366C3"/>
    <w:rsid w:val="0033717B"/>
    <w:rsid w:val="00341029"/>
    <w:rsid w:val="00341DF6"/>
    <w:rsid w:val="00342E35"/>
    <w:rsid w:val="0034412F"/>
    <w:rsid w:val="003467AA"/>
    <w:rsid w:val="00347DED"/>
    <w:rsid w:val="00350427"/>
    <w:rsid w:val="00351589"/>
    <w:rsid w:val="0035266A"/>
    <w:rsid w:val="003533CB"/>
    <w:rsid w:val="00354170"/>
    <w:rsid w:val="00357198"/>
    <w:rsid w:val="00360E2B"/>
    <w:rsid w:val="00362130"/>
    <w:rsid w:val="00362685"/>
    <w:rsid w:val="00362FDA"/>
    <w:rsid w:val="0036371B"/>
    <w:rsid w:val="00363840"/>
    <w:rsid w:val="00363D01"/>
    <w:rsid w:val="00364104"/>
    <w:rsid w:val="00365175"/>
    <w:rsid w:val="00365C3E"/>
    <w:rsid w:val="00365C92"/>
    <w:rsid w:val="00366870"/>
    <w:rsid w:val="00367676"/>
    <w:rsid w:val="003679CE"/>
    <w:rsid w:val="00370059"/>
    <w:rsid w:val="00371507"/>
    <w:rsid w:val="00373358"/>
    <w:rsid w:val="003734A9"/>
    <w:rsid w:val="003749D0"/>
    <w:rsid w:val="00375504"/>
    <w:rsid w:val="00380BF7"/>
    <w:rsid w:val="003817C2"/>
    <w:rsid w:val="003821BD"/>
    <w:rsid w:val="003961A8"/>
    <w:rsid w:val="00397B90"/>
    <w:rsid w:val="003A0AF8"/>
    <w:rsid w:val="003A12B6"/>
    <w:rsid w:val="003A2361"/>
    <w:rsid w:val="003A3825"/>
    <w:rsid w:val="003A3C1C"/>
    <w:rsid w:val="003A45DB"/>
    <w:rsid w:val="003A6687"/>
    <w:rsid w:val="003B0701"/>
    <w:rsid w:val="003B09EB"/>
    <w:rsid w:val="003B1F2D"/>
    <w:rsid w:val="003B2517"/>
    <w:rsid w:val="003B3548"/>
    <w:rsid w:val="003B43AA"/>
    <w:rsid w:val="003B480F"/>
    <w:rsid w:val="003B72A9"/>
    <w:rsid w:val="003B73C7"/>
    <w:rsid w:val="003C007A"/>
    <w:rsid w:val="003C09AC"/>
    <w:rsid w:val="003C3302"/>
    <w:rsid w:val="003C34EB"/>
    <w:rsid w:val="003C450F"/>
    <w:rsid w:val="003C49B8"/>
    <w:rsid w:val="003C5421"/>
    <w:rsid w:val="003C5430"/>
    <w:rsid w:val="003C73B6"/>
    <w:rsid w:val="003D00F6"/>
    <w:rsid w:val="003D4C25"/>
    <w:rsid w:val="003D6A99"/>
    <w:rsid w:val="003D7227"/>
    <w:rsid w:val="003D76AD"/>
    <w:rsid w:val="003E21AD"/>
    <w:rsid w:val="003E2E33"/>
    <w:rsid w:val="003E35A8"/>
    <w:rsid w:val="003E6702"/>
    <w:rsid w:val="003E7DA3"/>
    <w:rsid w:val="003F2113"/>
    <w:rsid w:val="003F35A5"/>
    <w:rsid w:val="003F3EE1"/>
    <w:rsid w:val="003F54E0"/>
    <w:rsid w:val="003F5A49"/>
    <w:rsid w:val="003F68EA"/>
    <w:rsid w:val="003F7B83"/>
    <w:rsid w:val="00400065"/>
    <w:rsid w:val="00414963"/>
    <w:rsid w:val="00415251"/>
    <w:rsid w:val="0041630C"/>
    <w:rsid w:val="004168DC"/>
    <w:rsid w:val="00416F7A"/>
    <w:rsid w:val="0042116F"/>
    <w:rsid w:val="00421DAD"/>
    <w:rsid w:val="004222E0"/>
    <w:rsid w:val="00422693"/>
    <w:rsid w:val="00422A55"/>
    <w:rsid w:val="00422C44"/>
    <w:rsid w:val="0042569B"/>
    <w:rsid w:val="0042757A"/>
    <w:rsid w:val="00427866"/>
    <w:rsid w:val="004278A7"/>
    <w:rsid w:val="0043223F"/>
    <w:rsid w:val="004338CE"/>
    <w:rsid w:val="00435AA6"/>
    <w:rsid w:val="004430A5"/>
    <w:rsid w:val="0044367E"/>
    <w:rsid w:val="004443E7"/>
    <w:rsid w:val="004501AD"/>
    <w:rsid w:val="00450263"/>
    <w:rsid w:val="0045273A"/>
    <w:rsid w:val="00453647"/>
    <w:rsid w:val="00454FF9"/>
    <w:rsid w:val="00457E2E"/>
    <w:rsid w:val="00460AA2"/>
    <w:rsid w:val="00462399"/>
    <w:rsid w:val="004625C3"/>
    <w:rsid w:val="00465C8A"/>
    <w:rsid w:val="00466085"/>
    <w:rsid w:val="0046668A"/>
    <w:rsid w:val="00466DE8"/>
    <w:rsid w:val="00476772"/>
    <w:rsid w:val="004807D8"/>
    <w:rsid w:val="004858C4"/>
    <w:rsid w:val="0048606B"/>
    <w:rsid w:val="00486360"/>
    <w:rsid w:val="004870E5"/>
    <w:rsid w:val="00487AC8"/>
    <w:rsid w:val="00490108"/>
    <w:rsid w:val="00492994"/>
    <w:rsid w:val="00492ED3"/>
    <w:rsid w:val="00492EE9"/>
    <w:rsid w:val="0049371D"/>
    <w:rsid w:val="0049518C"/>
    <w:rsid w:val="00496E36"/>
    <w:rsid w:val="004A008B"/>
    <w:rsid w:val="004A2A14"/>
    <w:rsid w:val="004A3574"/>
    <w:rsid w:val="004A3D8F"/>
    <w:rsid w:val="004A3ED8"/>
    <w:rsid w:val="004A44E9"/>
    <w:rsid w:val="004A4D27"/>
    <w:rsid w:val="004A760C"/>
    <w:rsid w:val="004B3011"/>
    <w:rsid w:val="004B3C41"/>
    <w:rsid w:val="004B3E4E"/>
    <w:rsid w:val="004B5B22"/>
    <w:rsid w:val="004B5B8D"/>
    <w:rsid w:val="004B702D"/>
    <w:rsid w:val="004B7A5D"/>
    <w:rsid w:val="004C01E3"/>
    <w:rsid w:val="004C0510"/>
    <w:rsid w:val="004C1824"/>
    <w:rsid w:val="004C1F8C"/>
    <w:rsid w:val="004C27A2"/>
    <w:rsid w:val="004C2C97"/>
    <w:rsid w:val="004C3BFC"/>
    <w:rsid w:val="004C4655"/>
    <w:rsid w:val="004C5A96"/>
    <w:rsid w:val="004C71FD"/>
    <w:rsid w:val="004D21F9"/>
    <w:rsid w:val="004D2D87"/>
    <w:rsid w:val="004D3C88"/>
    <w:rsid w:val="004D3EFD"/>
    <w:rsid w:val="004D6C39"/>
    <w:rsid w:val="004E0D3B"/>
    <w:rsid w:val="004E30ED"/>
    <w:rsid w:val="004E4D52"/>
    <w:rsid w:val="004E6514"/>
    <w:rsid w:val="004F0013"/>
    <w:rsid w:val="004F037B"/>
    <w:rsid w:val="004F1964"/>
    <w:rsid w:val="004F1E55"/>
    <w:rsid w:val="004F2741"/>
    <w:rsid w:val="004F2C86"/>
    <w:rsid w:val="004F4A43"/>
    <w:rsid w:val="004F57EA"/>
    <w:rsid w:val="004F5A1F"/>
    <w:rsid w:val="0050673A"/>
    <w:rsid w:val="00507910"/>
    <w:rsid w:val="005115F1"/>
    <w:rsid w:val="00513405"/>
    <w:rsid w:val="00517508"/>
    <w:rsid w:val="00524AB5"/>
    <w:rsid w:val="00530955"/>
    <w:rsid w:val="00530EBB"/>
    <w:rsid w:val="00531594"/>
    <w:rsid w:val="005339CE"/>
    <w:rsid w:val="0053469D"/>
    <w:rsid w:val="0053608D"/>
    <w:rsid w:val="00536394"/>
    <w:rsid w:val="00536771"/>
    <w:rsid w:val="0054086A"/>
    <w:rsid w:val="00541912"/>
    <w:rsid w:val="00541962"/>
    <w:rsid w:val="00542267"/>
    <w:rsid w:val="00544A1E"/>
    <w:rsid w:val="005454F7"/>
    <w:rsid w:val="00545A1D"/>
    <w:rsid w:val="00546FF3"/>
    <w:rsid w:val="00547A36"/>
    <w:rsid w:val="00552EA1"/>
    <w:rsid w:val="0055628A"/>
    <w:rsid w:val="00556603"/>
    <w:rsid w:val="00562A80"/>
    <w:rsid w:val="005659BA"/>
    <w:rsid w:val="00571031"/>
    <w:rsid w:val="00571D74"/>
    <w:rsid w:val="00574D07"/>
    <w:rsid w:val="00581D61"/>
    <w:rsid w:val="00583965"/>
    <w:rsid w:val="0058457D"/>
    <w:rsid w:val="00584C51"/>
    <w:rsid w:val="0059165F"/>
    <w:rsid w:val="00594812"/>
    <w:rsid w:val="00597492"/>
    <w:rsid w:val="005977CD"/>
    <w:rsid w:val="005A198A"/>
    <w:rsid w:val="005A2D99"/>
    <w:rsid w:val="005A556A"/>
    <w:rsid w:val="005A657A"/>
    <w:rsid w:val="005B1387"/>
    <w:rsid w:val="005B39F5"/>
    <w:rsid w:val="005B3CF3"/>
    <w:rsid w:val="005B6672"/>
    <w:rsid w:val="005B67E4"/>
    <w:rsid w:val="005B7AB9"/>
    <w:rsid w:val="005C038C"/>
    <w:rsid w:val="005C1F40"/>
    <w:rsid w:val="005C26E6"/>
    <w:rsid w:val="005C297C"/>
    <w:rsid w:val="005C50DE"/>
    <w:rsid w:val="005C669E"/>
    <w:rsid w:val="005C6BAF"/>
    <w:rsid w:val="005C79AB"/>
    <w:rsid w:val="005D0E62"/>
    <w:rsid w:val="005D120E"/>
    <w:rsid w:val="005E0B51"/>
    <w:rsid w:val="005E3AA1"/>
    <w:rsid w:val="005E3DDF"/>
    <w:rsid w:val="005E5481"/>
    <w:rsid w:val="005E5539"/>
    <w:rsid w:val="005E6047"/>
    <w:rsid w:val="005F13C2"/>
    <w:rsid w:val="005F37DF"/>
    <w:rsid w:val="005F3B95"/>
    <w:rsid w:val="005F559B"/>
    <w:rsid w:val="00600A83"/>
    <w:rsid w:val="00600F48"/>
    <w:rsid w:val="006013DE"/>
    <w:rsid w:val="00601E13"/>
    <w:rsid w:val="006025E7"/>
    <w:rsid w:val="00602A6E"/>
    <w:rsid w:val="00606E51"/>
    <w:rsid w:val="006110AC"/>
    <w:rsid w:val="0061385D"/>
    <w:rsid w:val="00614ECA"/>
    <w:rsid w:val="00615303"/>
    <w:rsid w:val="006163F2"/>
    <w:rsid w:val="00622721"/>
    <w:rsid w:val="0062393E"/>
    <w:rsid w:val="00624117"/>
    <w:rsid w:val="00624500"/>
    <w:rsid w:val="00626FA9"/>
    <w:rsid w:val="00627FC7"/>
    <w:rsid w:val="00630A1C"/>
    <w:rsid w:val="00632887"/>
    <w:rsid w:val="00634058"/>
    <w:rsid w:val="00634059"/>
    <w:rsid w:val="006340B5"/>
    <w:rsid w:val="00635984"/>
    <w:rsid w:val="00636C5D"/>
    <w:rsid w:val="00640096"/>
    <w:rsid w:val="00641597"/>
    <w:rsid w:val="0064227E"/>
    <w:rsid w:val="00645DC0"/>
    <w:rsid w:val="00653A3C"/>
    <w:rsid w:val="00660043"/>
    <w:rsid w:val="0067037C"/>
    <w:rsid w:val="006705E0"/>
    <w:rsid w:val="0067192F"/>
    <w:rsid w:val="0067283C"/>
    <w:rsid w:val="00673498"/>
    <w:rsid w:val="00673BA6"/>
    <w:rsid w:val="0067485A"/>
    <w:rsid w:val="00674B85"/>
    <w:rsid w:val="006755C2"/>
    <w:rsid w:val="0067661F"/>
    <w:rsid w:val="00680CAD"/>
    <w:rsid w:val="00681F30"/>
    <w:rsid w:val="00682B9C"/>
    <w:rsid w:val="00683D71"/>
    <w:rsid w:val="00683EB7"/>
    <w:rsid w:val="006857DF"/>
    <w:rsid w:val="0068713A"/>
    <w:rsid w:val="006907D5"/>
    <w:rsid w:val="00690FBE"/>
    <w:rsid w:val="00691E45"/>
    <w:rsid w:val="0069583C"/>
    <w:rsid w:val="00697BC5"/>
    <w:rsid w:val="006A535A"/>
    <w:rsid w:val="006A7A1E"/>
    <w:rsid w:val="006B752A"/>
    <w:rsid w:val="006B797B"/>
    <w:rsid w:val="006B7F97"/>
    <w:rsid w:val="006C1097"/>
    <w:rsid w:val="006C3937"/>
    <w:rsid w:val="006C57C7"/>
    <w:rsid w:val="006C5E75"/>
    <w:rsid w:val="006C7615"/>
    <w:rsid w:val="006D0B4B"/>
    <w:rsid w:val="006D0B9C"/>
    <w:rsid w:val="006D0CD7"/>
    <w:rsid w:val="006D0DE8"/>
    <w:rsid w:val="006D125F"/>
    <w:rsid w:val="006D5AD5"/>
    <w:rsid w:val="006D609F"/>
    <w:rsid w:val="006E0808"/>
    <w:rsid w:val="006E0C83"/>
    <w:rsid w:val="006E0F6E"/>
    <w:rsid w:val="006E26F4"/>
    <w:rsid w:val="006E3ACC"/>
    <w:rsid w:val="006E561B"/>
    <w:rsid w:val="006E7E40"/>
    <w:rsid w:val="006F0048"/>
    <w:rsid w:val="006F1F29"/>
    <w:rsid w:val="006F6DFA"/>
    <w:rsid w:val="00701BFA"/>
    <w:rsid w:val="007031AC"/>
    <w:rsid w:val="007045A7"/>
    <w:rsid w:val="007056CF"/>
    <w:rsid w:val="00706C72"/>
    <w:rsid w:val="007101BF"/>
    <w:rsid w:val="00710E18"/>
    <w:rsid w:val="00711D73"/>
    <w:rsid w:val="00712437"/>
    <w:rsid w:val="00712AB9"/>
    <w:rsid w:val="00712FBB"/>
    <w:rsid w:val="007202B8"/>
    <w:rsid w:val="007204CB"/>
    <w:rsid w:val="007234AB"/>
    <w:rsid w:val="00723F16"/>
    <w:rsid w:val="007264E7"/>
    <w:rsid w:val="00731470"/>
    <w:rsid w:val="0073473A"/>
    <w:rsid w:val="00734C96"/>
    <w:rsid w:val="00734FEE"/>
    <w:rsid w:val="00737D97"/>
    <w:rsid w:val="007421A3"/>
    <w:rsid w:val="007458E4"/>
    <w:rsid w:val="007516CF"/>
    <w:rsid w:val="00753B18"/>
    <w:rsid w:val="00755A42"/>
    <w:rsid w:val="00757231"/>
    <w:rsid w:val="00761B09"/>
    <w:rsid w:val="0076307E"/>
    <w:rsid w:val="00765D7F"/>
    <w:rsid w:val="00772F41"/>
    <w:rsid w:val="0077521B"/>
    <w:rsid w:val="007811AB"/>
    <w:rsid w:val="00785AEF"/>
    <w:rsid w:val="00785E4F"/>
    <w:rsid w:val="0078680E"/>
    <w:rsid w:val="007928C7"/>
    <w:rsid w:val="00793E36"/>
    <w:rsid w:val="00794D26"/>
    <w:rsid w:val="007A0AF9"/>
    <w:rsid w:val="007A1673"/>
    <w:rsid w:val="007A47D0"/>
    <w:rsid w:val="007A538E"/>
    <w:rsid w:val="007A7D08"/>
    <w:rsid w:val="007B0FAF"/>
    <w:rsid w:val="007B2F12"/>
    <w:rsid w:val="007B58FB"/>
    <w:rsid w:val="007B6079"/>
    <w:rsid w:val="007B6A98"/>
    <w:rsid w:val="007B7EE3"/>
    <w:rsid w:val="007C035E"/>
    <w:rsid w:val="007C0EC0"/>
    <w:rsid w:val="007C1898"/>
    <w:rsid w:val="007C6BBE"/>
    <w:rsid w:val="007C75FA"/>
    <w:rsid w:val="007D00B9"/>
    <w:rsid w:val="007D4329"/>
    <w:rsid w:val="007D4552"/>
    <w:rsid w:val="007D57B6"/>
    <w:rsid w:val="007D759B"/>
    <w:rsid w:val="007E1CC4"/>
    <w:rsid w:val="007E2D0F"/>
    <w:rsid w:val="007E2D1B"/>
    <w:rsid w:val="007E3507"/>
    <w:rsid w:val="007E377A"/>
    <w:rsid w:val="007E422B"/>
    <w:rsid w:val="007F139E"/>
    <w:rsid w:val="007F5B57"/>
    <w:rsid w:val="0080097C"/>
    <w:rsid w:val="00801B99"/>
    <w:rsid w:val="00803317"/>
    <w:rsid w:val="008036E6"/>
    <w:rsid w:val="008050C5"/>
    <w:rsid w:val="00812D80"/>
    <w:rsid w:val="00814E6B"/>
    <w:rsid w:val="00816305"/>
    <w:rsid w:val="0082240A"/>
    <w:rsid w:val="00822F18"/>
    <w:rsid w:val="008237AE"/>
    <w:rsid w:val="00830F5F"/>
    <w:rsid w:val="00831DA8"/>
    <w:rsid w:val="008338E9"/>
    <w:rsid w:val="0083456A"/>
    <w:rsid w:val="00837E5D"/>
    <w:rsid w:val="008400A9"/>
    <w:rsid w:val="00844881"/>
    <w:rsid w:val="00845DA7"/>
    <w:rsid w:val="0085078C"/>
    <w:rsid w:val="00851111"/>
    <w:rsid w:val="0085139E"/>
    <w:rsid w:val="00851BAA"/>
    <w:rsid w:val="00854839"/>
    <w:rsid w:val="00860209"/>
    <w:rsid w:val="00861447"/>
    <w:rsid w:val="00862F1A"/>
    <w:rsid w:val="008636CF"/>
    <w:rsid w:val="00863E78"/>
    <w:rsid w:val="0086541B"/>
    <w:rsid w:val="008659ED"/>
    <w:rsid w:val="00867868"/>
    <w:rsid w:val="00867964"/>
    <w:rsid w:val="00871FDA"/>
    <w:rsid w:val="00875E76"/>
    <w:rsid w:val="008760F4"/>
    <w:rsid w:val="00876C9B"/>
    <w:rsid w:val="00880E46"/>
    <w:rsid w:val="00884EE0"/>
    <w:rsid w:val="00885021"/>
    <w:rsid w:val="008857F3"/>
    <w:rsid w:val="0089097C"/>
    <w:rsid w:val="008913F6"/>
    <w:rsid w:val="008915C8"/>
    <w:rsid w:val="00891BB5"/>
    <w:rsid w:val="0089442D"/>
    <w:rsid w:val="008978BC"/>
    <w:rsid w:val="008A00DE"/>
    <w:rsid w:val="008A1135"/>
    <w:rsid w:val="008A5579"/>
    <w:rsid w:val="008B23ED"/>
    <w:rsid w:val="008B3CF6"/>
    <w:rsid w:val="008B6E3E"/>
    <w:rsid w:val="008C22C3"/>
    <w:rsid w:val="008C2872"/>
    <w:rsid w:val="008C4E93"/>
    <w:rsid w:val="008C5331"/>
    <w:rsid w:val="008D1C6E"/>
    <w:rsid w:val="008D487D"/>
    <w:rsid w:val="008D589B"/>
    <w:rsid w:val="008D5F36"/>
    <w:rsid w:val="008D6F39"/>
    <w:rsid w:val="008D74D8"/>
    <w:rsid w:val="008E0196"/>
    <w:rsid w:val="008E4A5E"/>
    <w:rsid w:val="008E4EA6"/>
    <w:rsid w:val="008E5BEA"/>
    <w:rsid w:val="008E61CF"/>
    <w:rsid w:val="008E66A7"/>
    <w:rsid w:val="008E7B94"/>
    <w:rsid w:val="008F0027"/>
    <w:rsid w:val="008F13F4"/>
    <w:rsid w:val="008F2248"/>
    <w:rsid w:val="008F429A"/>
    <w:rsid w:val="008F4885"/>
    <w:rsid w:val="008F69B0"/>
    <w:rsid w:val="008F6DFC"/>
    <w:rsid w:val="00900FA9"/>
    <w:rsid w:val="0090175B"/>
    <w:rsid w:val="0090254E"/>
    <w:rsid w:val="0090397D"/>
    <w:rsid w:val="00903B8A"/>
    <w:rsid w:val="009071AD"/>
    <w:rsid w:val="00911D77"/>
    <w:rsid w:val="00914D80"/>
    <w:rsid w:val="00915C0A"/>
    <w:rsid w:val="00916C61"/>
    <w:rsid w:val="00920BE6"/>
    <w:rsid w:val="00920D54"/>
    <w:rsid w:val="00922E91"/>
    <w:rsid w:val="009253A2"/>
    <w:rsid w:val="009260F9"/>
    <w:rsid w:val="009328BD"/>
    <w:rsid w:val="0093469C"/>
    <w:rsid w:val="009360EA"/>
    <w:rsid w:val="00940D53"/>
    <w:rsid w:val="00942081"/>
    <w:rsid w:val="009447BD"/>
    <w:rsid w:val="00944876"/>
    <w:rsid w:val="00945F75"/>
    <w:rsid w:val="00950D6C"/>
    <w:rsid w:val="00952B8F"/>
    <w:rsid w:val="00953321"/>
    <w:rsid w:val="00955935"/>
    <w:rsid w:val="00956877"/>
    <w:rsid w:val="009574EE"/>
    <w:rsid w:val="00957C3F"/>
    <w:rsid w:val="009630AF"/>
    <w:rsid w:val="00964F16"/>
    <w:rsid w:val="0096690F"/>
    <w:rsid w:val="0096729D"/>
    <w:rsid w:val="00970692"/>
    <w:rsid w:val="00971686"/>
    <w:rsid w:val="00973845"/>
    <w:rsid w:val="009743E5"/>
    <w:rsid w:val="0097620C"/>
    <w:rsid w:val="0097647D"/>
    <w:rsid w:val="00983A52"/>
    <w:rsid w:val="00984B13"/>
    <w:rsid w:val="00986AE7"/>
    <w:rsid w:val="00987773"/>
    <w:rsid w:val="00987A32"/>
    <w:rsid w:val="00993600"/>
    <w:rsid w:val="0099428B"/>
    <w:rsid w:val="00997D11"/>
    <w:rsid w:val="009A0A96"/>
    <w:rsid w:val="009A1D8B"/>
    <w:rsid w:val="009A2498"/>
    <w:rsid w:val="009A271D"/>
    <w:rsid w:val="009A44F9"/>
    <w:rsid w:val="009A64A6"/>
    <w:rsid w:val="009A70D5"/>
    <w:rsid w:val="009B10B0"/>
    <w:rsid w:val="009B2507"/>
    <w:rsid w:val="009B2E8E"/>
    <w:rsid w:val="009B3004"/>
    <w:rsid w:val="009B348C"/>
    <w:rsid w:val="009B5293"/>
    <w:rsid w:val="009B6EAF"/>
    <w:rsid w:val="009B7712"/>
    <w:rsid w:val="009C0636"/>
    <w:rsid w:val="009C08BA"/>
    <w:rsid w:val="009C4B87"/>
    <w:rsid w:val="009C6F32"/>
    <w:rsid w:val="009C797B"/>
    <w:rsid w:val="009D02E8"/>
    <w:rsid w:val="009D0C05"/>
    <w:rsid w:val="009D2987"/>
    <w:rsid w:val="009D4274"/>
    <w:rsid w:val="009D461F"/>
    <w:rsid w:val="009D5D74"/>
    <w:rsid w:val="009D622C"/>
    <w:rsid w:val="009E1268"/>
    <w:rsid w:val="009E5716"/>
    <w:rsid w:val="009E61F7"/>
    <w:rsid w:val="009E708C"/>
    <w:rsid w:val="009E7B3D"/>
    <w:rsid w:val="009E7BE7"/>
    <w:rsid w:val="009E7EB2"/>
    <w:rsid w:val="009F145D"/>
    <w:rsid w:val="009F17D1"/>
    <w:rsid w:val="009F7CAB"/>
    <w:rsid w:val="00A00D15"/>
    <w:rsid w:val="00A011F7"/>
    <w:rsid w:val="00A02E6E"/>
    <w:rsid w:val="00A03F22"/>
    <w:rsid w:val="00A05B28"/>
    <w:rsid w:val="00A064C9"/>
    <w:rsid w:val="00A0662C"/>
    <w:rsid w:val="00A12624"/>
    <w:rsid w:val="00A1407B"/>
    <w:rsid w:val="00A14B13"/>
    <w:rsid w:val="00A14B40"/>
    <w:rsid w:val="00A15BF3"/>
    <w:rsid w:val="00A17FEB"/>
    <w:rsid w:val="00A20772"/>
    <w:rsid w:val="00A214C8"/>
    <w:rsid w:val="00A21567"/>
    <w:rsid w:val="00A215C7"/>
    <w:rsid w:val="00A223D3"/>
    <w:rsid w:val="00A24B13"/>
    <w:rsid w:val="00A30451"/>
    <w:rsid w:val="00A3148A"/>
    <w:rsid w:val="00A31B46"/>
    <w:rsid w:val="00A324AB"/>
    <w:rsid w:val="00A34E09"/>
    <w:rsid w:val="00A34F55"/>
    <w:rsid w:val="00A35B35"/>
    <w:rsid w:val="00A4004C"/>
    <w:rsid w:val="00A44A6C"/>
    <w:rsid w:val="00A44E5B"/>
    <w:rsid w:val="00A45819"/>
    <w:rsid w:val="00A4687A"/>
    <w:rsid w:val="00A46D17"/>
    <w:rsid w:val="00A47C08"/>
    <w:rsid w:val="00A52F47"/>
    <w:rsid w:val="00A54695"/>
    <w:rsid w:val="00A54D83"/>
    <w:rsid w:val="00A61176"/>
    <w:rsid w:val="00A61F5C"/>
    <w:rsid w:val="00A63384"/>
    <w:rsid w:val="00A71631"/>
    <w:rsid w:val="00A71754"/>
    <w:rsid w:val="00A717E7"/>
    <w:rsid w:val="00A71EDB"/>
    <w:rsid w:val="00A74152"/>
    <w:rsid w:val="00A76A28"/>
    <w:rsid w:val="00A81A62"/>
    <w:rsid w:val="00A8284E"/>
    <w:rsid w:val="00A82DC6"/>
    <w:rsid w:val="00A83243"/>
    <w:rsid w:val="00A83CC9"/>
    <w:rsid w:val="00A8789C"/>
    <w:rsid w:val="00A90111"/>
    <w:rsid w:val="00A91528"/>
    <w:rsid w:val="00A95196"/>
    <w:rsid w:val="00A9738A"/>
    <w:rsid w:val="00AA1EFF"/>
    <w:rsid w:val="00AA5115"/>
    <w:rsid w:val="00AA70DF"/>
    <w:rsid w:val="00AA7241"/>
    <w:rsid w:val="00AB14C7"/>
    <w:rsid w:val="00AB2264"/>
    <w:rsid w:val="00AB4E47"/>
    <w:rsid w:val="00AB67F7"/>
    <w:rsid w:val="00AC0715"/>
    <w:rsid w:val="00AC146C"/>
    <w:rsid w:val="00AC1BA8"/>
    <w:rsid w:val="00AC1F76"/>
    <w:rsid w:val="00AC2615"/>
    <w:rsid w:val="00AC5AB5"/>
    <w:rsid w:val="00AC64D8"/>
    <w:rsid w:val="00AD0AF6"/>
    <w:rsid w:val="00AD12D2"/>
    <w:rsid w:val="00AD1729"/>
    <w:rsid w:val="00AD1C00"/>
    <w:rsid w:val="00AD2774"/>
    <w:rsid w:val="00AD3BAE"/>
    <w:rsid w:val="00AD5261"/>
    <w:rsid w:val="00AE2CB2"/>
    <w:rsid w:val="00AE357A"/>
    <w:rsid w:val="00AE38B2"/>
    <w:rsid w:val="00AE5A4E"/>
    <w:rsid w:val="00AE76F9"/>
    <w:rsid w:val="00AF1F8B"/>
    <w:rsid w:val="00AF4117"/>
    <w:rsid w:val="00AF4295"/>
    <w:rsid w:val="00AF4B9E"/>
    <w:rsid w:val="00AF6636"/>
    <w:rsid w:val="00B11692"/>
    <w:rsid w:val="00B14116"/>
    <w:rsid w:val="00B1486E"/>
    <w:rsid w:val="00B159E2"/>
    <w:rsid w:val="00B15BDD"/>
    <w:rsid w:val="00B20443"/>
    <w:rsid w:val="00B214AB"/>
    <w:rsid w:val="00B22EB9"/>
    <w:rsid w:val="00B259CE"/>
    <w:rsid w:val="00B25B50"/>
    <w:rsid w:val="00B26510"/>
    <w:rsid w:val="00B30680"/>
    <w:rsid w:val="00B31DD7"/>
    <w:rsid w:val="00B32CAF"/>
    <w:rsid w:val="00B33432"/>
    <w:rsid w:val="00B336D5"/>
    <w:rsid w:val="00B35F18"/>
    <w:rsid w:val="00B3657C"/>
    <w:rsid w:val="00B42372"/>
    <w:rsid w:val="00B423A4"/>
    <w:rsid w:val="00B437D6"/>
    <w:rsid w:val="00B4446B"/>
    <w:rsid w:val="00B445C1"/>
    <w:rsid w:val="00B523FB"/>
    <w:rsid w:val="00B5525E"/>
    <w:rsid w:val="00B57726"/>
    <w:rsid w:val="00B63604"/>
    <w:rsid w:val="00B63CFC"/>
    <w:rsid w:val="00B63FA9"/>
    <w:rsid w:val="00B650CC"/>
    <w:rsid w:val="00B663D5"/>
    <w:rsid w:val="00B7078F"/>
    <w:rsid w:val="00B71457"/>
    <w:rsid w:val="00B73394"/>
    <w:rsid w:val="00B750BF"/>
    <w:rsid w:val="00B75217"/>
    <w:rsid w:val="00B75366"/>
    <w:rsid w:val="00B81AFD"/>
    <w:rsid w:val="00B83085"/>
    <w:rsid w:val="00B85442"/>
    <w:rsid w:val="00B85BF4"/>
    <w:rsid w:val="00B91090"/>
    <w:rsid w:val="00B926B7"/>
    <w:rsid w:val="00B94A3A"/>
    <w:rsid w:val="00B95094"/>
    <w:rsid w:val="00BB0F96"/>
    <w:rsid w:val="00BB12EA"/>
    <w:rsid w:val="00BB2F95"/>
    <w:rsid w:val="00BC2829"/>
    <w:rsid w:val="00BC4096"/>
    <w:rsid w:val="00BC60A9"/>
    <w:rsid w:val="00BC65BA"/>
    <w:rsid w:val="00BD55FE"/>
    <w:rsid w:val="00BE0383"/>
    <w:rsid w:val="00BE07A0"/>
    <w:rsid w:val="00BE0C7C"/>
    <w:rsid w:val="00BE1C3A"/>
    <w:rsid w:val="00BE70FF"/>
    <w:rsid w:val="00BF1079"/>
    <w:rsid w:val="00BF2768"/>
    <w:rsid w:val="00BF5859"/>
    <w:rsid w:val="00BF6DFF"/>
    <w:rsid w:val="00C00048"/>
    <w:rsid w:val="00C00239"/>
    <w:rsid w:val="00C012B8"/>
    <w:rsid w:val="00C11842"/>
    <w:rsid w:val="00C12994"/>
    <w:rsid w:val="00C1363B"/>
    <w:rsid w:val="00C14D24"/>
    <w:rsid w:val="00C1538F"/>
    <w:rsid w:val="00C15926"/>
    <w:rsid w:val="00C16139"/>
    <w:rsid w:val="00C17609"/>
    <w:rsid w:val="00C177ED"/>
    <w:rsid w:val="00C2265C"/>
    <w:rsid w:val="00C24E8F"/>
    <w:rsid w:val="00C25AB2"/>
    <w:rsid w:val="00C278A9"/>
    <w:rsid w:val="00C30985"/>
    <w:rsid w:val="00C3350C"/>
    <w:rsid w:val="00C33BB9"/>
    <w:rsid w:val="00C3464B"/>
    <w:rsid w:val="00C35140"/>
    <w:rsid w:val="00C35A34"/>
    <w:rsid w:val="00C367F2"/>
    <w:rsid w:val="00C3715A"/>
    <w:rsid w:val="00C3717F"/>
    <w:rsid w:val="00C408DA"/>
    <w:rsid w:val="00C421FF"/>
    <w:rsid w:val="00C425BE"/>
    <w:rsid w:val="00C44F2B"/>
    <w:rsid w:val="00C545D3"/>
    <w:rsid w:val="00C54A8C"/>
    <w:rsid w:val="00C5675C"/>
    <w:rsid w:val="00C61233"/>
    <w:rsid w:val="00C61911"/>
    <w:rsid w:val="00C627D8"/>
    <w:rsid w:val="00C62EB5"/>
    <w:rsid w:val="00C65EB9"/>
    <w:rsid w:val="00C718D9"/>
    <w:rsid w:val="00C72850"/>
    <w:rsid w:val="00C73632"/>
    <w:rsid w:val="00C75175"/>
    <w:rsid w:val="00C7543D"/>
    <w:rsid w:val="00C759F9"/>
    <w:rsid w:val="00C75CB7"/>
    <w:rsid w:val="00C777E7"/>
    <w:rsid w:val="00C81E92"/>
    <w:rsid w:val="00C82A83"/>
    <w:rsid w:val="00C91F28"/>
    <w:rsid w:val="00C92ED2"/>
    <w:rsid w:val="00C93239"/>
    <w:rsid w:val="00C94BF8"/>
    <w:rsid w:val="00C94F86"/>
    <w:rsid w:val="00CA180E"/>
    <w:rsid w:val="00CA23F1"/>
    <w:rsid w:val="00CA4DB3"/>
    <w:rsid w:val="00CA574E"/>
    <w:rsid w:val="00CA69FF"/>
    <w:rsid w:val="00CA7FEE"/>
    <w:rsid w:val="00CB0CBA"/>
    <w:rsid w:val="00CB11FA"/>
    <w:rsid w:val="00CC0F98"/>
    <w:rsid w:val="00CC1F38"/>
    <w:rsid w:val="00CC4D3B"/>
    <w:rsid w:val="00CC6328"/>
    <w:rsid w:val="00CC69B1"/>
    <w:rsid w:val="00CC7D94"/>
    <w:rsid w:val="00CD0996"/>
    <w:rsid w:val="00CD17D9"/>
    <w:rsid w:val="00CD218F"/>
    <w:rsid w:val="00CD417B"/>
    <w:rsid w:val="00CD4EA9"/>
    <w:rsid w:val="00CE0A40"/>
    <w:rsid w:val="00CE0C33"/>
    <w:rsid w:val="00CE2480"/>
    <w:rsid w:val="00CE3871"/>
    <w:rsid w:val="00CE39D5"/>
    <w:rsid w:val="00CE52D0"/>
    <w:rsid w:val="00CE7671"/>
    <w:rsid w:val="00CF1043"/>
    <w:rsid w:val="00CF1336"/>
    <w:rsid w:val="00CF2265"/>
    <w:rsid w:val="00CF38DA"/>
    <w:rsid w:val="00CF6B12"/>
    <w:rsid w:val="00CF6CA8"/>
    <w:rsid w:val="00CF797E"/>
    <w:rsid w:val="00CF7AF4"/>
    <w:rsid w:val="00CF7C9B"/>
    <w:rsid w:val="00D01079"/>
    <w:rsid w:val="00D02059"/>
    <w:rsid w:val="00D03B55"/>
    <w:rsid w:val="00D04D65"/>
    <w:rsid w:val="00D10FDF"/>
    <w:rsid w:val="00D15CC8"/>
    <w:rsid w:val="00D20615"/>
    <w:rsid w:val="00D206F9"/>
    <w:rsid w:val="00D20796"/>
    <w:rsid w:val="00D238ED"/>
    <w:rsid w:val="00D2538D"/>
    <w:rsid w:val="00D268C9"/>
    <w:rsid w:val="00D26D00"/>
    <w:rsid w:val="00D301ED"/>
    <w:rsid w:val="00D313B0"/>
    <w:rsid w:val="00D319D4"/>
    <w:rsid w:val="00D36569"/>
    <w:rsid w:val="00D36FBF"/>
    <w:rsid w:val="00D40062"/>
    <w:rsid w:val="00D405E7"/>
    <w:rsid w:val="00D4133A"/>
    <w:rsid w:val="00D440FF"/>
    <w:rsid w:val="00D44DD1"/>
    <w:rsid w:val="00D50BC2"/>
    <w:rsid w:val="00D515C2"/>
    <w:rsid w:val="00D51801"/>
    <w:rsid w:val="00D5622E"/>
    <w:rsid w:val="00D570CE"/>
    <w:rsid w:val="00D66F14"/>
    <w:rsid w:val="00D679C1"/>
    <w:rsid w:val="00D67A9D"/>
    <w:rsid w:val="00D7638B"/>
    <w:rsid w:val="00D76DCC"/>
    <w:rsid w:val="00D77028"/>
    <w:rsid w:val="00D77D9E"/>
    <w:rsid w:val="00D81C8D"/>
    <w:rsid w:val="00D81D6D"/>
    <w:rsid w:val="00D8340F"/>
    <w:rsid w:val="00D86400"/>
    <w:rsid w:val="00D867D6"/>
    <w:rsid w:val="00D868DE"/>
    <w:rsid w:val="00D90503"/>
    <w:rsid w:val="00D94A33"/>
    <w:rsid w:val="00D97FE0"/>
    <w:rsid w:val="00DA1C78"/>
    <w:rsid w:val="00DA6875"/>
    <w:rsid w:val="00DB0107"/>
    <w:rsid w:val="00DB0B44"/>
    <w:rsid w:val="00DB18E3"/>
    <w:rsid w:val="00DB297D"/>
    <w:rsid w:val="00DB4314"/>
    <w:rsid w:val="00DB6163"/>
    <w:rsid w:val="00DB66A1"/>
    <w:rsid w:val="00DB75D0"/>
    <w:rsid w:val="00DB7C7C"/>
    <w:rsid w:val="00DC0A19"/>
    <w:rsid w:val="00DC0C8E"/>
    <w:rsid w:val="00DC1BE6"/>
    <w:rsid w:val="00DC68AF"/>
    <w:rsid w:val="00DD1317"/>
    <w:rsid w:val="00DD2426"/>
    <w:rsid w:val="00DD2F1D"/>
    <w:rsid w:val="00DD3ACE"/>
    <w:rsid w:val="00DD60CF"/>
    <w:rsid w:val="00DE02C0"/>
    <w:rsid w:val="00DE0C01"/>
    <w:rsid w:val="00DE3797"/>
    <w:rsid w:val="00DE4E97"/>
    <w:rsid w:val="00DE5AB2"/>
    <w:rsid w:val="00DE671D"/>
    <w:rsid w:val="00DF4497"/>
    <w:rsid w:val="00DF44DC"/>
    <w:rsid w:val="00DF4E4D"/>
    <w:rsid w:val="00DF715B"/>
    <w:rsid w:val="00E00C09"/>
    <w:rsid w:val="00E01840"/>
    <w:rsid w:val="00E03760"/>
    <w:rsid w:val="00E03EFD"/>
    <w:rsid w:val="00E0764D"/>
    <w:rsid w:val="00E0782E"/>
    <w:rsid w:val="00E10D0C"/>
    <w:rsid w:val="00E10E49"/>
    <w:rsid w:val="00E1639B"/>
    <w:rsid w:val="00E16966"/>
    <w:rsid w:val="00E16B58"/>
    <w:rsid w:val="00E173A4"/>
    <w:rsid w:val="00E1777D"/>
    <w:rsid w:val="00E20B76"/>
    <w:rsid w:val="00E21B6D"/>
    <w:rsid w:val="00E22996"/>
    <w:rsid w:val="00E31245"/>
    <w:rsid w:val="00E319E4"/>
    <w:rsid w:val="00E34FE8"/>
    <w:rsid w:val="00E377D4"/>
    <w:rsid w:val="00E406E1"/>
    <w:rsid w:val="00E4111A"/>
    <w:rsid w:val="00E418B7"/>
    <w:rsid w:val="00E419D1"/>
    <w:rsid w:val="00E41A8F"/>
    <w:rsid w:val="00E47A9E"/>
    <w:rsid w:val="00E52810"/>
    <w:rsid w:val="00E536A2"/>
    <w:rsid w:val="00E56F5D"/>
    <w:rsid w:val="00E60A9C"/>
    <w:rsid w:val="00E61924"/>
    <w:rsid w:val="00E61E2A"/>
    <w:rsid w:val="00E62870"/>
    <w:rsid w:val="00E63015"/>
    <w:rsid w:val="00E6532F"/>
    <w:rsid w:val="00E70E68"/>
    <w:rsid w:val="00E7106D"/>
    <w:rsid w:val="00E7401E"/>
    <w:rsid w:val="00E762FB"/>
    <w:rsid w:val="00E808E3"/>
    <w:rsid w:val="00E817C5"/>
    <w:rsid w:val="00E81DDF"/>
    <w:rsid w:val="00E82791"/>
    <w:rsid w:val="00E8332D"/>
    <w:rsid w:val="00E85DFB"/>
    <w:rsid w:val="00E85F74"/>
    <w:rsid w:val="00E865C1"/>
    <w:rsid w:val="00E87CCD"/>
    <w:rsid w:val="00E87EBC"/>
    <w:rsid w:val="00E90614"/>
    <w:rsid w:val="00E92C08"/>
    <w:rsid w:val="00E94054"/>
    <w:rsid w:val="00E9426D"/>
    <w:rsid w:val="00E947D0"/>
    <w:rsid w:val="00E94B32"/>
    <w:rsid w:val="00E94F48"/>
    <w:rsid w:val="00E95122"/>
    <w:rsid w:val="00E95A5B"/>
    <w:rsid w:val="00EA02B6"/>
    <w:rsid w:val="00EA0BAE"/>
    <w:rsid w:val="00EA1009"/>
    <w:rsid w:val="00EA1F39"/>
    <w:rsid w:val="00EA328C"/>
    <w:rsid w:val="00EA50FC"/>
    <w:rsid w:val="00EA6123"/>
    <w:rsid w:val="00EB170B"/>
    <w:rsid w:val="00EB290D"/>
    <w:rsid w:val="00EB474C"/>
    <w:rsid w:val="00EB5517"/>
    <w:rsid w:val="00EB632A"/>
    <w:rsid w:val="00EC36BC"/>
    <w:rsid w:val="00ED18AF"/>
    <w:rsid w:val="00ED2203"/>
    <w:rsid w:val="00ED2569"/>
    <w:rsid w:val="00ED25B1"/>
    <w:rsid w:val="00ED3109"/>
    <w:rsid w:val="00ED621F"/>
    <w:rsid w:val="00ED7FAF"/>
    <w:rsid w:val="00EE0104"/>
    <w:rsid w:val="00EE07DA"/>
    <w:rsid w:val="00EE2AD2"/>
    <w:rsid w:val="00EE324B"/>
    <w:rsid w:val="00EE56CB"/>
    <w:rsid w:val="00EE6B8D"/>
    <w:rsid w:val="00EE6C48"/>
    <w:rsid w:val="00EF0079"/>
    <w:rsid w:val="00EF4E25"/>
    <w:rsid w:val="00EF5AEB"/>
    <w:rsid w:val="00EF5E4C"/>
    <w:rsid w:val="00EF6B7E"/>
    <w:rsid w:val="00F03DD9"/>
    <w:rsid w:val="00F06A8A"/>
    <w:rsid w:val="00F0761C"/>
    <w:rsid w:val="00F1054C"/>
    <w:rsid w:val="00F11975"/>
    <w:rsid w:val="00F1246B"/>
    <w:rsid w:val="00F243C8"/>
    <w:rsid w:val="00F25F70"/>
    <w:rsid w:val="00F26D6A"/>
    <w:rsid w:val="00F304A9"/>
    <w:rsid w:val="00F30688"/>
    <w:rsid w:val="00F30C1A"/>
    <w:rsid w:val="00F33F84"/>
    <w:rsid w:val="00F34FB2"/>
    <w:rsid w:val="00F35A11"/>
    <w:rsid w:val="00F400ED"/>
    <w:rsid w:val="00F420CC"/>
    <w:rsid w:val="00F43840"/>
    <w:rsid w:val="00F43BBA"/>
    <w:rsid w:val="00F45E41"/>
    <w:rsid w:val="00F50479"/>
    <w:rsid w:val="00F507CD"/>
    <w:rsid w:val="00F52083"/>
    <w:rsid w:val="00F53C91"/>
    <w:rsid w:val="00F56191"/>
    <w:rsid w:val="00F56E87"/>
    <w:rsid w:val="00F61FC5"/>
    <w:rsid w:val="00F64BB0"/>
    <w:rsid w:val="00F6546C"/>
    <w:rsid w:val="00F709AA"/>
    <w:rsid w:val="00F73E51"/>
    <w:rsid w:val="00F75244"/>
    <w:rsid w:val="00F801B9"/>
    <w:rsid w:val="00F8304C"/>
    <w:rsid w:val="00F85A8C"/>
    <w:rsid w:val="00F86E62"/>
    <w:rsid w:val="00F915F1"/>
    <w:rsid w:val="00F91721"/>
    <w:rsid w:val="00F920ED"/>
    <w:rsid w:val="00F95601"/>
    <w:rsid w:val="00F957DB"/>
    <w:rsid w:val="00FA5879"/>
    <w:rsid w:val="00FA58E9"/>
    <w:rsid w:val="00FA5CFA"/>
    <w:rsid w:val="00FB04D2"/>
    <w:rsid w:val="00FB0604"/>
    <w:rsid w:val="00FB209F"/>
    <w:rsid w:val="00FB6215"/>
    <w:rsid w:val="00FB6448"/>
    <w:rsid w:val="00FD0668"/>
    <w:rsid w:val="00FD2335"/>
    <w:rsid w:val="00FD2AED"/>
    <w:rsid w:val="00FD739B"/>
    <w:rsid w:val="00FD784E"/>
    <w:rsid w:val="00FE0A74"/>
    <w:rsid w:val="00FE0E36"/>
    <w:rsid w:val="00FE2790"/>
    <w:rsid w:val="00FE4D23"/>
    <w:rsid w:val="00FE639A"/>
    <w:rsid w:val="00FE6EA5"/>
    <w:rsid w:val="00FE76EB"/>
    <w:rsid w:val="00FE7BE9"/>
    <w:rsid w:val="00FF344D"/>
    <w:rsid w:val="00FF366D"/>
    <w:rsid w:val="00FF401B"/>
    <w:rsid w:val="00FF463F"/>
    <w:rsid w:val="00FF55FB"/>
    <w:rsid w:val="00FF5C61"/>
    <w:rsid w:val="00FF7F98"/>
    <w:rsid w:val="016D0AE4"/>
    <w:rsid w:val="0173558A"/>
    <w:rsid w:val="018B513A"/>
    <w:rsid w:val="01C55CBC"/>
    <w:rsid w:val="02021905"/>
    <w:rsid w:val="020C2A3C"/>
    <w:rsid w:val="02347182"/>
    <w:rsid w:val="0256505D"/>
    <w:rsid w:val="02840791"/>
    <w:rsid w:val="02873BB9"/>
    <w:rsid w:val="02C35A8C"/>
    <w:rsid w:val="02F32FFC"/>
    <w:rsid w:val="02F33C8E"/>
    <w:rsid w:val="02F4124E"/>
    <w:rsid w:val="0312709C"/>
    <w:rsid w:val="032D650E"/>
    <w:rsid w:val="03315E11"/>
    <w:rsid w:val="03483348"/>
    <w:rsid w:val="035319A4"/>
    <w:rsid w:val="0363259C"/>
    <w:rsid w:val="03646924"/>
    <w:rsid w:val="03A13EF0"/>
    <w:rsid w:val="03E80C4F"/>
    <w:rsid w:val="03FC0559"/>
    <w:rsid w:val="03FC5AE5"/>
    <w:rsid w:val="04447FB3"/>
    <w:rsid w:val="045E7583"/>
    <w:rsid w:val="04722D72"/>
    <w:rsid w:val="047D4AC7"/>
    <w:rsid w:val="048B1624"/>
    <w:rsid w:val="04EB042F"/>
    <w:rsid w:val="053A3164"/>
    <w:rsid w:val="054D2B00"/>
    <w:rsid w:val="055052D8"/>
    <w:rsid w:val="0596101C"/>
    <w:rsid w:val="0598128A"/>
    <w:rsid w:val="061614DB"/>
    <w:rsid w:val="063D115E"/>
    <w:rsid w:val="063E2346"/>
    <w:rsid w:val="066F0F41"/>
    <w:rsid w:val="06741ABD"/>
    <w:rsid w:val="067B3C14"/>
    <w:rsid w:val="068C79F0"/>
    <w:rsid w:val="069570A1"/>
    <w:rsid w:val="06B11E4C"/>
    <w:rsid w:val="06C158EB"/>
    <w:rsid w:val="06CC1C4B"/>
    <w:rsid w:val="06F32700"/>
    <w:rsid w:val="06F832D7"/>
    <w:rsid w:val="077A3CEC"/>
    <w:rsid w:val="07B0770E"/>
    <w:rsid w:val="07D27EA8"/>
    <w:rsid w:val="08363DD4"/>
    <w:rsid w:val="085812C8"/>
    <w:rsid w:val="08622C24"/>
    <w:rsid w:val="08653728"/>
    <w:rsid w:val="08BF40AC"/>
    <w:rsid w:val="090C4E18"/>
    <w:rsid w:val="098470A4"/>
    <w:rsid w:val="09B43E53"/>
    <w:rsid w:val="0A2006DF"/>
    <w:rsid w:val="0A3D734D"/>
    <w:rsid w:val="0A4831D0"/>
    <w:rsid w:val="0A483924"/>
    <w:rsid w:val="0B071D3B"/>
    <w:rsid w:val="0B267E65"/>
    <w:rsid w:val="0B435506"/>
    <w:rsid w:val="0B4D6655"/>
    <w:rsid w:val="0B500328"/>
    <w:rsid w:val="0B5218A1"/>
    <w:rsid w:val="0B5E2329"/>
    <w:rsid w:val="0BDA5E91"/>
    <w:rsid w:val="0BF267F0"/>
    <w:rsid w:val="0C01398D"/>
    <w:rsid w:val="0C4C7929"/>
    <w:rsid w:val="0C853010"/>
    <w:rsid w:val="0CAF6800"/>
    <w:rsid w:val="0D3606B5"/>
    <w:rsid w:val="0D426F90"/>
    <w:rsid w:val="0D5A6454"/>
    <w:rsid w:val="0D5D20E6"/>
    <w:rsid w:val="0D8C3BEB"/>
    <w:rsid w:val="0DB8556E"/>
    <w:rsid w:val="0E124C7E"/>
    <w:rsid w:val="0E1518A1"/>
    <w:rsid w:val="0E1B3AE0"/>
    <w:rsid w:val="0E285C93"/>
    <w:rsid w:val="0E2F5830"/>
    <w:rsid w:val="0E3C5C14"/>
    <w:rsid w:val="0E7E2229"/>
    <w:rsid w:val="0ECC7937"/>
    <w:rsid w:val="0EE22579"/>
    <w:rsid w:val="0EF6634E"/>
    <w:rsid w:val="0F622805"/>
    <w:rsid w:val="0F987405"/>
    <w:rsid w:val="0FDC42A7"/>
    <w:rsid w:val="10367123"/>
    <w:rsid w:val="10417984"/>
    <w:rsid w:val="10895666"/>
    <w:rsid w:val="1090553E"/>
    <w:rsid w:val="10AA3894"/>
    <w:rsid w:val="10AF63B7"/>
    <w:rsid w:val="10E02E12"/>
    <w:rsid w:val="118F7CFF"/>
    <w:rsid w:val="1197619F"/>
    <w:rsid w:val="11FF19BD"/>
    <w:rsid w:val="12426DD2"/>
    <w:rsid w:val="12A70E1F"/>
    <w:rsid w:val="12AF0CEE"/>
    <w:rsid w:val="12B72FCD"/>
    <w:rsid w:val="12D524C3"/>
    <w:rsid w:val="12D6271E"/>
    <w:rsid w:val="130518A2"/>
    <w:rsid w:val="130D6092"/>
    <w:rsid w:val="133A0200"/>
    <w:rsid w:val="135950FD"/>
    <w:rsid w:val="136B50CE"/>
    <w:rsid w:val="137E6912"/>
    <w:rsid w:val="13842C16"/>
    <w:rsid w:val="13B660AC"/>
    <w:rsid w:val="13B758FF"/>
    <w:rsid w:val="13C5743C"/>
    <w:rsid w:val="13D029CA"/>
    <w:rsid w:val="14725BD8"/>
    <w:rsid w:val="14A423A8"/>
    <w:rsid w:val="14E32A08"/>
    <w:rsid w:val="14E62BA3"/>
    <w:rsid w:val="15151870"/>
    <w:rsid w:val="1517224A"/>
    <w:rsid w:val="15791FA8"/>
    <w:rsid w:val="157D01C2"/>
    <w:rsid w:val="159B7C4F"/>
    <w:rsid w:val="15B57EA4"/>
    <w:rsid w:val="15C947BC"/>
    <w:rsid w:val="15E74C42"/>
    <w:rsid w:val="165226A8"/>
    <w:rsid w:val="165A2530"/>
    <w:rsid w:val="16A05E3D"/>
    <w:rsid w:val="16AD5139"/>
    <w:rsid w:val="17083EDC"/>
    <w:rsid w:val="17147CB9"/>
    <w:rsid w:val="17233A58"/>
    <w:rsid w:val="174C4B7F"/>
    <w:rsid w:val="177158A7"/>
    <w:rsid w:val="17E42C71"/>
    <w:rsid w:val="18043C32"/>
    <w:rsid w:val="180B4D7E"/>
    <w:rsid w:val="180E3144"/>
    <w:rsid w:val="181007CF"/>
    <w:rsid w:val="182857AC"/>
    <w:rsid w:val="184A1286"/>
    <w:rsid w:val="187C0550"/>
    <w:rsid w:val="18A06742"/>
    <w:rsid w:val="1929079B"/>
    <w:rsid w:val="19314B52"/>
    <w:rsid w:val="193843DE"/>
    <w:rsid w:val="19483C4A"/>
    <w:rsid w:val="19595E57"/>
    <w:rsid w:val="196533B7"/>
    <w:rsid w:val="197C1A0D"/>
    <w:rsid w:val="19B47531"/>
    <w:rsid w:val="19EF2318"/>
    <w:rsid w:val="19FB70C4"/>
    <w:rsid w:val="1A4D0B70"/>
    <w:rsid w:val="1A6D0A09"/>
    <w:rsid w:val="1A6D6BAE"/>
    <w:rsid w:val="1A7840BB"/>
    <w:rsid w:val="1A7F6325"/>
    <w:rsid w:val="1A895970"/>
    <w:rsid w:val="1A8D4D62"/>
    <w:rsid w:val="1AC467AA"/>
    <w:rsid w:val="1B787B31"/>
    <w:rsid w:val="1BD21EF1"/>
    <w:rsid w:val="1C1C260C"/>
    <w:rsid w:val="1C3D60E3"/>
    <w:rsid w:val="1C7238D5"/>
    <w:rsid w:val="1C840525"/>
    <w:rsid w:val="1C84143D"/>
    <w:rsid w:val="1C8B701C"/>
    <w:rsid w:val="1C977472"/>
    <w:rsid w:val="1CF163A7"/>
    <w:rsid w:val="1D1A3062"/>
    <w:rsid w:val="1D23178A"/>
    <w:rsid w:val="1D3C5EE1"/>
    <w:rsid w:val="1D4666A1"/>
    <w:rsid w:val="1D473226"/>
    <w:rsid w:val="1D4A4435"/>
    <w:rsid w:val="1D546098"/>
    <w:rsid w:val="1D8A4831"/>
    <w:rsid w:val="1DA75A48"/>
    <w:rsid w:val="1E635786"/>
    <w:rsid w:val="1E9E7418"/>
    <w:rsid w:val="1EC52E72"/>
    <w:rsid w:val="1EC91BF5"/>
    <w:rsid w:val="1ECD49B8"/>
    <w:rsid w:val="1EF831D2"/>
    <w:rsid w:val="1F562B02"/>
    <w:rsid w:val="1FDA25D0"/>
    <w:rsid w:val="1FE049EE"/>
    <w:rsid w:val="20194A40"/>
    <w:rsid w:val="203B529E"/>
    <w:rsid w:val="204469BC"/>
    <w:rsid w:val="20524E44"/>
    <w:rsid w:val="20844494"/>
    <w:rsid w:val="20863AF3"/>
    <w:rsid w:val="209B2E36"/>
    <w:rsid w:val="20D61200"/>
    <w:rsid w:val="210E7527"/>
    <w:rsid w:val="2146615C"/>
    <w:rsid w:val="21587A1D"/>
    <w:rsid w:val="21651998"/>
    <w:rsid w:val="221A39C9"/>
    <w:rsid w:val="22271A7E"/>
    <w:rsid w:val="22334F35"/>
    <w:rsid w:val="22551AD5"/>
    <w:rsid w:val="226371B8"/>
    <w:rsid w:val="226C59F0"/>
    <w:rsid w:val="22B440FE"/>
    <w:rsid w:val="22D24D60"/>
    <w:rsid w:val="23060D8C"/>
    <w:rsid w:val="234611FA"/>
    <w:rsid w:val="23485551"/>
    <w:rsid w:val="237467A2"/>
    <w:rsid w:val="239A18B2"/>
    <w:rsid w:val="23CD7DA1"/>
    <w:rsid w:val="23FA5FEA"/>
    <w:rsid w:val="241C7A13"/>
    <w:rsid w:val="2426692F"/>
    <w:rsid w:val="244D65B8"/>
    <w:rsid w:val="248E2DE1"/>
    <w:rsid w:val="249809B4"/>
    <w:rsid w:val="24CA4117"/>
    <w:rsid w:val="24D64A43"/>
    <w:rsid w:val="24FD50EE"/>
    <w:rsid w:val="25347747"/>
    <w:rsid w:val="25697422"/>
    <w:rsid w:val="256A4E4D"/>
    <w:rsid w:val="25875AFA"/>
    <w:rsid w:val="25897AC4"/>
    <w:rsid w:val="259E376E"/>
    <w:rsid w:val="25DD571A"/>
    <w:rsid w:val="25F74A2E"/>
    <w:rsid w:val="262E0970"/>
    <w:rsid w:val="26483950"/>
    <w:rsid w:val="268F2EB8"/>
    <w:rsid w:val="26B01932"/>
    <w:rsid w:val="26D27C2D"/>
    <w:rsid w:val="26F86CAF"/>
    <w:rsid w:val="27280C17"/>
    <w:rsid w:val="273864DE"/>
    <w:rsid w:val="275D4D64"/>
    <w:rsid w:val="276E51C4"/>
    <w:rsid w:val="276F7EC0"/>
    <w:rsid w:val="27C13000"/>
    <w:rsid w:val="2849353B"/>
    <w:rsid w:val="28642907"/>
    <w:rsid w:val="286940D9"/>
    <w:rsid w:val="286D5F65"/>
    <w:rsid w:val="28997FF9"/>
    <w:rsid w:val="28ED2118"/>
    <w:rsid w:val="290D7B43"/>
    <w:rsid w:val="29A0418A"/>
    <w:rsid w:val="29E33C4B"/>
    <w:rsid w:val="29F30D4C"/>
    <w:rsid w:val="2A261D85"/>
    <w:rsid w:val="2A344CC5"/>
    <w:rsid w:val="2AA0533E"/>
    <w:rsid w:val="2B4512B9"/>
    <w:rsid w:val="2B51698E"/>
    <w:rsid w:val="2B6761B2"/>
    <w:rsid w:val="2BC21530"/>
    <w:rsid w:val="2BDC1AD4"/>
    <w:rsid w:val="2C062A3B"/>
    <w:rsid w:val="2C534C5C"/>
    <w:rsid w:val="2CBA2FB1"/>
    <w:rsid w:val="2CC338BC"/>
    <w:rsid w:val="2D030DB2"/>
    <w:rsid w:val="2D3F4D6F"/>
    <w:rsid w:val="2D6A1F89"/>
    <w:rsid w:val="2DC367B3"/>
    <w:rsid w:val="2DD1218E"/>
    <w:rsid w:val="2DF53F49"/>
    <w:rsid w:val="2E1343CF"/>
    <w:rsid w:val="2E1819E5"/>
    <w:rsid w:val="2E2B2D7C"/>
    <w:rsid w:val="2EA01DE3"/>
    <w:rsid w:val="2EA663FE"/>
    <w:rsid w:val="2EB24CE0"/>
    <w:rsid w:val="2EC7265D"/>
    <w:rsid w:val="2EF27956"/>
    <w:rsid w:val="2F0F4239"/>
    <w:rsid w:val="2FA920B8"/>
    <w:rsid w:val="2FC418D8"/>
    <w:rsid w:val="2FC64924"/>
    <w:rsid w:val="2FE52A7E"/>
    <w:rsid w:val="300E7950"/>
    <w:rsid w:val="304C61CA"/>
    <w:rsid w:val="307329D5"/>
    <w:rsid w:val="307C4E72"/>
    <w:rsid w:val="30A74C5B"/>
    <w:rsid w:val="30B01B4A"/>
    <w:rsid w:val="30D20571"/>
    <w:rsid w:val="310F3573"/>
    <w:rsid w:val="317821EF"/>
    <w:rsid w:val="31E4090D"/>
    <w:rsid w:val="31FD161E"/>
    <w:rsid w:val="32153857"/>
    <w:rsid w:val="32794A1C"/>
    <w:rsid w:val="327D4BC1"/>
    <w:rsid w:val="328775B4"/>
    <w:rsid w:val="330723DC"/>
    <w:rsid w:val="337E0C62"/>
    <w:rsid w:val="33CF0D98"/>
    <w:rsid w:val="340805A8"/>
    <w:rsid w:val="346A7BCF"/>
    <w:rsid w:val="348A193A"/>
    <w:rsid w:val="349A13A6"/>
    <w:rsid w:val="349D42F5"/>
    <w:rsid w:val="35415CC5"/>
    <w:rsid w:val="354C1656"/>
    <w:rsid w:val="356814A4"/>
    <w:rsid w:val="357A2F85"/>
    <w:rsid w:val="358337C3"/>
    <w:rsid w:val="359B703E"/>
    <w:rsid w:val="35D958F9"/>
    <w:rsid w:val="360C5343"/>
    <w:rsid w:val="360D7D52"/>
    <w:rsid w:val="36176A26"/>
    <w:rsid w:val="362E7FFA"/>
    <w:rsid w:val="36315D3A"/>
    <w:rsid w:val="366157C4"/>
    <w:rsid w:val="366D4898"/>
    <w:rsid w:val="367B2569"/>
    <w:rsid w:val="36AE1139"/>
    <w:rsid w:val="36AF31C8"/>
    <w:rsid w:val="36C23C6D"/>
    <w:rsid w:val="370074BA"/>
    <w:rsid w:val="37045804"/>
    <w:rsid w:val="378679C0"/>
    <w:rsid w:val="37A367C3"/>
    <w:rsid w:val="37B3277F"/>
    <w:rsid w:val="37D77D6E"/>
    <w:rsid w:val="37E30F28"/>
    <w:rsid w:val="3835795C"/>
    <w:rsid w:val="384E78A9"/>
    <w:rsid w:val="385B37C8"/>
    <w:rsid w:val="386B35B8"/>
    <w:rsid w:val="387C313D"/>
    <w:rsid w:val="38A36E8B"/>
    <w:rsid w:val="38A94FE7"/>
    <w:rsid w:val="38B236C7"/>
    <w:rsid w:val="38D736B9"/>
    <w:rsid w:val="38ED560D"/>
    <w:rsid w:val="39335925"/>
    <w:rsid w:val="393C6ED0"/>
    <w:rsid w:val="39B00F52"/>
    <w:rsid w:val="39CC10E9"/>
    <w:rsid w:val="39D26841"/>
    <w:rsid w:val="39D81877"/>
    <w:rsid w:val="39EE04F3"/>
    <w:rsid w:val="3A5902A4"/>
    <w:rsid w:val="3A655FB2"/>
    <w:rsid w:val="3A6B2F3C"/>
    <w:rsid w:val="3A742699"/>
    <w:rsid w:val="3A78116B"/>
    <w:rsid w:val="3A7F400B"/>
    <w:rsid w:val="3AAD08CD"/>
    <w:rsid w:val="3B61579D"/>
    <w:rsid w:val="3B6E4235"/>
    <w:rsid w:val="3BA7084C"/>
    <w:rsid w:val="3BCA3066"/>
    <w:rsid w:val="3C01771B"/>
    <w:rsid w:val="3C764097"/>
    <w:rsid w:val="3CA55B29"/>
    <w:rsid w:val="3CB21A52"/>
    <w:rsid w:val="3CC35212"/>
    <w:rsid w:val="3CD84EB3"/>
    <w:rsid w:val="3D000214"/>
    <w:rsid w:val="3D0072B8"/>
    <w:rsid w:val="3D0173C5"/>
    <w:rsid w:val="3D1E72DC"/>
    <w:rsid w:val="3D332398"/>
    <w:rsid w:val="3D9E622F"/>
    <w:rsid w:val="3DE83833"/>
    <w:rsid w:val="3E104487"/>
    <w:rsid w:val="3E465B7C"/>
    <w:rsid w:val="3E4660FB"/>
    <w:rsid w:val="3E734A16"/>
    <w:rsid w:val="3E752DDF"/>
    <w:rsid w:val="3E92628C"/>
    <w:rsid w:val="3EF728D5"/>
    <w:rsid w:val="3F877A39"/>
    <w:rsid w:val="40093884"/>
    <w:rsid w:val="400D176C"/>
    <w:rsid w:val="401D2E8B"/>
    <w:rsid w:val="40251D40"/>
    <w:rsid w:val="406366DD"/>
    <w:rsid w:val="40DF6392"/>
    <w:rsid w:val="41887122"/>
    <w:rsid w:val="418F7312"/>
    <w:rsid w:val="41AC096A"/>
    <w:rsid w:val="41BB295C"/>
    <w:rsid w:val="41E974C9"/>
    <w:rsid w:val="42593309"/>
    <w:rsid w:val="425F29E4"/>
    <w:rsid w:val="42BB2A00"/>
    <w:rsid w:val="42CF1A6D"/>
    <w:rsid w:val="42D9578F"/>
    <w:rsid w:val="42FB3958"/>
    <w:rsid w:val="433504EC"/>
    <w:rsid w:val="434F4957"/>
    <w:rsid w:val="435E59BE"/>
    <w:rsid w:val="4362385A"/>
    <w:rsid w:val="43CE580F"/>
    <w:rsid w:val="4401783A"/>
    <w:rsid w:val="440A4948"/>
    <w:rsid w:val="44406889"/>
    <w:rsid w:val="44550E45"/>
    <w:rsid w:val="44931781"/>
    <w:rsid w:val="44B94D9B"/>
    <w:rsid w:val="45196317"/>
    <w:rsid w:val="452C3A1D"/>
    <w:rsid w:val="454D74A9"/>
    <w:rsid w:val="45E004FC"/>
    <w:rsid w:val="45E138F4"/>
    <w:rsid w:val="46547D5A"/>
    <w:rsid w:val="46AE6F33"/>
    <w:rsid w:val="46B1432D"/>
    <w:rsid w:val="47046B53"/>
    <w:rsid w:val="4736472B"/>
    <w:rsid w:val="47376F28"/>
    <w:rsid w:val="47CC6923"/>
    <w:rsid w:val="480E207F"/>
    <w:rsid w:val="480F6038"/>
    <w:rsid w:val="48576465"/>
    <w:rsid w:val="48DB2055"/>
    <w:rsid w:val="48FC2DB1"/>
    <w:rsid w:val="49522D5E"/>
    <w:rsid w:val="49A02651"/>
    <w:rsid w:val="49C47659"/>
    <w:rsid w:val="49DF11B1"/>
    <w:rsid w:val="4A2B5779"/>
    <w:rsid w:val="4A450EF1"/>
    <w:rsid w:val="4A5D5D84"/>
    <w:rsid w:val="4A88006B"/>
    <w:rsid w:val="4A9401EE"/>
    <w:rsid w:val="4A9F52A4"/>
    <w:rsid w:val="4AD351BA"/>
    <w:rsid w:val="4B050259"/>
    <w:rsid w:val="4B0557AD"/>
    <w:rsid w:val="4B06733D"/>
    <w:rsid w:val="4B0B4954"/>
    <w:rsid w:val="4B6F670D"/>
    <w:rsid w:val="4B730369"/>
    <w:rsid w:val="4BAB27B1"/>
    <w:rsid w:val="4BB26B7D"/>
    <w:rsid w:val="4BD935B2"/>
    <w:rsid w:val="4C420357"/>
    <w:rsid w:val="4C420BC6"/>
    <w:rsid w:val="4C5C2F8D"/>
    <w:rsid w:val="4C8F4AEF"/>
    <w:rsid w:val="4CAD2284"/>
    <w:rsid w:val="4CBF59B7"/>
    <w:rsid w:val="4CFD651E"/>
    <w:rsid w:val="4DBF37D4"/>
    <w:rsid w:val="4DFF1E22"/>
    <w:rsid w:val="4E04701D"/>
    <w:rsid w:val="4E0F02B7"/>
    <w:rsid w:val="4E19737E"/>
    <w:rsid w:val="4E6E2FB5"/>
    <w:rsid w:val="4E8D38D2"/>
    <w:rsid w:val="4EB175DB"/>
    <w:rsid w:val="4EBA414E"/>
    <w:rsid w:val="4F5662D3"/>
    <w:rsid w:val="4F5A491C"/>
    <w:rsid w:val="500E28C5"/>
    <w:rsid w:val="50606A7D"/>
    <w:rsid w:val="50A62A29"/>
    <w:rsid w:val="50D61B66"/>
    <w:rsid w:val="50E06415"/>
    <w:rsid w:val="50EF617E"/>
    <w:rsid w:val="511C715A"/>
    <w:rsid w:val="51207AE6"/>
    <w:rsid w:val="513A03FE"/>
    <w:rsid w:val="5153495F"/>
    <w:rsid w:val="51547B32"/>
    <w:rsid w:val="519A7131"/>
    <w:rsid w:val="51AC581D"/>
    <w:rsid w:val="51C0603E"/>
    <w:rsid w:val="5218720A"/>
    <w:rsid w:val="521E46DD"/>
    <w:rsid w:val="52217827"/>
    <w:rsid w:val="52412A09"/>
    <w:rsid w:val="52445A58"/>
    <w:rsid w:val="524B13D8"/>
    <w:rsid w:val="5266074B"/>
    <w:rsid w:val="52727066"/>
    <w:rsid w:val="527F3531"/>
    <w:rsid w:val="52B86C7A"/>
    <w:rsid w:val="52D715BF"/>
    <w:rsid w:val="53675712"/>
    <w:rsid w:val="536F3457"/>
    <w:rsid w:val="537155BE"/>
    <w:rsid w:val="537B63EF"/>
    <w:rsid w:val="53D61885"/>
    <w:rsid w:val="53DF24DA"/>
    <w:rsid w:val="543A1E06"/>
    <w:rsid w:val="54417169"/>
    <w:rsid w:val="54444075"/>
    <w:rsid w:val="54482775"/>
    <w:rsid w:val="54CA7B59"/>
    <w:rsid w:val="54D45954"/>
    <w:rsid w:val="54FD4609"/>
    <w:rsid w:val="55030E5B"/>
    <w:rsid w:val="550D3B58"/>
    <w:rsid w:val="555A1BA0"/>
    <w:rsid w:val="55810253"/>
    <w:rsid w:val="55CA674D"/>
    <w:rsid w:val="55D02697"/>
    <w:rsid w:val="55DA64AD"/>
    <w:rsid w:val="55F76BEE"/>
    <w:rsid w:val="561A081A"/>
    <w:rsid w:val="561D19DF"/>
    <w:rsid w:val="56292132"/>
    <w:rsid w:val="56307F1D"/>
    <w:rsid w:val="566F4E48"/>
    <w:rsid w:val="56B850C9"/>
    <w:rsid w:val="56C02A96"/>
    <w:rsid w:val="56CF0F2B"/>
    <w:rsid w:val="56DD7F5E"/>
    <w:rsid w:val="56F73FDE"/>
    <w:rsid w:val="57032983"/>
    <w:rsid w:val="572A285B"/>
    <w:rsid w:val="57527466"/>
    <w:rsid w:val="576D24F2"/>
    <w:rsid w:val="57A51C8C"/>
    <w:rsid w:val="57A5783A"/>
    <w:rsid w:val="57EF4246"/>
    <w:rsid w:val="5832685C"/>
    <w:rsid w:val="584568AC"/>
    <w:rsid w:val="58824ACC"/>
    <w:rsid w:val="589200EC"/>
    <w:rsid w:val="58A91476"/>
    <w:rsid w:val="58B3435E"/>
    <w:rsid w:val="590D7131"/>
    <w:rsid w:val="591253D6"/>
    <w:rsid w:val="594B37F1"/>
    <w:rsid w:val="596F2552"/>
    <w:rsid w:val="599E5578"/>
    <w:rsid w:val="59AB0C98"/>
    <w:rsid w:val="59C37040"/>
    <w:rsid w:val="59CB0374"/>
    <w:rsid w:val="59DE0CA7"/>
    <w:rsid w:val="5A1A3741"/>
    <w:rsid w:val="5A7616BE"/>
    <w:rsid w:val="5A770749"/>
    <w:rsid w:val="5A861ABD"/>
    <w:rsid w:val="5A8F20BE"/>
    <w:rsid w:val="5AA837AC"/>
    <w:rsid w:val="5AB67D0C"/>
    <w:rsid w:val="5ABE59E9"/>
    <w:rsid w:val="5AC4067B"/>
    <w:rsid w:val="5ADF6E56"/>
    <w:rsid w:val="5B0116C7"/>
    <w:rsid w:val="5B1F3B03"/>
    <w:rsid w:val="5B242EC8"/>
    <w:rsid w:val="5B380C90"/>
    <w:rsid w:val="5B6363EB"/>
    <w:rsid w:val="5B7D338F"/>
    <w:rsid w:val="5B9F14C4"/>
    <w:rsid w:val="5BA1276A"/>
    <w:rsid w:val="5BA57C0C"/>
    <w:rsid w:val="5C234513"/>
    <w:rsid w:val="5C425CFC"/>
    <w:rsid w:val="5C462667"/>
    <w:rsid w:val="5C4F6BD1"/>
    <w:rsid w:val="5C7E21D6"/>
    <w:rsid w:val="5C910A31"/>
    <w:rsid w:val="5C9367F6"/>
    <w:rsid w:val="5CB77CFA"/>
    <w:rsid w:val="5D214E4E"/>
    <w:rsid w:val="5D611272"/>
    <w:rsid w:val="5D630DB1"/>
    <w:rsid w:val="5D9562FF"/>
    <w:rsid w:val="5DAB0B66"/>
    <w:rsid w:val="5DDE6F83"/>
    <w:rsid w:val="5DF146B7"/>
    <w:rsid w:val="5E16050E"/>
    <w:rsid w:val="5E327DFC"/>
    <w:rsid w:val="5E4D122B"/>
    <w:rsid w:val="5E8425FB"/>
    <w:rsid w:val="5E9F11E3"/>
    <w:rsid w:val="5EF336FC"/>
    <w:rsid w:val="5F01627C"/>
    <w:rsid w:val="5F074FDA"/>
    <w:rsid w:val="5F35068C"/>
    <w:rsid w:val="5F405E81"/>
    <w:rsid w:val="5F4C0C3F"/>
    <w:rsid w:val="60A76A75"/>
    <w:rsid w:val="60A90CC5"/>
    <w:rsid w:val="61241947"/>
    <w:rsid w:val="612E6AAD"/>
    <w:rsid w:val="61633FDA"/>
    <w:rsid w:val="616A7D2F"/>
    <w:rsid w:val="61745166"/>
    <w:rsid w:val="61974113"/>
    <w:rsid w:val="61C64A0E"/>
    <w:rsid w:val="61F40A0D"/>
    <w:rsid w:val="621347D8"/>
    <w:rsid w:val="62173786"/>
    <w:rsid w:val="621C2B4B"/>
    <w:rsid w:val="62404A8B"/>
    <w:rsid w:val="6241261C"/>
    <w:rsid w:val="62420210"/>
    <w:rsid w:val="62611DB0"/>
    <w:rsid w:val="62662018"/>
    <w:rsid w:val="62B47326"/>
    <w:rsid w:val="62EE553D"/>
    <w:rsid w:val="6300421A"/>
    <w:rsid w:val="630901A6"/>
    <w:rsid w:val="632C0E07"/>
    <w:rsid w:val="6349725C"/>
    <w:rsid w:val="63865AC3"/>
    <w:rsid w:val="638A4820"/>
    <w:rsid w:val="63931D5D"/>
    <w:rsid w:val="639E415F"/>
    <w:rsid w:val="63A27AA9"/>
    <w:rsid w:val="64035650"/>
    <w:rsid w:val="644A2A60"/>
    <w:rsid w:val="64812DEB"/>
    <w:rsid w:val="64CB0227"/>
    <w:rsid w:val="656138C5"/>
    <w:rsid w:val="65942779"/>
    <w:rsid w:val="663C677D"/>
    <w:rsid w:val="66741ECD"/>
    <w:rsid w:val="66987842"/>
    <w:rsid w:val="66A001EE"/>
    <w:rsid w:val="66B206ED"/>
    <w:rsid w:val="66EF4ABB"/>
    <w:rsid w:val="67CC59E3"/>
    <w:rsid w:val="68264A5A"/>
    <w:rsid w:val="685B20EE"/>
    <w:rsid w:val="68907DEF"/>
    <w:rsid w:val="68E93DF6"/>
    <w:rsid w:val="690359D6"/>
    <w:rsid w:val="691427CE"/>
    <w:rsid w:val="69826F10"/>
    <w:rsid w:val="6992118F"/>
    <w:rsid w:val="699A6627"/>
    <w:rsid w:val="69AE4AF5"/>
    <w:rsid w:val="69C96D41"/>
    <w:rsid w:val="69F04850"/>
    <w:rsid w:val="6A072332"/>
    <w:rsid w:val="6A087A2A"/>
    <w:rsid w:val="6A2A2395"/>
    <w:rsid w:val="6A435043"/>
    <w:rsid w:val="6A5E2F38"/>
    <w:rsid w:val="6AF52ECD"/>
    <w:rsid w:val="6B113469"/>
    <w:rsid w:val="6B2A277C"/>
    <w:rsid w:val="6B43383E"/>
    <w:rsid w:val="6B8D6867"/>
    <w:rsid w:val="6B8D71AD"/>
    <w:rsid w:val="6BAA5F82"/>
    <w:rsid w:val="6BAE515B"/>
    <w:rsid w:val="6BFE1359"/>
    <w:rsid w:val="6D264A09"/>
    <w:rsid w:val="6D285EEE"/>
    <w:rsid w:val="6D3A4256"/>
    <w:rsid w:val="6D912FC0"/>
    <w:rsid w:val="6DAB2AD4"/>
    <w:rsid w:val="6DB4632D"/>
    <w:rsid w:val="6DDE162C"/>
    <w:rsid w:val="6E1172F4"/>
    <w:rsid w:val="6E196680"/>
    <w:rsid w:val="6E380D0C"/>
    <w:rsid w:val="6EB8009F"/>
    <w:rsid w:val="6EC647D7"/>
    <w:rsid w:val="6ED919F6"/>
    <w:rsid w:val="6EDE3796"/>
    <w:rsid w:val="6EF410D7"/>
    <w:rsid w:val="6EFA4214"/>
    <w:rsid w:val="6F5153EC"/>
    <w:rsid w:val="6FC84312"/>
    <w:rsid w:val="6FE605C4"/>
    <w:rsid w:val="70265F41"/>
    <w:rsid w:val="703B2D36"/>
    <w:rsid w:val="70673123"/>
    <w:rsid w:val="706C3BCA"/>
    <w:rsid w:val="70A34986"/>
    <w:rsid w:val="70B704DA"/>
    <w:rsid w:val="70EE5FFA"/>
    <w:rsid w:val="70FA674D"/>
    <w:rsid w:val="710B069E"/>
    <w:rsid w:val="714844A1"/>
    <w:rsid w:val="714C17A4"/>
    <w:rsid w:val="7161057A"/>
    <w:rsid w:val="71793B16"/>
    <w:rsid w:val="71A12B08"/>
    <w:rsid w:val="71AF4994"/>
    <w:rsid w:val="71FD4F1A"/>
    <w:rsid w:val="722975D2"/>
    <w:rsid w:val="72457E9C"/>
    <w:rsid w:val="7270316B"/>
    <w:rsid w:val="72757CAB"/>
    <w:rsid w:val="727C248C"/>
    <w:rsid w:val="73264FA6"/>
    <w:rsid w:val="73337CF4"/>
    <w:rsid w:val="734B2C0B"/>
    <w:rsid w:val="73824F7C"/>
    <w:rsid w:val="739648B7"/>
    <w:rsid w:val="73B37F21"/>
    <w:rsid w:val="73EF00BF"/>
    <w:rsid w:val="7406050A"/>
    <w:rsid w:val="7420296E"/>
    <w:rsid w:val="74746816"/>
    <w:rsid w:val="74747483"/>
    <w:rsid w:val="74CE0C97"/>
    <w:rsid w:val="752306D3"/>
    <w:rsid w:val="752537A3"/>
    <w:rsid w:val="758111EB"/>
    <w:rsid w:val="759676DE"/>
    <w:rsid w:val="75D23344"/>
    <w:rsid w:val="75D60E9A"/>
    <w:rsid w:val="75E579CC"/>
    <w:rsid w:val="76184CE8"/>
    <w:rsid w:val="76525E43"/>
    <w:rsid w:val="76783713"/>
    <w:rsid w:val="76BB7D9C"/>
    <w:rsid w:val="76D46753"/>
    <w:rsid w:val="76FF4ABD"/>
    <w:rsid w:val="77813724"/>
    <w:rsid w:val="778E6FF9"/>
    <w:rsid w:val="77BC650A"/>
    <w:rsid w:val="77D50689"/>
    <w:rsid w:val="781A4D46"/>
    <w:rsid w:val="782C4AD2"/>
    <w:rsid w:val="782E006B"/>
    <w:rsid w:val="786A240A"/>
    <w:rsid w:val="78827754"/>
    <w:rsid w:val="7892370F"/>
    <w:rsid w:val="789B5F87"/>
    <w:rsid w:val="78F02F79"/>
    <w:rsid w:val="79086F68"/>
    <w:rsid w:val="792E05AF"/>
    <w:rsid w:val="79C678D4"/>
    <w:rsid w:val="79EE1860"/>
    <w:rsid w:val="7A08012D"/>
    <w:rsid w:val="7B036820"/>
    <w:rsid w:val="7B08205F"/>
    <w:rsid w:val="7B4927AB"/>
    <w:rsid w:val="7B8E01BE"/>
    <w:rsid w:val="7BFF157E"/>
    <w:rsid w:val="7C391482"/>
    <w:rsid w:val="7C5036C5"/>
    <w:rsid w:val="7C611615"/>
    <w:rsid w:val="7C9932A4"/>
    <w:rsid w:val="7CA943D8"/>
    <w:rsid w:val="7CB41EA6"/>
    <w:rsid w:val="7CF0563E"/>
    <w:rsid w:val="7D060CAB"/>
    <w:rsid w:val="7D0B50EE"/>
    <w:rsid w:val="7D7942E8"/>
    <w:rsid w:val="7D9552CA"/>
    <w:rsid w:val="7DF42BD8"/>
    <w:rsid w:val="7E255143"/>
    <w:rsid w:val="7E7200FE"/>
    <w:rsid w:val="7E9975A5"/>
    <w:rsid w:val="7EA46823"/>
    <w:rsid w:val="7EE46AA6"/>
    <w:rsid w:val="7EEA05E4"/>
    <w:rsid w:val="7EED5B43"/>
    <w:rsid w:val="7F402117"/>
    <w:rsid w:val="7F5B6A68"/>
    <w:rsid w:val="7F871130"/>
    <w:rsid w:val="7F907C00"/>
    <w:rsid w:val="7FA51F7A"/>
    <w:rsid w:val="7FC97A14"/>
    <w:rsid w:val="7FF64583"/>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39"/>
    <w:autoRedefine/>
    <w:qFormat/>
    <w:uiPriority w:val="0"/>
    <w:pPr>
      <w:keepNext/>
      <w:autoSpaceDE w:val="0"/>
      <w:autoSpaceDN w:val="0"/>
      <w:adjustRightInd w:val="0"/>
      <w:jc w:val="center"/>
      <w:outlineLvl w:val="0"/>
    </w:pPr>
    <w:rPr>
      <w:rFonts w:ascii="宋体"/>
      <w:color w:val="000000"/>
      <w:sz w:val="28"/>
      <w:szCs w:val="20"/>
    </w:rPr>
  </w:style>
  <w:style w:type="paragraph" w:styleId="4">
    <w:name w:val="heading 2"/>
    <w:basedOn w:val="1"/>
    <w:next w:val="1"/>
    <w:link w:val="44"/>
    <w:autoRedefine/>
    <w:qFormat/>
    <w:uiPriority w:val="0"/>
    <w:pPr>
      <w:keepNext/>
      <w:keepLines/>
      <w:spacing w:before="260" w:after="260" w:line="416" w:lineRule="auto"/>
      <w:outlineLvl w:val="1"/>
    </w:pPr>
    <w:rPr>
      <w:rFonts w:ascii="Arial" w:hAnsi="Arial"/>
      <w:b/>
      <w:bCs/>
      <w:sz w:val="32"/>
      <w:szCs w:val="32"/>
    </w:rPr>
  </w:style>
  <w:style w:type="paragraph" w:styleId="5">
    <w:name w:val="heading 3"/>
    <w:basedOn w:val="1"/>
    <w:next w:val="1"/>
    <w:link w:val="45"/>
    <w:autoRedefine/>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46"/>
    <w:qFormat/>
    <w:uiPriority w:val="0"/>
    <w:pPr>
      <w:keepNext/>
      <w:keepLines/>
      <w:spacing w:before="280" w:after="290" w:line="376" w:lineRule="auto"/>
      <w:outlineLvl w:val="3"/>
    </w:pPr>
    <w:rPr>
      <w:rFonts w:ascii="Cambria" w:hAnsi="Cambria"/>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footnote text"/>
    <w:basedOn w:val="1"/>
    <w:qFormat/>
    <w:uiPriority w:val="0"/>
    <w:pPr>
      <w:snapToGrid w:val="0"/>
      <w:jc w:val="left"/>
    </w:pPr>
    <w:rPr>
      <w:sz w:val="18"/>
    </w:rPr>
  </w:style>
  <w:style w:type="paragraph" w:styleId="7">
    <w:name w:val="Normal Indent"/>
    <w:basedOn w:val="1"/>
    <w:next w:val="8"/>
    <w:qFormat/>
    <w:uiPriority w:val="0"/>
    <w:pPr>
      <w:ind w:firstLine="420" w:firstLineChars="200"/>
    </w:pPr>
    <w:rPr>
      <w:szCs w:val="21"/>
    </w:rPr>
  </w:style>
  <w:style w:type="paragraph" w:styleId="8">
    <w:name w:val="Body Text"/>
    <w:basedOn w:val="1"/>
    <w:next w:val="9"/>
    <w:autoRedefine/>
    <w:qFormat/>
    <w:uiPriority w:val="0"/>
    <w:pPr>
      <w:spacing w:after="120"/>
    </w:pPr>
  </w:style>
  <w:style w:type="paragraph" w:styleId="9">
    <w:name w:val="Title"/>
    <w:basedOn w:val="1"/>
    <w:next w:val="1"/>
    <w:qFormat/>
    <w:uiPriority w:val="0"/>
    <w:pPr>
      <w:spacing w:before="240" w:after="60"/>
      <w:jc w:val="center"/>
      <w:outlineLvl w:val="0"/>
    </w:pPr>
    <w:rPr>
      <w:rFonts w:ascii="Cambria" w:hAnsi="Cambria"/>
      <w:b/>
      <w:bCs/>
      <w:sz w:val="32"/>
      <w:szCs w:val="32"/>
    </w:rPr>
  </w:style>
  <w:style w:type="paragraph" w:styleId="10">
    <w:name w:val="annotation text"/>
    <w:basedOn w:val="1"/>
    <w:link w:val="60"/>
    <w:autoRedefine/>
    <w:unhideWhenUsed/>
    <w:qFormat/>
    <w:uiPriority w:val="99"/>
    <w:pPr>
      <w:jc w:val="left"/>
    </w:pPr>
  </w:style>
  <w:style w:type="paragraph" w:styleId="11">
    <w:name w:val="Body Text Indent"/>
    <w:basedOn w:val="1"/>
    <w:next w:val="12"/>
    <w:autoRedefine/>
    <w:unhideWhenUsed/>
    <w:qFormat/>
    <w:uiPriority w:val="99"/>
    <w:pPr>
      <w:spacing w:after="120"/>
      <w:ind w:left="420" w:leftChars="200"/>
    </w:pPr>
  </w:style>
  <w:style w:type="paragraph" w:styleId="12">
    <w:name w:val="envelope return"/>
    <w:basedOn w:val="1"/>
    <w:unhideWhenUsed/>
    <w:qFormat/>
    <w:uiPriority w:val="99"/>
    <w:pPr>
      <w:snapToGrid w:val="0"/>
    </w:pPr>
    <w:rPr>
      <w:rFonts w:ascii="Arial" w:hAnsi="Arial"/>
    </w:rPr>
  </w:style>
  <w:style w:type="paragraph" w:styleId="13">
    <w:name w:val="Plain Text"/>
    <w:basedOn w:val="1"/>
    <w:link w:val="43"/>
    <w:autoRedefine/>
    <w:qFormat/>
    <w:uiPriority w:val="0"/>
    <w:rPr>
      <w:rFonts w:ascii="宋体" w:hAnsi="Courier New" w:eastAsiaTheme="minorEastAsia" w:cstheme="minorBidi"/>
    </w:rPr>
  </w:style>
  <w:style w:type="paragraph" w:styleId="14">
    <w:name w:val="Date"/>
    <w:basedOn w:val="1"/>
    <w:next w:val="1"/>
    <w:link w:val="35"/>
    <w:autoRedefine/>
    <w:qFormat/>
    <w:uiPriority w:val="0"/>
    <w:rPr>
      <w:rFonts w:ascii="宋体" w:hAnsi="Courier New"/>
      <w:kern w:val="0"/>
      <w:sz w:val="32"/>
      <w:szCs w:val="20"/>
    </w:rPr>
  </w:style>
  <w:style w:type="paragraph" w:styleId="15">
    <w:name w:val="Balloon Text"/>
    <w:basedOn w:val="1"/>
    <w:link w:val="36"/>
    <w:autoRedefine/>
    <w:semiHidden/>
    <w:unhideWhenUsed/>
    <w:qFormat/>
    <w:uiPriority w:val="99"/>
    <w:rPr>
      <w:sz w:val="18"/>
      <w:szCs w:val="18"/>
    </w:rPr>
  </w:style>
  <w:style w:type="paragraph" w:styleId="16">
    <w:name w:val="footer"/>
    <w:basedOn w:val="1"/>
    <w:link w:val="38"/>
    <w:autoRedefine/>
    <w:unhideWhenUsed/>
    <w:qFormat/>
    <w:uiPriority w:val="99"/>
    <w:pPr>
      <w:tabs>
        <w:tab w:val="center" w:pos="4153"/>
        <w:tab w:val="right" w:pos="8306"/>
      </w:tabs>
      <w:snapToGrid w:val="0"/>
      <w:jc w:val="left"/>
    </w:pPr>
    <w:rPr>
      <w:sz w:val="18"/>
      <w:szCs w:val="18"/>
    </w:rPr>
  </w:style>
  <w:style w:type="paragraph" w:styleId="17">
    <w:name w:val="header"/>
    <w:basedOn w:val="1"/>
    <w:link w:val="37"/>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2"/>
    <w:basedOn w:val="1"/>
    <w:next w:val="1"/>
    <w:semiHidden/>
    <w:qFormat/>
    <w:uiPriority w:val="0"/>
    <w:pPr>
      <w:tabs>
        <w:tab w:val="right" w:leader="dot" w:pos="8296"/>
      </w:tabs>
      <w:ind w:left="210"/>
      <w:jc w:val="left"/>
    </w:pPr>
    <w:rPr>
      <w:smallCaps/>
    </w:rPr>
  </w:style>
  <w:style w:type="paragraph" w:styleId="19">
    <w:name w:val="Body Text 2"/>
    <w:basedOn w:val="1"/>
    <w:qFormat/>
    <w:uiPriority w:val="0"/>
    <w:pPr>
      <w:spacing w:line="360" w:lineRule="auto"/>
    </w:pPr>
    <w:rPr>
      <w:sz w:val="24"/>
    </w:rPr>
  </w:style>
  <w:style w:type="paragraph" w:styleId="20">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kern w:val="0"/>
      <w:szCs w:val="21"/>
    </w:rPr>
  </w:style>
  <w:style w:type="paragraph" w:styleId="2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2">
    <w:name w:val="annotation subject"/>
    <w:basedOn w:val="10"/>
    <w:next w:val="10"/>
    <w:link w:val="41"/>
    <w:autoRedefine/>
    <w:semiHidden/>
    <w:unhideWhenUsed/>
    <w:qFormat/>
    <w:uiPriority w:val="99"/>
    <w:rPr>
      <w:b/>
      <w:bCs/>
    </w:rPr>
  </w:style>
  <w:style w:type="paragraph" w:styleId="23">
    <w:name w:val="Body Text First Indent 2"/>
    <w:basedOn w:val="11"/>
    <w:autoRedefine/>
    <w:qFormat/>
    <w:uiPriority w:val="0"/>
    <w:pPr>
      <w:ind w:firstLine="420" w:firstLineChars="200"/>
    </w:pPr>
    <w:rPr>
      <w:szCs w:val="24"/>
    </w:rPr>
  </w:style>
  <w:style w:type="table" w:styleId="25">
    <w:name w:val="Table Grid"/>
    <w:basedOn w:val="24"/>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7">
    <w:name w:val="Strong"/>
    <w:qFormat/>
    <w:uiPriority w:val="0"/>
    <w:rPr>
      <w:rFonts w:ascii="Times New Roman" w:hAnsi="Times New Roman" w:eastAsia="宋体" w:cs="Times New Roman"/>
      <w:b/>
      <w:bCs/>
    </w:rPr>
  </w:style>
  <w:style w:type="character" w:styleId="28">
    <w:name w:val="page number"/>
    <w:basedOn w:val="26"/>
    <w:qFormat/>
    <w:uiPriority w:val="0"/>
  </w:style>
  <w:style w:type="character" w:styleId="29">
    <w:name w:val="Hyperlink"/>
    <w:autoRedefine/>
    <w:qFormat/>
    <w:uiPriority w:val="99"/>
    <w:rPr>
      <w:color w:val="0000FF"/>
      <w:u w:val="single"/>
    </w:rPr>
  </w:style>
  <w:style w:type="character" w:styleId="30">
    <w:name w:val="annotation reference"/>
    <w:basedOn w:val="26"/>
    <w:autoRedefine/>
    <w:semiHidden/>
    <w:unhideWhenUsed/>
    <w:qFormat/>
    <w:uiPriority w:val="99"/>
    <w:rPr>
      <w:sz w:val="21"/>
      <w:szCs w:val="21"/>
    </w:rPr>
  </w:style>
  <w:style w:type="paragraph" w:customStyle="1" w:styleId="31">
    <w:name w:val="表格文字"/>
    <w:basedOn w:val="1"/>
    <w:autoRedefine/>
    <w:qFormat/>
    <w:uiPriority w:val="0"/>
    <w:pPr>
      <w:spacing w:before="25" w:after="25" w:line="240" w:lineRule="auto"/>
      <w:ind w:firstLine="0"/>
      <w:jc w:val="left"/>
    </w:pPr>
    <w:rPr>
      <w:bCs/>
      <w:spacing w:val="10"/>
      <w:kern w:val="0"/>
      <w:sz w:val="24"/>
    </w:rPr>
  </w:style>
  <w:style w:type="paragraph" w:styleId="32">
    <w:name w:val="List Paragraph"/>
    <w:basedOn w:val="1"/>
    <w:autoRedefine/>
    <w:qFormat/>
    <w:uiPriority w:val="34"/>
    <w:pPr>
      <w:ind w:firstLine="420" w:firstLineChars="200"/>
    </w:pPr>
  </w:style>
  <w:style w:type="paragraph" w:customStyle="1" w:styleId="3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character" w:customStyle="1" w:styleId="34">
    <w:name w:val="日期 Char"/>
    <w:basedOn w:val="26"/>
    <w:link w:val="14"/>
    <w:autoRedefine/>
    <w:qFormat/>
    <w:uiPriority w:val="0"/>
    <w:rPr>
      <w:rFonts w:ascii="宋体" w:hAnsi="Courier New" w:eastAsia="宋体" w:cs="Times New Roman"/>
      <w:kern w:val="0"/>
      <w:sz w:val="32"/>
      <w:szCs w:val="20"/>
    </w:rPr>
  </w:style>
  <w:style w:type="character" w:customStyle="1" w:styleId="35">
    <w:name w:val="日期 Char1"/>
    <w:basedOn w:val="26"/>
    <w:link w:val="14"/>
    <w:autoRedefine/>
    <w:semiHidden/>
    <w:qFormat/>
    <w:uiPriority w:val="99"/>
    <w:rPr>
      <w:rFonts w:ascii="Calibri" w:hAnsi="Calibri" w:eastAsia="宋体" w:cs="Times New Roman"/>
    </w:rPr>
  </w:style>
  <w:style w:type="character" w:customStyle="1" w:styleId="36">
    <w:name w:val="批注框文本 Char"/>
    <w:basedOn w:val="26"/>
    <w:link w:val="15"/>
    <w:autoRedefine/>
    <w:semiHidden/>
    <w:qFormat/>
    <w:uiPriority w:val="99"/>
    <w:rPr>
      <w:rFonts w:ascii="Calibri" w:hAnsi="Calibri" w:eastAsia="宋体" w:cs="Times New Roman"/>
      <w:sz w:val="18"/>
      <w:szCs w:val="18"/>
    </w:rPr>
  </w:style>
  <w:style w:type="character" w:customStyle="1" w:styleId="37">
    <w:name w:val="页眉 Char"/>
    <w:basedOn w:val="26"/>
    <w:link w:val="17"/>
    <w:autoRedefine/>
    <w:semiHidden/>
    <w:qFormat/>
    <w:uiPriority w:val="99"/>
    <w:rPr>
      <w:rFonts w:ascii="Calibri" w:hAnsi="Calibri" w:eastAsia="宋体" w:cs="Times New Roman"/>
      <w:sz w:val="18"/>
      <w:szCs w:val="18"/>
    </w:rPr>
  </w:style>
  <w:style w:type="character" w:customStyle="1" w:styleId="38">
    <w:name w:val="页脚 Char"/>
    <w:basedOn w:val="26"/>
    <w:link w:val="16"/>
    <w:autoRedefine/>
    <w:qFormat/>
    <w:uiPriority w:val="99"/>
    <w:rPr>
      <w:rFonts w:ascii="Calibri" w:hAnsi="Calibri" w:eastAsia="宋体" w:cs="Times New Roman"/>
      <w:sz w:val="18"/>
      <w:szCs w:val="18"/>
    </w:rPr>
  </w:style>
  <w:style w:type="character" w:customStyle="1" w:styleId="39">
    <w:name w:val="标题 1 Char"/>
    <w:basedOn w:val="26"/>
    <w:link w:val="3"/>
    <w:autoRedefine/>
    <w:qFormat/>
    <w:uiPriority w:val="0"/>
    <w:rPr>
      <w:rFonts w:ascii="宋体" w:hAnsi="Calibri" w:eastAsia="宋体" w:cs="Times New Roman"/>
      <w:color w:val="000000"/>
      <w:sz w:val="28"/>
      <w:szCs w:val="20"/>
    </w:rPr>
  </w:style>
  <w:style w:type="character" w:customStyle="1" w:styleId="40">
    <w:name w:val="批注文字 Char"/>
    <w:basedOn w:val="26"/>
    <w:link w:val="10"/>
    <w:autoRedefine/>
    <w:qFormat/>
    <w:uiPriority w:val="99"/>
    <w:rPr>
      <w:rFonts w:ascii="Calibri" w:hAnsi="Calibri" w:eastAsia="宋体" w:cs="Times New Roman"/>
    </w:rPr>
  </w:style>
  <w:style w:type="character" w:customStyle="1" w:styleId="41">
    <w:name w:val="批注主题 Char"/>
    <w:basedOn w:val="40"/>
    <w:link w:val="22"/>
    <w:autoRedefine/>
    <w:semiHidden/>
    <w:qFormat/>
    <w:uiPriority w:val="99"/>
    <w:rPr>
      <w:b/>
      <w:bCs/>
    </w:rPr>
  </w:style>
  <w:style w:type="character" w:customStyle="1" w:styleId="42">
    <w:name w:val="纯文本 Char"/>
    <w:link w:val="13"/>
    <w:autoRedefine/>
    <w:qFormat/>
    <w:uiPriority w:val="0"/>
    <w:rPr>
      <w:rFonts w:ascii="宋体" w:hAnsi="Courier New"/>
    </w:rPr>
  </w:style>
  <w:style w:type="character" w:customStyle="1" w:styleId="43">
    <w:name w:val="纯文本 Char1"/>
    <w:basedOn w:val="26"/>
    <w:link w:val="13"/>
    <w:autoRedefine/>
    <w:semiHidden/>
    <w:qFormat/>
    <w:uiPriority w:val="99"/>
    <w:rPr>
      <w:rFonts w:ascii="宋体" w:hAnsi="Courier New" w:eastAsia="宋体" w:cs="Courier New"/>
      <w:szCs w:val="21"/>
    </w:rPr>
  </w:style>
  <w:style w:type="character" w:customStyle="1" w:styleId="44">
    <w:name w:val="标题 2 Char"/>
    <w:basedOn w:val="26"/>
    <w:link w:val="4"/>
    <w:autoRedefine/>
    <w:qFormat/>
    <w:uiPriority w:val="0"/>
    <w:rPr>
      <w:rFonts w:ascii="Arial" w:hAnsi="Arial" w:eastAsia="宋体" w:cs="Times New Roman"/>
      <w:b/>
      <w:bCs/>
      <w:sz w:val="32"/>
      <w:szCs w:val="32"/>
    </w:rPr>
  </w:style>
  <w:style w:type="character" w:customStyle="1" w:styleId="45">
    <w:name w:val="标题 3 Char"/>
    <w:basedOn w:val="26"/>
    <w:link w:val="5"/>
    <w:autoRedefine/>
    <w:semiHidden/>
    <w:qFormat/>
    <w:uiPriority w:val="9"/>
    <w:rPr>
      <w:rFonts w:ascii="Calibri" w:hAnsi="Calibri" w:eastAsia="宋体" w:cs="Times New Roman"/>
      <w:b/>
      <w:bCs/>
      <w:sz w:val="32"/>
      <w:szCs w:val="32"/>
    </w:rPr>
  </w:style>
  <w:style w:type="character" w:customStyle="1" w:styleId="46">
    <w:name w:val="标题 4 Char"/>
    <w:basedOn w:val="26"/>
    <w:link w:val="6"/>
    <w:autoRedefine/>
    <w:qFormat/>
    <w:uiPriority w:val="0"/>
    <w:rPr>
      <w:rFonts w:ascii="Cambria" w:hAnsi="Cambria" w:eastAsia="宋体" w:cs="Times New Roman"/>
      <w:b/>
      <w:bCs/>
      <w:sz w:val="28"/>
      <w:szCs w:val="28"/>
    </w:rPr>
  </w:style>
  <w:style w:type="paragraph" w:customStyle="1" w:styleId="47">
    <w:name w:val="xl48"/>
    <w:basedOn w:val="1"/>
    <w:autoRedefine/>
    <w:qFormat/>
    <w:uiPriority w:val="0"/>
    <w:pPr>
      <w:widowControl/>
      <w:pBdr>
        <w:bottom w:val="single" w:color="auto" w:sz="4" w:space="0"/>
      </w:pBdr>
      <w:spacing w:before="100" w:beforeAutospacing="1" w:after="100" w:afterAutospacing="1"/>
      <w:jc w:val="center"/>
      <w:textAlignment w:val="center"/>
    </w:pPr>
    <w:rPr>
      <w:rFonts w:eastAsia="Arial Unicode MS"/>
      <w:kern w:val="0"/>
      <w:sz w:val="24"/>
      <w:szCs w:val="24"/>
    </w:rPr>
  </w:style>
  <w:style w:type="paragraph" w:customStyle="1" w:styleId="48">
    <w:name w:val="1"/>
    <w:basedOn w:val="1"/>
    <w:next w:val="13"/>
    <w:autoRedefine/>
    <w:qFormat/>
    <w:uiPriority w:val="0"/>
    <w:rPr>
      <w:rFonts w:ascii="宋体" w:hAnsi="Courier New"/>
      <w:szCs w:val="20"/>
    </w:rPr>
  </w:style>
  <w:style w:type="paragraph" w:customStyle="1" w:styleId="49">
    <w:name w:val="8"/>
    <w:basedOn w:val="1"/>
    <w:next w:val="13"/>
    <w:autoRedefine/>
    <w:qFormat/>
    <w:uiPriority w:val="0"/>
    <w:rPr>
      <w:rFonts w:ascii="宋体" w:hAnsi="Courier New"/>
      <w:szCs w:val="20"/>
    </w:rPr>
  </w:style>
  <w:style w:type="paragraph" w:customStyle="1" w:styleId="50">
    <w:name w:val="_Style 55"/>
    <w:basedOn w:val="1"/>
    <w:next w:val="13"/>
    <w:autoRedefine/>
    <w:qFormat/>
    <w:uiPriority w:val="0"/>
    <w:rPr>
      <w:rFonts w:ascii="宋体" w:hAnsi="Courier New"/>
      <w:szCs w:val="20"/>
    </w:rPr>
  </w:style>
  <w:style w:type="paragraph" w:customStyle="1" w:styleId="51">
    <w:name w:val="7"/>
    <w:basedOn w:val="1"/>
    <w:next w:val="13"/>
    <w:link w:val="52"/>
    <w:autoRedefine/>
    <w:qFormat/>
    <w:uiPriority w:val="0"/>
    <w:rPr>
      <w:rFonts w:ascii="宋体" w:hAnsi="Courier New"/>
      <w:szCs w:val="20"/>
    </w:rPr>
  </w:style>
  <w:style w:type="character" w:customStyle="1" w:styleId="52">
    <w:name w:val="Char1"/>
    <w:link w:val="51"/>
    <w:autoRedefine/>
    <w:qFormat/>
    <w:uiPriority w:val="0"/>
    <w:rPr>
      <w:rFonts w:ascii="宋体" w:hAnsi="Courier New" w:eastAsia="宋体" w:cs="Times New Roman"/>
      <w:szCs w:val="20"/>
    </w:rPr>
  </w:style>
  <w:style w:type="paragraph" w:customStyle="1" w:styleId="53">
    <w:name w:val="Body text|1"/>
    <w:basedOn w:val="1"/>
    <w:autoRedefine/>
    <w:qFormat/>
    <w:uiPriority w:val="0"/>
    <w:pPr>
      <w:widowControl w:val="0"/>
      <w:shd w:val="clear" w:color="auto" w:fill="auto"/>
      <w:spacing w:line="396" w:lineRule="auto"/>
    </w:pPr>
    <w:rPr>
      <w:rFonts w:ascii="宋体" w:hAnsi="宋体" w:eastAsia="宋体" w:cs="宋体"/>
      <w:u w:val="none"/>
      <w:shd w:val="clear" w:color="auto" w:fill="auto"/>
      <w:lang w:val="zh-TW" w:eastAsia="zh-TW" w:bidi="zh-TW"/>
    </w:rPr>
  </w:style>
  <w:style w:type="paragraph" w:customStyle="1" w:styleId="54">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55">
    <w:name w:val="表正文"/>
    <w:basedOn w:val="1"/>
    <w:qFormat/>
    <w:uiPriority w:val="0"/>
    <w:rPr>
      <w:sz w:val="18"/>
    </w:rPr>
  </w:style>
  <w:style w:type="paragraph" w:customStyle="1" w:styleId="56">
    <w:name w:val="表格并列项"/>
    <w:basedOn w:val="57"/>
    <w:qFormat/>
    <w:uiPriority w:val="0"/>
    <w:pPr>
      <w:tabs>
        <w:tab w:val="left" w:pos="839"/>
      </w:tabs>
      <w:spacing w:before="40" w:after="40"/>
      <w:ind w:left="840" w:firstLineChars="0"/>
    </w:pPr>
  </w:style>
  <w:style w:type="paragraph" w:customStyle="1" w:styleId="57">
    <w:name w:val="并列项"/>
    <w:basedOn w:val="32"/>
    <w:qFormat/>
    <w:uiPriority w:val="0"/>
    <w:pPr>
      <w:numPr>
        <w:ilvl w:val="0"/>
        <w:numId w:val="1"/>
      </w:numPr>
      <w:snapToGrid w:val="0"/>
      <w:ind w:left="420"/>
      <w:contextualSpacing/>
    </w:pPr>
    <w:rPr>
      <w:rFonts w:cs="Cambria"/>
    </w:rPr>
  </w:style>
  <w:style w:type="paragraph" w:customStyle="1" w:styleId="58">
    <w:name w:val="Normal Indent"/>
    <w:basedOn w:val="1"/>
    <w:next w:val="1"/>
    <w:qFormat/>
    <w:uiPriority w:val="0"/>
    <w:pPr>
      <w:ind w:firstLine="420"/>
    </w:pPr>
    <w:rPr>
      <w:rFonts w:ascii="Calibri" w:hAnsi="Calibri" w:eastAsia="宋体"/>
      <w:szCs w:val="20"/>
    </w:rPr>
  </w:style>
  <w:style w:type="paragraph" w:customStyle="1" w:styleId="59">
    <w:name w:val="Ｒ07-正!!文"/>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character" w:customStyle="1" w:styleId="60">
    <w:name w:val="批注文字 字符"/>
    <w:basedOn w:val="26"/>
    <w:link w:val="10"/>
    <w:autoRedefine/>
    <w:qFormat/>
    <w:uiPriority w:val="0"/>
    <w:rPr>
      <w:rFonts w:asciiTheme="minorHAnsi" w:hAnsiTheme="minorHAnsi" w:eastAsiaTheme="minorEastAsia" w:cstheme="minorBidi"/>
      <w:kern w:val="2"/>
      <w:sz w:val="21"/>
      <w:szCs w:val="24"/>
    </w:rPr>
  </w:style>
  <w:style w:type="paragraph" w:customStyle="1" w:styleId="61">
    <w:name w:val="Table Text"/>
    <w:basedOn w:val="1"/>
    <w:semiHidden/>
    <w:qFormat/>
    <w:uiPriority w:val="0"/>
    <w:rPr>
      <w:rFonts w:ascii="宋体" w:hAnsi="宋体" w:eastAsia="宋体" w:cs="宋体"/>
      <w:sz w:val="21"/>
      <w:szCs w:val="21"/>
      <w:lang w:val="en-US" w:eastAsia="en-US" w:bidi="ar-SA"/>
    </w:rPr>
  </w:style>
  <w:style w:type="table" w:customStyle="1" w:styleId="6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2ED83-26AA-4E65-B141-EB370BBE785F}">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Pages>
  <Words>5224</Words>
  <Characters>5384</Characters>
  <Lines>229</Lines>
  <Paragraphs>64</Paragraphs>
  <TotalTime>3</TotalTime>
  <ScaleCrop>false</ScaleCrop>
  <LinksUpToDate>false</LinksUpToDate>
  <CharactersWithSpaces>5421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2019-10-21T09:39:00Z</dcterms:created>
  <dc:creator>User</dc:creator>
  <cp:lastModifiedBy>中正--李工</cp:lastModifiedBy>
  <cp:lastPrinted>2020-05-21T02:27:00Z</cp:lastPrinted>
  <dcterms:modified xsi:type="dcterms:W3CDTF">2026-10-08T09:31:57Z</dcterms:modified>
  <cp:revision>1664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B946BEF99C8F409FBFCFBF89E6EAF5A4</vt:lpwstr>
  </property>
  <property fmtid="{D5CDD505-2E9C-101B-9397-08002B2CF9AE}" pid="4" name="KSOTemplateDocerSaveRecord">
    <vt:lpwstr>eyJoZGlkIjoiMzNiN2JjZGQwODQzNTVmMDg4ZGNmNzRhYmJlZDY2YTUiLCJ1c2VySWQiOiI0NjMwNjU1NzcifQ==</vt:lpwstr>
  </property>
</Properties>
</file>