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071F4">
      <w:pPr>
        <w:keepNext w:val="0"/>
        <w:keepLines w:val="0"/>
        <w:pageBreakBefore w:val="0"/>
        <w:widowControl w:val="0"/>
        <w:kinsoku/>
        <w:wordWrap/>
        <w:overflowPunct/>
        <w:topLinePunct w:val="0"/>
        <w:autoSpaceDE/>
        <w:autoSpaceDN/>
        <w:bidi w:val="0"/>
        <w:spacing w:line="360" w:lineRule="auto"/>
        <w:ind w:left="0"/>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项目需求</w:t>
      </w:r>
    </w:p>
    <w:p w14:paraId="5BE53BA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一、项目清单</w:t>
      </w:r>
    </w:p>
    <w:tbl>
      <w:tblPr>
        <w:tblStyle w:val="23"/>
        <w:tblW w:w="8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145"/>
        <w:gridCol w:w="735"/>
        <w:gridCol w:w="735"/>
        <w:gridCol w:w="1605"/>
        <w:gridCol w:w="1320"/>
        <w:gridCol w:w="1106"/>
      </w:tblGrid>
      <w:tr w14:paraId="11CA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0" w:type="dxa"/>
            <w:noWrap w:val="0"/>
            <w:vAlign w:val="center"/>
          </w:tcPr>
          <w:p w14:paraId="594EE76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序号</w:t>
            </w:r>
          </w:p>
        </w:tc>
        <w:tc>
          <w:tcPr>
            <w:tcW w:w="2145" w:type="dxa"/>
            <w:noWrap w:val="0"/>
            <w:vAlign w:val="center"/>
          </w:tcPr>
          <w:p w14:paraId="5C48956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lang w:val="en-US" w:eastAsia="zh-CN"/>
              </w:rPr>
              <w:t>采购</w:t>
            </w:r>
            <w:r>
              <w:rPr>
                <w:rFonts w:hint="eastAsia" w:ascii="宋体" w:hAnsi="宋体" w:eastAsia="宋体" w:cs="宋体"/>
                <w:b/>
                <w:color w:val="auto"/>
                <w:sz w:val="22"/>
              </w:rPr>
              <w:t>内容</w:t>
            </w:r>
          </w:p>
        </w:tc>
        <w:tc>
          <w:tcPr>
            <w:tcW w:w="735" w:type="dxa"/>
            <w:noWrap w:val="0"/>
            <w:vAlign w:val="center"/>
          </w:tcPr>
          <w:p w14:paraId="665FF04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单位</w:t>
            </w:r>
          </w:p>
        </w:tc>
        <w:tc>
          <w:tcPr>
            <w:tcW w:w="735" w:type="dxa"/>
            <w:noWrap w:val="0"/>
            <w:vAlign w:val="center"/>
          </w:tcPr>
          <w:p w14:paraId="186D285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数量</w:t>
            </w:r>
          </w:p>
        </w:tc>
        <w:tc>
          <w:tcPr>
            <w:tcW w:w="1605" w:type="dxa"/>
            <w:noWrap w:val="0"/>
            <w:vAlign w:val="center"/>
          </w:tcPr>
          <w:p w14:paraId="4A1B839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财政预算金额</w:t>
            </w:r>
          </w:p>
          <w:p w14:paraId="5873910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（元）</w:t>
            </w:r>
          </w:p>
        </w:tc>
        <w:tc>
          <w:tcPr>
            <w:tcW w:w="1320" w:type="dxa"/>
            <w:noWrap w:val="0"/>
            <w:vAlign w:val="center"/>
          </w:tcPr>
          <w:p w14:paraId="307BE6B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lang w:val="en-US" w:eastAsia="zh-CN"/>
              </w:rPr>
            </w:pPr>
            <w:r>
              <w:rPr>
                <w:rFonts w:hint="eastAsia" w:ascii="宋体" w:hAnsi="宋体" w:eastAsia="宋体" w:cs="宋体"/>
                <w:b/>
                <w:color w:val="auto"/>
                <w:sz w:val="22"/>
                <w:lang w:val="en-US" w:eastAsia="zh-CN"/>
              </w:rPr>
              <w:t>最高限价</w:t>
            </w:r>
          </w:p>
          <w:p w14:paraId="632E667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lang w:val="en-US" w:eastAsia="zh-CN"/>
              </w:rPr>
            </w:pPr>
            <w:r>
              <w:rPr>
                <w:rFonts w:hint="eastAsia" w:ascii="宋体" w:hAnsi="宋体" w:eastAsia="宋体" w:cs="宋体"/>
                <w:b/>
                <w:color w:val="auto"/>
                <w:sz w:val="22"/>
              </w:rPr>
              <w:t>（元）</w:t>
            </w:r>
          </w:p>
        </w:tc>
        <w:tc>
          <w:tcPr>
            <w:tcW w:w="1106" w:type="dxa"/>
            <w:noWrap w:val="0"/>
            <w:vAlign w:val="center"/>
          </w:tcPr>
          <w:p w14:paraId="4AE2FD8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宋体" w:hAnsi="宋体" w:cs="宋体"/>
                <w:b/>
                <w:color w:val="auto"/>
                <w:sz w:val="22"/>
                <w:lang w:val="en-US" w:eastAsia="zh-CN"/>
              </w:rPr>
            </w:pPr>
            <w:r>
              <w:rPr>
                <w:rFonts w:hint="eastAsia" w:ascii="宋体" w:hAnsi="宋体" w:cs="宋体"/>
                <w:b/>
                <w:color w:val="auto"/>
                <w:sz w:val="22"/>
                <w:lang w:val="en-US" w:eastAsia="zh-CN"/>
              </w:rPr>
              <w:t>备注</w:t>
            </w:r>
          </w:p>
        </w:tc>
      </w:tr>
      <w:tr w14:paraId="6A7D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30" w:type="dxa"/>
            <w:noWrap w:val="0"/>
            <w:vAlign w:val="center"/>
          </w:tcPr>
          <w:p w14:paraId="3143CD8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45" w:type="dxa"/>
            <w:noWrap w:val="0"/>
            <w:vAlign w:val="center"/>
          </w:tcPr>
          <w:p w14:paraId="2343C32E">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体外膜肺氧合（ECMO）训练模型</w:t>
            </w:r>
          </w:p>
        </w:tc>
        <w:tc>
          <w:tcPr>
            <w:tcW w:w="735" w:type="dxa"/>
            <w:noWrap w:val="0"/>
            <w:vAlign w:val="center"/>
          </w:tcPr>
          <w:p w14:paraId="3041CEBB">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lang w:val="en-US" w:eastAsia="zh-CN"/>
              </w:rPr>
            </w:pPr>
            <w:r>
              <w:rPr>
                <w:rFonts w:hint="eastAsia" w:asciiTheme="minorEastAsia" w:hAnsiTheme="minorEastAsia" w:eastAsiaTheme="minorEastAsia"/>
                <w:szCs w:val="21"/>
              </w:rPr>
              <w:t>1</w:t>
            </w:r>
          </w:p>
        </w:tc>
        <w:tc>
          <w:tcPr>
            <w:tcW w:w="735" w:type="dxa"/>
            <w:noWrap w:val="0"/>
            <w:vAlign w:val="center"/>
          </w:tcPr>
          <w:p w14:paraId="1FCE30B2">
            <w:pPr>
              <w:keepNext w:val="0"/>
              <w:keepLines w:val="0"/>
              <w:pageBreakBefore w:val="0"/>
              <w:widowControl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lang w:val="en-US" w:eastAsia="zh-CN"/>
              </w:rPr>
            </w:pPr>
            <w:r>
              <w:rPr>
                <w:rFonts w:hint="eastAsia" w:ascii="宋体" w:hAnsi="宋体" w:cs="宋体"/>
                <w:szCs w:val="21"/>
                <w:lang w:val="en-US" w:eastAsia="zh-CN"/>
              </w:rPr>
              <w:t>台</w:t>
            </w:r>
          </w:p>
        </w:tc>
        <w:tc>
          <w:tcPr>
            <w:tcW w:w="1605" w:type="dxa"/>
            <w:noWrap w:val="0"/>
            <w:vAlign w:val="center"/>
          </w:tcPr>
          <w:p w14:paraId="434D57D5">
            <w:pPr>
              <w:keepNext w:val="0"/>
              <w:keepLines w:val="0"/>
              <w:pageBreakBefore w:val="0"/>
              <w:widowControl w:val="0"/>
              <w:kinsoku/>
              <w:wordWrap/>
              <w:overflowPunct/>
              <w:topLinePunct w:val="0"/>
              <w:autoSpaceDE/>
              <w:autoSpaceDN/>
              <w:bidi w:val="0"/>
              <w:spacing w:line="360" w:lineRule="auto"/>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70</w:t>
            </w:r>
            <w:r>
              <w:rPr>
                <w:rFonts w:hint="eastAsia" w:ascii="宋体" w:hAnsi="宋体" w:eastAsia="宋体" w:cs="宋体"/>
                <w:color w:val="auto"/>
                <w:sz w:val="21"/>
                <w:szCs w:val="21"/>
                <w:lang w:val="en-US" w:eastAsia="zh-CN"/>
              </w:rPr>
              <w:t>0,000.00</w:t>
            </w:r>
          </w:p>
        </w:tc>
        <w:tc>
          <w:tcPr>
            <w:tcW w:w="1320" w:type="dxa"/>
            <w:noWrap w:val="0"/>
            <w:vAlign w:val="center"/>
          </w:tcPr>
          <w:p w14:paraId="032620C1">
            <w:pPr>
              <w:keepNext w:val="0"/>
              <w:keepLines w:val="0"/>
              <w:pageBreakBefore w:val="0"/>
              <w:widowControl w:val="0"/>
              <w:kinsoku/>
              <w:wordWrap/>
              <w:overflowPunct/>
              <w:topLinePunct w:val="0"/>
              <w:autoSpaceDE/>
              <w:autoSpaceDN/>
              <w:bidi w:val="0"/>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480,000.00</w:t>
            </w:r>
          </w:p>
        </w:tc>
        <w:tc>
          <w:tcPr>
            <w:tcW w:w="1106" w:type="dxa"/>
            <w:noWrap w:val="0"/>
            <w:vAlign w:val="center"/>
          </w:tcPr>
          <w:p w14:paraId="5213E004">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szCs w:val="21"/>
              </w:rPr>
            </w:pPr>
            <w:r>
              <w:rPr>
                <w:rFonts w:hint="eastAsia" w:ascii="宋体" w:hAnsi="宋体" w:eastAsia="宋体" w:cs="宋体"/>
                <w:szCs w:val="21"/>
              </w:rPr>
              <w:t>拒绝进口</w:t>
            </w:r>
          </w:p>
        </w:tc>
      </w:tr>
    </w:tbl>
    <w:p w14:paraId="731EF708">
      <w:pPr>
        <w:pStyle w:val="7"/>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5EBF993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r>
        <w:rPr>
          <w:rFonts w:hint="eastAsia" w:ascii="宋体" w:hAnsi="宋体" w:cs="宋体"/>
          <w:b/>
          <w:color w:val="auto"/>
          <w:sz w:val="28"/>
          <w:szCs w:val="28"/>
          <w:lang w:val="en-US" w:eastAsia="zh-CN"/>
        </w:rPr>
        <w:t>二</w:t>
      </w:r>
      <w:r>
        <w:rPr>
          <w:rFonts w:hint="eastAsia" w:ascii="宋体" w:hAnsi="宋体" w:eastAsia="宋体" w:cs="宋体"/>
          <w:b/>
          <w:color w:val="auto"/>
          <w:sz w:val="28"/>
          <w:szCs w:val="28"/>
          <w:lang w:val="en-US" w:eastAsia="zh-CN"/>
        </w:rPr>
        <w:t>、技术要求</w:t>
      </w:r>
    </w:p>
    <w:tbl>
      <w:tblPr>
        <w:tblStyle w:val="2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7"/>
        <w:gridCol w:w="1536"/>
        <w:gridCol w:w="6239"/>
      </w:tblGrid>
      <w:tr w14:paraId="26988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tcBorders>
              <w:tl2br w:val="nil"/>
              <w:tr2bl w:val="nil"/>
            </w:tcBorders>
            <w:noWrap/>
            <w:vAlign w:val="center"/>
          </w:tcPr>
          <w:p w14:paraId="6F165FC8">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序号</w:t>
            </w:r>
          </w:p>
        </w:tc>
        <w:tc>
          <w:tcPr>
            <w:tcW w:w="1536" w:type="dxa"/>
            <w:tcBorders>
              <w:tl2br w:val="nil"/>
              <w:tr2bl w:val="nil"/>
            </w:tcBorders>
            <w:noWrap/>
            <w:vAlign w:val="center"/>
          </w:tcPr>
          <w:p w14:paraId="0EDE89E1">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kern w:val="0"/>
                <w:sz w:val="21"/>
                <w:szCs w:val="21"/>
                <w:lang w:bidi="ar"/>
              </w:rPr>
            </w:pPr>
            <w:r>
              <w:rPr>
                <w:rFonts w:hint="eastAsia" w:ascii="宋体" w:hAnsi="宋体" w:eastAsia="宋体" w:cs="宋体"/>
                <w:sz w:val="21"/>
                <w:szCs w:val="21"/>
              </w:rPr>
              <w:t>货物名称</w:t>
            </w:r>
          </w:p>
        </w:tc>
        <w:tc>
          <w:tcPr>
            <w:tcW w:w="6239" w:type="dxa"/>
            <w:tcBorders>
              <w:tl2br w:val="nil"/>
              <w:tr2bl w:val="nil"/>
            </w:tcBorders>
            <w:vAlign w:val="center"/>
          </w:tcPr>
          <w:p w14:paraId="67AB77C3">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宋体" w:hAnsi="宋体" w:eastAsia="宋体" w:cs="宋体"/>
                <w:color w:val="auto"/>
                <w:kern w:val="0"/>
                <w:sz w:val="21"/>
                <w:szCs w:val="21"/>
                <w:lang w:bidi="ar"/>
              </w:rPr>
            </w:pPr>
            <w:r>
              <w:rPr>
                <w:rFonts w:hint="eastAsia" w:ascii="宋体" w:hAnsi="宋体" w:eastAsia="宋体" w:cs="宋体"/>
                <w:sz w:val="21"/>
                <w:szCs w:val="21"/>
              </w:rPr>
              <w:t>招标技术参数要求</w:t>
            </w:r>
          </w:p>
        </w:tc>
      </w:tr>
      <w:tr w14:paraId="5F7D5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restart"/>
            <w:tcBorders>
              <w:tl2br w:val="nil"/>
              <w:tr2bl w:val="nil"/>
            </w:tcBorders>
            <w:noWrap/>
            <w:vAlign w:val="center"/>
          </w:tcPr>
          <w:p w14:paraId="1C37053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lang w:val="en-US" w:eastAsia="zh-CN" w:bidi="ar"/>
              </w:rPr>
              <w:t>1</w:t>
            </w:r>
          </w:p>
        </w:tc>
        <w:tc>
          <w:tcPr>
            <w:tcW w:w="1536" w:type="dxa"/>
            <w:vMerge w:val="restart"/>
            <w:tcBorders>
              <w:tl2br w:val="nil"/>
              <w:tr2bl w:val="nil"/>
            </w:tcBorders>
            <w:noWrap/>
            <w:vAlign w:val="center"/>
          </w:tcPr>
          <w:p w14:paraId="391B5342">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体外膜肺氧合（ECMO）训练模型</w:t>
            </w:r>
          </w:p>
        </w:tc>
        <w:tc>
          <w:tcPr>
            <w:tcW w:w="6239" w:type="dxa"/>
            <w:tcBorders>
              <w:tl2br w:val="nil"/>
              <w:tr2bl w:val="nil"/>
            </w:tcBorders>
            <w:vAlign w:val="top"/>
          </w:tcPr>
          <w:p w14:paraId="175B3623">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spacing w:val="-2"/>
                <w:sz w:val="21"/>
                <w:szCs w:val="21"/>
                <w:lang w:val="en-US" w:eastAsia="zh-CN"/>
              </w:rPr>
              <w:t>1</w:t>
            </w:r>
            <w:r>
              <w:rPr>
                <w:rFonts w:hint="eastAsia" w:ascii="宋体" w:hAnsi="宋体" w:eastAsia="宋体" w:cs="宋体"/>
                <w:spacing w:val="-2"/>
                <w:sz w:val="21"/>
                <w:szCs w:val="21"/>
              </w:rPr>
              <w:t>、信息终端设备：ECMO训练模拟系统的操作均配备信息终端设备，用来运行控制训练模拟设备、超声显像和显示心电监测波形等参数；</w:t>
            </w:r>
          </w:p>
        </w:tc>
      </w:tr>
      <w:tr w14:paraId="3D4B6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2134BF3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5297203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232A17F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textAlignment w:val="auto"/>
              <w:rPr>
                <w:rFonts w:hint="eastAsia" w:ascii="宋体" w:hAnsi="宋体" w:eastAsia="宋体" w:cs="宋体"/>
                <w:color w:val="auto"/>
                <w:sz w:val="21"/>
                <w:szCs w:val="21"/>
              </w:rPr>
            </w:pPr>
            <w:r>
              <w:rPr>
                <w:rFonts w:hint="eastAsia" w:ascii="宋体" w:hAnsi="宋体" w:eastAsia="宋体" w:cs="宋体"/>
                <w:sz w:val="21"/>
                <w:szCs w:val="21"/>
              </w:rPr>
              <w:t>▲</w:t>
            </w:r>
            <w:r>
              <w:rPr>
                <w:rFonts w:hint="eastAsia" w:ascii="宋体" w:hAnsi="宋体" w:eastAsia="宋体" w:cs="宋体"/>
                <w:spacing w:val="-2"/>
                <w:sz w:val="21"/>
                <w:szCs w:val="21"/>
                <w:lang w:val="en-US" w:eastAsia="zh-CN"/>
              </w:rPr>
              <w:t>2</w:t>
            </w:r>
            <w:r>
              <w:rPr>
                <w:rFonts w:hint="eastAsia" w:ascii="宋体" w:hAnsi="宋体" w:eastAsia="宋体" w:cs="宋体"/>
                <w:spacing w:val="-2"/>
                <w:sz w:val="21"/>
                <w:szCs w:val="21"/>
              </w:rPr>
              <w:t>、有独立的控制软件：ECMO 训练模拟系统的操作均由配备的信息终端设备的</w:t>
            </w:r>
            <w:r>
              <w:rPr>
                <w:rFonts w:hint="eastAsia" w:ascii="宋体" w:hAnsi="宋体" w:eastAsia="宋体" w:cs="宋体"/>
                <w:spacing w:val="-3"/>
                <w:sz w:val="21"/>
                <w:szCs w:val="21"/>
              </w:rPr>
              <w:t>控制软件来进行操作和控制</w:t>
            </w:r>
            <w:r>
              <w:rPr>
                <w:rFonts w:hint="eastAsia" w:ascii="宋体" w:hAnsi="宋体" w:eastAsia="宋体" w:cs="宋体"/>
                <w:spacing w:val="-2"/>
                <w:sz w:val="21"/>
                <w:szCs w:val="21"/>
              </w:rPr>
              <w:t>；</w:t>
            </w:r>
            <w:r>
              <w:rPr>
                <w:rFonts w:hint="eastAsia" w:ascii="宋体" w:hAnsi="宋体" w:eastAsia="宋体" w:cs="宋体"/>
                <w:spacing w:val="-2"/>
                <w:sz w:val="21"/>
                <w:szCs w:val="21"/>
                <w:lang w:eastAsia="zh-CN"/>
              </w:rPr>
              <w:t>（佐证材料：彩页或说明书）</w:t>
            </w:r>
          </w:p>
        </w:tc>
      </w:tr>
      <w:tr w14:paraId="3F05F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3D475066">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4C469D0B">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211ABC1A">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3</w:t>
            </w:r>
            <w:r>
              <w:rPr>
                <w:rFonts w:hint="eastAsia" w:ascii="宋体" w:hAnsi="宋体" w:eastAsia="宋体" w:cs="宋体"/>
                <w:spacing w:val="-2"/>
                <w:sz w:val="21"/>
                <w:szCs w:val="21"/>
                <w:lang w:eastAsia="zh-CN"/>
              </w:rPr>
              <w:t>、超声装置：需配备超声装置，并可通过释放 WIFI 信号连接至信息终端设备的控制软件中，并在控制软件中操作和显像，解决培训时超声设备搬运问题；（佐证材料：彩页或说明书）</w:t>
            </w:r>
          </w:p>
        </w:tc>
      </w:tr>
      <w:tr w14:paraId="50B7E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0EEA554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7DF47032">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4257D7C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4</w:t>
            </w:r>
            <w:r>
              <w:rPr>
                <w:rFonts w:hint="eastAsia" w:ascii="宋体" w:hAnsi="宋体" w:eastAsia="宋体" w:cs="宋体"/>
                <w:spacing w:val="-2"/>
                <w:sz w:val="21"/>
                <w:szCs w:val="21"/>
                <w:lang w:eastAsia="zh-CN"/>
              </w:rPr>
              <w:t>、心电监测装置：需配备心电监测装置，并可通过蓝牙连接至信息终端设备的控制软件中，并在控制软件中显示心电波形、心率等参数；（佐证材料：彩页或说明书）</w:t>
            </w:r>
          </w:p>
        </w:tc>
      </w:tr>
      <w:tr w14:paraId="3FBBC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4A1A73B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6FC0FD5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4C3FB553">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lang w:val="en-US" w:eastAsia="zh-CN"/>
              </w:rPr>
              <w:t>5</w:t>
            </w:r>
            <w:r>
              <w:rPr>
                <w:rFonts w:hint="eastAsia" w:ascii="宋体" w:hAnsi="宋体" w:eastAsia="宋体" w:cs="宋体"/>
                <w:spacing w:val="-2"/>
                <w:sz w:val="21"/>
                <w:szCs w:val="21"/>
              </w:rPr>
              <w:t>、软件具有中英文操作界面切换功能软件具有中英文双语</w:t>
            </w:r>
            <w:r>
              <w:rPr>
                <w:rFonts w:hint="eastAsia" w:ascii="宋体" w:hAnsi="宋体" w:eastAsia="宋体" w:cs="宋体"/>
                <w:spacing w:val="-3"/>
                <w:sz w:val="21"/>
                <w:szCs w:val="21"/>
              </w:rPr>
              <w:t>界面</w:t>
            </w:r>
            <w:r>
              <w:rPr>
                <w:rFonts w:hint="eastAsia" w:ascii="宋体" w:hAnsi="宋体" w:eastAsia="宋体" w:cs="宋体"/>
                <w:spacing w:val="-3"/>
                <w:sz w:val="21"/>
                <w:szCs w:val="21"/>
                <w:lang w:eastAsia="zh-CN"/>
              </w:rPr>
              <w:t>；</w:t>
            </w:r>
          </w:p>
        </w:tc>
      </w:tr>
      <w:tr w14:paraId="52A9F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21F64C88">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C4F2A38">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3F3FD1CD">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spacing w:val="-2"/>
                <w:sz w:val="21"/>
                <w:szCs w:val="21"/>
              </w:rPr>
              <w:t>、</w:t>
            </w:r>
            <w:r>
              <w:rPr>
                <w:rFonts w:hint="eastAsia" w:ascii="宋体" w:hAnsi="宋体" w:eastAsia="宋体" w:cs="宋体"/>
                <w:spacing w:val="-8"/>
                <w:sz w:val="21"/>
                <w:szCs w:val="21"/>
                <w:highlight w:val="none"/>
              </w:rPr>
              <w:t>高度仿真：根据成年男性身高身形数据，静脉、动脉的位置、尺寸、血流向均高度仿真</w:t>
            </w:r>
            <w:r>
              <w:rPr>
                <w:rFonts w:hint="eastAsia" w:ascii="宋体" w:hAnsi="宋体" w:eastAsia="宋体" w:cs="宋体"/>
                <w:spacing w:val="-8"/>
                <w:sz w:val="21"/>
                <w:szCs w:val="21"/>
                <w:highlight w:val="none"/>
                <w:lang w:eastAsia="zh-CN"/>
              </w:rPr>
              <w:t>；</w:t>
            </w:r>
          </w:p>
        </w:tc>
      </w:tr>
      <w:tr w14:paraId="499A6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197F940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1C9836B">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1CAFAACD">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lang w:val="en-US" w:eastAsia="zh-CN"/>
              </w:rPr>
              <w:t>7</w:t>
            </w:r>
            <w:r>
              <w:rPr>
                <w:rFonts w:hint="eastAsia" w:ascii="宋体" w:hAnsi="宋体" w:eastAsia="宋体" w:cs="宋体"/>
                <w:spacing w:val="-2"/>
                <w:sz w:val="21"/>
                <w:szCs w:val="21"/>
              </w:rPr>
              <w:t>、</w:t>
            </w:r>
            <w:r>
              <w:rPr>
                <w:rFonts w:hint="eastAsia" w:ascii="宋体" w:hAnsi="宋体" w:eastAsia="宋体" w:cs="宋体"/>
                <w:color w:val="000000"/>
                <w:sz w:val="21"/>
                <w:szCs w:val="21"/>
                <w:lang w:val="en-US" w:eastAsia="zh-CN"/>
              </w:rPr>
              <w:t>动脉脉搏：动脉脉搏真实可感受且随时调节；</w:t>
            </w:r>
          </w:p>
        </w:tc>
      </w:tr>
      <w:tr w14:paraId="5963B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698B352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7DB75B4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4DEEF69F">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8、穿刺皮肤要求：具有人体组织类似声学特性，支持超声探查；可更换；</w:t>
            </w:r>
          </w:p>
        </w:tc>
      </w:tr>
      <w:tr w14:paraId="52270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010ABD56">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6EF1DCA9">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0EBBF09D">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9、支持穿刺方式： ≥3种；</w:t>
            </w:r>
          </w:p>
        </w:tc>
      </w:tr>
      <w:tr w14:paraId="3712C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512C69E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1CFE8CE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3F79616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10、可穿刺皮肤及管路：≥3处，颈部和左右股；</w:t>
            </w:r>
          </w:p>
        </w:tc>
      </w:tr>
      <w:tr w14:paraId="235EC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0E9EA33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20AD1C8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4495602B">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11、置管模式： ≥2种；</w:t>
            </w:r>
          </w:p>
        </w:tc>
      </w:tr>
      <w:tr w14:paraId="76B11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1841FFF8">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E182EA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637B1F72">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themeColor="text1"/>
                <w:sz w:val="21"/>
                <w:szCs w:val="21"/>
              </w:rPr>
              <w:t>▲</w:t>
            </w:r>
            <w:r>
              <w:rPr>
                <w:rFonts w:hint="eastAsia" w:ascii="宋体" w:hAnsi="宋体" w:eastAsia="宋体" w:cs="宋体"/>
                <w:color w:val="000000" w:themeColor="text1"/>
                <w:sz w:val="21"/>
                <w:szCs w:val="21"/>
                <w:lang w:val="en-US" w:eastAsia="zh-CN"/>
              </w:rPr>
              <w:t>12、引导穿刺功能：配备手持超声装置，实现超声引导下穿刺；连接信息终端设备并在信息终端设备中进行显像，用于指导穿刺；</w:t>
            </w:r>
            <w:r>
              <w:rPr>
                <w:rFonts w:hint="eastAsia" w:ascii="宋体" w:hAnsi="宋体" w:eastAsia="宋体" w:cs="宋体"/>
                <w:spacing w:val="-2"/>
                <w:sz w:val="21"/>
                <w:szCs w:val="21"/>
                <w:lang w:eastAsia="zh-CN"/>
              </w:rPr>
              <w:t>（佐证材料：彩页或说明书）</w:t>
            </w:r>
          </w:p>
        </w:tc>
      </w:tr>
      <w:tr w14:paraId="024DE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045156D9">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327EA36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2571CF7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themeColor="text1"/>
                <w:sz w:val="21"/>
                <w:szCs w:val="21"/>
              </w:rPr>
              <w:t>▲</w:t>
            </w:r>
            <w:r>
              <w:rPr>
                <w:rFonts w:hint="eastAsia" w:ascii="宋体" w:hAnsi="宋体" w:eastAsia="宋体" w:cs="宋体"/>
                <w:color w:val="000000" w:themeColor="text1"/>
                <w:sz w:val="21"/>
                <w:szCs w:val="21"/>
                <w:lang w:val="en-US" w:eastAsia="zh-CN"/>
              </w:rPr>
              <w:t>13、</w:t>
            </w:r>
            <w:r>
              <w:rPr>
                <w:rFonts w:hint="eastAsia" w:ascii="宋体" w:hAnsi="宋体" w:eastAsia="宋体" w:cs="宋体"/>
                <w:color w:val="000000" w:themeColor="text1"/>
                <w:spacing w:val="-2"/>
                <w:sz w:val="21"/>
                <w:szCs w:val="21"/>
              </w:rPr>
              <w:t>心电监测功能：配备心电监护模块，可实时监测心电参数；心电监测装置可真实的测量ECMO训练模拟系统的心电数据并显示在信息终端设备的控制软件中；心电模块为彩屏显示</w:t>
            </w:r>
            <w:r>
              <w:rPr>
                <w:rFonts w:hint="eastAsia" w:ascii="宋体" w:hAnsi="宋体" w:eastAsia="宋体" w:cs="宋体"/>
                <w:color w:val="000000" w:themeColor="text1"/>
                <w:spacing w:val="-2"/>
                <w:sz w:val="21"/>
                <w:szCs w:val="21"/>
                <w:lang w:eastAsia="zh-CN"/>
              </w:rPr>
              <w:t>；</w:t>
            </w:r>
            <w:r>
              <w:rPr>
                <w:rFonts w:hint="eastAsia" w:ascii="宋体" w:hAnsi="宋体" w:eastAsia="宋体" w:cs="宋体"/>
                <w:spacing w:val="-2"/>
                <w:sz w:val="21"/>
                <w:szCs w:val="21"/>
                <w:lang w:eastAsia="zh-CN"/>
              </w:rPr>
              <w:t>（佐证材料：彩页或说明书）</w:t>
            </w:r>
          </w:p>
        </w:tc>
      </w:tr>
      <w:tr w14:paraId="25F31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3DFF3D3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A1EAA3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09A770AD">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z w:val="21"/>
                <w:szCs w:val="21"/>
              </w:rPr>
              <w:t>▲</w:t>
            </w:r>
            <w:r>
              <w:rPr>
                <w:rFonts w:hint="eastAsia" w:ascii="宋体" w:hAnsi="宋体" w:eastAsia="宋体" w:cs="宋体"/>
                <w:color w:val="000000"/>
                <w:sz w:val="21"/>
                <w:szCs w:val="21"/>
                <w:lang w:val="en-US" w:eastAsia="zh-CN"/>
              </w:rPr>
              <w:t>14、</w:t>
            </w:r>
            <w:r>
              <w:rPr>
                <w:rFonts w:hint="eastAsia" w:ascii="宋体" w:hAnsi="宋体" w:eastAsia="宋体" w:cs="宋体"/>
                <w:spacing w:val="-2"/>
                <w:sz w:val="21"/>
                <w:szCs w:val="21"/>
              </w:rPr>
              <w:t>心电信号：内置心电波形≥20种，其中异常心电波形≥15 种；培训过程中，导师可通过信息终端设备的控制软件选择心电监测装置内置的异常心电波形，让学员模拟针对异常心电的临床处置方法，锻炼学员的临床应急处置能力；</w:t>
            </w:r>
            <w:r>
              <w:rPr>
                <w:rFonts w:hint="eastAsia" w:ascii="宋体" w:hAnsi="宋体" w:eastAsia="宋体" w:cs="宋体"/>
                <w:spacing w:val="-2"/>
                <w:sz w:val="21"/>
                <w:szCs w:val="21"/>
                <w:lang w:eastAsia="zh-CN"/>
              </w:rPr>
              <w:t>（佐证材料：彩页或说明书）</w:t>
            </w:r>
          </w:p>
        </w:tc>
      </w:tr>
      <w:tr w14:paraId="4C19D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2FA8BCB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6298BE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52FB7F5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15、</w:t>
            </w:r>
            <w:r>
              <w:rPr>
                <w:rFonts w:hint="eastAsia" w:ascii="宋体" w:hAnsi="宋体" w:eastAsia="宋体" w:cs="宋体"/>
                <w:spacing w:val="-4"/>
                <w:sz w:val="21"/>
                <w:szCs w:val="21"/>
              </w:rPr>
              <w:t>心率调节：支持通过软件界</w:t>
            </w:r>
            <w:r>
              <w:rPr>
                <w:rFonts w:hint="eastAsia" w:ascii="宋体" w:hAnsi="宋体" w:eastAsia="宋体" w:cs="宋体"/>
                <w:spacing w:val="-2"/>
                <w:sz w:val="21"/>
                <w:szCs w:val="21"/>
              </w:rPr>
              <w:t>面调节；</w:t>
            </w:r>
          </w:p>
        </w:tc>
      </w:tr>
      <w:tr w14:paraId="4E60C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2ACC186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602EB899">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3425B1B2">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16、</w:t>
            </w:r>
            <w:r>
              <w:rPr>
                <w:rFonts w:hint="eastAsia" w:ascii="宋体" w:hAnsi="宋体" w:eastAsia="宋体" w:cs="宋体"/>
                <w:spacing w:val="-2"/>
                <w:sz w:val="21"/>
                <w:szCs w:val="21"/>
              </w:rPr>
              <w:t>动脉心排量调节：支持通过软件界面调节；</w:t>
            </w:r>
          </w:p>
        </w:tc>
      </w:tr>
      <w:tr w14:paraId="7CE9C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47F2853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1B1FA8C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5585A831">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17、</w:t>
            </w:r>
            <w:r>
              <w:rPr>
                <w:rFonts w:hint="eastAsia" w:ascii="宋体" w:hAnsi="宋体" w:eastAsia="宋体" w:cs="宋体"/>
                <w:spacing w:val="-2"/>
                <w:sz w:val="21"/>
                <w:szCs w:val="21"/>
              </w:rPr>
              <w:t>静脉流量调节：支持通过软件界面调节；</w:t>
            </w:r>
          </w:p>
        </w:tc>
      </w:tr>
      <w:tr w14:paraId="42135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5D820C7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3618BD0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27E93F86">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highlight w:val="none"/>
                <w:lang w:val="en-US" w:eastAsia="zh-CN"/>
              </w:rPr>
              <w:t>18、</w:t>
            </w:r>
            <w:r>
              <w:rPr>
                <w:rFonts w:hint="eastAsia" w:ascii="宋体" w:hAnsi="宋体" w:eastAsia="宋体" w:cs="宋体"/>
                <w:spacing w:val="-2"/>
                <w:sz w:val="21"/>
                <w:szCs w:val="21"/>
                <w:highlight w:val="none"/>
              </w:rPr>
              <w:t>动脉、静脉血管内置长度及颜色：动脉血管颜色为红色，静脉血管颜色为蓝色，各≥5米，共≥6根，</w:t>
            </w:r>
            <w:r>
              <w:rPr>
                <w:rFonts w:hint="eastAsia" w:ascii="宋体" w:hAnsi="宋体" w:eastAsia="宋体" w:cs="宋体"/>
                <w:spacing w:val="-2"/>
                <w:sz w:val="21"/>
                <w:szCs w:val="21"/>
                <w:highlight w:val="none"/>
                <w:lang w:eastAsia="zh-CN"/>
              </w:rPr>
              <w:t>模拟动脉、静脉血管血管</w:t>
            </w:r>
            <w:r>
              <w:rPr>
                <w:rFonts w:hint="eastAsia" w:ascii="宋体" w:hAnsi="宋体" w:eastAsia="宋体" w:cs="宋体"/>
                <w:spacing w:val="-2"/>
                <w:sz w:val="21"/>
                <w:szCs w:val="21"/>
                <w:highlight w:val="none"/>
              </w:rPr>
              <w:t>可更换；</w:t>
            </w:r>
          </w:p>
        </w:tc>
      </w:tr>
      <w:tr w14:paraId="2E68C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516AB6D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5A1EA78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4908F72F">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highlight w:val="none"/>
                <w:lang w:val="en-US" w:eastAsia="zh-CN"/>
              </w:rPr>
              <w:t>19、</w:t>
            </w:r>
            <w:r>
              <w:rPr>
                <w:rFonts w:hint="eastAsia" w:ascii="宋体" w:hAnsi="宋体" w:eastAsia="宋体" w:cs="宋体"/>
                <w:spacing w:val="-2"/>
                <w:sz w:val="21"/>
                <w:szCs w:val="21"/>
                <w:highlight w:val="none"/>
              </w:rPr>
              <w:t>自动化操作：</w:t>
            </w:r>
            <w:r>
              <w:rPr>
                <w:rFonts w:hint="eastAsia" w:ascii="宋体" w:hAnsi="宋体" w:eastAsia="宋体" w:cs="宋体"/>
                <w:spacing w:val="-2"/>
                <w:sz w:val="21"/>
                <w:szCs w:val="21"/>
                <w:highlight w:val="none"/>
                <w:lang w:eastAsia="zh-CN"/>
              </w:rPr>
              <w:t>具备</w:t>
            </w:r>
            <w:r>
              <w:rPr>
                <w:rFonts w:hint="eastAsia" w:ascii="宋体" w:hAnsi="宋体" w:eastAsia="宋体" w:cs="宋体"/>
                <w:spacing w:val="-2"/>
                <w:sz w:val="21"/>
                <w:szCs w:val="21"/>
                <w:highlight w:val="none"/>
              </w:rPr>
              <w:t>一键动静脉排空</w:t>
            </w:r>
            <w:r>
              <w:rPr>
                <w:rFonts w:hint="eastAsia" w:ascii="宋体" w:hAnsi="宋体" w:eastAsia="宋体" w:cs="宋体"/>
                <w:spacing w:val="-2"/>
                <w:sz w:val="21"/>
                <w:szCs w:val="21"/>
                <w:highlight w:val="none"/>
                <w:lang w:eastAsia="zh-CN"/>
              </w:rPr>
              <w:t>功能</w:t>
            </w:r>
            <w:r>
              <w:rPr>
                <w:rFonts w:hint="eastAsia" w:ascii="宋体" w:hAnsi="宋体" w:eastAsia="宋体" w:cs="宋体"/>
                <w:spacing w:val="-2"/>
                <w:sz w:val="21"/>
                <w:szCs w:val="21"/>
                <w:highlight w:val="none"/>
              </w:rPr>
              <w:t>；</w:t>
            </w:r>
          </w:p>
        </w:tc>
      </w:tr>
      <w:tr w14:paraId="1632F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0C558C4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C92559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740A0FE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highlight w:val="none"/>
                <w:lang w:val="en-US" w:eastAsia="zh-CN"/>
              </w:rPr>
              <w:t>20、</w:t>
            </w:r>
            <w:r>
              <w:rPr>
                <w:rFonts w:hint="eastAsia" w:ascii="宋体" w:hAnsi="宋体" w:eastAsia="宋体" w:cs="宋体"/>
                <w:spacing w:val="-2"/>
                <w:sz w:val="21"/>
                <w:szCs w:val="21"/>
                <w:highlight w:val="none"/>
              </w:rPr>
              <w:t>信息终端设备与训练模拟系统连接方式：</w:t>
            </w:r>
            <w:r>
              <w:rPr>
                <w:rFonts w:hint="eastAsia" w:ascii="宋体" w:hAnsi="宋体" w:eastAsia="宋体" w:cs="宋体"/>
                <w:spacing w:val="-2"/>
                <w:sz w:val="21"/>
                <w:szCs w:val="21"/>
                <w:highlight w:val="none"/>
                <w:lang w:eastAsia="zh-CN"/>
              </w:rPr>
              <w:t>具备</w:t>
            </w:r>
            <w:r>
              <w:rPr>
                <w:rFonts w:hint="eastAsia" w:ascii="宋体" w:hAnsi="宋体" w:eastAsia="宋体" w:cs="宋体"/>
                <w:spacing w:val="-2"/>
                <w:sz w:val="21"/>
                <w:szCs w:val="21"/>
                <w:highlight w:val="none"/>
              </w:rPr>
              <w:t>蓝牙连接</w:t>
            </w:r>
            <w:r>
              <w:rPr>
                <w:rFonts w:hint="eastAsia" w:ascii="宋体" w:hAnsi="宋体" w:eastAsia="宋体" w:cs="宋体"/>
                <w:spacing w:val="-2"/>
                <w:sz w:val="21"/>
                <w:szCs w:val="21"/>
                <w:highlight w:val="none"/>
                <w:lang w:eastAsia="zh-CN"/>
              </w:rPr>
              <w:t>或</w:t>
            </w:r>
            <w:r>
              <w:rPr>
                <w:rFonts w:hint="eastAsia" w:ascii="宋体" w:hAnsi="宋体" w:eastAsia="宋体" w:cs="宋体"/>
                <w:spacing w:val="-2"/>
                <w:sz w:val="21"/>
                <w:szCs w:val="21"/>
                <w:highlight w:val="none"/>
              </w:rPr>
              <w:t>WIFI连接；</w:t>
            </w:r>
          </w:p>
        </w:tc>
      </w:tr>
      <w:tr w14:paraId="68075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5082E8C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3E9D4CBB">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2C131E1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highlight w:val="none"/>
                <w:lang w:val="en-US" w:eastAsia="zh-CN"/>
              </w:rPr>
              <w:t>21、</w:t>
            </w:r>
            <w:r>
              <w:rPr>
                <w:rFonts w:hint="eastAsia" w:ascii="宋体" w:hAnsi="宋体" w:eastAsia="宋体" w:cs="宋体"/>
                <w:spacing w:val="-2"/>
                <w:sz w:val="21"/>
                <w:szCs w:val="21"/>
                <w:highlight w:val="none"/>
              </w:rPr>
              <w:t>训练模拟系统与超声装置的连接方式：</w:t>
            </w:r>
            <w:r>
              <w:rPr>
                <w:rFonts w:hint="eastAsia" w:ascii="宋体" w:hAnsi="宋体" w:eastAsia="宋体" w:cs="宋体"/>
                <w:spacing w:val="-2"/>
                <w:sz w:val="21"/>
                <w:szCs w:val="21"/>
                <w:highlight w:val="none"/>
                <w:lang w:eastAsia="zh-CN"/>
              </w:rPr>
              <w:t>具备</w:t>
            </w:r>
            <w:r>
              <w:rPr>
                <w:rFonts w:hint="eastAsia" w:ascii="宋体" w:hAnsi="宋体" w:eastAsia="宋体" w:cs="宋体"/>
                <w:spacing w:val="-2"/>
                <w:sz w:val="21"/>
                <w:szCs w:val="21"/>
                <w:highlight w:val="none"/>
              </w:rPr>
              <w:t>蓝牙连接</w:t>
            </w:r>
            <w:r>
              <w:rPr>
                <w:rFonts w:hint="eastAsia" w:ascii="宋体" w:hAnsi="宋体" w:eastAsia="宋体" w:cs="宋体"/>
                <w:spacing w:val="-2"/>
                <w:sz w:val="21"/>
                <w:szCs w:val="21"/>
                <w:highlight w:val="none"/>
                <w:lang w:eastAsia="zh-CN"/>
              </w:rPr>
              <w:t>或</w:t>
            </w:r>
            <w:r>
              <w:rPr>
                <w:rFonts w:hint="eastAsia" w:ascii="宋体" w:hAnsi="宋体" w:eastAsia="宋体" w:cs="宋体"/>
                <w:spacing w:val="-2"/>
                <w:sz w:val="21"/>
                <w:szCs w:val="21"/>
                <w:highlight w:val="none"/>
              </w:rPr>
              <w:t>WIFI连接；</w:t>
            </w:r>
          </w:p>
        </w:tc>
      </w:tr>
      <w:tr w14:paraId="7D101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182ACCB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17350D7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19893B39">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highlight w:val="none"/>
                <w:lang w:val="en-US" w:eastAsia="zh-CN"/>
              </w:rPr>
              <w:t>22、</w:t>
            </w:r>
            <w:r>
              <w:rPr>
                <w:rFonts w:hint="eastAsia" w:ascii="宋体" w:hAnsi="宋体" w:eastAsia="宋体" w:cs="宋体"/>
                <w:spacing w:val="-2"/>
                <w:sz w:val="21"/>
                <w:szCs w:val="21"/>
                <w:highlight w:val="none"/>
              </w:rPr>
              <w:t>训练模拟系统与心电监测装置的连接方式：</w:t>
            </w:r>
            <w:r>
              <w:rPr>
                <w:rFonts w:hint="eastAsia" w:ascii="宋体" w:hAnsi="宋体" w:eastAsia="宋体" w:cs="宋体"/>
                <w:spacing w:val="-2"/>
                <w:sz w:val="21"/>
                <w:szCs w:val="21"/>
                <w:highlight w:val="none"/>
                <w:lang w:eastAsia="zh-CN"/>
              </w:rPr>
              <w:t>具备</w:t>
            </w:r>
            <w:r>
              <w:rPr>
                <w:rFonts w:hint="eastAsia" w:ascii="宋体" w:hAnsi="宋体" w:eastAsia="宋体" w:cs="宋体"/>
                <w:spacing w:val="-2"/>
                <w:sz w:val="21"/>
                <w:szCs w:val="21"/>
                <w:highlight w:val="none"/>
              </w:rPr>
              <w:t>蓝牙连接</w:t>
            </w:r>
            <w:r>
              <w:rPr>
                <w:rFonts w:hint="eastAsia" w:ascii="宋体" w:hAnsi="宋体" w:eastAsia="宋体" w:cs="宋体"/>
                <w:spacing w:val="-2"/>
                <w:sz w:val="21"/>
                <w:szCs w:val="21"/>
                <w:highlight w:val="none"/>
                <w:lang w:eastAsia="zh-CN"/>
              </w:rPr>
              <w:t>或</w:t>
            </w:r>
            <w:r>
              <w:rPr>
                <w:rFonts w:hint="eastAsia" w:ascii="宋体" w:hAnsi="宋体" w:eastAsia="宋体" w:cs="宋体"/>
                <w:spacing w:val="-2"/>
                <w:sz w:val="21"/>
                <w:szCs w:val="21"/>
                <w:highlight w:val="none"/>
              </w:rPr>
              <w:t>WIFI连接；</w:t>
            </w:r>
          </w:p>
        </w:tc>
      </w:tr>
      <w:tr w14:paraId="4792A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74FB3AA6">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0B05D7D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08A0ADDA">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2"/>
                <w:sz w:val="21"/>
                <w:szCs w:val="21"/>
                <w:highlight w:val="none"/>
                <w:lang w:val="en-US" w:eastAsia="zh-CN"/>
              </w:rPr>
              <w:t>23、</w:t>
            </w:r>
            <w:r>
              <w:rPr>
                <w:rFonts w:hint="eastAsia" w:ascii="宋体" w:hAnsi="宋体" w:eastAsia="宋体" w:cs="宋体"/>
                <w:spacing w:val="-2"/>
                <w:sz w:val="21"/>
                <w:szCs w:val="21"/>
                <w:highlight w:val="none"/>
              </w:rPr>
              <w:t>作业方式：一体化设计，开盖加溶液即可运行。具备电动</w:t>
            </w:r>
            <w:r>
              <w:rPr>
                <w:rFonts w:hint="eastAsia" w:ascii="宋体" w:hAnsi="宋体" w:eastAsia="宋体" w:cs="宋体"/>
                <w:spacing w:val="-2"/>
                <w:sz w:val="21"/>
                <w:szCs w:val="21"/>
                <w:highlight w:val="none"/>
                <w:lang w:eastAsia="zh-CN"/>
              </w:rPr>
              <w:t>排水</w:t>
            </w:r>
            <w:r>
              <w:rPr>
                <w:rFonts w:hint="eastAsia" w:ascii="宋体" w:hAnsi="宋体" w:eastAsia="宋体" w:cs="宋体"/>
                <w:spacing w:val="-2"/>
                <w:sz w:val="21"/>
                <w:szCs w:val="21"/>
                <w:highlight w:val="none"/>
              </w:rPr>
              <w:t>装置以及手动排水装置</w:t>
            </w:r>
            <w:r>
              <w:rPr>
                <w:rFonts w:hint="eastAsia" w:ascii="宋体" w:hAnsi="宋体" w:eastAsia="宋体" w:cs="宋体"/>
                <w:spacing w:val="-2"/>
                <w:sz w:val="21"/>
                <w:szCs w:val="21"/>
                <w:highlight w:val="none"/>
                <w:lang w:eastAsia="zh-CN"/>
              </w:rPr>
              <w:t>；</w:t>
            </w:r>
          </w:p>
        </w:tc>
      </w:tr>
      <w:tr w14:paraId="3D643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15A47321">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622B1AC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05FEA251">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24、</w:t>
            </w:r>
            <w:r>
              <w:rPr>
                <w:rFonts w:hint="eastAsia" w:ascii="宋体" w:hAnsi="宋体" w:eastAsia="宋体" w:cs="宋体"/>
                <w:spacing w:val="-4"/>
                <w:sz w:val="21"/>
                <w:szCs w:val="21"/>
              </w:rPr>
              <w:t>信息终端设备</w:t>
            </w:r>
            <w:r>
              <w:rPr>
                <w:rFonts w:hint="eastAsia" w:ascii="宋体" w:hAnsi="宋体" w:eastAsia="宋体" w:cs="宋体"/>
                <w:spacing w:val="-4"/>
                <w:sz w:val="21"/>
                <w:szCs w:val="21"/>
                <w:lang w:eastAsia="zh-CN"/>
              </w:rPr>
              <w:t>屏幕尺寸</w:t>
            </w:r>
            <w:r>
              <w:rPr>
                <w:rFonts w:hint="eastAsia" w:ascii="宋体" w:hAnsi="宋体" w:eastAsia="宋体" w:cs="宋体"/>
                <w:spacing w:val="-4"/>
                <w:sz w:val="21"/>
                <w:szCs w:val="21"/>
              </w:rPr>
              <w:t>：≥12 英寸；</w:t>
            </w:r>
          </w:p>
        </w:tc>
      </w:tr>
      <w:tr w14:paraId="71CFD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30A0E7C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7F95E55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5A93509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25、</w:t>
            </w:r>
            <w:r>
              <w:rPr>
                <w:rFonts w:hint="eastAsia" w:ascii="宋体" w:hAnsi="宋体" w:eastAsia="宋体" w:cs="宋体"/>
                <w:spacing w:val="-4"/>
                <w:sz w:val="21"/>
                <w:szCs w:val="21"/>
              </w:rPr>
              <w:t>设备控制：通过软件界面设定，一键式操作；</w:t>
            </w:r>
          </w:p>
        </w:tc>
      </w:tr>
      <w:tr w14:paraId="67CF8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6689C80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38AD020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1A68D401">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26、</w:t>
            </w:r>
            <w:r>
              <w:rPr>
                <w:rFonts w:hint="eastAsia" w:ascii="宋体" w:hAnsi="宋体" w:eastAsia="宋体" w:cs="宋体"/>
                <w:spacing w:val="-4"/>
                <w:sz w:val="21"/>
                <w:szCs w:val="21"/>
              </w:rPr>
              <w:t>超声显像：可在信息终端通过软件界面显示；</w:t>
            </w:r>
          </w:p>
        </w:tc>
      </w:tr>
      <w:tr w14:paraId="5D45C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316BEE88">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7838B969">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top"/>
          </w:tcPr>
          <w:p w14:paraId="4D1A5296">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spacing w:val="-4"/>
                <w:sz w:val="21"/>
                <w:szCs w:val="21"/>
                <w:lang w:val="en-US" w:eastAsia="zh-CN"/>
              </w:rPr>
              <w:t>27、</w:t>
            </w:r>
            <w:r>
              <w:rPr>
                <w:rFonts w:hint="eastAsia" w:ascii="宋体" w:hAnsi="宋体" w:eastAsia="宋体" w:cs="宋体"/>
                <w:spacing w:val="-4"/>
                <w:sz w:val="21"/>
                <w:szCs w:val="21"/>
              </w:rPr>
              <w:t>心电信号：可在信息终端通过软件界面显示并</w:t>
            </w:r>
            <w:r>
              <w:rPr>
                <w:rFonts w:hint="eastAsia" w:ascii="宋体" w:hAnsi="宋体" w:eastAsia="宋体" w:cs="宋体"/>
                <w:spacing w:val="-4"/>
                <w:sz w:val="21"/>
                <w:szCs w:val="21"/>
                <w:lang w:eastAsia="zh-CN"/>
              </w:rPr>
              <w:t>控制</w:t>
            </w:r>
            <w:r>
              <w:rPr>
                <w:rFonts w:hint="eastAsia" w:ascii="宋体" w:hAnsi="宋体" w:eastAsia="宋体" w:cs="宋体"/>
                <w:spacing w:val="-4"/>
                <w:sz w:val="21"/>
                <w:szCs w:val="21"/>
              </w:rPr>
              <w:t>切换；</w:t>
            </w:r>
          </w:p>
        </w:tc>
      </w:tr>
      <w:tr w14:paraId="60F59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47" w:type="dxa"/>
            <w:vMerge w:val="continue"/>
            <w:tcBorders>
              <w:tl2br w:val="nil"/>
              <w:tr2bl w:val="nil"/>
            </w:tcBorders>
            <w:noWrap/>
            <w:vAlign w:val="center"/>
          </w:tcPr>
          <w:p w14:paraId="6E4A7AA2">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1"/>
                <w:szCs w:val="21"/>
                <w:lang w:val="en-US" w:eastAsia="zh-CN" w:bidi="ar"/>
              </w:rPr>
            </w:pPr>
          </w:p>
        </w:tc>
        <w:tc>
          <w:tcPr>
            <w:tcW w:w="1536" w:type="dxa"/>
            <w:vMerge w:val="continue"/>
            <w:tcBorders>
              <w:tl2br w:val="nil"/>
              <w:tr2bl w:val="nil"/>
            </w:tcBorders>
            <w:noWrap/>
            <w:vAlign w:val="center"/>
          </w:tcPr>
          <w:p w14:paraId="536EE10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lang w:eastAsia="zh-CN"/>
              </w:rPr>
            </w:pPr>
          </w:p>
        </w:tc>
        <w:tc>
          <w:tcPr>
            <w:tcW w:w="6239" w:type="dxa"/>
            <w:tcBorders>
              <w:tl2br w:val="nil"/>
              <w:tr2bl w:val="nil"/>
            </w:tcBorders>
            <w:vAlign w:val="center"/>
          </w:tcPr>
          <w:p w14:paraId="3326C5D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★28、配置清单：</w:t>
            </w:r>
          </w:p>
          <w:tbl>
            <w:tblPr>
              <w:tblStyle w:val="6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418"/>
              <w:gridCol w:w="1023"/>
              <w:gridCol w:w="1572"/>
            </w:tblGrid>
            <w:tr w14:paraId="6EFCC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3418" w:type="dxa"/>
                  <w:vAlign w:val="center"/>
                </w:tcPr>
                <w:p w14:paraId="1A1E5924">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b/>
                      <w:bCs/>
                      <w:sz w:val="21"/>
                      <w:szCs w:val="21"/>
                    </w:rPr>
                    <w:t>名称</w:t>
                  </w:r>
                </w:p>
              </w:tc>
              <w:tc>
                <w:tcPr>
                  <w:tcW w:w="1023" w:type="dxa"/>
                  <w:vAlign w:val="center"/>
                </w:tcPr>
                <w:p w14:paraId="0567F685">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b/>
                      <w:bCs/>
                      <w:spacing w:val="-7"/>
                      <w:sz w:val="21"/>
                      <w:szCs w:val="21"/>
                    </w:rPr>
                    <w:t>单位</w:t>
                  </w:r>
                </w:p>
              </w:tc>
              <w:tc>
                <w:tcPr>
                  <w:tcW w:w="1572" w:type="dxa"/>
                  <w:vAlign w:val="center"/>
                </w:tcPr>
                <w:p w14:paraId="5677F3A1">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b/>
                      <w:bCs/>
                      <w:spacing w:val="-7"/>
                      <w:sz w:val="21"/>
                      <w:szCs w:val="21"/>
                    </w:rPr>
                    <w:t>数量</w:t>
                  </w:r>
                </w:p>
              </w:tc>
            </w:tr>
            <w:tr w14:paraId="24B4D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51FEB3C5">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6"/>
                      <w:sz w:val="21"/>
                      <w:szCs w:val="21"/>
                    </w:rPr>
                    <w:t>主机体外膜肺氧合（ECMO）训练模型</w:t>
                  </w:r>
                </w:p>
              </w:tc>
              <w:tc>
                <w:tcPr>
                  <w:tcW w:w="1023" w:type="dxa"/>
                  <w:vAlign w:val="center"/>
                </w:tcPr>
                <w:p w14:paraId="769229E1">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台</w:t>
                  </w:r>
                </w:p>
              </w:tc>
              <w:tc>
                <w:tcPr>
                  <w:tcW w:w="1572" w:type="dxa"/>
                  <w:vAlign w:val="center"/>
                </w:tcPr>
                <w:p w14:paraId="60A17EE7">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59968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7AB3CE21">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lang w:eastAsia="zh-CN"/>
                    </w:rPr>
                  </w:pPr>
                  <w:r>
                    <w:rPr>
                      <w:rFonts w:hint="eastAsia" w:ascii="宋体" w:hAnsi="宋体" w:eastAsia="宋体" w:cs="宋体"/>
                      <w:spacing w:val="4"/>
                      <w:sz w:val="21"/>
                      <w:szCs w:val="21"/>
                      <w:lang w:eastAsia="zh-CN"/>
                    </w:rPr>
                    <w:t>可更换穿刺皮肤(已安装主机上)</w:t>
                  </w:r>
                </w:p>
              </w:tc>
              <w:tc>
                <w:tcPr>
                  <w:tcW w:w="1023" w:type="dxa"/>
                  <w:vAlign w:val="center"/>
                </w:tcPr>
                <w:p w14:paraId="43968339">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1572" w:type="dxa"/>
                  <w:vAlign w:val="center"/>
                </w:tcPr>
                <w:p w14:paraId="5AE49E8B">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4D0A0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561D9FE8">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lang w:eastAsia="zh-CN"/>
                    </w:rPr>
                  </w:pPr>
                  <w:r>
                    <w:rPr>
                      <w:rFonts w:hint="eastAsia" w:ascii="宋体" w:hAnsi="宋体" w:eastAsia="宋体" w:cs="宋体"/>
                      <w:spacing w:val="4"/>
                      <w:sz w:val="21"/>
                      <w:szCs w:val="21"/>
                      <w:lang w:eastAsia="zh-CN"/>
                    </w:rPr>
                    <w:t>可更换穿刺血管(已安装主机上)</w:t>
                  </w:r>
                </w:p>
              </w:tc>
              <w:tc>
                <w:tcPr>
                  <w:tcW w:w="1023" w:type="dxa"/>
                  <w:vAlign w:val="center"/>
                </w:tcPr>
                <w:p w14:paraId="65798713">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1572" w:type="dxa"/>
                  <w:vAlign w:val="center"/>
                </w:tcPr>
                <w:p w14:paraId="537A5CAE">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74F38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6179B7E5">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lang w:eastAsia="zh-CN"/>
                    </w:rPr>
                  </w:pPr>
                  <w:r>
                    <w:rPr>
                      <w:rFonts w:hint="eastAsia" w:ascii="宋体" w:hAnsi="宋体" w:eastAsia="宋体" w:cs="宋体"/>
                      <w:spacing w:val="4"/>
                      <w:sz w:val="21"/>
                      <w:szCs w:val="21"/>
                      <w:lang w:eastAsia="zh-CN"/>
                    </w:rPr>
                    <w:t>平板电脑(配备软件操作系统)</w:t>
                  </w:r>
                </w:p>
              </w:tc>
              <w:tc>
                <w:tcPr>
                  <w:tcW w:w="1023" w:type="dxa"/>
                  <w:vAlign w:val="center"/>
                </w:tcPr>
                <w:p w14:paraId="19161937">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台</w:t>
                  </w:r>
                </w:p>
              </w:tc>
              <w:tc>
                <w:tcPr>
                  <w:tcW w:w="1572" w:type="dxa"/>
                  <w:vAlign w:val="center"/>
                </w:tcPr>
                <w:p w14:paraId="44B09A5E">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19D3A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1CDC5827">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3"/>
                      <w:sz w:val="21"/>
                      <w:szCs w:val="21"/>
                    </w:rPr>
                    <w:t>电源电缆</w:t>
                  </w:r>
                </w:p>
              </w:tc>
              <w:tc>
                <w:tcPr>
                  <w:tcW w:w="1023" w:type="dxa"/>
                  <w:vAlign w:val="center"/>
                </w:tcPr>
                <w:p w14:paraId="415C519D">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个</w:t>
                  </w:r>
                </w:p>
              </w:tc>
              <w:tc>
                <w:tcPr>
                  <w:tcW w:w="1572" w:type="dxa"/>
                  <w:vAlign w:val="center"/>
                </w:tcPr>
                <w:p w14:paraId="527A0D41">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1BC80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30D79C32">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1"/>
                      <w:sz w:val="21"/>
                      <w:szCs w:val="21"/>
                    </w:rPr>
                    <w:t>模拟心电监测装置</w:t>
                  </w:r>
                </w:p>
              </w:tc>
              <w:tc>
                <w:tcPr>
                  <w:tcW w:w="1023" w:type="dxa"/>
                  <w:vAlign w:val="center"/>
                </w:tcPr>
                <w:p w14:paraId="555F2109">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台</w:t>
                  </w:r>
                </w:p>
              </w:tc>
              <w:tc>
                <w:tcPr>
                  <w:tcW w:w="1572" w:type="dxa"/>
                  <w:vAlign w:val="center"/>
                </w:tcPr>
                <w:p w14:paraId="44576852">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D17A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1D1D9F97">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导联线</w:t>
                  </w:r>
                </w:p>
              </w:tc>
              <w:tc>
                <w:tcPr>
                  <w:tcW w:w="1023" w:type="dxa"/>
                  <w:vAlign w:val="center"/>
                </w:tcPr>
                <w:p w14:paraId="06BF4C22">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1572" w:type="dxa"/>
                  <w:vAlign w:val="center"/>
                </w:tcPr>
                <w:p w14:paraId="79B769E8">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2D806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5B2ABB6B">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2"/>
                      <w:sz w:val="21"/>
                      <w:szCs w:val="21"/>
                    </w:rPr>
                    <w:t>掌上超声设备</w:t>
                  </w:r>
                </w:p>
              </w:tc>
              <w:tc>
                <w:tcPr>
                  <w:tcW w:w="1023" w:type="dxa"/>
                  <w:vAlign w:val="center"/>
                </w:tcPr>
                <w:p w14:paraId="22CCF71D">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台</w:t>
                  </w:r>
                </w:p>
              </w:tc>
              <w:tc>
                <w:tcPr>
                  <w:tcW w:w="1572" w:type="dxa"/>
                  <w:vAlign w:val="center"/>
                </w:tcPr>
                <w:p w14:paraId="09E8A0CA">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3C8AD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42494D62">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1"/>
                      <w:sz w:val="21"/>
                      <w:szCs w:val="21"/>
                    </w:rPr>
                    <w:t>手动排水装置</w:t>
                  </w:r>
                </w:p>
              </w:tc>
              <w:tc>
                <w:tcPr>
                  <w:tcW w:w="1023" w:type="dxa"/>
                  <w:vAlign w:val="center"/>
                </w:tcPr>
                <w:p w14:paraId="2F705610">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1572" w:type="dxa"/>
                  <w:vAlign w:val="center"/>
                </w:tcPr>
                <w:p w14:paraId="7213016C">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458EB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7E84ADA5">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5"/>
                      <w:sz w:val="21"/>
                      <w:szCs w:val="21"/>
                      <w:lang w:eastAsia="zh-CN"/>
                    </w:rPr>
                    <w:t>折叠水桶</w:t>
                  </w:r>
                </w:p>
              </w:tc>
              <w:tc>
                <w:tcPr>
                  <w:tcW w:w="1023" w:type="dxa"/>
                  <w:vAlign w:val="center"/>
                </w:tcPr>
                <w:p w14:paraId="3FAC0F0C">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个</w:t>
                  </w:r>
                </w:p>
              </w:tc>
              <w:tc>
                <w:tcPr>
                  <w:tcW w:w="1572" w:type="dxa"/>
                  <w:vAlign w:val="center"/>
                </w:tcPr>
                <w:p w14:paraId="17C285E6">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22206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418" w:type="dxa"/>
                  <w:vAlign w:val="center"/>
                </w:tcPr>
                <w:p w14:paraId="59F0523A">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2"/>
                      <w:sz w:val="21"/>
                      <w:szCs w:val="21"/>
                    </w:rPr>
                    <w:t>四轮越野推车</w:t>
                  </w:r>
                </w:p>
              </w:tc>
              <w:tc>
                <w:tcPr>
                  <w:tcW w:w="1023" w:type="dxa"/>
                  <w:vAlign w:val="center"/>
                </w:tcPr>
                <w:p w14:paraId="0F939D45">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辆</w:t>
                  </w:r>
                </w:p>
              </w:tc>
              <w:tc>
                <w:tcPr>
                  <w:tcW w:w="1572" w:type="dxa"/>
                  <w:vAlign w:val="center"/>
                </w:tcPr>
                <w:p w14:paraId="60463C73">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72635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3418" w:type="dxa"/>
                  <w:vAlign w:val="center"/>
                </w:tcPr>
                <w:p w14:paraId="24CBBA87">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pacing w:val="6"/>
                      <w:sz w:val="21"/>
                      <w:szCs w:val="21"/>
                    </w:rPr>
                    <w:t>说明书</w:t>
                  </w:r>
                </w:p>
              </w:tc>
              <w:tc>
                <w:tcPr>
                  <w:tcW w:w="1023" w:type="dxa"/>
                  <w:vAlign w:val="center"/>
                </w:tcPr>
                <w:p w14:paraId="03550970">
                  <w:pPr>
                    <w:pStyle w:val="6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rPr>
                  </w:pPr>
                  <w:r>
                    <w:rPr>
                      <w:rFonts w:hint="eastAsia" w:ascii="宋体" w:hAnsi="宋体" w:eastAsia="宋体" w:cs="宋体"/>
                      <w:sz w:val="21"/>
                      <w:szCs w:val="21"/>
                    </w:rPr>
                    <w:t>份</w:t>
                  </w:r>
                </w:p>
              </w:tc>
              <w:tc>
                <w:tcPr>
                  <w:tcW w:w="1572" w:type="dxa"/>
                  <w:vAlign w:val="center"/>
                </w:tcPr>
                <w:p w14:paraId="2F6F8A4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p>
              </w:tc>
            </w:tr>
          </w:tbl>
          <w:p w14:paraId="62177EF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1"/>
                <w:szCs w:val="21"/>
                <w:lang w:val="en-US" w:eastAsia="zh-CN"/>
              </w:rPr>
            </w:pPr>
          </w:p>
        </w:tc>
      </w:tr>
    </w:tbl>
    <w:p w14:paraId="0B6A55C3">
      <w:pPr>
        <w:pStyle w:val="7"/>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321F0FD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eastAsia="zh-CN"/>
        </w:rPr>
      </w:pPr>
      <w:r>
        <w:rPr>
          <w:rFonts w:hint="eastAsia" w:ascii="宋体" w:hAnsi="宋体" w:cs="宋体"/>
          <w:b/>
          <w:color w:val="auto"/>
          <w:sz w:val="28"/>
          <w:szCs w:val="28"/>
          <w:lang w:val="en-US" w:eastAsia="zh-CN"/>
        </w:rPr>
        <w:t>三</w:t>
      </w:r>
      <w:r>
        <w:rPr>
          <w:rFonts w:hint="eastAsia" w:ascii="宋体" w:hAnsi="宋体" w:eastAsia="宋体" w:cs="宋体"/>
          <w:b/>
          <w:color w:val="auto"/>
          <w:sz w:val="28"/>
          <w:szCs w:val="28"/>
        </w:rPr>
        <w:t>、商务</w:t>
      </w:r>
      <w:r>
        <w:rPr>
          <w:rFonts w:hint="eastAsia" w:ascii="宋体" w:hAnsi="宋体" w:cs="宋体"/>
          <w:b/>
          <w:color w:val="auto"/>
          <w:sz w:val="28"/>
          <w:szCs w:val="28"/>
          <w:lang w:val="en-US" w:eastAsia="zh-CN"/>
        </w:rPr>
        <w:t>要求</w:t>
      </w:r>
    </w:p>
    <w:p w14:paraId="24A14B03">
      <w:pPr>
        <w:keepNext w:val="0"/>
        <w:keepLines w:val="0"/>
        <w:pageBreakBefore w:val="0"/>
        <w:widowControl w:val="0"/>
        <w:kinsoku/>
        <w:wordWrap/>
        <w:overflowPunct/>
        <w:topLinePunct w:val="0"/>
        <w:autoSpaceDE/>
        <w:autoSpaceDN/>
        <w:bidi w:val="0"/>
        <w:adjustRightInd w:val="0"/>
        <w:snapToGrid w:val="0"/>
        <w:spacing w:line="360" w:lineRule="auto"/>
        <w:jc w:val="left"/>
        <w:outlineLvl w:val="0"/>
        <w:rPr>
          <w:rFonts w:hint="eastAsia" w:ascii="宋体" w:hAnsi="宋体" w:eastAsia="宋体" w:cs="宋体"/>
          <w:b/>
          <w:bCs/>
          <w:color w:val="auto"/>
          <w:kern w:val="0"/>
          <w:szCs w:val="21"/>
          <w:lang w:eastAsia="zh-CN"/>
        </w:rPr>
      </w:pP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lang w:val="en-US" w:eastAsia="zh-CN"/>
        </w:rPr>
        <w:t>一</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报价要求</w:t>
      </w:r>
      <w:r>
        <w:rPr>
          <w:rFonts w:hint="eastAsia" w:ascii="宋体" w:hAnsi="宋体" w:eastAsia="宋体" w:cs="宋体"/>
          <w:b/>
          <w:bCs/>
          <w:color w:val="auto"/>
          <w:kern w:val="0"/>
          <w:szCs w:val="21"/>
          <w:lang w:eastAsia="zh-CN"/>
        </w:rPr>
        <w:t>：</w:t>
      </w:r>
    </w:p>
    <w:p w14:paraId="41C34B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color w:val="auto"/>
          <w:szCs w:val="21"/>
        </w:rPr>
        <w:t>1、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D66CE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color w:val="auto"/>
          <w:szCs w:val="21"/>
        </w:rPr>
        <w:t>2、投标人的投标报价，应是本项目招标范围和招标文件及合同条款上所列的各项内容中所述的全部，不得以任何理由予以重复，并以投标人在投标文件中提出的综合单价或总价为依据。</w:t>
      </w:r>
    </w:p>
    <w:p w14:paraId="6205C76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color w:val="auto"/>
          <w:szCs w:val="21"/>
        </w:rPr>
        <w:t>3、除非政府集中采购机构通过修改招标文件予以更正，否则，投标人应毫无例外地按招标文件所列的清单中项目和数量填报综合单价或总价。投标人未填综合单价或总价的项目，在实施后，将不得以支付，并视作该项费用已包括在其它有价款的综合单价或总价内。</w:t>
      </w:r>
    </w:p>
    <w:p w14:paraId="681A59F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color w:val="auto"/>
          <w:szCs w:val="21"/>
        </w:rPr>
        <w:t>4、投标人应充分了解项目的位置、情况、道路及任何其它足以影响投标报价的情况，任何因忽视或误解项目情况而导致的索赔或服务期限延长申请将不获批准。</w:t>
      </w:r>
    </w:p>
    <w:p w14:paraId="0D864B0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color w:val="auto"/>
          <w:szCs w:val="21"/>
        </w:rPr>
        <w:t>5、投标人不得期望通过索赔等方式获取补偿，否则，除可能遭到拒绝外，还可能将被作为不良行为记录在案，并可能影响其以后参加政府采购的项目投标。各投标人在投标报价时，应充分考虑投标报价的风险。</w:t>
      </w:r>
    </w:p>
    <w:p w14:paraId="6045F93E">
      <w:pPr>
        <w:keepNext w:val="0"/>
        <w:keepLines w:val="0"/>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6、投标人须考虑本项目在实施期间的一切可能产生的费用。在项目实施过程中，如项目工作范围发生变更，由中标人和采购人双方协商解决；其余情况下，投标总价均不予调整。</w:t>
      </w:r>
    </w:p>
    <w:p w14:paraId="76145988">
      <w:pPr>
        <w:keepNext w:val="0"/>
        <w:keepLines w:val="0"/>
        <w:pageBreakBefore w:val="0"/>
        <w:widowControl w:val="0"/>
        <w:kinsoku/>
        <w:wordWrap/>
        <w:overflowPunct/>
        <w:topLinePunct w:val="0"/>
        <w:autoSpaceDE/>
        <w:autoSpaceDN/>
        <w:bidi w:val="0"/>
        <w:adjustRightInd w:val="0"/>
        <w:snapToGrid w:val="0"/>
        <w:spacing w:line="360" w:lineRule="auto"/>
        <w:jc w:val="left"/>
        <w:outlineLvl w:val="0"/>
        <w:rPr>
          <w:rFonts w:hint="eastAsia" w:ascii="宋体" w:hAnsi="宋体" w:eastAsia="宋体" w:cs="宋体"/>
          <w:b/>
          <w:bCs/>
          <w:color w:val="auto"/>
          <w:kern w:val="0"/>
          <w:szCs w:val="21"/>
          <w:lang w:eastAsia="zh-CN"/>
        </w:rPr>
      </w:pP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lang w:val="en-US" w:eastAsia="zh-CN"/>
        </w:rPr>
        <w:t>二</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招标商务需求</w:t>
      </w:r>
      <w:r>
        <w:rPr>
          <w:rFonts w:hint="eastAsia" w:ascii="宋体" w:hAnsi="宋体" w:eastAsia="宋体" w:cs="宋体"/>
          <w:b/>
          <w:bCs/>
          <w:color w:val="auto"/>
          <w:kern w:val="0"/>
          <w:szCs w:val="21"/>
          <w:lang w:eastAsia="zh-CN"/>
        </w:rPr>
        <w:t>：</w:t>
      </w:r>
    </w:p>
    <w:tbl>
      <w:tblPr>
        <w:tblStyle w:val="23"/>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213"/>
        <w:gridCol w:w="6107"/>
      </w:tblGrid>
      <w:tr w14:paraId="63C6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3E8865E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12" w:type="pct"/>
            <w:vAlign w:val="center"/>
          </w:tcPr>
          <w:p w14:paraId="48F638F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目录</w:t>
            </w:r>
          </w:p>
        </w:tc>
        <w:tc>
          <w:tcPr>
            <w:tcW w:w="3583" w:type="pct"/>
            <w:vAlign w:val="center"/>
          </w:tcPr>
          <w:p w14:paraId="65A720BC">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招标商务需求</w:t>
            </w:r>
          </w:p>
        </w:tc>
      </w:tr>
      <w:tr w14:paraId="6BCB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Pr>
          <w:p w14:paraId="5E62113F">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（一）保修期内售后服务要求</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期间产生的费用均包含在本次投标报价中</w:t>
            </w:r>
            <w:r>
              <w:rPr>
                <w:rFonts w:hint="eastAsia" w:ascii="宋体" w:hAnsi="宋体" w:eastAsia="宋体" w:cs="宋体"/>
                <w:b/>
                <w:color w:val="auto"/>
                <w:sz w:val="21"/>
                <w:szCs w:val="21"/>
                <w:highlight w:val="none"/>
                <w:lang w:eastAsia="zh-CN"/>
              </w:rPr>
              <w:t>）</w:t>
            </w:r>
          </w:p>
        </w:tc>
      </w:tr>
      <w:tr w14:paraId="680A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30A065B9">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1</w:t>
            </w:r>
          </w:p>
        </w:tc>
        <w:tc>
          <w:tcPr>
            <w:tcW w:w="712" w:type="pct"/>
            <w:vAlign w:val="center"/>
          </w:tcPr>
          <w:p w14:paraId="0CB26E02">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关于保修期</w:t>
            </w:r>
          </w:p>
        </w:tc>
        <w:tc>
          <w:tcPr>
            <w:tcW w:w="3583" w:type="pct"/>
          </w:tcPr>
          <w:p w14:paraId="389FC582">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lang w:eastAsia="zh-CN"/>
              </w:rPr>
            </w:pPr>
            <w:r>
              <w:rPr>
                <w:rFonts w:hint="eastAsia" w:ascii="宋体" w:hAnsi="宋体" w:eastAsia="宋体" w:cs="宋体"/>
                <w:bCs/>
                <w:color w:val="auto"/>
                <w:sz w:val="21"/>
                <w:szCs w:val="21"/>
                <w:highlight w:val="none"/>
              </w:rPr>
              <w:t>货物保修期</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5</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lang w:eastAsia="zh-CN"/>
              </w:rPr>
              <w:t>（包含所有零配件和易耗品）</w:t>
            </w:r>
            <w:r>
              <w:rPr>
                <w:rFonts w:hint="eastAsia" w:ascii="宋体" w:hAnsi="宋体" w:eastAsia="宋体" w:cs="宋体"/>
                <w:bCs/>
                <w:color w:val="auto"/>
                <w:kern w:val="2"/>
                <w:sz w:val="21"/>
                <w:szCs w:val="21"/>
                <w:highlight w:val="none"/>
                <w:lang w:val="en-US" w:eastAsia="zh-CN" w:bidi="ar-SA"/>
              </w:rPr>
              <w:t>，</w:t>
            </w:r>
            <w:r>
              <w:rPr>
                <w:rFonts w:hint="eastAsia" w:ascii="宋体" w:hAnsi="宋体" w:eastAsia="宋体" w:cs="宋体"/>
                <w:bCs/>
                <w:color w:val="auto"/>
                <w:sz w:val="21"/>
                <w:szCs w:val="21"/>
                <w:highlight w:val="none"/>
              </w:rPr>
              <w:t>时间自最终验收合格并交付使用之日起计算</w:t>
            </w:r>
            <w:r>
              <w:rPr>
                <w:rFonts w:hint="eastAsia" w:ascii="宋体" w:hAnsi="宋体" w:eastAsia="宋体" w:cs="宋体"/>
                <w:bCs/>
                <w:color w:val="auto"/>
                <w:sz w:val="21"/>
                <w:szCs w:val="21"/>
                <w:highlight w:val="none"/>
                <w:lang w:eastAsia="zh-CN"/>
              </w:rPr>
              <w:t>。</w:t>
            </w:r>
          </w:p>
        </w:tc>
      </w:tr>
      <w:tr w14:paraId="122D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679C31EB">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2</w:t>
            </w:r>
          </w:p>
        </w:tc>
        <w:tc>
          <w:tcPr>
            <w:tcW w:w="712" w:type="pct"/>
            <w:vAlign w:val="center"/>
          </w:tcPr>
          <w:p w14:paraId="6FF5EB32">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rPr>
              <w:t>关于保修期</w:t>
            </w:r>
            <w:r>
              <w:rPr>
                <w:rFonts w:hint="eastAsia" w:ascii="宋体" w:hAnsi="宋体" w:eastAsia="宋体" w:cs="宋体"/>
                <w:b/>
                <w:bCs w:val="0"/>
                <w:color w:val="auto"/>
                <w:sz w:val="21"/>
                <w:szCs w:val="21"/>
                <w:highlight w:val="none"/>
                <w:lang w:eastAsia="zh-CN"/>
              </w:rPr>
              <w:t>内服务</w:t>
            </w:r>
          </w:p>
        </w:tc>
        <w:tc>
          <w:tcPr>
            <w:tcW w:w="3583" w:type="pct"/>
          </w:tcPr>
          <w:p w14:paraId="601893A3">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保修期内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年度定期预防性维护保养次数应不少于</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次。</w:t>
            </w:r>
            <w:r>
              <w:rPr>
                <w:rFonts w:hint="eastAsia" w:ascii="宋体" w:hAnsi="宋体" w:eastAsia="宋体" w:cs="宋体"/>
                <w:color w:val="auto"/>
                <w:spacing w:val="-4"/>
                <w:sz w:val="21"/>
                <w:szCs w:val="21"/>
                <w:highlight w:val="none"/>
              </w:rPr>
              <w:t>设备在保修期内需由</w:t>
            </w:r>
            <w:r>
              <w:rPr>
                <w:rFonts w:hint="eastAsia" w:ascii="宋体" w:hAnsi="宋体" w:eastAsia="宋体" w:cs="宋体"/>
                <w:color w:val="auto"/>
                <w:sz w:val="21"/>
                <w:szCs w:val="21"/>
                <w:highlight w:val="none"/>
              </w:rPr>
              <w:t>设备制造商</w:t>
            </w:r>
            <w:r>
              <w:rPr>
                <w:rFonts w:hint="eastAsia" w:ascii="宋体" w:hAnsi="宋体" w:eastAsia="宋体" w:cs="宋体"/>
                <w:color w:val="auto"/>
                <w:sz w:val="21"/>
                <w:szCs w:val="21"/>
                <w:highlight w:val="none"/>
                <w:lang w:eastAsia="zh-CN"/>
              </w:rPr>
              <w:t>或制造商授权认可的代理商</w:t>
            </w:r>
            <w:r>
              <w:rPr>
                <w:rFonts w:hint="eastAsia" w:ascii="宋体" w:hAnsi="宋体" w:eastAsia="宋体" w:cs="宋体"/>
                <w:color w:val="auto"/>
                <w:sz w:val="21"/>
                <w:szCs w:val="21"/>
                <w:highlight w:val="none"/>
              </w:rPr>
              <w:t>提供售后服务</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eastAsia="zh-CN"/>
              </w:rPr>
              <w:t>并出具</w:t>
            </w:r>
            <w:r>
              <w:rPr>
                <w:rFonts w:hint="eastAsia" w:ascii="宋体" w:hAnsi="宋体" w:eastAsia="宋体" w:cs="宋体"/>
                <w:color w:val="auto"/>
                <w:spacing w:val="-4"/>
                <w:sz w:val="21"/>
                <w:szCs w:val="21"/>
                <w:highlight w:val="none"/>
              </w:rPr>
              <w:t>维修报告。包含维修人工及所有配件</w:t>
            </w:r>
            <w:r>
              <w:rPr>
                <w:rFonts w:hint="eastAsia" w:ascii="宋体" w:hAnsi="宋体" w:eastAsia="宋体" w:cs="宋体"/>
                <w:color w:val="auto"/>
                <w:spacing w:val="-3"/>
                <w:sz w:val="21"/>
                <w:szCs w:val="21"/>
                <w:highlight w:val="none"/>
              </w:rPr>
              <w:t>及零备件费用</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安装、调试、定期校准及</w:t>
            </w:r>
            <w:r>
              <w:rPr>
                <w:rFonts w:hint="eastAsia" w:ascii="宋体" w:hAnsi="宋体" w:eastAsia="宋体" w:cs="宋体"/>
                <w:color w:val="auto"/>
                <w:spacing w:val="-4"/>
                <w:sz w:val="21"/>
                <w:szCs w:val="21"/>
                <w:highlight w:val="none"/>
              </w:rPr>
              <w:t>保</w:t>
            </w:r>
            <w:r>
              <w:rPr>
                <w:rFonts w:hint="eastAsia" w:ascii="宋体" w:hAnsi="宋体" w:eastAsia="宋体" w:cs="宋体"/>
                <w:color w:val="auto"/>
                <w:spacing w:val="-4"/>
                <w:sz w:val="21"/>
                <w:szCs w:val="21"/>
                <w:highlight w:val="none"/>
                <w:lang w:val="en-US" w:eastAsia="zh-CN"/>
              </w:rPr>
              <w:t>养</w:t>
            </w:r>
            <w:r>
              <w:rPr>
                <w:rFonts w:hint="eastAsia" w:ascii="宋体" w:hAnsi="宋体" w:eastAsia="宋体" w:cs="宋体"/>
                <w:color w:val="auto"/>
                <w:spacing w:val="-4"/>
                <w:sz w:val="21"/>
                <w:szCs w:val="21"/>
                <w:highlight w:val="none"/>
              </w:rPr>
              <w:t>服务全由</w:t>
            </w:r>
            <w:r>
              <w:rPr>
                <w:rFonts w:hint="eastAsia" w:ascii="宋体" w:hAnsi="宋体" w:eastAsia="宋体" w:cs="宋体"/>
                <w:color w:val="auto"/>
                <w:spacing w:val="-4"/>
                <w:sz w:val="21"/>
                <w:szCs w:val="21"/>
                <w:highlight w:val="none"/>
                <w:lang w:eastAsia="zh-CN"/>
              </w:rPr>
              <w:t>厂家授权认可的</w:t>
            </w:r>
            <w:r>
              <w:rPr>
                <w:rFonts w:hint="eastAsia" w:ascii="宋体" w:hAnsi="宋体" w:eastAsia="宋体" w:cs="宋体"/>
                <w:color w:val="auto"/>
                <w:spacing w:val="-4"/>
                <w:sz w:val="21"/>
                <w:szCs w:val="21"/>
                <w:highlight w:val="none"/>
              </w:rPr>
              <w:t>工程师</w:t>
            </w:r>
            <w:r>
              <w:rPr>
                <w:rFonts w:hint="eastAsia" w:ascii="宋体" w:hAnsi="宋体" w:eastAsia="宋体" w:cs="宋体"/>
                <w:color w:val="auto"/>
                <w:spacing w:val="-1"/>
                <w:sz w:val="21"/>
                <w:szCs w:val="21"/>
                <w:highlight w:val="none"/>
              </w:rPr>
              <w:t>负责。</w:t>
            </w:r>
          </w:p>
        </w:tc>
      </w:tr>
      <w:tr w14:paraId="26C6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72CA9481">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3</w:t>
            </w:r>
          </w:p>
        </w:tc>
        <w:tc>
          <w:tcPr>
            <w:tcW w:w="712" w:type="pct"/>
            <w:vAlign w:val="center"/>
          </w:tcPr>
          <w:p w14:paraId="1926002F">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关于维修配件及软件升级</w:t>
            </w:r>
          </w:p>
        </w:tc>
        <w:tc>
          <w:tcPr>
            <w:tcW w:w="3583" w:type="pct"/>
          </w:tcPr>
          <w:p w14:paraId="78119F0B">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投标人负责货物的终身维修，保证</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以上供应维修配件，5年内提供软件升级服务。</w:t>
            </w:r>
            <w:r>
              <w:rPr>
                <w:rFonts w:hint="eastAsia" w:ascii="宋体" w:hAnsi="宋体" w:eastAsia="宋体" w:cs="宋体"/>
                <w:color w:val="auto"/>
                <w:spacing w:val="-2"/>
                <w:sz w:val="21"/>
                <w:szCs w:val="21"/>
                <w:highlight w:val="none"/>
              </w:rPr>
              <w:t>在设备保修期内，需提供该</w:t>
            </w:r>
            <w:r>
              <w:rPr>
                <w:rFonts w:hint="eastAsia" w:ascii="宋体" w:hAnsi="宋体" w:eastAsia="宋体" w:cs="宋体"/>
                <w:color w:val="auto"/>
                <w:spacing w:val="-3"/>
                <w:sz w:val="21"/>
                <w:szCs w:val="21"/>
                <w:highlight w:val="none"/>
              </w:rPr>
              <w:t>设备与医院信息系统连接的接</w:t>
            </w:r>
            <w:r>
              <w:rPr>
                <w:rFonts w:hint="eastAsia" w:ascii="宋体" w:hAnsi="宋体" w:eastAsia="宋体" w:cs="宋体"/>
                <w:color w:val="auto"/>
                <w:spacing w:val="-4"/>
                <w:sz w:val="21"/>
                <w:szCs w:val="21"/>
                <w:highlight w:val="none"/>
              </w:rPr>
              <w:t>口软件及接口软件的修改与开发服务，开放设备接口参数，派人</w:t>
            </w:r>
            <w:r>
              <w:rPr>
                <w:rFonts w:hint="eastAsia" w:ascii="宋体" w:hAnsi="宋体" w:eastAsia="宋体" w:cs="宋体"/>
                <w:color w:val="auto"/>
                <w:spacing w:val="-4"/>
                <w:sz w:val="21"/>
                <w:szCs w:val="21"/>
                <w:highlight w:val="none"/>
                <w:lang w:eastAsia="zh-CN"/>
              </w:rPr>
              <w:t>负责</w:t>
            </w:r>
            <w:r>
              <w:rPr>
                <w:rFonts w:hint="eastAsia" w:ascii="宋体" w:hAnsi="宋体" w:eastAsia="宋体" w:cs="宋体"/>
                <w:color w:val="auto"/>
                <w:spacing w:val="-4"/>
                <w:sz w:val="21"/>
                <w:szCs w:val="21"/>
                <w:highlight w:val="none"/>
              </w:rPr>
              <w:t>与医院信息系统的连接工作，直至该设备与医院信息系统可进行完整的</w:t>
            </w:r>
            <w:r>
              <w:rPr>
                <w:rFonts w:hint="eastAsia" w:ascii="宋体" w:hAnsi="宋体" w:eastAsia="宋体" w:cs="宋体"/>
                <w:color w:val="auto"/>
                <w:spacing w:val="-4"/>
                <w:sz w:val="21"/>
                <w:szCs w:val="21"/>
                <w:highlight w:val="none"/>
                <w:lang w:eastAsia="zh-CN"/>
              </w:rPr>
              <w:t>数据交换</w:t>
            </w:r>
            <w:r>
              <w:rPr>
                <w:rFonts w:hint="eastAsia" w:ascii="宋体" w:hAnsi="宋体" w:eastAsia="宋体" w:cs="宋体"/>
                <w:color w:val="auto"/>
                <w:spacing w:val="-4"/>
                <w:sz w:val="21"/>
                <w:szCs w:val="21"/>
                <w:highlight w:val="none"/>
              </w:rPr>
              <w:t>；在设备保修期内，当采购人信息系统变更并需要与该设备连接时，需派人配合直至该设备与采购人信息系统可进行完整的</w:t>
            </w:r>
            <w:r>
              <w:rPr>
                <w:rFonts w:hint="eastAsia" w:ascii="宋体" w:hAnsi="宋体" w:eastAsia="宋体" w:cs="宋体"/>
                <w:color w:val="auto"/>
                <w:spacing w:val="-5"/>
                <w:sz w:val="21"/>
                <w:szCs w:val="21"/>
                <w:highlight w:val="none"/>
              </w:rPr>
              <w:t>数据交换。</w:t>
            </w:r>
          </w:p>
        </w:tc>
      </w:tr>
      <w:tr w14:paraId="7028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04" w:type="pct"/>
            <w:shd w:val="clear" w:color="auto" w:fill="auto"/>
            <w:vAlign w:val="center"/>
          </w:tcPr>
          <w:p w14:paraId="2974E4EC">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4</w:t>
            </w:r>
          </w:p>
        </w:tc>
        <w:tc>
          <w:tcPr>
            <w:tcW w:w="712" w:type="pct"/>
            <w:shd w:val="clear" w:color="auto" w:fill="auto"/>
            <w:vAlign w:val="center"/>
          </w:tcPr>
          <w:p w14:paraId="580CF1E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highlight w:val="none"/>
              </w:rPr>
              <w:t>维修响应及故障解决时间</w:t>
            </w:r>
          </w:p>
        </w:tc>
        <w:tc>
          <w:tcPr>
            <w:tcW w:w="3583" w:type="pct"/>
            <w:shd w:val="clear" w:color="auto" w:fill="auto"/>
            <w:vAlign w:val="top"/>
          </w:tcPr>
          <w:p w14:paraId="35157F13">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color w:val="auto"/>
                <w:sz w:val="21"/>
                <w:szCs w:val="21"/>
                <w:highlight w:val="none"/>
              </w:rPr>
              <w:t>由设备制造商</w:t>
            </w:r>
            <w:r>
              <w:rPr>
                <w:rFonts w:hint="eastAsia" w:ascii="宋体" w:hAnsi="宋体" w:eastAsia="宋体" w:cs="宋体"/>
                <w:color w:val="auto"/>
                <w:sz w:val="21"/>
                <w:szCs w:val="21"/>
                <w:highlight w:val="none"/>
                <w:lang w:eastAsia="zh-CN"/>
              </w:rPr>
              <w:t>或制造商授权认可的代理商</w:t>
            </w:r>
            <w:r>
              <w:rPr>
                <w:rFonts w:hint="eastAsia" w:ascii="宋体" w:hAnsi="宋体" w:eastAsia="宋体" w:cs="宋体"/>
                <w:color w:val="auto"/>
                <w:sz w:val="21"/>
                <w:szCs w:val="21"/>
                <w:highlight w:val="none"/>
              </w:rPr>
              <w:t>提供售后服务</w:t>
            </w:r>
            <w:r>
              <w:rPr>
                <w:rFonts w:hint="eastAsia" w:ascii="宋体" w:hAnsi="宋体" w:eastAsia="宋体" w:cs="宋体"/>
                <w:color w:val="auto"/>
                <w:sz w:val="21"/>
                <w:szCs w:val="21"/>
                <w:highlight w:val="none"/>
                <w:lang w:eastAsia="zh-CN"/>
              </w:rPr>
              <w:t>，</w:t>
            </w:r>
            <w:r>
              <w:rPr>
                <w:rFonts w:hint="eastAsia" w:ascii="宋体" w:hAnsi="宋体" w:eastAsia="宋体" w:cs="宋体"/>
                <w:bCs/>
                <w:color w:val="auto"/>
                <w:sz w:val="21"/>
                <w:szCs w:val="21"/>
                <w:highlight w:val="none"/>
              </w:rPr>
              <w:t>在保修期内，一旦发生质量问题，投标人保证在接到通知</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小时内响应，24小时维修到位（不可抗力情况除外）。消耗品和零配件供应及时。</w:t>
            </w:r>
          </w:p>
        </w:tc>
      </w:tr>
      <w:tr w14:paraId="457C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4F669FB3">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5</w:t>
            </w:r>
          </w:p>
        </w:tc>
        <w:tc>
          <w:tcPr>
            <w:tcW w:w="712" w:type="pct"/>
            <w:vAlign w:val="center"/>
          </w:tcPr>
          <w:p w14:paraId="6DCCC7B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关于</w:t>
            </w:r>
            <w:r>
              <w:rPr>
                <w:rFonts w:hint="eastAsia" w:ascii="宋体" w:hAnsi="宋体" w:eastAsia="宋体" w:cs="宋体"/>
                <w:b/>
                <w:bCs w:val="0"/>
                <w:color w:val="auto"/>
                <w:sz w:val="21"/>
                <w:szCs w:val="21"/>
                <w:highlight w:val="none"/>
              </w:rPr>
              <w:t>零配件、消耗品和延续保修</w:t>
            </w:r>
          </w:p>
        </w:tc>
        <w:tc>
          <w:tcPr>
            <w:tcW w:w="3583" w:type="pct"/>
          </w:tcPr>
          <w:p w14:paraId="77154E86">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投标人应</w:t>
            </w:r>
            <w:r>
              <w:rPr>
                <w:rFonts w:hint="eastAsia" w:ascii="宋体" w:hAnsi="宋体" w:eastAsia="宋体" w:cs="宋体"/>
                <w:bCs/>
                <w:color w:val="auto"/>
                <w:sz w:val="21"/>
                <w:szCs w:val="21"/>
                <w:highlight w:val="none"/>
                <w:lang w:eastAsia="zh-CN"/>
              </w:rPr>
              <w:t>提供</w:t>
            </w:r>
            <w:r>
              <w:rPr>
                <w:rFonts w:hint="eastAsia" w:ascii="宋体" w:hAnsi="宋体" w:eastAsia="宋体" w:cs="宋体"/>
                <w:bCs/>
                <w:color w:val="auto"/>
                <w:sz w:val="21"/>
                <w:szCs w:val="21"/>
                <w:highlight w:val="none"/>
              </w:rPr>
              <w:t>维修零配件、消耗品和延续保修</w:t>
            </w:r>
            <w:r>
              <w:rPr>
                <w:rFonts w:hint="eastAsia" w:ascii="宋体" w:hAnsi="宋体" w:eastAsia="宋体" w:cs="宋体"/>
                <w:bCs/>
                <w:color w:val="auto"/>
                <w:sz w:val="21"/>
                <w:szCs w:val="21"/>
                <w:highlight w:val="none"/>
                <w:lang w:eastAsia="zh-CN"/>
              </w:rPr>
              <w:t>的报价单</w:t>
            </w:r>
            <w:r>
              <w:rPr>
                <w:rFonts w:hint="eastAsia" w:ascii="宋体" w:hAnsi="宋体" w:eastAsia="宋体" w:cs="宋体"/>
                <w:bCs/>
                <w:color w:val="auto"/>
                <w:sz w:val="21"/>
                <w:szCs w:val="21"/>
                <w:highlight w:val="none"/>
              </w:rPr>
              <w:t>。价格最高的前</w:t>
            </w:r>
            <w:r>
              <w:rPr>
                <w:rFonts w:hint="eastAsia" w:ascii="宋体" w:hAnsi="宋体" w:eastAsia="宋体" w:cs="宋体"/>
                <w:bCs/>
                <w:color w:val="auto"/>
                <w:sz w:val="21"/>
                <w:szCs w:val="21"/>
                <w:highlight w:val="none"/>
                <w:u w:val="single"/>
              </w:rPr>
              <w:t xml:space="preserve"> 5</w:t>
            </w:r>
            <w:r>
              <w:rPr>
                <w:rFonts w:hint="eastAsia" w:ascii="宋体" w:hAnsi="宋体" w:eastAsia="宋体" w:cs="宋体"/>
                <w:bCs/>
                <w:color w:val="auto"/>
                <w:sz w:val="21"/>
                <w:szCs w:val="21"/>
                <w:highlight w:val="none"/>
              </w:rPr>
              <w:t>项零配件、消耗品和延续保修的报价明细必须填写</w:t>
            </w:r>
            <w:r>
              <w:rPr>
                <w:rFonts w:hint="eastAsia" w:ascii="宋体" w:hAnsi="宋体" w:eastAsia="宋体" w:cs="宋体"/>
                <w:bCs/>
                <w:color w:val="auto"/>
                <w:sz w:val="21"/>
                <w:szCs w:val="21"/>
                <w:highlight w:val="none"/>
                <w:lang w:eastAsia="zh-CN"/>
              </w:rPr>
              <w:t>在</w:t>
            </w:r>
            <w:r>
              <w:rPr>
                <w:rFonts w:hint="eastAsia" w:ascii="宋体" w:hAnsi="宋体" w:eastAsia="宋体" w:cs="宋体"/>
                <w:bCs/>
                <w:color w:val="auto"/>
                <w:sz w:val="21"/>
                <w:szCs w:val="21"/>
                <w:highlight w:val="none"/>
              </w:rPr>
              <w:t>《零配件、消耗品和延续保修报价明细清单》中。</w:t>
            </w:r>
          </w:p>
          <w:tbl>
            <w:tblPr>
              <w:tblStyle w:val="23"/>
              <w:tblW w:w="57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4"/>
              <w:gridCol w:w="654"/>
              <w:gridCol w:w="666"/>
              <w:gridCol w:w="654"/>
              <w:gridCol w:w="653"/>
              <w:gridCol w:w="693"/>
              <w:gridCol w:w="867"/>
              <w:gridCol w:w="942"/>
            </w:tblGrid>
            <w:tr w14:paraId="646EB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68" w:hRule="atLeast"/>
                <w:jc w:val="center"/>
              </w:trPr>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AE90D9D">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eastAsia="zh-CN"/>
                    </w:rPr>
                    <w:t>序</w:t>
                  </w:r>
                  <w:r>
                    <w:rPr>
                      <w:rFonts w:hint="eastAsia" w:ascii="宋体" w:hAnsi="宋体" w:eastAsia="宋体" w:cs="宋体"/>
                      <w:b w:val="0"/>
                      <w:bCs w:val="0"/>
                      <w:i w:val="0"/>
                      <w:iCs w:val="0"/>
                      <w:color w:val="auto"/>
                      <w:spacing w:val="0"/>
                      <w:w w:val="100"/>
                      <w:sz w:val="21"/>
                      <w:szCs w:val="21"/>
                      <w:highlight w:val="none"/>
                      <w:vertAlign w:val="baseline"/>
                    </w:rPr>
                    <w:t>号</w:t>
                  </w:r>
                </w:p>
              </w:tc>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02AC557">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名称</w:t>
                  </w:r>
                </w:p>
              </w:tc>
              <w:tc>
                <w:tcPr>
                  <w:tcW w:w="66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985AD2D">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eastAsia="zh-CN"/>
                    </w:rPr>
                    <w:t>品牌</w:t>
                  </w:r>
                </w:p>
              </w:tc>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BAAF59F">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eastAsia="zh-CN"/>
                    </w:rPr>
                    <w:t>型号</w:t>
                  </w:r>
                </w:p>
              </w:tc>
              <w:tc>
                <w:tcPr>
                  <w:tcW w:w="65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0602224">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eastAsia="zh-CN"/>
                    </w:rPr>
                    <w:t>规格</w:t>
                  </w:r>
                </w:p>
              </w:tc>
              <w:tc>
                <w:tcPr>
                  <w:tcW w:w="69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DF4FED1">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产地</w:t>
                  </w:r>
                </w:p>
              </w:tc>
              <w:tc>
                <w:tcPr>
                  <w:tcW w:w="86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595036E">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eastAsia="zh-CN"/>
                    </w:rPr>
                    <w:t>报价</w:t>
                  </w:r>
                </w:p>
              </w:tc>
              <w:tc>
                <w:tcPr>
                  <w:tcW w:w="942"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CD2B945">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专用/</w:t>
                  </w:r>
                </w:p>
                <w:p w14:paraId="739984F6">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通用</w:t>
                  </w:r>
                </w:p>
              </w:tc>
            </w:tr>
            <w:tr w14:paraId="19B2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F87C08B">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w:t>
                  </w:r>
                </w:p>
              </w:tc>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241CE1D1">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6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73ED76D9">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45EDAA79">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5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CB669F8">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9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9B6EDA1">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86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09CE5E76">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942"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top"/>
                </w:tcPr>
                <w:p w14:paraId="1BEBAC87">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r>
            <w:tr w14:paraId="6934D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5" w:hRule="atLeast"/>
                <w:jc w:val="center"/>
              </w:trPr>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282C791">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w:t>
                  </w:r>
                </w:p>
              </w:tc>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AB65D67">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66"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3C7C343">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54"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7741DD3">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5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6B5AB752">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693"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5A2D26FD">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867"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3FB0BD60">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c>
                <w:tcPr>
                  <w:tcW w:w="942" w:type="dxa"/>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top"/>
                </w:tcPr>
                <w:p w14:paraId="05A41BC5">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p>
              </w:tc>
            </w:tr>
            <w:tr w14:paraId="40F2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5" w:hRule="atLeast"/>
                <w:jc w:val="center"/>
              </w:trPr>
              <w:tc>
                <w:tcPr>
                  <w:tcW w:w="5783" w:type="dxa"/>
                  <w:gridSpan w:val="8"/>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14:paraId="1C9681BD">
                  <w:pPr>
                    <w:pStyle w:val="19"/>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由投标人自行填写。</w:t>
                  </w:r>
                </w:p>
              </w:tc>
            </w:tr>
          </w:tbl>
          <w:p w14:paraId="5CDB4C32">
            <w:pPr>
              <w:pStyle w:val="7"/>
              <w:keepNext w:val="0"/>
              <w:keepLines w:val="0"/>
              <w:pageBreakBefore w:val="0"/>
              <w:widowControl w:val="0"/>
              <w:kinsoku/>
              <w:wordWrap/>
              <w:overflowPunct/>
              <w:topLinePunct w:val="0"/>
              <w:autoSpaceDE/>
              <w:autoSpaceDN/>
              <w:bidi w:val="0"/>
              <w:spacing w:after="0" w:line="360" w:lineRule="auto"/>
              <w:rPr>
                <w:rFonts w:hint="eastAsia" w:ascii="宋体" w:hAnsi="宋体" w:eastAsia="宋体" w:cs="宋体"/>
                <w:color w:val="auto"/>
                <w:sz w:val="21"/>
                <w:szCs w:val="21"/>
                <w:highlight w:val="none"/>
              </w:rPr>
            </w:pPr>
          </w:p>
        </w:tc>
      </w:tr>
      <w:tr w14:paraId="05C4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2009B8A5">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6</w:t>
            </w:r>
          </w:p>
        </w:tc>
        <w:tc>
          <w:tcPr>
            <w:tcW w:w="712" w:type="pct"/>
            <w:vAlign w:val="center"/>
          </w:tcPr>
          <w:p w14:paraId="25A29277">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关于设备开机率</w:t>
            </w:r>
          </w:p>
        </w:tc>
        <w:tc>
          <w:tcPr>
            <w:tcW w:w="3583" w:type="pct"/>
          </w:tcPr>
          <w:p w14:paraId="2DD61F59">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rPr>
              <w:t>在保修期内</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投标人应确保年开机率在95%</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含</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若不能达到此开机率，将作以下处理：</w:t>
            </w:r>
          </w:p>
          <w:p w14:paraId="2990A4ED">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lang w:val="en-US" w:eastAsia="zh-CN"/>
              </w:rPr>
              <w:t>1.</w:t>
            </w:r>
            <w:r>
              <w:rPr>
                <w:rFonts w:hint="eastAsia" w:ascii="宋体" w:hAnsi="宋体" w:eastAsia="宋体" w:cs="宋体"/>
                <w:bCs/>
                <w:color w:val="auto"/>
                <w:sz w:val="21"/>
                <w:szCs w:val="21"/>
                <w:highlight w:val="none"/>
                <w:u w:val="none"/>
              </w:rPr>
              <w:t>年开机率在90</w:t>
            </w:r>
            <w:r>
              <w:rPr>
                <w:rFonts w:hint="eastAsia" w:ascii="宋体" w:hAnsi="宋体" w:eastAsia="宋体" w:cs="宋体"/>
                <w:bCs/>
                <w:color w:val="auto"/>
                <w:sz w:val="21"/>
                <w:szCs w:val="21"/>
                <w:highlight w:val="none"/>
                <w:u w:val="none"/>
                <w:lang w:eastAsia="zh-CN"/>
              </w:rPr>
              <w:t>%（</w:t>
            </w:r>
            <w:r>
              <w:rPr>
                <w:rFonts w:hint="eastAsia" w:ascii="宋体" w:hAnsi="宋体" w:eastAsia="宋体" w:cs="宋体"/>
                <w:bCs/>
                <w:color w:val="auto"/>
                <w:sz w:val="21"/>
                <w:szCs w:val="21"/>
                <w:highlight w:val="none"/>
                <w:u w:val="none"/>
              </w:rPr>
              <w:t>含）-95%（不含）之间</w:t>
            </w:r>
            <w:r>
              <w:rPr>
                <w:rFonts w:hint="eastAsia" w:ascii="宋体" w:hAnsi="宋体" w:eastAsia="宋体" w:cs="宋体"/>
                <w:bCs/>
                <w:color w:val="auto"/>
                <w:sz w:val="21"/>
                <w:szCs w:val="21"/>
                <w:highlight w:val="none"/>
                <w:u w:val="none"/>
                <w:lang w:eastAsia="zh-CN"/>
              </w:rPr>
              <w:t>，按</w:t>
            </w:r>
            <w:r>
              <w:rPr>
                <w:rFonts w:hint="eastAsia" w:ascii="宋体" w:hAnsi="宋体" w:eastAsia="宋体" w:cs="宋体"/>
                <w:bCs/>
                <w:color w:val="auto"/>
                <w:sz w:val="21"/>
                <w:szCs w:val="21"/>
                <w:highlight w:val="none"/>
                <w:u w:val="none"/>
              </w:rPr>
              <w:t>一赔二延长保修期</w:t>
            </w:r>
            <w:r>
              <w:rPr>
                <w:rFonts w:hint="eastAsia" w:ascii="宋体" w:hAnsi="宋体" w:eastAsia="宋体" w:cs="宋体"/>
                <w:bCs/>
                <w:color w:val="auto"/>
                <w:sz w:val="21"/>
                <w:szCs w:val="21"/>
                <w:highlight w:val="none"/>
                <w:u w:val="none"/>
                <w:lang w:eastAsia="zh-CN"/>
              </w:rPr>
              <w:t>。</w:t>
            </w:r>
          </w:p>
          <w:p w14:paraId="61904F41">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u w:val="none"/>
                <w:lang w:val="en-US" w:eastAsia="zh-CN"/>
              </w:rPr>
              <w:t>2.</w:t>
            </w:r>
            <w:r>
              <w:rPr>
                <w:rFonts w:hint="eastAsia" w:ascii="宋体" w:hAnsi="宋体" w:eastAsia="宋体" w:cs="宋体"/>
                <w:bCs/>
                <w:color w:val="auto"/>
                <w:sz w:val="21"/>
                <w:szCs w:val="21"/>
                <w:highlight w:val="none"/>
                <w:u w:val="none"/>
              </w:rPr>
              <w:t>年开机率在85</w:t>
            </w:r>
            <w:r>
              <w:rPr>
                <w:rFonts w:hint="eastAsia" w:ascii="宋体" w:hAnsi="宋体" w:eastAsia="宋体" w:cs="宋体"/>
                <w:bCs/>
                <w:color w:val="auto"/>
                <w:sz w:val="21"/>
                <w:szCs w:val="21"/>
                <w:highlight w:val="none"/>
                <w:u w:val="none"/>
                <w:lang w:eastAsia="zh-CN"/>
              </w:rPr>
              <w:t>%（</w:t>
            </w:r>
            <w:r>
              <w:rPr>
                <w:rFonts w:hint="eastAsia" w:ascii="宋体" w:hAnsi="宋体" w:eastAsia="宋体" w:cs="宋体"/>
                <w:bCs/>
                <w:color w:val="auto"/>
                <w:sz w:val="21"/>
                <w:szCs w:val="21"/>
                <w:highlight w:val="none"/>
                <w:u w:val="none"/>
              </w:rPr>
              <w:t>含）-90%（不含）之间</w:t>
            </w:r>
            <w:r>
              <w:rPr>
                <w:rFonts w:hint="eastAsia" w:ascii="宋体" w:hAnsi="宋体" w:eastAsia="宋体" w:cs="宋体"/>
                <w:bCs/>
                <w:color w:val="auto"/>
                <w:sz w:val="21"/>
                <w:szCs w:val="21"/>
                <w:highlight w:val="none"/>
                <w:u w:val="none"/>
                <w:lang w:eastAsia="zh-CN"/>
              </w:rPr>
              <w:t>，按</w:t>
            </w:r>
            <w:r>
              <w:rPr>
                <w:rFonts w:hint="eastAsia" w:ascii="宋体" w:hAnsi="宋体" w:eastAsia="宋体" w:cs="宋体"/>
                <w:bCs/>
                <w:color w:val="auto"/>
                <w:sz w:val="21"/>
                <w:szCs w:val="21"/>
                <w:highlight w:val="none"/>
                <w:u w:val="none"/>
              </w:rPr>
              <w:t>一赔五延长</w:t>
            </w:r>
            <w:r>
              <w:rPr>
                <w:rFonts w:hint="eastAsia" w:ascii="宋体" w:hAnsi="宋体" w:eastAsia="宋体" w:cs="宋体"/>
                <w:bCs/>
                <w:color w:val="auto"/>
                <w:sz w:val="21"/>
                <w:szCs w:val="21"/>
                <w:highlight w:val="none"/>
                <w:u w:val="none"/>
                <w:lang w:eastAsia="zh-CN"/>
              </w:rPr>
              <w:t>保修期。</w:t>
            </w:r>
          </w:p>
          <w:p w14:paraId="2A5D94DD">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年开机率低于85%（</w:t>
            </w:r>
            <w:r>
              <w:rPr>
                <w:rFonts w:hint="eastAsia" w:ascii="宋体" w:hAnsi="宋体" w:eastAsia="宋体" w:cs="宋体"/>
                <w:bCs/>
                <w:color w:val="auto"/>
                <w:sz w:val="21"/>
                <w:szCs w:val="21"/>
                <w:highlight w:val="none"/>
                <w:lang w:val="en-US" w:eastAsia="zh-CN"/>
              </w:rPr>
              <w:t>不</w:t>
            </w:r>
            <w:r>
              <w:rPr>
                <w:rFonts w:hint="eastAsia" w:ascii="宋体" w:hAnsi="宋体" w:eastAsia="宋体" w:cs="宋体"/>
                <w:bCs/>
                <w:color w:val="auto"/>
                <w:sz w:val="21"/>
                <w:szCs w:val="21"/>
                <w:highlight w:val="none"/>
              </w:rPr>
              <w:t>含），投标人须无条件更换新机，并重新计算保修期，以及赔偿用户的直接经济损失和间接经济损失。</w:t>
            </w:r>
          </w:p>
          <w:p w14:paraId="501C4DF9">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w:t>
            </w:r>
            <w:r>
              <w:rPr>
                <w:rFonts w:hint="eastAsia" w:ascii="宋体" w:hAnsi="宋体" w:eastAsia="宋体" w:cs="宋体"/>
                <w:bCs/>
                <w:color w:val="auto"/>
                <w:sz w:val="21"/>
                <w:szCs w:val="21"/>
                <w:highlight w:val="none"/>
              </w:rPr>
              <w:t>年开机率</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（实际开机天数/</w:t>
            </w:r>
            <w:r>
              <w:rPr>
                <w:rFonts w:hint="eastAsia" w:ascii="宋体" w:hAnsi="宋体" w:eastAsia="宋体" w:cs="宋体"/>
                <w:color w:val="auto"/>
                <w:sz w:val="21"/>
                <w:szCs w:val="21"/>
                <w:highlight w:val="none"/>
                <w:lang w:val="en-US" w:eastAsia="zh-CN"/>
              </w:rPr>
              <w:t>365天</w:t>
            </w:r>
            <w:r>
              <w:rPr>
                <w:rFonts w:hint="eastAsia" w:ascii="宋体" w:hAnsi="宋体" w:eastAsia="宋体" w:cs="宋体"/>
                <w:bCs/>
                <w:color w:val="auto"/>
                <w:sz w:val="21"/>
                <w:szCs w:val="21"/>
                <w:highlight w:val="none"/>
              </w:rPr>
              <w:t>*100%）</w:t>
            </w:r>
          </w:p>
        </w:tc>
      </w:tr>
      <w:tr w14:paraId="4B2E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7D9BE03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7</w:t>
            </w:r>
          </w:p>
        </w:tc>
        <w:tc>
          <w:tcPr>
            <w:tcW w:w="712" w:type="pct"/>
            <w:vAlign w:val="center"/>
          </w:tcPr>
          <w:p w14:paraId="1C212566">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设备维护保养方案</w:t>
            </w:r>
          </w:p>
        </w:tc>
        <w:tc>
          <w:tcPr>
            <w:tcW w:w="3583" w:type="pct"/>
            <w:vAlign w:val="center"/>
          </w:tcPr>
          <w:p w14:paraId="6D01700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提供设备保养方案，包括但不限于：</w:t>
            </w:r>
          </w:p>
          <w:p w14:paraId="0B56D329">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1.整机及关键位置、指定部件的清洁、消毒方案。</w:t>
            </w:r>
          </w:p>
          <w:p w14:paraId="1A1D281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2.整机及关键位置、指定部件的维护保养方案。</w:t>
            </w:r>
          </w:p>
          <w:p w14:paraId="402C7E31">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3.维保方案要按照时间频率阐述：</w:t>
            </w:r>
          </w:p>
          <w:p w14:paraId="44838E8F">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3.1使用前后、每天、每周、每月、每年或其他时间段（如夏季、冬季）、使用次数、使用累计时间等提供设备的保养方案。</w:t>
            </w:r>
          </w:p>
          <w:p w14:paraId="633D16B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3.2提供保养人员身份建议：包括使用人员、医疗装备运维服务人员、厂家或第三方质控人员、国家授权的计量质控机构。</w:t>
            </w:r>
          </w:p>
        </w:tc>
      </w:tr>
      <w:tr w14:paraId="135A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Pr>
          <w:p w14:paraId="3B7AEAFC">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（二）保修期外售后服务要求</w:t>
            </w:r>
          </w:p>
        </w:tc>
      </w:tr>
      <w:tr w14:paraId="5BAE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0FD45234">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712" w:type="pct"/>
          </w:tcPr>
          <w:p w14:paraId="4BB3D8CF">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售后服务</w:t>
            </w:r>
          </w:p>
        </w:tc>
        <w:tc>
          <w:tcPr>
            <w:tcW w:w="3583" w:type="pct"/>
          </w:tcPr>
          <w:p w14:paraId="63643A3C">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lang w:eastAsia="zh-CN"/>
              </w:rPr>
            </w:pPr>
            <w:r>
              <w:rPr>
                <w:rFonts w:hint="eastAsia" w:ascii="宋体" w:hAnsi="宋体" w:eastAsia="宋体" w:cs="宋体"/>
                <w:color w:val="auto"/>
                <w:sz w:val="21"/>
                <w:szCs w:val="21"/>
                <w:highlight w:val="none"/>
              </w:rPr>
              <w:t>由设备制造商</w:t>
            </w:r>
            <w:r>
              <w:rPr>
                <w:rFonts w:hint="eastAsia" w:ascii="宋体" w:hAnsi="宋体" w:eastAsia="宋体" w:cs="宋体"/>
                <w:color w:val="auto"/>
                <w:sz w:val="21"/>
                <w:szCs w:val="21"/>
                <w:highlight w:val="none"/>
                <w:lang w:eastAsia="zh-CN"/>
              </w:rPr>
              <w:t>或制造商授权认可的代理商</w:t>
            </w:r>
            <w:r>
              <w:rPr>
                <w:rFonts w:hint="eastAsia" w:ascii="宋体" w:hAnsi="宋体" w:eastAsia="宋体" w:cs="宋体"/>
                <w:color w:val="auto"/>
                <w:sz w:val="21"/>
                <w:szCs w:val="21"/>
                <w:highlight w:val="none"/>
              </w:rPr>
              <w:t>提供售后服务</w:t>
            </w:r>
            <w:r>
              <w:rPr>
                <w:rFonts w:hint="eastAsia" w:ascii="宋体" w:hAnsi="宋体" w:eastAsia="宋体" w:cs="宋体"/>
                <w:color w:val="auto"/>
                <w:sz w:val="21"/>
                <w:szCs w:val="21"/>
                <w:highlight w:val="none"/>
                <w:lang w:eastAsia="zh-CN"/>
              </w:rPr>
              <w:t>。</w:t>
            </w:r>
          </w:p>
        </w:tc>
      </w:tr>
      <w:tr w14:paraId="0B52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Pr>
          <w:p w14:paraId="78F4EE1E">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（三）其他商务要求</w:t>
            </w:r>
          </w:p>
        </w:tc>
      </w:tr>
      <w:tr w14:paraId="5E09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restart"/>
            <w:vAlign w:val="center"/>
          </w:tcPr>
          <w:p w14:paraId="58523CC8">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w:t>
            </w:r>
          </w:p>
        </w:tc>
        <w:tc>
          <w:tcPr>
            <w:tcW w:w="712" w:type="pct"/>
            <w:vMerge w:val="restart"/>
            <w:vAlign w:val="center"/>
          </w:tcPr>
          <w:p w14:paraId="5DA44031">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关于交货</w:t>
            </w:r>
          </w:p>
        </w:tc>
        <w:tc>
          <w:tcPr>
            <w:tcW w:w="3583" w:type="pct"/>
          </w:tcPr>
          <w:p w14:paraId="5955FD51">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1.1签订合同后</w:t>
            </w:r>
            <w:r>
              <w:rPr>
                <w:rFonts w:hint="eastAsia" w:ascii="宋体" w:hAnsi="宋体" w:eastAsia="宋体" w:cs="宋体"/>
                <w:b/>
                <w:bCs w:val="0"/>
                <w:color w:val="auto"/>
                <w:sz w:val="21"/>
                <w:szCs w:val="21"/>
                <w:highlight w:val="none"/>
                <w:u w:val="single"/>
              </w:rPr>
              <w:t xml:space="preserve"> </w:t>
            </w:r>
            <w:r>
              <w:rPr>
                <w:rFonts w:hint="eastAsia" w:ascii="宋体" w:hAnsi="宋体" w:eastAsia="宋体" w:cs="宋体"/>
                <w:b/>
                <w:bCs w:val="0"/>
                <w:color w:val="auto"/>
                <w:sz w:val="21"/>
                <w:szCs w:val="21"/>
                <w:highlight w:val="none"/>
                <w:u w:val="single"/>
                <w:lang w:val="en-US" w:eastAsia="zh-CN"/>
              </w:rPr>
              <w:t>30</w:t>
            </w:r>
            <w:r>
              <w:rPr>
                <w:rFonts w:hint="eastAsia" w:ascii="宋体" w:hAnsi="宋体" w:eastAsia="宋体" w:cs="宋体"/>
                <w:b/>
                <w:bCs w:val="0"/>
                <w:color w:val="auto"/>
                <w:sz w:val="21"/>
                <w:szCs w:val="21"/>
                <w:highlight w:val="none"/>
                <w:u w:val="single"/>
              </w:rPr>
              <w:t xml:space="preserve"> </w:t>
            </w:r>
            <w:r>
              <w:rPr>
                <w:rFonts w:hint="eastAsia" w:ascii="宋体" w:hAnsi="宋体" w:eastAsia="宋体" w:cs="宋体"/>
                <w:b/>
                <w:bCs w:val="0"/>
                <w:color w:val="auto"/>
                <w:sz w:val="21"/>
                <w:szCs w:val="21"/>
                <w:highlight w:val="none"/>
              </w:rPr>
              <w:t>天（日历日）内交货。</w:t>
            </w:r>
          </w:p>
        </w:tc>
      </w:tr>
      <w:tr w14:paraId="1694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5B4884E2">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72BB654E">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3651EB8E">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1.2</w:t>
            </w:r>
            <w:r>
              <w:rPr>
                <w:rFonts w:hint="eastAsia" w:ascii="宋体" w:hAnsi="宋体" w:eastAsia="宋体" w:cs="宋体"/>
                <w:b/>
                <w:bCs w:val="0"/>
                <w:color w:val="auto"/>
                <w:sz w:val="21"/>
                <w:szCs w:val="21"/>
                <w:highlight w:val="none"/>
              </w:rPr>
              <w:t>交货地点：中标人负责将货物安全无损运抵采购人指定地点</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并承担设备的包装、运输、保险、装卸、安装调试、培训、计量检测</w:t>
            </w:r>
            <w:r>
              <w:rPr>
                <w:rFonts w:hint="eastAsia" w:ascii="宋体" w:hAnsi="宋体" w:eastAsia="宋体" w:cs="宋体"/>
                <w:b/>
                <w:bCs w:val="0"/>
                <w:color w:val="auto"/>
                <w:sz w:val="21"/>
                <w:szCs w:val="21"/>
                <w:highlight w:val="none"/>
                <w:lang w:val="en-US" w:eastAsia="zh-CN"/>
              </w:rPr>
              <w:t>和</w:t>
            </w:r>
            <w:r>
              <w:rPr>
                <w:rFonts w:hint="eastAsia" w:ascii="宋体" w:hAnsi="宋体" w:eastAsia="宋体" w:cs="宋体"/>
                <w:b/>
                <w:bCs w:val="0"/>
                <w:color w:val="auto"/>
                <w:sz w:val="21"/>
                <w:szCs w:val="21"/>
                <w:highlight w:val="none"/>
              </w:rPr>
              <w:t>增值税等费用。</w:t>
            </w:r>
          </w:p>
        </w:tc>
      </w:tr>
      <w:tr w14:paraId="61B2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04" w:type="pct"/>
            <w:vMerge w:val="continue"/>
            <w:vAlign w:val="center"/>
          </w:tcPr>
          <w:p w14:paraId="76133265">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4163FE74">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3B1FF642">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val="en-US" w:eastAsia="zh-CN"/>
              </w:rPr>
              <w:t>3</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应提供货物的技术文件，包括但不限于设备配置清单、产品说明书、图纸、操作手册等，所有外文资料</w:t>
            </w:r>
            <w:r>
              <w:rPr>
                <w:rFonts w:hint="eastAsia" w:ascii="宋体" w:hAnsi="宋体" w:eastAsia="宋体" w:cs="宋体"/>
                <w:bCs/>
                <w:color w:val="auto"/>
                <w:sz w:val="21"/>
                <w:szCs w:val="21"/>
                <w:highlight w:val="none"/>
                <w:lang w:val="en-US" w:eastAsia="zh-CN"/>
              </w:rPr>
              <w:t>需</w:t>
            </w:r>
            <w:r>
              <w:rPr>
                <w:rFonts w:hint="eastAsia" w:ascii="宋体" w:hAnsi="宋体" w:eastAsia="宋体" w:cs="宋体"/>
                <w:bCs/>
                <w:color w:val="auto"/>
                <w:sz w:val="21"/>
                <w:szCs w:val="21"/>
                <w:highlight w:val="none"/>
              </w:rPr>
              <w:t>提供中文译本。文件应随货物一并交付至采购人指定地点</w:t>
            </w:r>
            <w:r>
              <w:rPr>
                <w:rFonts w:hint="eastAsia" w:ascii="宋体" w:hAnsi="宋体" w:eastAsia="宋体" w:cs="宋体"/>
                <w:color w:val="auto"/>
                <w:sz w:val="21"/>
                <w:szCs w:val="21"/>
                <w:highlight w:val="none"/>
              </w:rPr>
              <w:t>。</w:t>
            </w:r>
          </w:p>
        </w:tc>
      </w:tr>
      <w:tr w14:paraId="2533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0DE16B95">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60B9140B">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3F1C9951">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1.4</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提供的货物</w:t>
            </w:r>
            <w:r>
              <w:rPr>
                <w:rFonts w:hint="eastAsia" w:ascii="宋体" w:hAnsi="宋体" w:eastAsia="宋体" w:cs="宋体"/>
                <w:bCs/>
                <w:color w:val="auto"/>
                <w:sz w:val="21"/>
                <w:szCs w:val="21"/>
                <w:highlight w:val="none"/>
                <w:lang w:val="en-US" w:eastAsia="zh-CN"/>
              </w:rPr>
              <w:t>需</w:t>
            </w:r>
            <w:r>
              <w:rPr>
                <w:rFonts w:hint="eastAsia" w:ascii="宋体" w:hAnsi="宋体" w:eastAsia="宋体" w:cs="宋体"/>
                <w:bCs/>
                <w:color w:val="auto"/>
                <w:sz w:val="21"/>
                <w:szCs w:val="21"/>
                <w:highlight w:val="none"/>
              </w:rPr>
              <w:t>为全新、经检验合格的产品。产品如需要计量检定的应</w:t>
            </w:r>
            <w:r>
              <w:rPr>
                <w:rFonts w:hint="eastAsia" w:ascii="宋体" w:hAnsi="宋体" w:eastAsia="宋体" w:cs="宋体"/>
                <w:color w:val="auto"/>
                <w:sz w:val="21"/>
                <w:szCs w:val="21"/>
                <w:highlight w:val="none"/>
              </w:rPr>
              <w:t>提供</w:t>
            </w:r>
            <w:r>
              <w:rPr>
                <w:rFonts w:hint="eastAsia" w:ascii="宋体" w:hAnsi="宋体" w:eastAsia="宋体" w:cs="宋体"/>
                <w:bCs/>
                <w:color w:val="auto"/>
                <w:sz w:val="21"/>
                <w:szCs w:val="21"/>
                <w:highlight w:val="none"/>
              </w:rPr>
              <w:t>相关计量检定部门出具的合法检定报告</w:t>
            </w:r>
            <w:r>
              <w:rPr>
                <w:rFonts w:hint="eastAsia" w:ascii="宋体" w:hAnsi="宋体" w:eastAsia="宋体" w:cs="宋体"/>
                <w:bCs/>
                <w:color w:val="auto"/>
                <w:sz w:val="21"/>
                <w:szCs w:val="21"/>
                <w:highlight w:val="none"/>
                <w:lang w:eastAsia="zh-CN"/>
              </w:rPr>
              <w:t>。</w:t>
            </w:r>
          </w:p>
        </w:tc>
      </w:tr>
      <w:tr w14:paraId="5DB6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154491D8">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38FCCEDD">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46A4E818">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rPr>
              <w:t>采购人有权检验或测试货物，以确认货物是否符合合同规格的要求。如果发现所交货物与投标文件中所承诺的不符或存在质量、技术缺陷等</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采购人可以拒绝接收该货物</w:t>
            </w:r>
            <w:r>
              <w:rPr>
                <w:rFonts w:hint="eastAsia" w:ascii="宋体" w:hAnsi="宋体" w:eastAsia="宋体" w:cs="宋体"/>
                <w:bCs/>
                <w:color w:val="auto"/>
                <w:sz w:val="21"/>
                <w:szCs w:val="21"/>
                <w:highlight w:val="none"/>
                <w:lang w:eastAsia="zh-CN"/>
              </w:rPr>
              <w:t>，</w:t>
            </w:r>
            <w:r>
              <w:rPr>
                <w:rFonts w:hint="eastAsia" w:ascii="宋体" w:hAnsi="宋体" w:eastAsia="宋体" w:cs="宋体"/>
                <w:color w:val="auto"/>
                <w:spacing w:val="-2"/>
                <w:sz w:val="21"/>
                <w:szCs w:val="21"/>
                <w:highlight w:val="none"/>
                <w:lang w:val="en-US" w:eastAsia="zh-CN"/>
              </w:rPr>
              <w:t>中标人</w:t>
            </w:r>
            <w:r>
              <w:rPr>
                <w:rFonts w:hint="eastAsia" w:ascii="宋体" w:hAnsi="宋体" w:eastAsia="宋体" w:cs="宋体"/>
                <w:color w:val="auto"/>
                <w:spacing w:val="-2"/>
                <w:sz w:val="21"/>
                <w:szCs w:val="21"/>
                <w:highlight w:val="none"/>
              </w:rPr>
              <w:t>应在</w:t>
            </w:r>
            <w:r>
              <w:rPr>
                <w:rFonts w:hint="eastAsia" w:ascii="宋体" w:hAnsi="宋体" w:eastAsia="宋体" w:cs="宋体"/>
                <w:color w:val="auto"/>
                <w:spacing w:val="-2"/>
                <w:sz w:val="21"/>
                <w:szCs w:val="21"/>
                <w:highlight w:val="none"/>
                <w:u w:val="none" w:color="auto"/>
              </w:rPr>
              <w:t>7</w:t>
            </w:r>
            <w:r>
              <w:rPr>
                <w:rFonts w:hint="eastAsia" w:ascii="宋体" w:hAnsi="宋体" w:eastAsia="宋体" w:cs="宋体"/>
                <w:color w:val="auto"/>
                <w:spacing w:val="-3"/>
                <w:sz w:val="21"/>
                <w:szCs w:val="21"/>
                <w:highlight w:val="none"/>
                <w:u w:color="auto"/>
              </w:rPr>
              <w:t>天</w:t>
            </w:r>
            <w:r>
              <w:rPr>
                <w:rFonts w:hint="eastAsia" w:ascii="宋体" w:hAnsi="宋体" w:eastAsia="宋体" w:cs="宋体"/>
                <w:color w:val="auto"/>
                <w:spacing w:val="-3"/>
                <w:sz w:val="21"/>
                <w:szCs w:val="21"/>
                <w:highlight w:val="none"/>
              </w:rPr>
              <w:t>内采</w:t>
            </w:r>
            <w:r>
              <w:rPr>
                <w:rFonts w:hint="eastAsia" w:ascii="宋体" w:hAnsi="宋体" w:eastAsia="宋体" w:cs="宋体"/>
                <w:color w:val="auto"/>
                <w:sz w:val="21"/>
                <w:szCs w:val="21"/>
                <w:highlight w:val="none"/>
              </w:rPr>
              <w:t>取补足、更换或退货等措施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以满足规格的要求，由此发生的</w:t>
            </w:r>
            <w:r>
              <w:rPr>
                <w:rFonts w:hint="eastAsia" w:ascii="宋体" w:hAnsi="宋体" w:eastAsia="宋体" w:cs="宋体"/>
                <w:color w:val="auto"/>
                <w:spacing w:val="-1"/>
                <w:sz w:val="21"/>
                <w:szCs w:val="21"/>
                <w:highlight w:val="none"/>
              </w:rPr>
              <w:t>一切损失</w:t>
            </w:r>
            <w:r>
              <w:rPr>
                <w:rFonts w:hint="eastAsia" w:ascii="宋体" w:hAnsi="宋体" w:eastAsia="宋体" w:cs="宋体"/>
                <w:color w:val="auto"/>
                <w:spacing w:val="-2"/>
                <w:sz w:val="21"/>
                <w:szCs w:val="21"/>
                <w:highlight w:val="none"/>
              </w:rPr>
              <w:t>和费用由</w:t>
            </w:r>
            <w:r>
              <w:rPr>
                <w:rFonts w:hint="eastAsia" w:ascii="宋体" w:hAnsi="宋体" w:eastAsia="宋体" w:cs="宋体"/>
                <w:color w:val="auto"/>
                <w:spacing w:val="-2"/>
                <w:sz w:val="21"/>
                <w:szCs w:val="21"/>
                <w:highlight w:val="none"/>
                <w:lang w:val="en-US" w:eastAsia="zh-CN"/>
              </w:rPr>
              <w:t>中标人</w:t>
            </w:r>
            <w:r>
              <w:rPr>
                <w:rFonts w:hint="eastAsia" w:ascii="宋体" w:hAnsi="宋体" w:eastAsia="宋体" w:cs="宋体"/>
                <w:color w:val="auto"/>
                <w:spacing w:val="-2"/>
                <w:sz w:val="21"/>
                <w:szCs w:val="21"/>
                <w:highlight w:val="none"/>
              </w:rPr>
              <w:t>承担。</w:t>
            </w:r>
          </w:p>
        </w:tc>
      </w:tr>
      <w:tr w14:paraId="1106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0C6FE535">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2CAEA6A5">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554082D6">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中标人负责货物的现场安装和调试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提供货物安装、调试和维修所需的专用工具和辅助材料。中标人应在货物运至指定地点后</w:t>
            </w:r>
            <w:r>
              <w:rPr>
                <w:rFonts w:hint="eastAsia" w:ascii="宋体" w:hAnsi="宋体" w:eastAsia="宋体" w:cs="宋体"/>
                <w:color w:val="auto"/>
                <w:sz w:val="21"/>
                <w:szCs w:val="21"/>
                <w:highlight w:val="none"/>
                <w:u w:val="single"/>
                <w:lang w:val="en-US" w:eastAsia="zh-CN"/>
              </w:rPr>
              <w:t xml:space="preserve"> 5 </w:t>
            </w:r>
            <w:r>
              <w:rPr>
                <w:rFonts w:hint="eastAsia" w:ascii="宋体" w:hAnsi="宋体" w:eastAsia="宋体" w:cs="宋体"/>
                <w:color w:val="auto"/>
                <w:sz w:val="21"/>
                <w:szCs w:val="21"/>
                <w:highlight w:val="none"/>
                <w:lang w:val="en-US" w:eastAsia="zh-CN"/>
              </w:rPr>
              <w:t>天</w:t>
            </w:r>
            <w:r>
              <w:rPr>
                <w:rFonts w:hint="eastAsia" w:ascii="宋体" w:hAnsi="宋体" w:eastAsia="宋体" w:cs="宋体"/>
                <w:color w:val="auto"/>
                <w:sz w:val="21"/>
                <w:szCs w:val="21"/>
                <w:highlight w:val="none"/>
              </w:rPr>
              <w:t>内开始安装调试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并在</w:t>
            </w:r>
            <w:r>
              <w:rPr>
                <w:rFonts w:hint="eastAsia" w:ascii="宋体" w:hAnsi="宋体" w:eastAsia="宋体" w:cs="宋体"/>
                <w:bCs/>
                <w:color w:val="auto"/>
                <w:sz w:val="21"/>
                <w:szCs w:val="21"/>
                <w:highlight w:val="none"/>
                <w:u w:val="single"/>
              </w:rPr>
              <w:t xml:space="preserve"> 5 </w:t>
            </w:r>
            <w:r>
              <w:rPr>
                <w:rFonts w:hint="eastAsia" w:ascii="宋体" w:hAnsi="宋体" w:eastAsia="宋体" w:cs="宋体"/>
                <w:color w:val="auto"/>
                <w:sz w:val="21"/>
                <w:szCs w:val="21"/>
                <w:highlight w:val="none"/>
              </w:rPr>
              <w:t>天内安装调试完毕。</w:t>
            </w:r>
          </w:p>
        </w:tc>
      </w:tr>
      <w:tr w14:paraId="0143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restart"/>
            <w:vAlign w:val="center"/>
          </w:tcPr>
          <w:p w14:paraId="0C5DE210">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★2</w:t>
            </w:r>
          </w:p>
        </w:tc>
        <w:tc>
          <w:tcPr>
            <w:tcW w:w="712" w:type="pct"/>
            <w:vMerge w:val="restart"/>
            <w:vAlign w:val="center"/>
          </w:tcPr>
          <w:p w14:paraId="2D0C8150">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关于验收</w:t>
            </w:r>
          </w:p>
        </w:tc>
        <w:tc>
          <w:tcPr>
            <w:tcW w:w="3583" w:type="pct"/>
          </w:tcPr>
          <w:p w14:paraId="79C80EA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2.1</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货物经过双方检验认可后，签署验收报告，产品保修期自验收合格之日起算，由</w:t>
            </w:r>
            <w:r>
              <w:rPr>
                <w:rFonts w:hint="eastAsia" w:ascii="宋体" w:hAnsi="宋体" w:eastAsia="宋体" w:cs="宋体"/>
                <w:bCs/>
                <w:color w:val="auto"/>
                <w:sz w:val="21"/>
                <w:szCs w:val="21"/>
                <w:highlight w:val="none"/>
                <w:lang w:val="en-US" w:eastAsia="zh-CN"/>
              </w:rPr>
              <w:t>中标人</w:t>
            </w:r>
            <w:r>
              <w:rPr>
                <w:rFonts w:hint="eastAsia" w:ascii="宋体" w:hAnsi="宋体" w:eastAsia="宋体" w:cs="宋体"/>
                <w:bCs/>
                <w:color w:val="auto"/>
                <w:sz w:val="21"/>
                <w:szCs w:val="21"/>
                <w:highlight w:val="none"/>
              </w:rPr>
              <w:t>提供产品保修文件。</w:t>
            </w:r>
          </w:p>
        </w:tc>
      </w:tr>
      <w:tr w14:paraId="233D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6867B8FF">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521F930F">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21BC75F9">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2.2当满足以下条件时，采购人才向中标人签发货物验收报告：</w:t>
            </w:r>
          </w:p>
          <w:p w14:paraId="6FE25878">
            <w:pPr>
              <w:keepNext w:val="0"/>
              <w:keepLines w:val="0"/>
              <w:pageBreakBefore w:val="0"/>
              <w:widowControl w:val="0"/>
              <w:tabs>
                <w:tab w:val="left" w:pos="1260"/>
              </w:tabs>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a.</w:t>
            </w:r>
            <w:r>
              <w:rPr>
                <w:rFonts w:hint="eastAsia" w:ascii="宋体" w:hAnsi="宋体" w:eastAsia="宋体" w:cs="宋体"/>
                <w:bCs/>
                <w:color w:val="auto"/>
                <w:sz w:val="21"/>
                <w:szCs w:val="21"/>
                <w:highlight w:val="none"/>
              </w:rPr>
              <w:t>中标人已按照合同规定提供了全部产品及完整的技术资料。</w:t>
            </w:r>
          </w:p>
          <w:p w14:paraId="4C2F6A7D">
            <w:pPr>
              <w:keepNext w:val="0"/>
              <w:keepLines w:val="0"/>
              <w:pageBreakBefore w:val="0"/>
              <w:widowControl w:val="0"/>
              <w:tabs>
                <w:tab w:val="left" w:pos="1260"/>
              </w:tabs>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b.</w:t>
            </w:r>
            <w:r>
              <w:rPr>
                <w:rFonts w:hint="eastAsia" w:ascii="宋体" w:hAnsi="宋体" w:eastAsia="宋体" w:cs="宋体"/>
                <w:bCs/>
                <w:color w:val="auto"/>
                <w:sz w:val="21"/>
                <w:szCs w:val="21"/>
                <w:highlight w:val="none"/>
              </w:rPr>
              <w:t>货物符合招标文件技术规格书的要求，性能满足要求。</w:t>
            </w:r>
          </w:p>
          <w:p w14:paraId="1476C39C">
            <w:pPr>
              <w:keepNext w:val="0"/>
              <w:keepLines w:val="0"/>
              <w:pageBreakBefore w:val="0"/>
              <w:widowControl w:val="0"/>
              <w:tabs>
                <w:tab w:val="left" w:pos="1260"/>
              </w:tabs>
              <w:kinsoku/>
              <w:wordWrap/>
              <w:overflowPunct/>
              <w:topLinePunct w:val="0"/>
              <w:autoSpaceDE/>
              <w:autoSpaceDN/>
              <w:bidi w:val="0"/>
              <w:spacing w:line="360" w:lineRule="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c.</w:t>
            </w:r>
            <w:r>
              <w:rPr>
                <w:rFonts w:hint="eastAsia" w:ascii="宋体" w:hAnsi="宋体" w:eastAsia="宋体" w:cs="宋体"/>
                <w:bCs/>
                <w:color w:val="auto"/>
                <w:sz w:val="21"/>
                <w:szCs w:val="21"/>
                <w:highlight w:val="none"/>
                <w:lang w:eastAsia="zh-CN"/>
              </w:rPr>
              <w:t>货物如果是特种设备，中标人负责办理特种设备使用登记证，并提供</w:t>
            </w:r>
            <w:r>
              <w:rPr>
                <w:rFonts w:hint="eastAsia" w:ascii="宋体" w:hAnsi="宋体" w:eastAsia="宋体" w:cs="宋体"/>
                <w:bCs/>
                <w:color w:val="auto"/>
                <w:sz w:val="21"/>
                <w:szCs w:val="21"/>
                <w:highlight w:val="none"/>
                <w:lang w:val="en-US" w:eastAsia="zh-CN"/>
              </w:rPr>
              <w:t>两</w:t>
            </w:r>
            <w:r>
              <w:rPr>
                <w:rFonts w:hint="eastAsia" w:ascii="宋体" w:hAnsi="宋体" w:eastAsia="宋体" w:cs="宋体"/>
                <w:bCs/>
                <w:color w:val="auto"/>
                <w:sz w:val="21"/>
                <w:szCs w:val="21"/>
                <w:highlight w:val="none"/>
                <w:lang w:eastAsia="zh-CN"/>
              </w:rPr>
              <w:t>套特种设备附件（压力表、安全阀）给</w:t>
            </w:r>
            <w:r>
              <w:rPr>
                <w:rFonts w:hint="eastAsia" w:ascii="宋体" w:hAnsi="宋体" w:eastAsia="宋体" w:cs="宋体"/>
                <w:bCs/>
                <w:color w:val="auto"/>
                <w:sz w:val="21"/>
                <w:szCs w:val="21"/>
                <w:highlight w:val="none"/>
                <w:lang w:val="en-US" w:eastAsia="zh-CN"/>
              </w:rPr>
              <w:t>采购人</w:t>
            </w:r>
            <w:r>
              <w:rPr>
                <w:rFonts w:hint="eastAsia" w:ascii="宋体" w:hAnsi="宋体" w:eastAsia="宋体" w:cs="宋体"/>
                <w:bCs/>
                <w:color w:val="auto"/>
                <w:sz w:val="21"/>
                <w:szCs w:val="21"/>
                <w:highlight w:val="none"/>
                <w:lang w:eastAsia="zh-CN"/>
              </w:rPr>
              <w:t>备用。</w:t>
            </w:r>
          </w:p>
          <w:p w14:paraId="2193569F">
            <w:pPr>
              <w:keepNext w:val="0"/>
              <w:keepLines w:val="0"/>
              <w:pageBreakBefore w:val="0"/>
              <w:widowControl w:val="0"/>
              <w:tabs>
                <w:tab w:val="left" w:pos="1260"/>
              </w:tabs>
              <w:kinsoku/>
              <w:wordWrap/>
              <w:overflowPunct/>
              <w:topLinePunct w:val="0"/>
              <w:autoSpaceDE/>
              <w:autoSpaceDN/>
              <w:bidi w:val="0"/>
              <w:spacing w:line="360" w:lineRule="auto"/>
              <w:rPr>
                <w:rFonts w:hint="eastAsia" w:ascii="宋体" w:hAnsi="宋体" w:eastAsia="宋体" w:cs="宋体"/>
                <w:color w:val="auto"/>
                <w:spacing w:val="-6"/>
                <w:sz w:val="21"/>
                <w:szCs w:val="21"/>
                <w:highlight w:val="none"/>
              </w:rPr>
            </w:pPr>
            <w:r>
              <w:rPr>
                <w:rFonts w:hint="eastAsia" w:ascii="宋体" w:hAnsi="宋体" w:eastAsia="宋体" w:cs="宋体"/>
                <w:bCs/>
                <w:color w:val="auto"/>
                <w:sz w:val="21"/>
                <w:szCs w:val="21"/>
                <w:highlight w:val="none"/>
                <w:lang w:val="en-US" w:eastAsia="zh-CN"/>
              </w:rPr>
              <w:t>d.</w:t>
            </w:r>
            <w:r>
              <w:rPr>
                <w:rFonts w:hint="eastAsia" w:ascii="宋体" w:hAnsi="宋体" w:eastAsia="宋体" w:cs="宋体"/>
                <w:color w:val="auto"/>
                <w:spacing w:val="-5"/>
                <w:sz w:val="21"/>
                <w:szCs w:val="21"/>
                <w:highlight w:val="none"/>
              </w:rPr>
              <w:t>医疗设备的包装箱使用后由</w:t>
            </w:r>
            <w:r>
              <w:rPr>
                <w:rFonts w:hint="eastAsia" w:ascii="宋体" w:hAnsi="宋体" w:eastAsia="宋体" w:cs="宋体"/>
                <w:color w:val="auto"/>
                <w:spacing w:val="-5"/>
                <w:sz w:val="21"/>
                <w:szCs w:val="21"/>
                <w:highlight w:val="none"/>
                <w:lang w:val="en-US" w:eastAsia="zh-CN"/>
              </w:rPr>
              <w:t>中标人</w:t>
            </w:r>
            <w:r>
              <w:rPr>
                <w:rFonts w:hint="eastAsia" w:ascii="宋体" w:hAnsi="宋体" w:eastAsia="宋体" w:cs="宋体"/>
                <w:color w:val="auto"/>
                <w:spacing w:val="-5"/>
                <w:sz w:val="21"/>
                <w:szCs w:val="21"/>
                <w:highlight w:val="none"/>
              </w:rPr>
              <w:t>负责处</w:t>
            </w:r>
            <w:r>
              <w:rPr>
                <w:rFonts w:hint="eastAsia" w:ascii="宋体" w:hAnsi="宋体" w:eastAsia="宋体" w:cs="宋体"/>
                <w:color w:val="auto"/>
                <w:spacing w:val="-6"/>
                <w:sz w:val="21"/>
                <w:szCs w:val="21"/>
                <w:highlight w:val="none"/>
              </w:rPr>
              <w:t>理。</w:t>
            </w:r>
          </w:p>
          <w:p w14:paraId="755351A6">
            <w:pPr>
              <w:keepNext w:val="0"/>
              <w:keepLines w:val="0"/>
              <w:pageBreakBefore w:val="0"/>
              <w:widowControl w:val="0"/>
              <w:tabs>
                <w:tab w:val="left" w:pos="1260"/>
              </w:tabs>
              <w:kinsoku/>
              <w:wordWrap/>
              <w:overflowPunct/>
              <w:topLinePunct w:val="0"/>
              <w:autoSpaceDE/>
              <w:autoSpaceDN/>
              <w:bidi w:val="0"/>
              <w:spacing w:line="360" w:lineRule="auto"/>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e.</w:t>
            </w:r>
            <w:r>
              <w:rPr>
                <w:rFonts w:hint="eastAsia" w:ascii="宋体" w:hAnsi="宋体" w:eastAsia="宋体" w:cs="宋体"/>
                <w:color w:val="auto"/>
                <w:spacing w:val="-47"/>
                <w:sz w:val="21"/>
                <w:szCs w:val="21"/>
                <w:highlight w:val="none"/>
              </w:rPr>
              <w:t xml:space="preserve"> </w:t>
            </w:r>
            <w:r>
              <w:rPr>
                <w:rFonts w:hint="eastAsia" w:ascii="宋体" w:hAnsi="宋体" w:eastAsia="宋体" w:cs="宋体"/>
                <w:color w:val="auto"/>
                <w:spacing w:val="-8"/>
                <w:sz w:val="21"/>
                <w:szCs w:val="21"/>
                <w:highlight w:val="none"/>
              </w:rPr>
              <w:t>设备安装过程中不得破坏已有设备、器具和装修，如有</w:t>
            </w:r>
            <w:r>
              <w:rPr>
                <w:rFonts w:hint="eastAsia" w:ascii="宋体" w:hAnsi="宋体" w:eastAsia="宋体" w:cs="宋体"/>
                <w:color w:val="auto"/>
                <w:spacing w:val="-9"/>
                <w:sz w:val="21"/>
                <w:szCs w:val="21"/>
                <w:highlight w:val="none"/>
              </w:rPr>
              <w:t>损坏，需无条</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0"/>
                <w:sz w:val="21"/>
                <w:szCs w:val="21"/>
                <w:highlight w:val="none"/>
              </w:rPr>
              <w:t>件恢复原状。</w:t>
            </w:r>
          </w:p>
        </w:tc>
      </w:tr>
      <w:tr w14:paraId="6930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07F27A81">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5EC0442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4D6D0620">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2.3</w:t>
            </w:r>
            <w:r>
              <w:rPr>
                <w:rFonts w:hint="eastAsia" w:ascii="宋体" w:hAnsi="宋体" w:eastAsia="宋体" w:cs="宋体"/>
                <w:color w:val="auto"/>
                <w:sz w:val="21"/>
                <w:szCs w:val="21"/>
                <w:highlight w:val="none"/>
              </w:rPr>
              <w:t>由中标人代表和采购人组成验收小组对产品进行验收</w:t>
            </w:r>
            <w:r>
              <w:rPr>
                <w:rFonts w:hint="eastAsia" w:ascii="宋体" w:hAnsi="宋体" w:eastAsia="宋体" w:cs="宋体"/>
                <w:color w:val="auto"/>
                <w:sz w:val="21"/>
                <w:szCs w:val="21"/>
                <w:highlight w:val="none"/>
                <w:lang w:eastAsia="zh-CN"/>
              </w:rPr>
              <w:t>，必要时采购人有权邀请第三方机构及本单位以外专家参与验收，相关验收意见作为验收参考资料</w:t>
            </w:r>
            <w:r>
              <w:rPr>
                <w:rFonts w:hint="eastAsia" w:ascii="宋体" w:hAnsi="宋体" w:eastAsia="宋体" w:cs="宋体"/>
                <w:color w:val="auto"/>
                <w:sz w:val="21"/>
                <w:szCs w:val="21"/>
                <w:highlight w:val="none"/>
              </w:rPr>
              <w:t>。验收标准按照国家规定标准执行。经检验设备正常运作后签署验收报告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产品保修期自验收合格之日起算。</w:t>
            </w:r>
          </w:p>
        </w:tc>
      </w:tr>
      <w:tr w14:paraId="04E0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restart"/>
            <w:vAlign w:val="center"/>
          </w:tcPr>
          <w:p w14:paraId="7EFAC237">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★3</w:t>
            </w:r>
          </w:p>
        </w:tc>
        <w:tc>
          <w:tcPr>
            <w:tcW w:w="712" w:type="pct"/>
            <w:vMerge w:val="restart"/>
            <w:vAlign w:val="center"/>
          </w:tcPr>
          <w:p w14:paraId="7C283E1E">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关于违约</w:t>
            </w:r>
          </w:p>
        </w:tc>
        <w:tc>
          <w:tcPr>
            <w:tcW w:w="3583" w:type="pct"/>
          </w:tcPr>
          <w:p w14:paraId="40375274">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rPr>
              <w:t>3.1中标</w:t>
            </w:r>
            <w:r>
              <w:rPr>
                <w:rFonts w:hint="eastAsia" w:ascii="宋体" w:hAnsi="宋体" w:eastAsia="宋体" w:cs="宋体"/>
                <w:color w:val="auto"/>
                <w:sz w:val="21"/>
                <w:szCs w:val="21"/>
                <w:highlight w:val="none"/>
              </w:rPr>
              <w:t>人</w:t>
            </w:r>
            <w:r>
              <w:rPr>
                <w:rFonts w:hint="eastAsia" w:ascii="宋体" w:hAnsi="宋体" w:eastAsia="宋体" w:cs="宋体"/>
                <w:bCs/>
                <w:color w:val="auto"/>
                <w:sz w:val="21"/>
                <w:szCs w:val="21"/>
                <w:highlight w:val="none"/>
              </w:rPr>
              <w:t>未按照投标文件中承诺的时间交货或提供服务，投标人</w:t>
            </w:r>
            <w:r>
              <w:rPr>
                <w:rFonts w:hint="eastAsia" w:ascii="宋体" w:hAnsi="宋体" w:eastAsia="宋体" w:cs="宋体"/>
                <w:color w:val="auto"/>
                <w:sz w:val="21"/>
                <w:szCs w:val="21"/>
                <w:highlight w:val="none"/>
              </w:rPr>
              <w:t>应承担</w:t>
            </w:r>
            <w:r>
              <w:rPr>
                <w:rFonts w:hint="eastAsia" w:ascii="宋体" w:hAnsi="宋体" w:eastAsia="宋体" w:cs="宋体"/>
                <w:bCs/>
                <w:color w:val="auto"/>
                <w:sz w:val="21"/>
                <w:szCs w:val="21"/>
                <w:highlight w:val="none"/>
              </w:rPr>
              <w:t>延期交货和延期服务的违约责任，并赔偿采购人因此造成的实际经济损失。实际经济损失超出履约保证金额，采购人有权终止合同。</w:t>
            </w:r>
          </w:p>
        </w:tc>
      </w:tr>
      <w:tr w14:paraId="0A8E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7832215C">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7082EA74">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10DD2D64">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lang w:val="en-US" w:eastAsia="zh-CN"/>
              </w:rPr>
              <w:t>3.2</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所交设备的品种、型号、规格、质量、功能、技术参数等方面不能实质性满足招标文件</w:t>
            </w:r>
            <w:r>
              <w:rPr>
                <w:rFonts w:hint="eastAsia" w:ascii="宋体" w:hAnsi="宋体" w:eastAsia="宋体" w:cs="宋体"/>
                <w:bCs/>
                <w:color w:val="auto"/>
                <w:sz w:val="21"/>
                <w:szCs w:val="21"/>
                <w:highlight w:val="none"/>
                <w:lang w:eastAsia="zh-CN"/>
              </w:rPr>
              <w:t>要求</w:t>
            </w:r>
            <w:r>
              <w:rPr>
                <w:rFonts w:hint="eastAsia" w:ascii="宋体" w:hAnsi="宋体" w:eastAsia="宋体" w:cs="宋体"/>
                <w:bCs/>
                <w:color w:val="auto"/>
                <w:sz w:val="21"/>
                <w:szCs w:val="21"/>
                <w:highlight w:val="none"/>
              </w:rPr>
              <w:t>的，采购人有权拒绝收货</w:t>
            </w:r>
            <w:r>
              <w:rPr>
                <w:rFonts w:hint="eastAsia" w:ascii="宋体" w:hAnsi="宋体" w:eastAsia="宋体" w:cs="宋体"/>
                <w:bCs/>
                <w:color w:val="auto"/>
                <w:sz w:val="21"/>
                <w:szCs w:val="21"/>
                <w:highlight w:val="none"/>
                <w:lang w:eastAsia="zh-CN"/>
              </w:rPr>
              <w:t>，由</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向采购人偿付项目采购金额千分之</w:t>
            </w:r>
            <w:r>
              <w:rPr>
                <w:rFonts w:hint="eastAsia" w:ascii="宋体" w:hAnsi="宋体" w:eastAsia="宋体" w:cs="宋体"/>
                <w:bCs/>
                <w:color w:val="auto"/>
                <w:sz w:val="21"/>
                <w:szCs w:val="21"/>
                <w:highlight w:val="none"/>
                <w:u w:val="single"/>
              </w:rPr>
              <w:t xml:space="preserve"> 10 </w:t>
            </w:r>
            <w:r>
              <w:rPr>
                <w:rFonts w:hint="eastAsia" w:ascii="宋体" w:hAnsi="宋体" w:eastAsia="宋体" w:cs="宋体"/>
                <w:bCs/>
                <w:color w:val="auto"/>
                <w:sz w:val="21"/>
                <w:szCs w:val="21"/>
                <w:highlight w:val="none"/>
              </w:rPr>
              <w:t>的违约金；造成严重后果的，根据《深圳经济特区政府采购条例》第五十七条第（二）款规定，由主管部门对投标人进行处罚。</w:t>
            </w:r>
          </w:p>
        </w:tc>
      </w:tr>
      <w:tr w14:paraId="3D2C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59599C67">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138A0C5D">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0BE957C6">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3.3</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不能交付设备的，投标人向采购人偿付项目采购金额百分之</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5</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的违约金；造成严重后果的，根据《深圳经济特区政府采购条例》第五十七条第（二）款规定，由主管部门对投标人进行处罚。</w:t>
            </w:r>
          </w:p>
        </w:tc>
      </w:tr>
      <w:tr w14:paraId="773C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704" w:type="pct"/>
            <w:vMerge w:val="continue"/>
            <w:vAlign w:val="center"/>
          </w:tcPr>
          <w:p w14:paraId="57E968D3">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1731D980">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3F88C3F9">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3.4</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逾期未交设备的，</w:t>
            </w:r>
            <w:r>
              <w:rPr>
                <w:rFonts w:hint="eastAsia" w:ascii="宋体" w:hAnsi="宋体" w:eastAsia="宋体" w:cs="宋体"/>
                <w:color w:val="auto"/>
                <w:sz w:val="21"/>
                <w:szCs w:val="21"/>
                <w:highlight w:val="none"/>
              </w:rPr>
              <w:t>中标人</w:t>
            </w:r>
            <w:r>
              <w:rPr>
                <w:rFonts w:hint="eastAsia" w:ascii="宋体" w:hAnsi="宋体" w:eastAsia="宋体" w:cs="宋体"/>
                <w:bCs/>
                <w:color w:val="auto"/>
                <w:sz w:val="21"/>
                <w:szCs w:val="21"/>
                <w:highlight w:val="none"/>
              </w:rPr>
              <w:t>向采购人每日偿付设备款千分之</w:t>
            </w:r>
            <w:r>
              <w:rPr>
                <w:rFonts w:hint="eastAsia" w:ascii="宋体" w:hAnsi="宋体" w:eastAsia="宋体" w:cs="宋体"/>
                <w:bCs/>
                <w:color w:val="auto"/>
                <w:sz w:val="21"/>
                <w:szCs w:val="21"/>
                <w:highlight w:val="none"/>
                <w:u w:val="single"/>
              </w:rPr>
              <w:t xml:space="preserve"> 1</w:t>
            </w:r>
            <w:r>
              <w:rPr>
                <w:rFonts w:hint="eastAsia" w:ascii="宋体" w:hAnsi="宋体" w:eastAsia="宋体" w:cs="宋体"/>
                <w:bCs/>
                <w:color w:val="auto"/>
                <w:sz w:val="21"/>
                <w:szCs w:val="21"/>
                <w:highlight w:val="none"/>
              </w:rPr>
              <w:t>的违约金。中标人超过交货期限</w:t>
            </w:r>
            <w:r>
              <w:rPr>
                <w:rFonts w:hint="eastAsia" w:ascii="宋体" w:hAnsi="宋体" w:eastAsia="宋体" w:cs="宋体"/>
                <w:bCs/>
                <w:color w:val="auto"/>
                <w:sz w:val="21"/>
                <w:szCs w:val="21"/>
                <w:highlight w:val="none"/>
                <w:u w:val="single"/>
              </w:rPr>
              <w:t xml:space="preserve"> 10 </w:t>
            </w:r>
            <w:r>
              <w:rPr>
                <w:rFonts w:hint="eastAsia" w:ascii="宋体" w:hAnsi="宋体" w:eastAsia="宋体" w:cs="宋体"/>
                <w:bCs/>
                <w:color w:val="auto"/>
                <w:sz w:val="21"/>
                <w:szCs w:val="21"/>
                <w:highlight w:val="none"/>
              </w:rPr>
              <w:t>日仍未交货，采购人有权解除合同</w:t>
            </w:r>
          </w:p>
        </w:tc>
      </w:tr>
      <w:tr w14:paraId="704F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009514A0">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6F7512C8">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1EF0BBEC">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 w:val="0"/>
                <w:bCs/>
                <w:color w:val="auto"/>
                <w:sz w:val="21"/>
                <w:szCs w:val="21"/>
                <w:highlight w:val="none"/>
                <w:lang w:val="en-US" w:eastAsia="zh-CN"/>
              </w:rPr>
              <w:t>3.5</w:t>
            </w:r>
            <w:r>
              <w:rPr>
                <w:rFonts w:hint="eastAsia" w:ascii="宋体" w:hAnsi="宋体" w:eastAsia="宋体" w:cs="宋体"/>
                <w:b w:val="0"/>
                <w:bCs/>
                <w:color w:val="auto"/>
                <w:sz w:val="21"/>
                <w:szCs w:val="21"/>
                <w:highlight w:val="none"/>
              </w:rPr>
              <w:t>中标人逾期交货的，将被没收履约保证金并按主管部门相关规定处理</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违约金先</w:t>
            </w:r>
            <w:r>
              <w:rPr>
                <w:rFonts w:hint="eastAsia" w:ascii="宋体" w:hAnsi="宋体" w:eastAsia="宋体" w:cs="宋体"/>
                <w:b w:val="0"/>
                <w:bCs/>
                <w:color w:val="auto"/>
                <w:sz w:val="21"/>
                <w:szCs w:val="21"/>
                <w:highlight w:val="none"/>
                <w:lang w:eastAsia="zh-CN"/>
              </w:rPr>
              <w:t>从</w:t>
            </w:r>
            <w:r>
              <w:rPr>
                <w:rFonts w:hint="eastAsia" w:ascii="宋体" w:hAnsi="宋体" w:eastAsia="宋体" w:cs="宋体"/>
                <w:b w:val="0"/>
                <w:bCs/>
                <w:color w:val="auto"/>
                <w:sz w:val="21"/>
                <w:szCs w:val="21"/>
                <w:highlight w:val="none"/>
              </w:rPr>
              <w:t>投标人履约保证金中扣除，若有不足部分则由中标人补齐。</w:t>
            </w:r>
          </w:p>
        </w:tc>
      </w:tr>
      <w:tr w14:paraId="466E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Merge w:val="continue"/>
            <w:vAlign w:val="center"/>
          </w:tcPr>
          <w:p w14:paraId="5A93061D">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712" w:type="pct"/>
            <w:vMerge w:val="continue"/>
            <w:vAlign w:val="center"/>
          </w:tcPr>
          <w:p w14:paraId="76527EA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p>
        </w:tc>
        <w:tc>
          <w:tcPr>
            <w:tcW w:w="3583" w:type="pct"/>
          </w:tcPr>
          <w:p w14:paraId="245A8D8A">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rPr>
              <w:t>3.</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中标人所交付产品、工程或服务不符合其投标承诺的，或在投标阶段为了中标而盲目虚假承诺、低价恶性竞争，在履约</w:t>
            </w:r>
            <w:r>
              <w:rPr>
                <w:rFonts w:hint="eastAsia" w:ascii="宋体" w:hAnsi="宋体" w:eastAsia="宋体" w:cs="宋体"/>
                <w:b w:val="0"/>
                <w:bCs/>
                <w:color w:val="auto"/>
                <w:sz w:val="21"/>
                <w:szCs w:val="21"/>
                <w:highlight w:val="none"/>
                <w:lang w:eastAsia="zh-CN"/>
              </w:rPr>
              <w:t>阶段</w:t>
            </w:r>
            <w:r>
              <w:rPr>
                <w:rFonts w:hint="eastAsia" w:ascii="宋体" w:hAnsi="宋体" w:eastAsia="宋体" w:cs="宋体"/>
                <w:b w:val="0"/>
                <w:bCs/>
                <w:color w:val="auto"/>
                <w:sz w:val="21"/>
                <w:szCs w:val="21"/>
                <w:highlight w:val="none"/>
              </w:rPr>
              <w:t>通过偷工减料、以次充好而获取利润的，将被没收履约保证金，并被履约评价工作实施机构评为履约等级“差”并按主管部门相关规定处理。</w:t>
            </w:r>
          </w:p>
        </w:tc>
      </w:tr>
      <w:tr w14:paraId="4711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704" w:type="pct"/>
            <w:vMerge w:val="restart"/>
            <w:vAlign w:val="center"/>
          </w:tcPr>
          <w:p w14:paraId="2340DDD1">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★4</w:t>
            </w:r>
          </w:p>
        </w:tc>
        <w:tc>
          <w:tcPr>
            <w:tcW w:w="712" w:type="pct"/>
            <w:vMerge w:val="restart"/>
            <w:vAlign w:val="center"/>
          </w:tcPr>
          <w:p w14:paraId="2CE19FAB">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关于付款</w:t>
            </w:r>
          </w:p>
        </w:tc>
        <w:tc>
          <w:tcPr>
            <w:tcW w:w="3583" w:type="pct"/>
          </w:tcPr>
          <w:p w14:paraId="5822B17A">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4.1</w:t>
            </w:r>
            <w:r>
              <w:rPr>
                <w:rFonts w:hint="eastAsia" w:ascii="宋体" w:hAnsi="宋体" w:eastAsia="宋体" w:cs="宋体"/>
                <w:b w:val="0"/>
                <w:bCs/>
                <w:color w:val="auto"/>
                <w:sz w:val="21"/>
                <w:szCs w:val="21"/>
                <w:highlight w:val="none"/>
              </w:rPr>
              <w:t>全部合同货物到达交货地点，并安装调试且验收合格后，</w:t>
            </w:r>
            <w:r>
              <w:rPr>
                <w:rFonts w:hint="eastAsia" w:ascii="宋体" w:hAnsi="宋体" w:eastAsia="宋体" w:cs="宋体"/>
                <w:b w:val="0"/>
                <w:bCs/>
                <w:color w:val="auto"/>
                <w:sz w:val="21"/>
                <w:szCs w:val="21"/>
                <w:highlight w:val="none"/>
                <w:lang w:eastAsia="zh-CN"/>
              </w:rPr>
              <w:t>提交验收资料</w:t>
            </w:r>
            <w:r>
              <w:rPr>
                <w:rFonts w:hint="eastAsia" w:ascii="宋体" w:hAnsi="宋体" w:eastAsia="宋体" w:cs="宋体"/>
                <w:b w:val="0"/>
                <w:bCs/>
                <w:color w:val="auto"/>
                <w:sz w:val="21"/>
                <w:szCs w:val="21"/>
                <w:highlight w:val="none"/>
              </w:rPr>
              <w:t>，采购人在收到</w:t>
            </w:r>
            <w:r>
              <w:rPr>
                <w:rFonts w:hint="eastAsia" w:ascii="宋体" w:hAnsi="宋体" w:eastAsia="宋体" w:cs="宋体"/>
                <w:b w:val="0"/>
                <w:bCs/>
                <w:color w:val="auto"/>
                <w:sz w:val="21"/>
                <w:szCs w:val="21"/>
                <w:highlight w:val="none"/>
                <w:lang w:eastAsia="zh-CN"/>
              </w:rPr>
              <w:t>验收资料和</w:t>
            </w:r>
            <w:r>
              <w:rPr>
                <w:rFonts w:hint="eastAsia" w:ascii="宋体" w:hAnsi="宋体" w:eastAsia="宋体" w:cs="宋体"/>
                <w:b w:val="0"/>
                <w:bCs/>
                <w:color w:val="auto"/>
                <w:sz w:val="21"/>
                <w:szCs w:val="21"/>
                <w:highlight w:val="none"/>
              </w:rPr>
              <w:t xml:space="preserve">发票后向中标人支付合同总价的 </w:t>
            </w:r>
            <w:r>
              <w:rPr>
                <w:rFonts w:hint="eastAsia" w:ascii="宋体" w:hAnsi="宋体" w:eastAsia="宋体" w:cs="宋体"/>
                <w:b w:val="0"/>
                <w:bCs/>
                <w:color w:val="auto"/>
                <w:sz w:val="21"/>
                <w:szCs w:val="21"/>
                <w:highlight w:val="none"/>
                <w:u w:val="single"/>
              </w:rPr>
              <w:t xml:space="preserve"> </w:t>
            </w:r>
            <w:r>
              <w:rPr>
                <w:rFonts w:hint="eastAsia" w:ascii="宋体" w:hAnsi="宋体" w:eastAsia="宋体" w:cs="宋体"/>
                <w:b w:val="0"/>
                <w:bCs/>
                <w:color w:val="auto"/>
                <w:sz w:val="21"/>
                <w:szCs w:val="21"/>
                <w:highlight w:val="none"/>
                <w:u w:val="single"/>
                <w:lang w:val="en-US" w:eastAsia="zh-CN"/>
              </w:rPr>
              <w:t>100</w:t>
            </w:r>
            <w:r>
              <w:rPr>
                <w:rFonts w:hint="eastAsia" w:ascii="宋体" w:hAnsi="宋体" w:eastAsia="宋体" w:cs="宋体"/>
                <w:b w:val="0"/>
                <w:bCs/>
                <w:color w:val="auto"/>
                <w:sz w:val="21"/>
                <w:szCs w:val="21"/>
                <w:highlight w:val="none"/>
                <w:u w:val="single"/>
              </w:rPr>
              <w:t xml:space="preserve"> </w:t>
            </w:r>
            <w:r>
              <w:rPr>
                <w:rFonts w:hint="eastAsia" w:ascii="宋体" w:hAnsi="宋体" w:eastAsia="宋体" w:cs="宋体"/>
                <w:b w:val="0"/>
                <w:bCs/>
                <w:color w:val="auto"/>
                <w:sz w:val="21"/>
                <w:szCs w:val="21"/>
                <w:highlight w:val="none"/>
              </w:rPr>
              <w:t>%。</w:t>
            </w:r>
          </w:p>
        </w:tc>
      </w:tr>
      <w:tr w14:paraId="0D05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704" w:type="pct"/>
            <w:vMerge w:val="continue"/>
            <w:vAlign w:val="center"/>
          </w:tcPr>
          <w:p w14:paraId="7D1BCAC8">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rPr>
            </w:pPr>
          </w:p>
        </w:tc>
        <w:tc>
          <w:tcPr>
            <w:tcW w:w="712" w:type="pct"/>
            <w:vMerge w:val="continue"/>
            <w:vAlign w:val="center"/>
          </w:tcPr>
          <w:p w14:paraId="51B18FCA">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rPr>
            </w:pPr>
          </w:p>
        </w:tc>
        <w:tc>
          <w:tcPr>
            <w:tcW w:w="3583" w:type="pct"/>
          </w:tcPr>
          <w:p w14:paraId="1AAD78B3">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4.2</w:t>
            </w:r>
            <w:r>
              <w:rPr>
                <w:rFonts w:hint="eastAsia" w:ascii="宋体" w:hAnsi="宋体" w:eastAsia="宋体" w:cs="宋体"/>
                <w:b w:val="0"/>
                <w:bCs/>
                <w:color w:val="auto"/>
                <w:sz w:val="21"/>
                <w:szCs w:val="21"/>
                <w:highlight w:val="none"/>
              </w:rPr>
              <w:t>每次</w:t>
            </w:r>
            <w:r>
              <w:rPr>
                <w:rFonts w:hint="eastAsia" w:ascii="宋体" w:hAnsi="宋体" w:eastAsia="宋体" w:cs="宋体"/>
                <w:b w:val="0"/>
                <w:bCs/>
                <w:color w:val="auto"/>
                <w:sz w:val="21"/>
                <w:szCs w:val="21"/>
                <w:highlight w:val="none"/>
                <w:lang w:eastAsia="zh-TW"/>
              </w:rPr>
              <w:t>按合同支付款项前，</w:t>
            </w:r>
            <w:r>
              <w:rPr>
                <w:rFonts w:hint="eastAsia" w:ascii="宋体" w:hAnsi="宋体" w:eastAsia="宋体" w:cs="宋体"/>
                <w:b w:val="0"/>
                <w:bCs/>
                <w:color w:val="auto"/>
                <w:sz w:val="21"/>
                <w:szCs w:val="21"/>
                <w:highlight w:val="none"/>
              </w:rPr>
              <w:t>中标人应</w:t>
            </w:r>
            <w:r>
              <w:rPr>
                <w:rFonts w:hint="eastAsia" w:ascii="宋体" w:hAnsi="宋体" w:eastAsia="宋体" w:cs="宋体"/>
                <w:b w:val="0"/>
                <w:bCs/>
                <w:color w:val="auto"/>
                <w:sz w:val="21"/>
                <w:szCs w:val="21"/>
                <w:highlight w:val="none"/>
                <w:lang w:eastAsia="zh-TW"/>
              </w:rPr>
              <w:t>向采购人提供与支付金额相符的有效发票，且收款方、出具发票方、合同乙方均必须与</w:t>
            </w:r>
            <w:r>
              <w:rPr>
                <w:rFonts w:hint="eastAsia" w:ascii="宋体" w:hAnsi="宋体" w:eastAsia="宋体" w:cs="宋体"/>
                <w:b w:val="0"/>
                <w:bCs/>
                <w:color w:val="auto"/>
                <w:sz w:val="21"/>
                <w:szCs w:val="21"/>
                <w:highlight w:val="none"/>
              </w:rPr>
              <w:t>中标人</w:t>
            </w:r>
            <w:r>
              <w:rPr>
                <w:rFonts w:hint="eastAsia" w:ascii="宋体" w:hAnsi="宋体" w:eastAsia="宋体" w:cs="宋体"/>
                <w:b w:val="0"/>
                <w:bCs/>
                <w:color w:val="auto"/>
                <w:sz w:val="21"/>
                <w:szCs w:val="21"/>
                <w:highlight w:val="none"/>
                <w:lang w:eastAsia="zh-TW"/>
              </w:rPr>
              <w:t>名称一致；</w:t>
            </w:r>
          </w:p>
        </w:tc>
      </w:tr>
      <w:tr w14:paraId="6A2E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704" w:type="pct"/>
            <w:vMerge w:val="continue"/>
            <w:vAlign w:val="center"/>
          </w:tcPr>
          <w:p w14:paraId="6768A91B">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lang w:val="en-US" w:eastAsia="zh-CN"/>
              </w:rPr>
            </w:pPr>
          </w:p>
        </w:tc>
        <w:tc>
          <w:tcPr>
            <w:tcW w:w="712" w:type="pct"/>
            <w:vMerge w:val="continue"/>
            <w:vAlign w:val="center"/>
          </w:tcPr>
          <w:p w14:paraId="687B6FC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lang w:val="en-US" w:eastAsia="zh-CN"/>
              </w:rPr>
            </w:pPr>
          </w:p>
        </w:tc>
        <w:tc>
          <w:tcPr>
            <w:tcW w:w="3583" w:type="pct"/>
          </w:tcPr>
          <w:p w14:paraId="646A450F">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4.3</w:t>
            </w:r>
            <w:r>
              <w:rPr>
                <w:rFonts w:hint="eastAsia" w:ascii="宋体" w:hAnsi="宋体" w:eastAsia="宋体" w:cs="宋体"/>
                <w:b w:val="0"/>
                <w:bCs/>
                <w:color w:val="auto"/>
                <w:sz w:val="21"/>
                <w:szCs w:val="21"/>
                <w:highlight w:val="none"/>
              </w:rPr>
              <w:t>违约责任：</w:t>
            </w:r>
            <w:r>
              <w:rPr>
                <w:rFonts w:hint="eastAsia" w:ascii="宋体" w:hAnsi="宋体" w:eastAsia="宋体" w:cs="宋体"/>
                <w:b w:val="0"/>
                <w:bCs/>
                <w:color w:val="auto"/>
                <w:sz w:val="21"/>
                <w:szCs w:val="21"/>
                <w:highlight w:val="none"/>
                <w:lang w:eastAsia="zh-TW"/>
              </w:rPr>
              <w:t>采购人逾期</w:t>
            </w:r>
            <w:r>
              <w:rPr>
                <w:rFonts w:hint="eastAsia" w:ascii="宋体" w:hAnsi="宋体" w:eastAsia="宋体" w:cs="宋体"/>
                <w:b w:val="0"/>
                <w:bCs/>
                <w:color w:val="auto"/>
                <w:sz w:val="21"/>
                <w:szCs w:val="21"/>
                <w:highlight w:val="none"/>
              </w:rPr>
              <w:t>支付合同款项</w:t>
            </w:r>
            <w:r>
              <w:rPr>
                <w:rFonts w:hint="eastAsia" w:ascii="宋体" w:hAnsi="宋体" w:eastAsia="宋体" w:cs="宋体"/>
                <w:b w:val="0"/>
                <w:bCs/>
                <w:color w:val="auto"/>
                <w:sz w:val="21"/>
                <w:szCs w:val="21"/>
                <w:highlight w:val="none"/>
                <w:lang w:eastAsia="zh-TW"/>
              </w:rPr>
              <w:t>的，除应当</w:t>
            </w:r>
            <w:r>
              <w:rPr>
                <w:rFonts w:hint="eastAsia" w:ascii="宋体" w:hAnsi="宋体" w:eastAsia="宋体" w:cs="宋体"/>
                <w:b w:val="0"/>
                <w:bCs/>
                <w:color w:val="auto"/>
                <w:sz w:val="21"/>
                <w:szCs w:val="21"/>
                <w:highlight w:val="none"/>
              </w:rPr>
              <w:t>支付合同款项</w:t>
            </w:r>
            <w:r>
              <w:rPr>
                <w:rFonts w:hint="eastAsia" w:ascii="宋体" w:hAnsi="宋体" w:eastAsia="宋体" w:cs="宋体"/>
                <w:b w:val="0"/>
                <w:bCs/>
                <w:color w:val="auto"/>
                <w:sz w:val="21"/>
                <w:szCs w:val="21"/>
                <w:highlight w:val="none"/>
                <w:lang w:eastAsia="zh-TW"/>
              </w:rPr>
              <w:t>外，还应当每日按合同总价的</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eastAsia="zh-TW"/>
              </w:rPr>
              <w:t>‰向</w:t>
            </w:r>
            <w:r>
              <w:rPr>
                <w:rFonts w:hint="eastAsia" w:ascii="宋体" w:hAnsi="宋体" w:eastAsia="宋体" w:cs="宋体"/>
                <w:b w:val="0"/>
                <w:bCs/>
                <w:color w:val="auto"/>
                <w:sz w:val="21"/>
                <w:szCs w:val="21"/>
                <w:highlight w:val="none"/>
              </w:rPr>
              <w:t>中标人</w:t>
            </w:r>
            <w:r>
              <w:rPr>
                <w:rFonts w:hint="eastAsia" w:ascii="宋体" w:hAnsi="宋体" w:eastAsia="宋体" w:cs="宋体"/>
                <w:b w:val="0"/>
                <w:bCs/>
                <w:color w:val="auto"/>
                <w:sz w:val="21"/>
                <w:szCs w:val="21"/>
                <w:highlight w:val="none"/>
                <w:lang w:eastAsia="zh-TW"/>
              </w:rPr>
              <w:t>偿付违约金，但因</w:t>
            </w:r>
            <w:r>
              <w:rPr>
                <w:rFonts w:hint="eastAsia" w:ascii="宋体" w:hAnsi="宋体" w:eastAsia="宋体" w:cs="宋体"/>
                <w:b w:val="0"/>
                <w:bCs/>
                <w:color w:val="auto"/>
                <w:sz w:val="21"/>
                <w:szCs w:val="21"/>
                <w:highlight w:val="none"/>
              </w:rPr>
              <w:t>中标人</w:t>
            </w:r>
            <w:r>
              <w:rPr>
                <w:rFonts w:hint="eastAsia" w:ascii="宋体" w:hAnsi="宋体" w:eastAsia="宋体" w:cs="宋体"/>
                <w:b w:val="0"/>
                <w:bCs/>
                <w:color w:val="auto"/>
                <w:sz w:val="21"/>
                <w:szCs w:val="21"/>
                <w:highlight w:val="none"/>
                <w:lang w:eastAsia="zh-TW"/>
              </w:rPr>
              <w:t>自身原因导致无法及时</w:t>
            </w:r>
            <w:r>
              <w:rPr>
                <w:rFonts w:hint="eastAsia" w:ascii="宋体" w:hAnsi="宋体" w:eastAsia="宋体" w:cs="宋体"/>
                <w:b w:val="0"/>
                <w:bCs/>
                <w:color w:val="auto"/>
                <w:sz w:val="21"/>
                <w:szCs w:val="21"/>
                <w:highlight w:val="none"/>
              </w:rPr>
              <w:t>支付</w:t>
            </w:r>
            <w:r>
              <w:rPr>
                <w:rFonts w:hint="eastAsia" w:ascii="宋体" w:hAnsi="宋体" w:eastAsia="宋体" w:cs="宋体"/>
                <w:b w:val="0"/>
                <w:bCs/>
                <w:color w:val="auto"/>
                <w:sz w:val="21"/>
                <w:szCs w:val="21"/>
                <w:highlight w:val="none"/>
                <w:lang w:eastAsia="zh-TW"/>
              </w:rPr>
              <w:t>的除外</w:t>
            </w:r>
            <w:r>
              <w:rPr>
                <w:rFonts w:hint="eastAsia" w:ascii="宋体" w:hAnsi="宋体" w:eastAsia="宋体" w:cs="宋体"/>
                <w:b w:val="0"/>
                <w:bCs/>
                <w:color w:val="auto"/>
                <w:sz w:val="21"/>
                <w:szCs w:val="21"/>
                <w:highlight w:val="none"/>
              </w:rPr>
              <w:t>。</w:t>
            </w:r>
          </w:p>
        </w:tc>
      </w:tr>
      <w:tr w14:paraId="6E5B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704" w:type="pct"/>
            <w:vMerge w:val="continue"/>
            <w:vAlign w:val="center"/>
          </w:tcPr>
          <w:p w14:paraId="74C9DDA5">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rPr>
            </w:pPr>
          </w:p>
        </w:tc>
        <w:tc>
          <w:tcPr>
            <w:tcW w:w="712" w:type="pct"/>
            <w:vMerge w:val="continue"/>
            <w:vAlign w:val="center"/>
          </w:tcPr>
          <w:p w14:paraId="35FF9951">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bCs w:val="0"/>
                <w:color w:val="auto"/>
                <w:sz w:val="21"/>
                <w:szCs w:val="21"/>
                <w:highlight w:val="none"/>
              </w:rPr>
            </w:pPr>
          </w:p>
        </w:tc>
        <w:tc>
          <w:tcPr>
            <w:tcW w:w="3583" w:type="pct"/>
          </w:tcPr>
          <w:p w14:paraId="76DF6EE3">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4.4涉及政府投资项目待资金下达后进行支付。</w:t>
            </w:r>
          </w:p>
        </w:tc>
      </w:tr>
      <w:tr w14:paraId="721E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04" w:type="pct"/>
            <w:vMerge w:val="restart"/>
            <w:vAlign w:val="center"/>
          </w:tcPr>
          <w:p w14:paraId="77A0D0F6">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6</w:t>
            </w:r>
          </w:p>
        </w:tc>
        <w:tc>
          <w:tcPr>
            <w:tcW w:w="712" w:type="pct"/>
            <w:vMerge w:val="restart"/>
            <w:vAlign w:val="center"/>
          </w:tcPr>
          <w:p w14:paraId="15AA9A30">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val="0"/>
              <w:spacing w:line="360" w:lineRule="auto"/>
              <w:ind w:leftChars="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知识产权合规承诺</w:t>
            </w:r>
          </w:p>
        </w:tc>
        <w:tc>
          <w:tcPr>
            <w:tcW w:w="3583" w:type="pct"/>
          </w:tcPr>
          <w:p w14:paraId="69A6559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en-US" w:eastAsia="zh-CN" w:bidi="ar"/>
              </w:rPr>
              <w:t>6.1</w:t>
            </w:r>
            <w:r>
              <w:rPr>
                <w:rFonts w:hint="eastAsia" w:ascii="宋体" w:hAnsi="宋体" w:eastAsia="宋体" w:cs="宋体"/>
                <w:bCs/>
                <w:color w:val="auto"/>
                <w:sz w:val="21"/>
                <w:szCs w:val="21"/>
                <w:highlight w:val="none"/>
              </w:rPr>
              <w:t>投标人</w:t>
            </w:r>
            <w:r>
              <w:rPr>
                <w:rFonts w:hint="eastAsia" w:ascii="宋体" w:hAnsi="宋体" w:eastAsia="宋体" w:cs="宋体"/>
                <w:color w:val="auto"/>
                <w:kern w:val="0"/>
                <w:sz w:val="21"/>
                <w:szCs w:val="21"/>
                <w:highlight w:val="none"/>
                <w:lang w:val="en-US" w:eastAsia="zh-CN" w:bidi="ar"/>
              </w:rPr>
              <w:t>在履行合同的过程中不得侵犯他人知识产权，不得提供虚假知识产权申请材料或者违背知识产权合规性承诺，否则依法追究其违约等责任，并将其失信违法信息依法纳入公共信用信息系统。</w:t>
            </w:r>
          </w:p>
        </w:tc>
      </w:tr>
      <w:tr w14:paraId="1F36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704" w:type="pct"/>
            <w:vMerge w:val="continue"/>
            <w:vAlign w:val="center"/>
          </w:tcPr>
          <w:p w14:paraId="69E095A4">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ind w:leftChars="0"/>
              <w:rPr>
                <w:rFonts w:hint="eastAsia" w:ascii="宋体" w:hAnsi="宋体" w:eastAsia="宋体" w:cs="宋体"/>
                <w:b/>
                <w:bCs w:val="0"/>
                <w:color w:val="auto"/>
                <w:sz w:val="21"/>
                <w:szCs w:val="21"/>
                <w:highlight w:val="none"/>
              </w:rPr>
            </w:pPr>
          </w:p>
        </w:tc>
        <w:tc>
          <w:tcPr>
            <w:tcW w:w="712" w:type="pct"/>
            <w:vMerge w:val="continue"/>
            <w:vAlign w:val="center"/>
          </w:tcPr>
          <w:p w14:paraId="42E39D36">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ind w:leftChars="0"/>
              <w:rPr>
                <w:rFonts w:hint="eastAsia" w:ascii="宋体" w:hAnsi="宋体" w:eastAsia="宋体" w:cs="宋体"/>
                <w:b/>
                <w:bCs w:val="0"/>
                <w:color w:val="auto"/>
                <w:sz w:val="21"/>
                <w:szCs w:val="21"/>
                <w:highlight w:val="none"/>
              </w:rPr>
            </w:pPr>
          </w:p>
        </w:tc>
        <w:tc>
          <w:tcPr>
            <w:tcW w:w="3583" w:type="pct"/>
          </w:tcPr>
          <w:p w14:paraId="223B4357">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bCs/>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6.2</w:t>
            </w:r>
            <w:r>
              <w:rPr>
                <w:rFonts w:hint="eastAsia" w:ascii="宋体" w:hAnsi="宋体" w:eastAsia="宋体" w:cs="宋体"/>
                <w:bCs/>
                <w:color w:val="auto"/>
                <w:sz w:val="21"/>
                <w:szCs w:val="21"/>
                <w:highlight w:val="none"/>
              </w:rPr>
              <w:t>投标人</w:t>
            </w:r>
            <w:r>
              <w:rPr>
                <w:rFonts w:hint="eastAsia" w:ascii="宋体" w:hAnsi="宋体" w:eastAsia="宋体" w:cs="宋体"/>
                <w:color w:val="auto"/>
                <w:kern w:val="0"/>
                <w:sz w:val="21"/>
                <w:szCs w:val="21"/>
                <w:highlight w:val="none"/>
                <w:lang w:val="en-US" w:eastAsia="zh-CN" w:bidi="ar"/>
              </w:rPr>
              <w:t>应保证采购人在使用该货物或其任何一部分时免受第三方提出侵犯其专利、商标、版权等知识产权或商品名称及其他权利的起诉及索赔。若采购人因此被第三方起诉或以其他方式追究责任，</w:t>
            </w:r>
            <w:r>
              <w:rPr>
                <w:rFonts w:hint="eastAsia" w:ascii="宋体" w:hAnsi="宋体" w:eastAsia="宋体" w:cs="宋体"/>
                <w:bCs/>
                <w:color w:val="auto"/>
                <w:sz w:val="21"/>
                <w:szCs w:val="21"/>
                <w:highlight w:val="none"/>
              </w:rPr>
              <w:t>投标人</w:t>
            </w:r>
            <w:r>
              <w:rPr>
                <w:rFonts w:hint="eastAsia" w:ascii="宋体" w:hAnsi="宋体" w:eastAsia="宋体" w:cs="宋体"/>
                <w:color w:val="auto"/>
                <w:kern w:val="0"/>
                <w:sz w:val="21"/>
                <w:szCs w:val="21"/>
                <w:highlight w:val="none"/>
                <w:lang w:val="en-US" w:eastAsia="zh-CN" w:bidi="ar"/>
              </w:rPr>
              <w:t>应赔偿因采购人被第三方索赔所引起的一切损失，包括但不限于采购人所支付的侵权损害赔偿费、律师费、诉讼费、仲裁费、办案差旅费等因应诉、沟通协调所发生的一切费用。</w:t>
            </w:r>
          </w:p>
        </w:tc>
      </w:tr>
      <w:tr w14:paraId="79B9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04" w:type="pct"/>
            <w:vMerge w:val="continue"/>
            <w:vAlign w:val="center"/>
          </w:tcPr>
          <w:p w14:paraId="1C9A512F">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ind w:leftChars="0"/>
              <w:rPr>
                <w:rFonts w:hint="eastAsia" w:ascii="宋体" w:hAnsi="宋体" w:eastAsia="宋体" w:cs="宋体"/>
                <w:b/>
                <w:bCs w:val="0"/>
                <w:color w:val="auto"/>
                <w:kern w:val="0"/>
                <w:sz w:val="21"/>
                <w:szCs w:val="21"/>
                <w:highlight w:val="none"/>
                <w:lang w:val="en-US" w:eastAsia="zh-CN" w:bidi="ar"/>
              </w:rPr>
            </w:pPr>
          </w:p>
        </w:tc>
        <w:tc>
          <w:tcPr>
            <w:tcW w:w="712" w:type="pct"/>
            <w:vMerge w:val="continue"/>
            <w:vAlign w:val="center"/>
          </w:tcPr>
          <w:p w14:paraId="3FC0AA06">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ind w:leftChars="0"/>
              <w:rPr>
                <w:rFonts w:hint="eastAsia" w:ascii="宋体" w:hAnsi="宋体" w:eastAsia="宋体" w:cs="宋体"/>
                <w:b/>
                <w:bCs w:val="0"/>
                <w:color w:val="auto"/>
                <w:kern w:val="0"/>
                <w:sz w:val="21"/>
                <w:szCs w:val="21"/>
                <w:highlight w:val="none"/>
                <w:lang w:val="en-US" w:eastAsia="zh-CN" w:bidi="ar"/>
              </w:rPr>
            </w:pPr>
          </w:p>
        </w:tc>
        <w:tc>
          <w:tcPr>
            <w:tcW w:w="3583" w:type="pct"/>
          </w:tcPr>
          <w:p w14:paraId="7C769B1C">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val="0"/>
              <w:spacing w:line="360" w:lineRule="auto"/>
              <w:ind w:leftChars="0"/>
              <w:rPr>
                <w:rFonts w:hint="eastAsia" w:ascii="宋体" w:hAnsi="宋体" w:eastAsia="宋体" w:cs="宋体"/>
                <w:bCs/>
                <w:color w:val="auto"/>
                <w:kern w:val="0"/>
                <w:sz w:val="21"/>
                <w:szCs w:val="21"/>
                <w:highlight w:val="none"/>
                <w:lang w:val="en-US" w:eastAsia="zh-CN" w:bidi="ar"/>
              </w:rPr>
            </w:pPr>
            <w:r>
              <w:rPr>
                <w:rFonts w:hint="eastAsia" w:ascii="宋体" w:hAnsi="宋体" w:eastAsia="宋体" w:cs="宋体"/>
                <w:bCs/>
                <w:color w:val="auto"/>
                <w:kern w:val="0"/>
                <w:sz w:val="21"/>
                <w:szCs w:val="21"/>
                <w:highlight w:val="none"/>
                <w:lang w:val="en-US" w:eastAsia="zh-CN" w:bidi="ar"/>
              </w:rPr>
              <w:t>6.3</w:t>
            </w:r>
            <w:r>
              <w:rPr>
                <w:rFonts w:hint="eastAsia" w:ascii="宋体" w:hAnsi="宋体" w:eastAsia="宋体" w:cs="宋体"/>
                <w:bCs/>
                <w:color w:val="auto"/>
                <w:sz w:val="21"/>
                <w:szCs w:val="21"/>
                <w:highlight w:val="none"/>
              </w:rPr>
              <w:t>投标人</w:t>
            </w:r>
            <w:r>
              <w:rPr>
                <w:rFonts w:hint="eastAsia" w:ascii="宋体" w:hAnsi="宋体" w:eastAsia="宋体" w:cs="宋体"/>
                <w:bCs/>
                <w:color w:val="auto"/>
                <w:kern w:val="0"/>
                <w:sz w:val="21"/>
                <w:szCs w:val="21"/>
                <w:highlight w:val="none"/>
                <w:lang w:val="en-US" w:eastAsia="zh-CN" w:bidi="ar"/>
              </w:rPr>
              <w:t>实施本项目所形成成果的知识产权归采购人所有，未经采购人许可，</w:t>
            </w:r>
            <w:r>
              <w:rPr>
                <w:rFonts w:hint="eastAsia" w:ascii="宋体" w:hAnsi="宋体" w:eastAsia="宋体" w:cs="宋体"/>
                <w:bCs/>
                <w:color w:val="auto"/>
                <w:sz w:val="21"/>
                <w:szCs w:val="21"/>
                <w:highlight w:val="none"/>
              </w:rPr>
              <w:t>投标人</w:t>
            </w:r>
            <w:r>
              <w:rPr>
                <w:rFonts w:hint="eastAsia" w:ascii="宋体" w:hAnsi="宋体" w:eastAsia="宋体" w:cs="宋体"/>
                <w:bCs/>
                <w:color w:val="auto"/>
                <w:kern w:val="0"/>
                <w:sz w:val="21"/>
                <w:szCs w:val="21"/>
                <w:highlight w:val="none"/>
                <w:lang w:val="en-US" w:eastAsia="zh-CN" w:bidi="ar"/>
              </w:rPr>
              <w:t>不得随意使用。</w:t>
            </w:r>
          </w:p>
        </w:tc>
      </w:tr>
      <w:tr w14:paraId="0E5D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pct"/>
            <w:vAlign w:val="center"/>
          </w:tcPr>
          <w:p w14:paraId="5650415A">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7</w:t>
            </w:r>
          </w:p>
        </w:tc>
        <w:tc>
          <w:tcPr>
            <w:tcW w:w="712" w:type="pct"/>
            <w:vAlign w:val="center"/>
          </w:tcPr>
          <w:p w14:paraId="09F7EB82">
            <w:pPr>
              <w:keepNext w:val="0"/>
              <w:keepLines w:val="0"/>
              <w:pageBreakBefore w:val="0"/>
              <w:widowControl w:val="0"/>
              <w:kinsoku/>
              <w:wordWrap/>
              <w:overflowPunct/>
              <w:topLinePunct w:val="0"/>
              <w:autoSpaceDE/>
              <w:autoSpaceDN/>
              <w:bidi w:val="0"/>
              <w:spacing w:line="360" w:lineRule="auto"/>
              <w:ind w:firstLine="0"/>
              <w:jc w:val="center"/>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履约保证金</w:t>
            </w:r>
          </w:p>
        </w:tc>
        <w:tc>
          <w:tcPr>
            <w:tcW w:w="3583" w:type="pct"/>
          </w:tcPr>
          <w:p w14:paraId="7A95210F">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7.1</w:t>
            </w:r>
            <w:r>
              <w:rPr>
                <w:rFonts w:hint="eastAsia" w:ascii="宋体" w:hAnsi="宋体" w:eastAsia="宋体" w:cs="宋体"/>
                <w:color w:val="auto"/>
                <w:sz w:val="21"/>
                <w:szCs w:val="21"/>
                <w:highlight w:val="none"/>
              </w:rPr>
              <w:t>提交说明</w:t>
            </w:r>
          </w:p>
          <w:p w14:paraId="4E95A15E">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eastAsia="zh-CN"/>
              </w:rPr>
              <w:t>收到中标通知书后</w:t>
            </w:r>
            <w:r>
              <w:rPr>
                <w:rFonts w:hint="eastAsia" w:ascii="宋体" w:hAnsi="宋体" w:eastAsia="宋体" w:cs="宋体"/>
                <w:color w:val="auto"/>
                <w:sz w:val="21"/>
                <w:szCs w:val="21"/>
                <w:highlight w:val="none"/>
                <w:shd w:val="clear"/>
              </w:rPr>
              <w:t>五个工作日内提交</w:t>
            </w:r>
            <w:r>
              <w:rPr>
                <w:rFonts w:hint="eastAsia" w:ascii="宋体" w:hAnsi="宋体" w:eastAsia="宋体" w:cs="宋体"/>
                <w:color w:val="auto"/>
                <w:sz w:val="21"/>
                <w:szCs w:val="21"/>
                <w:highlight w:val="none"/>
              </w:rPr>
              <w:t>；</w:t>
            </w:r>
          </w:p>
          <w:p w14:paraId="1565E55C">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金额：合同（成交）金额的</w:t>
            </w:r>
            <w:r>
              <w:rPr>
                <w:rFonts w:hint="eastAsia" w:ascii="宋体" w:hAnsi="宋体" w:eastAsia="宋体" w:cs="宋体"/>
                <w:color w:val="auto"/>
                <w:sz w:val="21"/>
                <w:szCs w:val="21"/>
                <w:highlight w:val="none"/>
                <w:u w:val="single"/>
                <w:lang w:val="en-US" w:eastAsia="zh-CN"/>
              </w:rPr>
              <w:t xml:space="preserve">   5   </w:t>
            </w:r>
            <w:r>
              <w:rPr>
                <w:rFonts w:hint="eastAsia" w:ascii="宋体" w:hAnsi="宋体" w:eastAsia="宋体" w:cs="宋体"/>
                <w:color w:val="auto"/>
                <w:sz w:val="21"/>
                <w:szCs w:val="21"/>
                <w:highlight w:val="none"/>
              </w:rPr>
              <w:t>%；</w:t>
            </w:r>
          </w:p>
          <w:p w14:paraId="48E1C2E8">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方式：中标人自主选择非现金方式提交履约保证金；</w:t>
            </w:r>
          </w:p>
          <w:p w14:paraId="29C36FB6">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退还说明：</w:t>
            </w:r>
          </w:p>
          <w:p w14:paraId="5DDE6964">
            <w:pPr>
              <w:keepNext w:val="0"/>
              <w:keepLines w:val="0"/>
              <w:pageBreakBefore w:val="0"/>
              <w:widowControl w:val="0"/>
              <w:numPr>
                <w:ilvl w:val="0"/>
                <w:numId w:val="3"/>
              </w:numPr>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时间、方式和条件：</w:t>
            </w:r>
            <w:r>
              <w:rPr>
                <w:rFonts w:hint="eastAsia" w:ascii="宋体" w:hAnsi="宋体" w:eastAsia="宋体" w:cs="宋体"/>
                <w:bCs/>
                <w:color w:val="auto"/>
                <w:sz w:val="21"/>
                <w:szCs w:val="21"/>
                <w:highlight w:val="none"/>
                <w:lang w:eastAsia="zh-CN"/>
              </w:rPr>
              <w:t>中标</w:t>
            </w:r>
            <w:r>
              <w:rPr>
                <w:rFonts w:hint="eastAsia" w:ascii="宋体" w:hAnsi="宋体" w:eastAsia="宋体" w:cs="宋体"/>
                <w:bCs/>
                <w:color w:val="auto"/>
                <w:sz w:val="21"/>
                <w:szCs w:val="21"/>
                <w:highlight w:val="none"/>
              </w:rPr>
              <w:t>人</w:t>
            </w:r>
            <w:r>
              <w:rPr>
                <w:rFonts w:hint="eastAsia" w:ascii="宋体" w:hAnsi="宋体" w:eastAsia="宋体" w:cs="宋体"/>
                <w:color w:val="auto"/>
                <w:sz w:val="21"/>
                <w:szCs w:val="21"/>
                <w:highlight w:val="none"/>
                <w:lang w:eastAsia="zh-CN"/>
              </w:rPr>
              <w:t>供货完成调试、验收、培训且提供了厂家（或厂家授权）的售后服务承诺书后</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申请退回该履约保证金，</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收到申请审核同意后，无息返还</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的履约保证金。因</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原因而未能达到本项目验收标准或验收不通过的，履约保证金不予退还。</w:t>
            </w:r>
            <w:bookmarkStart w:id="0" w:name="_GoBack"/>
            <w:bookmarkEnd w:id="0"/>
          </w:p>
          <w:p w14:paraId="52D0FDEB">
            <w:pPr>
              <w:keepNext w:val="0"/>
              <w:keepLines w:val="0"/>
              <w:pageBreakBefore w:val="0"/>
              <w:widowControl w:val="0"/>
              <w:numPr>
                <w:ilvl w:val="0"/>
                <w:numId w:val="3"/>
              </w:numPr>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违约责任：采购人逾期退还履约保证金的，除应当退还履约保证金本金外，还应当</w:t>
            </w:r>
            <w:r>
              <w:rPr>
                <w:rFonts w:hint="eastAsia" w:ascii="宋体" w:hAnsi="宋体" w:eastAsia="宋体" w:cs="宋体"/>
                <w:color w:val="auto"/>
                <w:sz w:val="21"/>
                <w:szCs w:val="21"/>
                <w:highlight w:val="none"/>
                <w:lang w:eastAsia="zh-CN"/>
              </w:rPr>
              <w:t>每日</w:t>
            </w:r>
            <w:r>
              <w:rPr>
                <w:rFonts w:hint="eastAsia" w:ascii="宋体" w:hAnsi="宋体" w:eastAsia="宋体" w:cs="宋体"/>
                <w:color w:val="auto"/>
                <w:sz w:val="21"/>
                <w:szCs w:val="21"/>
                <w:highlight w:val="none"/>
              </w:rPr>
              <w:t>向中标人偿付违约金，但因</w:t>
            </w:r>
            <w:r>
              <w:rPr>
                <w:rFonts w:hint="eastAsia" w:ascii="宋体" w:hAnsi="宋体" w:eastAsia="宋体" w:cs="宋体"/>
                <w:bCs/>
                <w:color w:val="auto"/>
                <w:sz w:val="21"/>
                <w:szCs w:val="21"/>
                <w:highlight w:val="none"/>
                <w:lang w:val="en-US" w:eastAsia="zh-CN"/>
              </w:rPr>
              <w:t>中标</w:t>
            </w:r>
            <w:r>
              <w:rPr>
                <w:rFonts w:hint="eastAsia" w:ascii="宋体" w:hAnsi="宋体" w:eastAsia="宋体" w:cs="宋体"/>
                <w:bCs/>
                <w:color w:val="auto"/>
                <w:sz w:val="21"/>
                <w:szCs w:val="21"/>
                <w:highlight w:val="none"/>
              </w:rPr>
              <w:t>人</w:t>
            </w:r>
            <w:r>
              <w:rPr>
                <w:rFonts w:hint="eastAsia" w:ascii="宋体" w:hAnsi="宋体" w:eastAsia="宋体" w:cs="宋体"/>
                <w:color w:val="auto"/>
                <w:sz w:val="21"/>
                <w:szCs w:val="21"/>
                <w:highlight w:val="none"/>
              </w:rPr>
              <w:t>自身原因导致无法及时退还的除外。</w:t>
            </w:r>
          </w:p>
          <w:p w14:paraId="087D72D1">
            <w:pPr>
              <w:keepNext w:val="0"/>
              <w:keepLines w:val="0"/>
              <w:pageBreakBefore w:val="0"/>
              <w:widowControl w:val="0"/>
              <w:numPr>
                <w:ilvl w:val="0"/>
                <w:numId w:val="3"/>
              </w:numPr>
              <w:kinsoku/>
              <w:wordWrap/>
              <w:overflowPunct/>
              <w:topLinePunct w:val="0"/>
              <w:autoSpaceDE/>
              <w:autoSpaceDN/>
              <w:bidi w:val="0"/>
              <w:snapToGrid w:val="0"/>
              <w:spacing w:line="360" w:lineRule="auto"/>
              <w:ind w:left="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中标人违反合同及其附件约定的任何义务，采购人有权在履约保证金中直接扣除</w:t>
            </w:r>
            <w:r>
              <w:rPr>
                <w:rFonts w:hint="eastAsia" w:ascii="宋体" w:hAnsi="宋体" w:eastAsia="宋体" w:cs="宋体"/>
                <w:bCs/>
                <w:color w:val="auto"/>
                <w:sz w:val="21"/>
                <w:szCs w:val="21"/>
                <w:highlight w:val="none"/>
              </w:rPr>
              <w:t>投标人</w:t>
            </w:r>
            <w:r>
              <w:rPr>
                <w:rFonts w:hint="eastAsia" w:ascii="宋体" w:hAnsi="宋体" w:eastAsia="宋体" w:cs="宋体"/>
                <w:color w:val="auto"/>
                <w:sz w:val="21"/>
                <w:szCs w:val="21"/>
                <w:highlight w:val="none"/>
              </w:rPr>
              <w:t>应向采购人支付的违约金或损失赔偿额，如有不足的，中标人应对超过的部分予以赔偿。</w:t>
            </w:r>
          </w:p>
        </w:tc>
      </w:tr>
    </w:tbl>
    <w:p w14:paraId="03198FC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rPr>
      </w:pPr>
    </w:p>
    <w:sectPr>
      <w:footerReference r:id="rId5" w:type="first"/>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 Yb 2gj">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长城仿宋">
    <w:altName w:val="黑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2"/>
      <w:docPartObj>
        <w:docPartGallery w:val="autotext"/>
      </w:docPartObj>
    </w:sdtPr>
    <w:sdtContent>
      <w:p w14:paraId="6BF5143B">
        <w:pPr>
          <w:pStyle w:val="15"/>
          <w:jc w:val="center"/>
        </w:pPr>
        <w:r>
          <w:fldChar w:fldCharType="begin"/>
        </w:r>
        <w:r>
          <w:instrText xml:space="preserve"> PAGE   \* MERGEFORMAT </w:instrText>
        </w:r>
        <w:r>
          <w:fldChar w:fldCharType="separate"/>
        </w:r>
        <w:r>
          <w:rPr>
            <w:lang w:val="zh-CN"/>
          </w:rPr>
          <w:t>6</w:t>
        </w:r>
        <w:r>
          <w:rPr>
            <w:lang w:val="zh-CN"/>
          </w:rPr>
          <w:fldChar w:fldCharType="end"/>
        </w:r>
      </w:p>
    </w:sdtContent>
  </w:sdt>
  <w:p w14:paraId="0482999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3"/>
      <w:docPartObj>
        <w:docPartGallery w:val="autotext"/>
      </w:docPartObj>
    </w:sdtPr>
    <w:sdtContent>
      <w:p w14:paraId="34D04A62">
        <w:pPr>
          <w:pStyle w:val="15"/>
          <w:jc w:val="center"/>
        </w:pPr>
      </w:p>
    </w:sdtContent>
  </w:sdt>
  <w:p w14:paraId="7FA61508">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86B8">
    <w:pPr>
      <w:pStyle w:val="16"/>
      <w:ind w:firstLine="450" w:firstLineChars="250"/>
      <w:jc w:val="left"/>
      <w:rPr>
        <w:rFonts w:hint="default" w:eastAsia="宋体"/>
        <w:lang w:val="en-US" w:eastAsia="zh-CN"/>
      </w:rPr>
    </w:pPr>
    <w:r>
      <w:rPr>
        <w:rFonts w:hint="eastAsia"/>
      </w:rPr>
      <w:t>项目名称：</w:t>
    </w:r>
    <w:r>
      <w:rPr>
        <w:rFonts w:hint="eastAsia" w:ascii="宋体" w:hAnsi="宋体"/>
        <w:b w:val="0"/>
        <w:bCs w:val="0"/>
        <w:lang w:eastAsia="zh-CN"/>
      </w:rPr>
      <w:t>射频控温热凝器采购项目</w:t>
    </w:r>
    <w:r>
      <w:rPr>
        <w:rFonts w:hint="eastAsia"/>
      </w:rPr>
      <w:t xml:space="preserve">  </w:t>
    </w:r>
    <w:r>
      <w:rPr>
        <w:rFonts w:hint="eastAsia"/>
        <w:lang w:val="en-US" w:eastAsia="zh-CN"/>
      </w:rPr>
      <w:t xml:space="preserve">        </w:t>
    </w:r>
    <w:r>
      <w:rPr>
        <w:rFonts w:hint="eastAsia"/>
      </w:rPr>
      <w:t xml:space="preserve">    项目编号：</w:t>
    </w:r>
    <w:r>
      <w:t>SZZZ202</w:t>
    </w:r>
    <w:r>
      <w:rPr>
        <w:rFonts w:hint="eastAsia"/>
        <w:lang w:val="en-US" w:eastAsia="zh-CN"/>
      </w:rPr>
      <w:t>2</w:t>
    </w:r>
    <w:r>
      <w:t>-</w:t>
    </w:r>
    <w:r>
      <w:rPr>
        <w:rFonts w:hint="eastAsia"/>
        <w:lang w:eastAsia="zh-CN"/>
      </w:rPr>
      <w:t>QA0</w:t>
    </w:r>
    <w:r>
      <w:rPr>
        <w:rFonts w:hint="eastAsia"/>
        <w:lang w:val="en-US" w:eastAsia="zh-CN"/>
      </w:rPr>
      <w:t>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D33F90"/>
    <w:multiLevelType w:val="multilevel"/>
    <w:tmpl w:val="CED33F90"/>
    <w:lvl w:ilvl="0" w:tentative="0">
      <w:start w:val="1"/>
      <w:numFmt w:val="decimal"/>
      <w:suff w:val="space"/>
      <w:lvlText w:val="%1)"/>
      <w:lvlJc w:val="left"/>
      <w:pPr>
        <w:ind w:left="0" w:firstLine="0"/>
      </w:pPr>
      <w:rPr>
        <w:rFonts w:hint="default"/>
        <w:b w:val="0"/>
        <w:bCs w:val="0"/>
      </w:rPr>
    </w:lvl>
    <w:lvl w:ilvl="1" w:tentative="0">
      <w:start w:val="1"/>
      <w:numFmt w:val="lowerLetter"/>
      <w:lvlText w:val="%2)"/>
      <w:lvlJc w:val="left"/>
      <w:pPr>
        <w:tabs>
          <w:tab w:val="left" w:pos="1260"/>
        </w:tabs>
        <w:ind w:left="1260" w:hanging="420"/>
      </w:pPr>
      <w:rPr>
        <w:rFonts w:hint="default" w:ascii="Times New Roman" w:hAnsi="Times New Roman" w:cs="Times New Roman"/>
      </w:rPr>
    </w:lvl>
    <w:lvl w:ilvl="2" w:tentative="0">
      <w:start w:val="1"/>
      <w:numFmt w:val="lowerRoman"/>
      <w:lvlText w:val="%3."/>
      <w:lvlJc w:val="right"/>
      <w:pPr>
        <w:tabs>
          <w:tab w:val="left" w:pos="1680"/>
        </w:tabs>
        <w:ind w:left="1680" w:hanging="420"/>
      </w:pPr>
      <w:rPr>
        <w:rFonts w:hint="default" w:ascii="Times New Roman" w:hAnsi="Times New Roman" w:cs="Times New Roman"/>
      </w:rPr>
    </w:lvl>
    <w:lvl w:ilvl="3" w:tentative="0">
      <w:start w:val="1"/>
      <w:numFmt w:val="decimal"/>
      <w:lvlText w:val="%4."/>
      <w:lvlJc w:val="left"/>
      <w:pPr>
        <w:tabs>
          <w:tab w:val="left" w:pos="2100"/>
        </w:tabs>
        <w:ind w:left="2100" w:hanging="420"/>
      </w:pPr>
      <w:rPr>
        <w:rFonts w:hint="default" w:ascii="Times New Roman" w:hAnsi="Times New Roman" w:cs="Times New Roman"/>
      </w:rPr>
    </w:lvl>
    <w:lvl w:ilvl="4" w:tentative="0">
      <w:start w:val="1"/>
      <w:numFmt w:val="lowerLetter"/>
      <w:lvlText w:val="%5)"/>
      <w:lvlJc w:val="left"/>
      <w:pPr>
        <w:tabs>
          <w:tab w:val="left" w:pos="2520"/>
        </w:tabs>
        <w:ind w:left="2520" w:hanging="420"/>
      </w:pPr>
      <w:rPr>
        <w:rFonts w:hint="default" w:ascii="Times New Roman" w:hAnsi="Times New Roman" w:cs="Times New Roman"/>
      </w:rPr>
    </w:lvl>
    <w:lvl w:ilvl="5" w:tentative="0">
      <w:start w:val="1"/>
      <w:numFmt w:val="lowerRoman"/>
      <w:lvlText w:val="%6."/>
      <w:lvlJc w:val="right"/>
      <w:pPr>
        <w:tabs>
          <w:tab w:val="left" w:pos="2940"/>
        </w:tabs>
        <w:ind w:left="2940" w:hanging="420"/>
      </w:pPr>
      <w:rPr>
        <w:rFonts w:hint="default" w:ascii="Times New Roman" w:hAnsi="Times New Roman" w:cs="Times New Roman"/>
      </w:rPr>
    </w:lvl>
    <w:lvl w:ilvl="6" w:tentative="0">
      <w:start w:val="1"/>
      <w:numFmt w:val="decimal"/>
      <w:lvlText w:val="%7."/>
      <w:lvlJc w:val="left"/>
      <w:pPr>
        <w:tabs>
          <w:tab w:val="left" w:pos="3360"/>
        </w:tabs>
        <w:ind w:left="3360" w:hanging="420"/>
      </w:pPr>
      <w:rPr>
        <w:rFonts w:hint="default" w:ascii="Times New Roman" w:hAnsi="Times New Roman" w:cs="Times New Roman"/>
      </w:rPr>
    </w:lvl>
    <w:lvl w:ilvl="7" w:tentative="0">
      <w:start w:val="1"/>
      <w:numFmt w:val="lowerLetter"/>
      <w:lvlText w:val="%8)"/>
      <w:lvlJc w:val="left"/>
      <w:pPr>
        <w:tabs>
          <w:tab w:val="left" w:pos="3780"/>
        </w:tabs>
        <w:ind w:left="3780" w:hanging="420"/>
      </w:pPr>
      <w:rPr>
        <w:rFonts w:hint="default" w:ascii="Times New Roman" w:hAnsi="Times New Roman" w:cs="Times New Roman"/>
      </w:rPr>
    </w:lvl>
    <w:lvl w:ilvl="8" w:tentative="0">
      <w:start w:val="1"/>
      <w:numFmt w:val="lowerRoman"/>
      <w:lvlText w:val="%9."/>
      <w:lvlJc w:val="right"/>
      <w:pPr>
        <w:tabs>
          <w:tab w:val="left" w:pos="4200"/>
        </w:tabs>
        <w:ind w:left="4200" w:hanging="420"/>
      </w:pPr>
      <w:rPr>
        <w:rFonts w:hint="default" w:ascii="Times New Roman" w:hAnsi="Times New Roman" w:cs="Times New Roman"/>
      </w:rPr>
    </w:lvl>
  </w:abstractNum>
  <w:abstractNum w:abstractNumId="1">
    <w:nsid w:val="062E42CC"/>
    <w:multiLevelType w:val="multilevel"/>
    <w:tmpl w:val="062E42CC"/>
    <w:lvl w:ilvl="0" w:tentative="0">
      <w:start w:val="1"/>
      <w:numFmt w:val="bullet"/>
      <w:pStyle w:val="56"/>
      <w:lvlText w:val=""/>
      <w:lvlJc w:val="left"/>
      <w:pPr>
        <w:tabs>
          <w:tab w:val="left" w:pos="839"/>
        </w:tabs>
        <w:ind w:left="840" w:hanging="420"/>
      </w:pPr>
      <w:rPr>
        <w:rFonts w:hint="default" w:ascii="Wingdings" w:hAnsi="Wingdings"/>
      </w:rPr>
    </w:lvl>
    <w:lvl w:ilvl="1" w:tentative="0">
      <w:start w:val="1"/>
      <w:numFmt w:val="lowerLetter"/>
      <w:lvlText w:val="%2)"/>
      <w:lvlJc w:val="left"/>
      <w:pPr>
        <w:ind w:left="1260" w:hanging="420"/>
      </w:pPr>
      <w:rPr>
        <w:rFonts w:hint="default"/>
      </w:rPr>
    </w:lvl>
    <w:lvl w:ilvl="2" w:tentative="0">
      <w:start w:val="1"/>
      <w:numFmt w:val="lowerRoman"/>
      <w:lvlText w:val="%3."/>
      <w:lvlJc w:val="right"/>
      <w:pPr>
        <w:ind w:left="1680" w:hanging="420"/>
      </w:pPr>
      <w:rPr>
        <w:rFonts w:hint="default"/>
      </w:rPr>
    </w:lvl>
    <w:lvl w:ilvl="3" w:tentative="0">
      <w:start w:val="1"/>
      <w:numFmt w:val="decimal"/>
      <w:lvlText w:val="%4."/>
      <w:lvlJc w:val="left"/>
      <w:pPr>
        <w:ind w:left="2100" w:hanging="420"/>
      </w:pPr>
      <w:rPr>
        <w:rFonts w:hint="default"/>
      </w:rPr>
    </w:lvl>
    <w:lvl w:ilvl="4" w:tentative="0">
      <w:start w:val="1"/>
      <w:numFmt w:val="lowerLetter"/>
      <w:lvlText w:val="%5)"/>
      <w:lvlJc w:val="left"/>
      <w:pPr>
        <w:ind w:left="2520" w:hanging="420"/>
      </w:pPr>
      <w:rPr>
        <w:rFonts w:hint="default"/>
      </w:rPr>
    </w:lvl>
    <w:lvl w:ilvl="5" w:tentative="0">
      <w:start w:val="1"/>
      <w:numFmt w:val="lowerRoman"/>
      <w:lvlText w:val="%6."/>
      <w:lvlJc w:val="right"/>
      <w:pPr>
        <w:ind w:left="2940" w:hanging="420"/>
      </w:pPr>
      <w:rPr>
        <w:rFonts w:hint="default"/>
      </w:rPr>
    </w:lvl>
    <w:lvl w:ilvl="6" w:tentative="0">
      <w:start w:val="1"/>
      <w:numFmt w:val="decimal"/>
      <w:lvlText w:val="%7."/>
      <w:lvlJc w:val="left"/>
      <w:pPr>
        <w:ind w:left="3360" w:hanging="420"/>
      </w:pPr>
      <w:rPr>
        <w:rFonts w:hint="default"/>
      </w:rPr>
    </w:lvl>
    <w:lvl w:ilvl="7" w:tentative="0">
      <w:start w:val="1"/>
      <w:numFmt w:val="lowerLetter"/>
      <w:lvlText w:val="%8)"/>
      <w:lvlJc w:val="left"/>
      <w:pPr>
        <w:ind w:left="3780" w:hanging="420"/>
      </w:pPr>
      <w:rPr>
        <w:rFonts w:hint="default"/>
      </w:rPr>
    </w:lvl>
    <w:lvl w:ilvl="8" w:tentative="0">
      <w:start w:val="1"/>
      <w:numFmt w:val="lowerRoman"/>
      <w:lvlText w:val="%9."/>
      <w:lvlJc w:val="right"/>
      <w:pPr>
        <w:ind w:left="4200" w:hanging="420"/>
      </w:pPr>
      <w:rPr>
        <w:rFonts w:hint="default"/>
      </w:rPr>
    </w:lvl>
  </w:abstractNum>
  <w:abstractNum w:abstractNumId="2">
    <w:nsid w:val="56212A7E"/>
    <w:multiLevelType w:val="multilevel"/>
    <w:tmpl w:val="56212A7E"/>
    <w:lvl w:ilvl="0" w:tentative="0">
      <w:start w:val="1"/>
      <w:numFmt w:val="decimal"/>
      <w:suff w:val="space"/>
      <w:lvlText w:val="%1)"/>
      <w:lvlJc w:val="left"/>
      <w:pPr>
        <w:ind w:left="0" w:firstLine="0"/>
      </w:pPr>
      <w:rPr>
        <w:rFonts w:hint="default"/>
      </w:rPr>
    </w:lvl>
    <w:lvl w:ilvl="1" w:tentative="0">
      <w:start w:val="1"/>
      <w:numFmt w:val="lowerLetter"/>
      <w:lvlText w:val="%2)"/>
      <w:lvlJc w:val="left"/>
      <w:pPr>
        <w:tabs>
          <w:tab w:val="left" w:pos="1260"/>
        </w:tabs>
        <w:ind w:left="1260" w:hanging="420"/>
      </w:pPr>
      <w:rPr>
        <w:rFonts w:hint="default" w:ascii="Times New Roman" w:hAnsi="Times New Roman" w:cs="Times New Roman"/>
      </w:rPr>
    </w:lvl>
    <w:lvl w:ilvl="2" w:tentative="0">
      <w:start w:val="1"/>
      <w:numFmt w:val="lowerRoman"/>
      <w:lvlText w:val="%3."/>
      <w:lvlJc w:val="right"/>
      <w:pPr>
        <w:tabs>
          <w:tab w:val="left" w:pos="1680"/>
        </w:tabs>
        <w:ind w:left="1680" w:hanging="420"/>
      </w:pPr>
      <w:rPr>
        <w:rFonts w:hint="default" w:ascii="Times New Roman" w:hAnsi="Times New Roman" w:cs="Times New Roman"/>
      </w:rPr>
    </w:lvl>
    <w:lvl w:ilvl="3" w:tentative="0">
      <w:start w:val="1"/>
      <w:numFmt w:val="decimal"/>
      <w:lvlText w:val="%4."/>
      <w:lvlJc w:val="left"/>
      <w:pPr>
        <w:tabs>
          <w:tab w:val="left" w:pos="2100"/>
        </w:tabs>
        <w:ind w:left="2100" w:hanging="420"/>
      </w:pPr>
      <w:rPr>
        <w:rFonts w:hint="default" w:ascii="Times New Roman" w:hAnsi="Times New Roman" w:cs="Times New Roman"/>
      </w:rPr>
    </w:lvl>
    <w:lvl w:ilvl="4" w:tentative="0">
      <w:start w:val="1"/>
      <w:numFmt w:val="lowerLetter"/>
      <w:lvlText w:val="%5)"/>
      <w:lvlJc w:val="left"/>
      <w:pPr>
        <w:tabs>
          <w:tab w:val="left" w:pos="2520"/>
        </w:tabs>
        <w:ind w:left="2520" w:hanging="420"/>
      </w:pPr>
      <w:rPr>
        <w:rFonts w:hint="default" w:ascii="Times New Roman" w:hAnsi="Times New Roman" w:cs="Times New Roman"/>
      </w:rPr>
    </w:lvl>
    <w:lvl w:ilvl="5" w:tentative="0">
      <w:start w:val="1"/>
      <w:numFmt w:val="lowerRoman"/>
      <w:lvlText w:val="%6."/>
      <w:lvlJc w:val="right"/>
      <w:pPr>
        <w:tabs>
          <w:tab w:val="left" w:pos="2940"/>
        </w:tabs>
        <w:ind w:left="2940" w:hanging="420"/>
      </w:pPr>
      <w:rPr>
        <w:rFonts w:hint="default" w:ascii="Times New Roman" w:hAnsi="Times New Roman" w:cs="Times New Roman"/>
      </w:rPr>
    </w:lvl>
    <w:lvl w:ilvl="6" w:tentative="0">
      <w:start w:val="1"/>
      <w:numFmt w:val="decimal"/>
      <w:lvlText w:val="%7."/>
      <w:lvlJc w:val="left"/>
      <w:pPr>
        <w:tabs>
          <w:tab w:val="left" w:pos="3360"/>
        </w:tabs>
        <w:ind w:left="3360" w:hanging="420"/>
      </w:pPr>
      <w:rPr>
        <w:rFonts w:hint="default" w:ascii="Times New Roman" w:hAnsi="Times New Roman" w:cs="Times New Roman"/>
      </w:rPr>
    </w:lvl>
    <w:lvl w:ilvl="7" w:tentative="0">
      <w:start w:val="1"/>
      <w:numFmt w:val="lowerLetter"/>
      <w:lvlText w:val="%8)"/>
      <w:lvlJc w:val="left"/>
      <w:pPr>
        <w:tabs>
          <w:tab w:val="left" w:pos="3780"/>
        </w:tabs>
        <w:ind w:left="3780" w:hanging="420"/>
      </w:pPr>
      <w:rPr>
        <w:rFonts w:hint="default" w:ascii="Times New Roman" w:hAnsi="Times New Roman" w:cs="Times New Roman"/>
      </w:rPr>
    </w:lvl>
    <w:lvl w:ilvl="8" w:tentative="0">
      <w:start w:val="1"/>
      <w:numFmt w:val="lowerRoman"/>
      <w:lvlText w:val="%9."/>
      <w:lvlJc w:val="right"/>
      <w:pPr>
        <w:tabs>
          <w:tab w:val="left" w:pos="4200"/>
        </w:tabs>
        <w:ind w:left="4200" w:hanging="420"/>
      </w:pPr>
      <w:rPr>
        <w:rFonts w:hint="default" w:ascii="Times New Roman" w:hAnsi="Times New Roman"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NiN2JjZGQwODQzNTVmMDg4ZGNmNzRhYmJlZDY2YTUifQ=="/>
  </w:docVars>
  <w:rsids>
    <w:rsidRoot w:val="00081812"/>
    <w:rsid w:val="00000DEE"/>
    <w:rsid w:val="00000F62"/>
    <w:rsid w:val="00000FB1"/>
    <w:rsid w:val="0000490F"/>
    <w:rsid w:val="00007ECB"/>
    <w:rsid w:val="00010E98"/>
    <w:rsid w:val="000111D4"/>
    <w:rsid w:val="0001133A"/>
    <w:rsid w:val="000159CF"/>
    <w:rsid w:val="000176BA"/>
    <w:rsid w:val="0002500E"/>
    <w:rsid w:val="0002675A"/>
    <w:rsid w:val="00027833"/>
    <w:rsid w:val="000309C1"/>
    <w:rsid w:val="00031BF4"/>
    <w:rsid w:val="00032DB0"/>
    <w:rsid w:val="0003579A"/>
    <w:rsid w:val="00036165"/>
    <w:rsid w:val="00037412"/>
    <w:rsid w:val="000375B9"/>
    <w:rsid w:val="00037D52"/>
    <w:rsid w:val="00050AB0"/>
    <w:rsid w:val="00050F57"/>
    <w:rsid w:val="0005394E"/>
    <w:rsid w:val="00053B8A"/>
    <w:rsid w:val="000550D9"/>
    <w:rsid w:val="00055193"/>
    <w:rsid w:val="00056E7C"/>
    <w:rsid w:val="000600D8"/>
    <w:rsid w:val="00060560"/>
    <w:rsid w:val="000614D2"/>
    <w:rsid w:val="0006220B"/>
    <w:rsid w:val="00063194"/>
    <w:rsid w:val="0006778F"/>
    <w:rsid w:val="000679AB"/>
    <w:rsid w:val="00072F2B"/>
    <w:rsid w:val="00075875"/>
    <w:rsid w:val="00076401"/>
    <w:rsid w:val="000771B0"/>
    <w:rsid w:val="00080FB8"/>
    <w:rsid w:val="00081812"/>
    <w:rsid w:val="00081C0F"/>
    <w:rsid w:val="000851F4"/>
    <w:rsid w:val="00086549"/>
    <w:rsid w:val="000875D3"/>
    <w:rsid w:val="00094345"/>
    <w:rsid w:val="00094CF9"/>
    <w:rsid w:val="000A02CF"/>
    <w:rsid w:val="000A103E"/>
    <w:rsid w:val="000A2045"/>
    <w:rsid w:val="000B12D8"/>
    <w:rsid w:val="000B3159"/>
    <w:rsid w:val="000B44BC"/>
    <w:rsid w:val="000B7A52"/>
    <w:rsid w:val="000C05F3"/>
    <w:rsid w:val="000C2FC4"/>
    <w:rsid w:val="000C4E01"/>
    <w:rsid w:val="000C7610"/>
    <w:rsid w:val="000C7E05"/>
    <w:rsid w:val="000D1227"/>
    <w:rsid w:val="000D16E0"/>
    <w:rsid w:val="000D3053"/>
    <w:rsid w:val="000D3DAD"/>
    <w:rsid w:val="000D4339"/>
    <w:rsid w:val="000D4C91"/>
    <w:rsid w:val="000D6CAD"/>
    <w:rsid w:val="000D74FE"/>
    <w:rsid w:val="000E1731"/>
    <w:rsid w:val="000E2AAA"/>
    <w:rsid w:val="000E41B3"/>
    <w:rsid w:val="000E647C"/>
    <w:rsid w:val="000E6F68"/>
    <w:rsid w:val="000F4536"/>
    <w:rsid w:val="000F47BD"/>
    <w:rsid w:val="000F5214"/>
    <w:rsid w:val="000F5791"/>
    <w:rsid w:val="001017A2"/>
    <w:rsid w:val="0010276A"/>
    <w:rsid w:val="001036FB"/>
    <w:rsid w:val="0010378A"/>
    <w:rsid w:val="00103A07"/>
    <w:rsid w:val="00103BD6"/>
    <w:rsid w:val="00103D0B"/>
    <w:rsid w:val="00103E57"/>
    <w:rsid w:val="00105AE0"/>
    <w:rsid w:val="001071FF"/>
    <w:rsid w:val="001075BE"/>
    <w:rsid w:val="0011046C"/>
    <w:rsid w:val="0011120F"/>
    <w:rsid w:val="00112047"/>
    <w:rsid w:val="001120AB"/>
    <w:rsid w:val="00113460"/>
    <w:rsid w:val="00113EC5"/>
    <w:rsid w:val="0011733C"/>
    <w:rsid w:val="001206C4"/>
    <w:rsid w:val="00120905"/>
    <w:rsid w:val="00120A80"/>
    <w:rsid w:val="00120DDA"/>
    <w:rsid w:val="00122482"/>
    <w:rsid w:val="001224CA"/>
    <w:rsid w:val="001235DF"/>
    <w:rsid w:val="001253C1"/>
    <w:rsid w:val="001300A8"/>
    <w:rsid w:val="001307EF"/>
    <w:rsid w:val="00130FFD"/>
    <w:rsid w:val="00131B9B"/>
    <w:rsid w:val="00132409"/>
    <w:rsid w:val="00132477"/>
    <w:rsid w:val="00134941"/>
    <w:rsid w:val="00135348"/>
    <w:rsid w:val="0013568E"/>
    <w:rsid w:val="0013577A"/>
    <w:rsid w:val="0013596A"/>
    <w:rsid w:val="001451A4"/>
    <w:rsid w:val="0015310D"/>
    <w:rsid w:val="0015356C"/>
    <w:rsid w:val="00155BE9"/>
    <w:rsid w:val="0015652F"/>
    <w:rsid w:val="0016076C"/>
    <w:rsid w:val="001618C7"/>
    <w:rsid w:val="00165708"/>
    <w:rsid w:val="00166E7A"/>
    <w:rsid w:val="001713CD"/>
    <w:rsid w:val="00174A8D"/>
    <w:rsid w:val="00176A0E"/>
    <w:rsid w:val="0018134E"/>
    <w:rsid w:val="00182643"/>
    <w:rsid w:val="001830D7"/>
    <w:rsid w:val="00185010"/>
    <w:rsid w:val="001850C4"/>
    <w:rsid w:val="001906D1"/>
    <w:rsid w:val="0019175D"/>
    <w:rsid w:val="00192E27"/>
    <w:rsid w:val="00194B76"/>
    <w:rsid w:val="00197685"/>
    <w:rsid w:val="0019777D"/>
    <w:rsid w:val="001A0D90"/>
    <w:rsid w:val="001A0EB6"/>
    <w:rsid w:val="001A1302"/>
    <w:rsid w:val="001A4995"/>
    <w:rsid w:val="001A529F"/>
    <w:rsid w:val="001B026C"/>
    <w:rsid w:val="001B0736"/>
    <w:rsid w:val="001B14D5"/>
    <w:rsid w:val="001B4B65"/>
    <w:rsid w:val="001B4C23"/>
    <w:rsid w:val="001C0532"/>
    <w:rsid w:val="001C0CCF"/>
    <w:rsid w:val="001C1FFB"/>
    <w:rsid w:val="001D3874"/>
    <w:rsid w:val="001D6198"/>
    <w:rsid w:val="001D6B2F"/>
    <w:rsid w:val="001D6CCA"/>
    <w:rsid w:val="001D7A7C"/>
    <w:rsid w:val="001E1BC7"/>
    <w:rsid w:val="001E398A"/>
    <w:rsid w:val="001E3C4F"/>
    <w:rsid w:val="001E4745"/>
    <w:rsid w:val="001E48C9"/>
    <w:rsid w:val="001E5169"/>
    <w:rsid w:val="001E60D1"/>
    <w:rsid w:val="001E6EA6"/>
    <w:rsid w:val="001E7031"/>
    <w:rsid w:val="001F0977"/>
    <w:rsid w:val="001F2061"/>
    <w:rsid w:val="001F259A"/>
    <w:rsid w:val="001F2D31"/>
    <w:rsid w:val="001F3E52"/>
    <w:rsid w:val="001F52C4"/>
    <w:rsid w:val="001F5A31"/>
    <w:rsid w:val="00201022"/>
    <w:rsid w:val="00204553"/>
    <w:rsid w:val="00207834"/>
    <w:rsid w:val="00211E1C"/>
    <w:rsid w:val="002131F0"/>
    <w:rsid w:val="002134C1"/>
    <w:rsid w:val="00213858"/>
    <w:rsid w:val="002140DF"/>
    <w:rsid w:val="002151EE"/>
    <w:rsid w:val="00215F43"/>
    <w:rsid w:val="00216C79"/>
    <w:rsid w:val="002172FA"/>
    <w:rsid w:val="00223218"/>
    <w:rsid w:val="00223C0E"/>
    <w:rsid w:val="002244FB"/>
    <w:rsid w:val="0022493F"/>
    <w:rsid w:val="002259B7"/>
    <w:rsid w:val="00226BD7"/>
    <w:rsid w:val="00230218"/>
    <w:rsid w:val="002304B2"/>
    <w:rsid w:val="00234AB5"/>
    <w:rsid w:val="00235A7C"/>
    <w:rsid w:val="00235E71"/>
    <w:rsid w:val="002366EC"/>
    <w:rsid w:val="00240B70"/>
    <w:rsid w:val="00241247"/>
    <w:rsid w:val="00241A35"/>
    <w:rsid w:val="00244EDA"/>
    <w:rsid w:val="002463C2"/>
    <w:rsid w:val="0024707D"/>
    <w:rsid w:val="00251EE6"/>
    <w:rsid w:val="00252A0E"/>
    <w:rsid w:val="00256F3C"/>
    <w:rsid w:val="002579AC"/>
    <w:rsid w:val="0026095A"/>
    <w:rsid w:val="00261E10"/>
    <w:rsid w:val="00262836"/>
    <w:rsid w:val="00266448"/>
    <w:rsid w:val="002666B6"/>
    <w:rsid w:val="00267F2E"/>
    <w:rsid w:val="00270AB4"/>
    <w:rsid w:val="0027125F"/>
    <w:rsid w:val="0027386D"/>
    <w:rsid w:val="00273CE7"/>
    <w:rsid w:val="00280004"/>
    <w:rsid w:val="00280295"/>
    <w:rsid w:val="00281900"/>
    <w:rsid w:val="00282D0F"/>
    <w:rsid w:val="00284440"/>
    <w:rsid w:val="00285487"/>
    <w:rsid w:val="00290049"/>
    <w:rsid w:val="0029092A"/>
    <w:rsid w:val="00290A37"/>
    <w:rsid w:val="00291A31"/>
    <w:rsid w:val="0029352A"/>
    <w:rsid w:val="00293E95"/>
    <w:rsid w:val="00294665"/>
    <w:rsid w:val="00297D1B"/>
    <w:rsid w:val="002A06F5"/>
    <w:rsid w:val="002A3990"/>
    <w:rsid w:val="002A3CF6"/>
    <w:rsid w:val="002A5275"/>
    <w:rsid w:val="002A78DB"/>
    <w:rsid w:val="002B11F2"/>
    <w:rsid w:val="002C12B1"/>
    <w:rsid w:val="002C3E2A"/>
    <w:rsid w:val="002C54D8"/>
    <w:rsid w:val="002C5F7F"/>
    <w:rsid w:val="002D285F"/>
    <w:rsid w:val="002D51A5"/>
    <w:rsid w:val="002D6413"/>
    <w:rsid w:val="002D78BD"/>
    <w:rsid w:val="002D7BEA"/>
    <w:rsid w:val="002E071E"/>
    <w:rsid w:val="002E23B1"/>
    <w:rsid w:val="002E3E90"/>
    <w:rsid w:val="002E3F94"/>
    <w:rsid w:val="002E4814"/>
    <w:rsid w:val="002E5B12"/>
    <w:rsid w:val="002E6738"/>
    <w:rsid w:val="002F0946"/>
    <w:rsid w:val="002F0E71"/>
    <w:rsid w:val="002F30E6"/>
    <w:rsid w:val="002F49D2"/>
    <w:rsid w:val="002F5D8F"/>
    <w:rsid w:val="002F5DF7"/>
    <w:rsid w:val="003007E9"/>
    <w:rsid w:val="00300F63"/>
    <w:rsid w:val="00302A03"/>
    <w:rsid w:val="00303151"/>
    <w:rsid w:val="0030484B"/>
    <w:rsid w:val="00305E56"/>
    <w:rsid w:val="00306415"/>
    <w:rsid w:val="00312539"/>
    <w:rsid w:val="00312A7C"/>
    <w:rsid w:val="00315ABB"/>
    <w:rsid w:val="003165DD"/>
    <w:rsid w:val="00320E9C"/>
    <w:rsid w:val="00321AB6"/>
    <w:rsid w:val="00321C69"/>
    <w:rsid w:val="00324BEB"/>
    <w:rsid w:val="00325DC4"/>
    <w:rsid w:val="0032699D"/>
    <w:rsid w:val="00331CBE"/>
    <w:rsid w:val="00331F0C"/>
    <w:rsid w:val="003344DE"/>
    <w:rsid w:val="0033607F"/>
    <w:rsid w:val="003366C3"/>
    <w:rsid w:val="0033717B"/>
    <w:rsid w:val="00341029"/>
    <w:rsid w:val="00341DF6"/>
    <w:rsid w:val="00342E35"/>
    <w:rsid w:val="0034412F"/>
    <w:rsid w:val="003467AA"/>
    <w:rsid w:val="00347DED"/>
    <w:rsid w:val="00350427"/>
    <w:rsid w:val="00351589"/>
    <w:rsid w:val="0035266A"/>
    <w:rsid w:val="003533CB"/>
    <w:rsid w:val="00354170"/>
    <w:rsid w:val="00357198"/>
    <w:rsid w:val="00360E2B"/>
    <w:rsid w:val="00362130"/>
    <w:rsid w:val="00362685"/>
    <w:rsid w:val="00362FDA"/>
    <w:rsid w:val="0036371B"/>
    <w:rsid w:val="00363840"/>
    <w:rsid w:val="00363D01"/>
    <w:rsid w:val="00364104"/>
    <w:rsid w:val="00365175"/>
    <w:rsid w:val="00365C3E"/>
    <w:rsid w:val="00365C92"/>
    <w:rsid w:val="00366870"/>
    <w:rsid w:val="00367676"/>
    <w:rsid w:val="003679CE"/>
    <w:rsid w:val="00370059"/>
    <w:rsid w:val="00371507"/>
    <w:rsid w:val="00373358"/>
    <w:rsid w:val="003734A9"/>
    <w:rsid w:val="003749D0"/>
    <w:rsid w:val="00375504"/>
    <w:rsid w:val="00380BF7"/>
    <w:rsid w:val="003817C2"/>
    <w:rsid w:val="003821BD"/>
    <w:rsid w:val="003961A8"/>
    <w:rsid w:val="00397B90"/>
    <w:rsid w:val="003A0AF8"/>
    <w:rsid w:val="003A12B6"/>
    <w:rsid w:val="003A2361"/>
    <w:rsid w:val="003A3825"/>
    <w:rsid w:val="003A3C1C"/>
    <w:rsid w:val="003A45DB"/>
    <w:rsid w:val="003A6687"/>
    <w:rsid w:val="003B0701"/>
    <w:rsid w:val="003B09EB"/>
    <w:rsid w:val="003B1F2D"/>
    <w:rsid w:val="003B2517"/>
    <w:rsid w:val="003B3548"/>
    <w:rsid w:val="003B43AA"/>
    <w:rsid w:val="003B480F"/>
    <w:rsid w:val="003B72A9"/>
    <w:rsid w:val="003B73C7"/>
    <w:rsid w:val="003C007A"/>
    <w:rsid w:val="003C09AC"/>
    <w:rsid w:val="003C3302"/>
    <w:rsid w:val="003C34EB"/>
    <w:rsid w:val="003C450F"/>
    <w:rsid w:val="003C49B8"/>
    <w:rsid w:val="003C5421"/>
    <w:rsid w:val="003C5430"/>
    <w:rsid w:val="003C73B6"/>
    <w:rsid w:val="003D00F6"/>
    <w:rsid w:val="003D4C25"/>
    <w:rsid w:val="003D6A99"/>
    <w:rsid w:val="003D7227"/>
    <w:rsid w:val="003D76AD"/>
    <w:rsid w:val="003E21AD"/>
    <w:rsid w:val="003E2E33"/>
    <w:rsid w:val="003E35A8"/>
    <w:rsid w:val="003E6702"/>
    <w:rsid w:val="003E7DA3"/>
    <w:rsid w:val="003F2113"/>
    <w:rsid w:val="003F35A5"/>
    <w:rsid w:val="003F3EE1"/>
    <w:rsid w:val="003F54E0"/>
    <w:rsid w:val="003F5A49"/>
    <w:rsid w:val="003F68EA"/>
    <w:rsid w:val="003F7B83"/>
    <w:rsid w:val="00400065"/>
    <w:rsid w:val="00414963"/>
    <w:rsid w:val="00415251"/>
    <w:rsid w:val="0041630C"/>
    <w:rsid w:val="004168DC"/>
    <w:rsid w:val="00416F7A"/>
    <w:rsid w:val="0042116F"/>
    <w:rsid w:val="00421DAD"/>
    <w:rsid w:val="004222E0"/>
    <w:rsid w:val="00422693"/>
    <w:rsid w:val="00422A55"/>
    <w:rsid w:val="00422C44"/>
    <w:rsid w:val="0042569B"/>
    <w:rsid w:val="0042757A"/>
    <w:rsid w:val="00427866"/>
    <w:rsid w:val="004278A7"/>
    <w:rsid w:val="0043223F"/>
    <w:rsid w:val="004338CE"/>
    <w:rsid w:val="00435AA6"/>
    <w:rsid w:val="004430A5"/>
    <w:rsid w:val="0044367E"/>
    <w:rsid w:val="004443E7"/>
    <w:rsid w:val="004501AD"/>
    <w:rsid w:val="00450263"/>
    <w:rsid w:val="0045273A"/>
    <w:rsid w:val="00453647"/>
    <w:rsid w:val="00454FF9"/>
    <w:rsid w:val="00457E2E"/>
    <w:rsid w:val="00460AA2"/>
    <w:rsid w:val="00462399"/>
    <w:rsid w:val="004625C3"/>
    <w:rsid w:val="00465C8A"/>
    <w:rsid w:val="00466085"/>
    <w:rsid w:val="0046668A"/>
    <w:rsid w:val="00466DE8"/>
    <w:rsid w:val="00476772"/>
    <w:rsid w:val="004807D8"/>
    <w:rsid w:val="004858C4"/>
    <w:rsid w:val="0048606B"/>
    <w:rsid w:val="00486360"/>
    <w:rsid w:val="004870E5"/>
    <w:rsid w:val="00487AC8"/>
    <w:rsid w:val="00490108"/>
    <w:rsid w:val="00492994"/>
    <w:rsid w:val="00492ED3"/>
    <w:rsid w:val="00492EE9"/>
    <w:rsid w:val="0049371D"/>
    <w:rsid w:val="0049518C"/>
    <w:rsid w:val="00496E36"/>
    <w:rsid w:val="004A008B"/>
    <w:rsid w:val="004A2A14"/>
    <w:rsid w:val="004A3574"/>
    <w:rsid w:val="004A3D8F"/>
    <w:rsid w:val="004A3ED8"/>
    <w:rsid w:val="004A44E9"/>
    <w:rsid w:val="004A4D27"/>
    <w:rsid w:val="004A760C"/>
    <w:rsid w:val="004B3011"/>
    <w:rsid w:val="004B3C41"/>
    <w:rsid w:val="004B3E4E"/>
    <w:rsid w:val="004B5B22"/>
    <w:rsid w:val="004B5B8D"/>
    <w:rsid w:val="004B702D"/>
    <w:rsid w:val="004B7A5D"/>
    <w:rsid w:val="004C01E3"/>
    <w:rsid w:val="004C0510"/>
    <w:rsid w:val="004C1824"/>
    <w:rsid w:val="004C1F8C"/>
    <w:rsid w:val="004C27A2"/>
    <w:rsid w:val="004C2C97"/>
    <w:rsid w:val="004C3BFC"/>
    <w:rsid w:val="004C4655"/>
    <w:rsid w:val="004C5A96"/>
    <w:rsid w:val="004C71FD"/>
    <w:rsid w:val="004D21F9"/>
    <w:rsid w:val="004D2D87"/>
    <w:rsid w:val="004D3C88"/>
    <w:rsid w:val="004D3EFD"/>
    <w:rsid w:val="004D6C39"/>
    <w:rsid w:val="004E0D3B"/>
    <w:rsid w:val="004E30ED"/>
    <w:rsid w:val="004E4D52"/>
    <w:rsid w:val="004E6514"/>
    <w:rsid w:val="004F0013"/>
    <w:rsid w:val="004F037B"/>
    <w:rsid w:val="004F1964"/>
    <w:rsid w:val="004F1E55"/>
    <w:rsid w:val="004F2741"/>
    <w:rsid w:val="004F2C86"/>
    <w:rsid w:val="004F4A43"/>
    <w:rsid w:val="004F57EA"/>
    <w:rsid w:val="004F5A1F"/>
    <w:rsid w:val="0050673A"/>
    <w:rsid w:val="00507910"/>
    <w:rsid w:val="005115F1"/>
    <w:rsid w:val="00513405"/>
    <w:rsid w:val="00517508"/>
    <w:rsid w:val="00524AB5"/>
    <w:rsid w:val="00530955"/>
    <w:rsid w:val="00530EBB"/>
    <w:rsid w:val="00531594"/>
    <w:rsid w:val="005339CE"/>
    <w:rsid w:val="0053469D"/>
    <w:rsid w:val="0053608D"/>
    <w:rsid w:val="00536394"/>
    <w:rsid w:val="00536771"/>
    <w:rsid w:val="0054086A"/>
    <w:rsid w:val="00541912"/>
    <w:rsid w:val="00541962"/>
    <w:rsid w:val="00542267"/>
    <w:rsid w:val="00544A1E"/>
    <w:rsid w:val="005454F7"/>
    <w:rsid w:val="00545A1D"/>
    <w:rsid w:val="00546FF3"/>
    <w:rsid w:val="00547A36"/>
    <w:rsid w:val="00552EA1"/>
    <w:rsid w:val="0055628A"/>
    <w:rsid w:val="00556603"/>
    <w:rsid w:val="00562A80"/>
    <w:rsid w:val="005659BA"/>
    <w:rsid w:val="00571031"/>
    <w:rsid w:val="00571D74"/>
    <w:rsid w:val="00574D07"/>
    <w:rsid w:val="00581D61"/>
    <w:rsid w:val="00583965"/>
    <w:rsid w:val="0058457D"/>
    <w:rsid w:val="00584C51"/>
    <w:rsid w:val="0059165F"/>
    <w:rsid w:val="00594812"/>
    <w:rsid w:val="00597492"/>
    <w:rsid w:val="005977CD"/>
    <w:rsid w:val="005A198A"/>
    <w:rsid w:val="005A2D99"/>
    <w:rsid w:val="005A556A"/>
    <w:rsid w:val="005A657A"/>
    <w:rsid w:val="005B1387"/>
    <w:rsid w:val="005B39F5"/>
    <w:rsid w:val="005B3CF3"/>
    <w:rsid w:val="005B6672"/>
    <w:rsid w:val="005B67E4"/>
    <w:rsid w:val="005B7AB9"/>
    <w:rsid w:val="005C038C"/>
    <w:rsid w:val="005C1F40"/>
    <w:rsid w:val="005C26E6"/>
    <w:rsid w:val="005C297C"/>
    <w:rsid w:val="005C50DE"/>
    <w:rsid w:val="005C669E"/>
    <w:rsid w:val="005C6BAF"/>
    <w:rsid w:val="005C79AB"/>
    <w:rsid w:val="005D0E62"/>
    <w:rsid w:val="005D120E"/>
    <w:rsid w:val="005E0B51"/>
    <w:rsid w:val="005E3AA1"/>
    <w:rsid w:val="005E3DDF"/>
    <w:rsid w:val="005E5481"/>
    <w:rsid w:val="005E5539"/>
    <w:rsid w:val="005E6047"/>
    <w:rsid w:val="005F13C2"/>
    <w:rsid w:val="005F37DF"/>
    <w:rsid w:val="005F3B95"/>
    <w:rsid w:val="005F559B"/>
    <w:rsid w:val="00600A83"/>
    <w:rsid w:val="00600F48"/>
    <w:rsid w:val="006013DE"/>
    <w:rsid w:val="00601E13"/>
    <w:rsid w:val="006025E7"/>
    <w:rsid w:val="00602A6E"/>
    <w:rsid w:val="00606E51"/>
    <w:rsid w:val="006110AC"/>
    <w:rsid w:val="0061385D"/>
    <w:rsid w:val="00614ECA"/>
    <w:rsid w:val="00615303"/>
    <w:rsid w:val="006163F2"/>
    <w:rsid w:val="00622721"/>
    <w:rsid w:val="0062393E"/>
    <w:rsid w:val="00624117"/>
    <w:rsid w:val="00624500"/>
    <w:rsid w:val="00626FA9"/>
    <w:rsid w:val="00627FC7"/>
    <w:rsid w:val="00630A1C"/>
    <w:rsid w:val="00632887"/>
    <w:rsid w:val="00634058"/>
    <w:rsid w:val="00634059"/>
    <w:rsid w:val="006340B5"/>
    <w:rsid w:val="00635984"/>
    <w:rsid w:val="00636C5D"/>
    <w:rsid w:val="00640096"/>
    <w:rsid w:val="00641597"/>
    <w:rsid w:val="0064227E"/>
    <w:rsid w:val="00645DC0"/>
    <w:rsid w:val="00653A3C"/>
    <w:rsid w:val="00660043"/>
    <w:rsid w:val="0067037C"/>
    <w:rsid w:val="006705E0"/>
    <w:rsid w:val="0067192F"/>
    <w:rsid w:val="0067283C"/>
    <w:rsid w:val="00673498"/>
    <w:rsid w:val="00673BA6"/>
    <w:rsid w:val="0067485A"/>
    <w:rsid w:val="00674B85"/>
    <w:rsid w:val="006755C2"/>
    <w:rsid w:val="0067661F"/>
    <w:rsid w:val="00680CAD"/>
    <w:rsid w:val="00681F30"/>
    <w:rsid w:val="00682B9C"/>
    <w:rsid w:val="00683D71"/>
    <w:rsid w:val="00683EB7"/>
    <w:rsid w:val="006857DF"/>
    <w:rsid w:val="0068713A"/>
    <w:rsid w:val="006907D5"/>
    <w:rsid w:val="00690FBE"/>
    <w:rsid w:val="00691E45"/>
    <w:rsid w:val="0069583C"/>
    <w:rsid w:val="00697BC5"/>
    <w:rsid w:val="006A535A"/>
    <w:rsid w:val="006A7A1E"/>
    <w:rsid w:val="006B752A"/>
    <w:rsid w:val="006B797B"/>
    <w:rsid w:val="006B7F97"/>
    <w:rsid w:val="006C1097"/>
    <w:rsid w:val="006C3937"/>
    <w:rsid w:val="006C57C7"/>
    <w:rsid w:val="006C5E75"/>
    <w:rsid w:val="006C7615"/>
    <w:rsid w:val="006D0B4B"/>
    <w:rsid w:val="006D0B9C"/>
    <w:rsid w:val="006D0CD7"/>
    <w:rsid w:val="006D0DE8"/>
    <w:rsid w:val="006D125F"/>
    <w:rsid w:val="006D5AD5"/>
    <w:rsid w:val="006D609F"/>
    <w:rsid w:val="006E0808"/>
    <w:rsid w:val="006E0C83"/>
    <w:rsid w:val="006E0F6E"/>
    <w:rsid w:val="006E26F4"/>
    <w:rsid w:val="006E3ACC"/>
    <w:rsid w:val="006E561B"/>
    <w:rsid w:val="006E7E40"/>
    <w:rsid w:val="006F0048"/>
    <w:rsid w:val="006F1F29"/>
    <w:rsid w:val="006F6DFA"/>
    <w:rsid w:val="00701BFA"/>
    <w:rsid w:val="007031AC"/>
    <w:rsid w:val="007045A7"/>
    <w:rsid w:val="007056CF"/>
    <w:rsid w:val="00706C72"/>
    <w:rsid w:val="007101BF"/>
    <w:rsid w:val="00710E18"/>
    <w:rsid w:val="00711D73"/>
    <w:rsid w:val="00712437"/>
    <w:rsid w:val="00712AB9"/>
    <w:rsid w:val="00712FBB"/>
    <w:rsid w:val="007202B8"/>
    <w:rsid w:val="007204CB"/>
    <w:rsid w:val="007234AB"/>
    <w:rsid w:val="00723F16"/>
    <w:rsid w:val="007264E7"/>
    <w:rsid w:val="00731470"/>
    <w:rsid w:val="0073473A"/>
    <w:rsid w:val="00734C96"/>
    <w:rsid w:val="00734FEE"/>
    <w:rsid w:val="00737D97"/>
    <w:rsid w:val="007421A3"/>
    <w:rsid w:val="007458E4"/>
    <w:rsid w:val="007516CF"/>
    <w:rsid w:val="00753B18"/>
    <w:rsid w:val="00755A42"/>
    <w:rsid w:val="00757231"/>
    <w:rsid w:val="00761B09"/>
    <w:rsid w:val="0076307E"/>
    <w:rsid w:val="00765D7F"/>
    <w:rsid w:val="00772F41"/>
    <w:rsid w:val="0077521B"/>
    <w:rsid w:val="007811AB"/>
    <w:rsid w:val="00785AEF"/>
    <w:rsid w:val="00785E4F"/>
    <w:rsid w:val="0078680E"/>
    <w:rsid w:val="007928C7"/>
    <w:rsid w:val="00793E36"/>
    <w:rsid w:val="00794D26"/>
    <w:rsid w:val="007A0AF9"/>
    <w:rsid w:val="007A1673"/>
    <w:rsid w:val="007A47D0"/>
    <w:rsid w:val="007A538E"/>
    <w:rsid w:val="007A7D08"/>
    <w:rsid w:val="007B0FAF"/>
    <w:rsid w:val="007B2F12"/>
    <w:rsid w:val="007B58FB"/>
    <w:rsid w:val="007B6079"/>
    <w:rsid w:val="007B6A98"/>
    <w:rsid w:val="007B7EE3"/>
    <w:rsid w:val="007C035E"/>
    <w:rsid w:val="007C0EC0"/>
    <w:rsid w:val="007C1898"/>
    <w:rsid w:val="007C6BBE"/>
    <w:rsid w:val="007C75FA"/>
    <w:rsid w:val="007D00B9"/>
    <w:rsid w:val="007D4329"/>
    <w:rsid w:val="007D4552"/>
    <w:rsid w:val="007D57B6"/>
    <w:rsid w:val="007D759B"/>
    <w:rsid w:val="007E1CC4"/>
    <w:rsid w:val="007E2D0F"/>
    <w:rsid w:val="007E2D1B"/>
    <w:rsid w:val="007E3507"/>
    <w:rsid w:val="007E377A"/>
    <w:rsid w:val="007E422B"/>
    <w:rsid w:val="007F139E"/>
    <w:rsid w:val="007F5B57"/>
    <w:rsid w:val="0080097C"/>
    <w:rsid w:val="00801B99"/>
    <w:rsid w:val="00803317"/>
    <w:rsid w:val="008036E6"/>
    <w:rsid w:val="008050C5"/>
    <w:rsid w:val="00812D80"/>
    <w:rsid w:val="00814E6B"/>
    <w:rsid w:val="00816305"/>
    <w:rsid w:val="0082240A"/>
    <w:rsid w:val="00822F18"/>
    <w:rsid w:val="008237AE"/>
    <w:rsid w:val="00830F5F"/>
    <w:rsid w:val="00831DA8"/>
    <w:rsid w:val="008338E9"/>
    <w:rsid w:val="0083456A"/>
    <w:rsid w:val="00837E5D"/>
    <w:rsid w:val="008400A9"/>
    <w:rsid w:val="00844881"/>
    <w:rsid w:val="00845DA7"/>
    <w:rsid w:val="0085078C"/>
    <w:rsid w:val="00851111"/>
    <w:rsid w:val="0085139E"/>
    <w:rsid w:val="00851BAA"/>
    <w:rsid w:val="00854839"/>
    <w:rsid w:val="00860209"/>
    <w:rsid w:val="00861447"/>
    <w:rsid w:val="00862F1A"/>
    <w:rsid w:val="008636CF"/>
    <w:rsid w:val="00863E78"/>
    <w:rsid w:val="0086541B"/>
    <w:rsid w:val="008659ED"/>
    <w:rsid w:val="00867868"/>
    <w:rsid w:val="00867964"/>
    <w:rsid w:val="00871FDA"/>
    <w:rsid w:val="00875E76"/>
    <w:rsid w:val="008760F4"/>
    <w:rsid w:val="00876C9B"/>
    <w:rsid w:val="00880E46"/>
    <w:rsid w:val="00884EE0"/>
    <w:rsid w:val="00885021"/>
    <w:rsid w:val="008857F3"/>
    <w:rsid w:val="0089097C"/>
    <w:rsid w:val="008913F6"/>
    <w:rsid w:val="008915C8"/>
    <w:rsid w:val="00891BB5"/>
    <w:rsid w:val="0089442D"/>
    <w:rsid w:val="008978BC"/>
    <w:rsid w:val="008A00DE"/>
    <w:rsid w:val="008A1135"/>
    <w:rsid w:val="008A5579"/>
    <w:rsid w:val="008B23ED"/>
    <w:rsid w:val="008B3CF6"/>
    <w:rsid w:val="008B6E3E"/>
    <w:rsid w:val="008C22C3"/>
    <w:rsid w:val="008C2872"/>
    <w:rsid w:val="008C4E93"/>
    <w:rsid w:val="008C5331"/>
    <w:rsid w:val="008D1C6E"/>
    <w:rsid w:val="008D487D"/>
    <w:rsid w:val="008D589B"/>
    <w:rsid w:val="008D5F36"/>
    <w:rsid w:val="008D6F39"/>
    <w:rsid w:val="008D74D8"/>
    <w:rsid w:val="008E0196"/>
    <w:rsid w:val="008E4A5E"/>
    <w:rsid w:val="008E4EA6"/>
    <w:rsid w:val="008E5BEA"/>
    <w:rsid w:val="008E61CF"/>
    <w:rsid w:val="008E66A7"/>
    <w:rsid w:val="008E7B94"/>
    <w:rsid w:val="008F0027"/>
    <w:rsid w:val="008F13F4"/>
    <w:rsid w:val="008F2248"/>
    <w:rsid w:val="008F429A"/>
    <w:rsid w:val="008F4885"/>
    <w:rsid w:val="008F69B0"/>
    <w:rsid w:val="008F6DFC"/>
    <w:rsid w:val="00900FA9"/>
    <w:rsid w:val="0090175B"/>
    <w:rsid w:val="0090254E"/>
    <w:rsid w:val="0090397D"/>
    <w:rsid w:val="00903B8A"/>
    <w:rsid w:val="009071AD"/>
    <w:rsid w:val="00911D77"/>
    <w:rsid w:val="00914D80"/>
    <w:rsid w:val="00915C0A"/>
    <w:rsid w:val="00916C61"/>
    <w:rsid w:val="00920BE6"/>
    <w:rsid w:val="00920D54"/>
    <w:rsid w:val="00922E91"/>
    <w:rsid w:val="009253A2"/>
    <w:rsid w:val="009260F9"/>
    <w:rsid w:val="009328BD"/>
    <w:rsid w:val="0093469C"/>
    <w:rsid w:val="009360EA"/>
    <w:rsid w:val="00940D53"/>
    <w:rsid w:val="00942081"/>
    <w:rsid w:val="009447BD"/>
    <w:rsid w:val="00944876"/>
    <w:rsid w:val="00945F75"/>
    <w:rsid w:val="00950D6C"/>
    <w:rsid w:val="00952B8F"/>
    <w:rsid w:val="00953321"/>
    <w:rsid w:val="00955935"/>
    <w:rsid w:val="00956877"/>
    <w:rsid w:val="009574EE"/>
    <w:rsid w:val="00957C3F"/>
    <w:rsid w:val="009630AF"/>
    <w:rsid w:val="00964F16"/>
    <w:rsid w:val="0096690F"/>
    <w:rsid w:val="0096729D"/>
    <w:rsid w:val="00970692"/>
    <w:rsid w:val="00971686"/>
    <w:rsid w:val="00973845"/>
    <w:rsid w:val="009743E5"/>
    <w:rsid w:val="0097620C"/>
    <w:rsid w:val="0097647D"/>
    <w:rsid w:val="00983A52"/>
    <w:rsid w:val="00984B13"/>
    <w:rsid w:val="00986AE7"/>
    <w:rsid w:val="00987773"/>
    <w:rsid w:val="00987A32"/>
    <w:rsid w:val="00993600"/>
    <w:rsid w:val="0099428B"/>
    <w:rsid w:val="00997D11"/>
    <w:rsid w:val="009A0A96"/>
    <w:rsid w:val="009A1D8B"/>
    <w:rsid w:val="009A2498"/>
    <w:rsid w:val="009A271D"/>
    <w:rsid w:val="009A44F9"/>
    <w:rsid w:val="009A64A6"/>
    <w:rsid w:val="009A70D5"/>
    <w:rsid w:val="009B10B0"/>
    <w:rsid w:val="009B2507"/>
    <w:rsid w:val="009B2E8E"/>
    <w:rsid w:val="009B3004"/>
    <w:rsid w:val="009B348C"/>
    <w:rsid w:val="009B5293"/>
    <w:rsid w:val="009B6EAF"/>
    <w:rsid w:val="009B7712"/>
    <w:rsid w:val="009C0636"/>
    <w:rsid w:val="009C08BA"/>
    <w:rsid w:val="009C4B87"/>
    <w:rsid w:val="009C6F32"/>
    <w:rsid w:val="009C797B"/>
    <w:rsid w:val="009D02E8"/>
    <w:rsid w:val="009D0C05"/>
    <w:rsid w:val="009D2987"/>
    <w:rsid w:val="009D4274"/>
    <w:rsid w:val="009D461F"/>
    <w:rsid w:val="009D5D74"/>
    <w:rsid w:val="009D622C"/>
    <w:rsid w:val="009E1268"/>
    <w:rsid w:val="009E5716"/>
    <w:rsid w:val="009E61F7"/>
    <w:rsid w:val="009E708C"/>
    <w:rsid w:val="009E7B3D"/>
    <w:rsid w:val="009E7BE7"/>
    <w:rsid w:val="009E7EB2"/>
    <w:rsid w:val="009F145D"/>
    <w:rsid w:val="009F17D1"/>
    <w:rsid w:val="009F7CAB"/>
    <w:rsid w:val="00A00D15"/>
    <w:rsid w:val="00A011F7"/>
    <w:rsid w:val="00A02E6E"/>
    <w:rsid w:val="00A03F22"/>
    <w:rsid w:val="00A05B28"/>
    <w:rsid w:val="00A064C9"/>
    <w:rsid w:val="00A0662C"/>
    <w:rsid w:val="00A12624"/>
    <w:rsid w:val="00A1407B"/>
    <w:rsid w:val="00A14B13"/>
    <w:rsid w:val="00A14B40"/>
    <w:rsid w:val="00A15BF3"/>
    <w:rsid w:val="00A17FEB"/>
    <w:rsid w:val="00A20772"/>
    <w:rsid w:val="00A214C8"/>
    <w:rsid w:val="00A21567"/>
    <w:rsid w:val="00A215C7"/>
    <w:rsid w:val="00A223D3"/>
    <w:rsid w:val="00A24B13"/>
    <w:rsid w:val="00A30451"/>
    <w:rsid w:val="00A3148A"/>
    <w:rsid w:val="00A31B46"/>
    <w:rsid w:val="00A324AB"/>
    <w:rsid w:val="00A34E09"/>
    <w:rsid w:val="00A34F55"/>
    <w:rsid w:val="00A35B35"/>
    <w:rsid w:val="00A4004C"/>
    <w:rsid w:val="00A44A6C"/>
    <w:rsid w:val="00A44E5B"/>
    <w:rsid w:val="00A45819"/>
    <w:rsid w:val="00A4687A"/>
    <w:rsid w:val="00A46D17"/>
    <w:rsid w:val="00A47C08"/>
    <w:rsid w:val="00A52F47"/>
    <w:rsid w:val="00A54695"/>
    <w:rsid w:val="00A54D83"/>
    <w:rsid w:val="00A61176"/>
    <w:rsid w:val="00A61F5C"/>
    <w:rsid w:val="00A63384"/>
    <w:rsid w:val="00A71631"/>
    <w:rsid w:val="00A71754"/>
    <w:rsid w:val="00A717E7"/>
    <w:rsid w:val="00A71EDB"/>
    <w:rsid w:val="00A74152"/>
    <w:rsid w:val="00A76A28"/>
    <w:rsid w:val="00A81A62"/>
    <w:rsid w:val="00A8284E"/>
    <w:rsid w:val="00A82DC6"/>
    <w:rsid w:val="00A83243"/>
    <w:rsid w:val="00A83CC9"/>
    <w:rsid w:val="00A8789C"/>
    <w:rsid w:val="00A90111"/>
    <w:rsid w:val="00A91528"/>
    <w:rsid w:val="00A95196"/>
    <w:rsid w:val="00A9738A"/>
    <w:rsid w:val="00AA1EFF"/>
    <w:rsid w:val="00AA5115"/>
    <w:rsid w:val="00AA70DF"/>
    <w:rsid w:val="00AA7241"/>
    <w:rsid w:val="00AB14C7"/>
    <w:rsid w:val="00AB2264"/>
    <w:rsid w:val="00AB4E47"/>
    <w:rsid w:val="00AB67F7"/>
    <w:rsid w:val="00AC0715"/>
    <w:rsid w:val="00AC146C"/>
    <w:rsid w:val="00AC1BA8"/>
    <w:rsid w:val="00AC1F76"/>
    <w:rsid w:val="00AC2615"/>
    <w:rsid w:val="00AC5AB5"/>
    <w:rsid w:val="00AC64D8"/>
    <w:rsid w:val="00AD0AF6"/>
    <w:rsid w:val="00AD12D2"/>
    <w:rsid w:val="00AD1729"/>
    <w:rsid w:val="00AD1C00"/>
    <w:rsid w:val="00AD2774"/>
    <w:rsid w:val="00AD3BAE"/>
    <w:rsid w:val="00AD5261"/>
    <w:rsid w:val="00AE2CB2"/>
    <w:rsid w:val="00AE357A"/>
    <w:rsid w:val="00AE38B2"/>
    <w:rsid w:val="00AE5A4E"/>
    <w:rsid w:val="00AE76F9"/>
    <w:rsid w:val="00AF1F8B"/>
    <w:rsid w:val="00AF4117"/>
    <w:rsid w:val="00AF4295"/>
    <w:rsid w:val="00AF4B9E"/>
    <w:rsid w:val="00AF6636"/>
    <w:rsid w:val="00B11692"/>
    <w:rsid w:val="00B14116"/>
    <w:rsid w:val="00B1486E"/>
    <w:rsid w:val="00B159E2"/>
    <w:rsid w:val="00B15BDD"/>
    <w:rsid w:val="00B20443"/>
    <w:rsid w:val="00B214AB"/>
    <w:rsid w:val="00B22EB9"/>
    <w:rsid w:val="00B259CE"/>
    <w:rsid w:val="00B25B50"/>
    <w:rsid w:val="00B26510"/>
    <w:rsid w:val="00B30680"/>
    <w:rsid w:val="00B31DD7"/>
    <w:rsid w:val="00B32CAF"/>
    <w:rsid w:val="00B33432"/>
    <w:rsid w:val="00B336D5"/>
    <w:rsid w:val="00B35F18"/>
    <w:rsid w:val="00B3657C"/>
    <w:rsid w:val="00B42372"/>
    <w:rsid w:val="00B423A4"/>
    <w:rsid w:val="00B437D6"/>
    <w:rsid w:val="00B4446B"/>
    <w:rsid w:val="00B445C1"/>
    <w:rsid w:val="00B523FB"/>
    <w:rsid w:val="00B5525E"/>
    <w:rsid w:val="00B57726"/>
    <w:rsid w:val="00B63604"/>
    <w:rsid w:val="00B63CFC"/>
    <w:rsid w:val="00B63FA9"/>
    <w:rsid w:val="00B650CC"/>
    <w:rsid w:val="00B663D5"/>
    <w:rsid w:val="00B7078F"/>
    <w:rsid w:val="00B71457"/>
    <w:rsid w:val="00B73394"/>
    <w:rsid w:val="00B750BF"/>
    <w:rsid w:val="00B75217"/>
    <w:rsid w:val="00B75366"/>
    <w:rsid w:val="00B81AFD"/>
    <w:rsid w:val="00B83085"/>
    <w:rsid w:val="00B85442"/>
    <w:rsid w:val="00B85BF4"/>
    <w:rsid w:val="00B91090"/>
    <w:rsid w:val="00B926B7"/>
    <w:rsid w:val="00B94A3A"/>
    <w:rsid w:val="00B95094"/>
    <w:rsid w:val="00BB0F96"/>
    <w:rsid w:val="00BB12EA"/>
    <w:rsid w:val="00BB2F95"/>
    <w:rsid w:val="00BC2829"/>
    <w:rsid w:val="00BC4096"/>
    <w:rsid w:val="00BC60A9"/>
    <w:rsid w:val="00BC65BA"/>
    <w:rsid w:val="00BD55FE"/>
    <w:rsid w:val="00BE0383"/>
    <w:rsid w:val="00BE07A0"/>
    <w:rsid w:val="00BE0C7C"/>
    <w:rsid w:val="00BE1C3A"/>
    <w:rsid w:val="00BE70FF"/>
    <w:rsid w:val="00BF1079"/>
    <w:rsid w:val="00BF2768"/>
    <w:rsid w:val="00BF5859"/>
    <w:rsid w:val="00BF6DFF"/>
    <w:rsid w:val="00C00048"/>
    <w:rsid w:val="00C00239"/>
    <w:rsid w:val="00C012B8"/>
    <w:rsid w:val="00C11842"/>
    <w:rsid w:val="00C12994"/>
    <w:rsid w:val="00C1363B"/>
    <w:rsid w:val="00C14D24"/>
    <w:rsid w:val="00C1538F"/>
    <w:rsid w:val="00C15926"/>
    <w:rsid w:val="00C16139"/>
    <w:rsid w:val="00C17609"/>
    <w:rsid w:val="00C177ED"/>
    <w:rsid w:val="00C2265C"/>
    <w:rsid w:val="00C24E8F"/>
    <w:rsid w:val="00C25AB2"/>
    <w:rsid w:val="00C278A9"/>
    <w:rsid w:val="00C30985"/>
    <w:rsid w:val="00C3350C"/>
    <w:rsid w:val="00C33BB9"/>
    <w:rsid w:val="00C3464B"/>
    <w:rsid w:val="00C35140"/>
    <w:rsid w:val="00C35A34"/>
    <w:rsid w:val="00C367F2"/>
    <w:rsid w:val="00C3715A"/>
    <w:rsid w:val="00C3717F"/>
    <w:rsid w:val="00C408DA"/>
    <w:rsid w:val="00C421FF"/>
    <w:rsid w:val="00C425BE"/>
    <w:rsid w:val="00C44F2B"/>
    <w:rsid w:val="00C545D3"/>
    <w:rsid w:val="00C54A8C"/>
    <w:rsid w:val="00C5675C"/>
    <w:rsid w:val="00C61233"/>
    <w:rsid w:val="00C61911"/>
    <w:rsid w:val="00C627D8"/>
    <w:rsid w:val="00C62EB5"/>
    <w:rsid w:val="00C65EB9"/>
    <w:rsid w:val="00C718D9"/>
    <w:rsid w:val="00C72850"/>
    <w:rsid w:val="00C73632"/>
    <w:rsid w:val="00C75175"/>
    <w:rsid w:val="00C7543D"/>
    <w:rsid w:val="00C759F9"/>
    <w:rsid w:val="00C75CB7"/>
    <w:rsid w:val="00C777E7"/>
    <w:rsid w:val="00C81E92"/>
    <w:rsid w:val="00C82A83"/>
    <w:rsid w:val="00C91F28"/>
    <w:rsid w:val="00C92ED2"/>
    <w:rsid w:val="00C93239"/>
    <w:rsid w:val="00C94BF8"/>
    <w:rsid w:val="00C94F86"/>
    <w:rsid w:val="00CA180E"/>
    <w:rsid w:val="00CA23F1"/>
    <w:rsid w:val="00CA4DB3"/>
    <w:rsid w:val="00CA574E"/>
    <w:rsid w:val="00CA69FF"/>
    <w:rsid w:val="00CA7FEE"/>
    <w:rsid w:val="00CB0CBA"/>
    <w:rsid w:val="00CB11FA"/>
    <w:rsid w:val="00CC0F98"/>
    <w:rsid w:val="00CC1F38"/>
    <w:rsid w:val="00CC4D3B"/>
    <w:rsid w:val="00CC6328"/>
    <w:rsid w:val="00CC69B1"/>
    <w:rsid w:val="00CC7D94"/>
    <w:rsid w:val="00CD0996"/>
    <w:rsid w:val="00CD17D9"/>
    <w:rsid w:val="00CD218F"/>
    <w:rsid w:val="00CD417B"/>
    <w:rsid w:val="00CD4EA9"/>
    <w:rsid w:val="00CE0A40"/>
    <w:rsid w:val="00CE0C33"/>
    <w:rsid w:val="00CE2480"/>
    <w:rsid w:val="00CE3871"/>
    <w:rsid w:val="00CE39D5"/>
    <w:rsid w:val="00CE52D0"/>
    <w:rsid w:val="00CE7671"/>
    <w:rsid w:val="00CF1043"/>
    <w:rsid w:val="00CF1336"/>
    <w:rsid w:val="00CF2265"/>
    <w:rsid w:val="00CF38DA"/>
    <w:rsid w:val="00CF6B12"/>
    <w:rsid w:val="00CF6CA8"/>
    <w:rsid w:val="00CF797E"/>
    <w:rsid w:val="00CF7AF4"/>
    <w:rsid w:val="00CF7C9B"/>
    <w:rsid w:val="00D01079"/>
    <w:rsid w:val="00D02059"/>
    <w:rsid w:val="00D03B55"/>
    <w:rsid w:val="00D04D65"/>
    <w:rsid w:val="00D10FDF"/>
    <w:rsid w:val="00D15CC8"/>
    <w:rsid w:val="00D20615"/>
    <w:rsid w:val="00D206F9"/>
    <w:rsid w:val="00D20796"/>
    <w:rsid w:val="00D238ED"/>
    <w:rsid w:val="00D2538D"/>
    <w:rsid w:val="00D268C9"/>
    <w:rsid w:val="00D26D00"/>
    <w:rsid w:val="00D301ED"/>
    <w:rsid w:val="00D313B0"/>
    <w:rsid w:val="00D319D4"/>
    <w:rsid w:val="00D36569"/>
    <w:rsid w:val="00D36FBF"/>
    <w:rsid w:val="00D40062"/>
    <w:rsid w:val="00D405E7"/>
    <w:rsid w:val="00D4133A"/>
    <w:rsid w:val="00D440FF"/>
    <w:rsid w:val="00D44DD1"/>
    <w:rsid w:val="00D50BC2"/>
    <w:rsid w:val="00D515C2"/>
    <w:rsid w:val="00D51801"/>
    <w:rsid w:val="00D5622E"/>
    <w:rsid w:val="00D570CE"/>
    <w:rsid w:val="00D66F14"/>
    <w:rsid w:val="00D679C1"/>
    <w:rsid w:val="00D67A9D"/>
    <w:rsid w:val="00D7638B"/>
    <w:rsid w:val="00D76DCC"/>
    <w:rsid w:val="00D77028"/>
    <w:rsid w:val="00D77D9E"/>
    <w:rsid w:val="00D81C8D"/>
    <w:rsid w:val="00D81D6D"/>
    <w:rsid w:val="00D8340F"/>
    <w:rsid w:val="00D86400"/>
    <w:rsid w:val="00D867D6"/>
    <w:rsid w:val="00D868DE"/>
    <w:rsid w:val="00D90503"/>
    <w:rsid w:val="00D94A33"/>
    <w:rsid w:val="00D97FE0"/>
    <w:rsid w:val="00DA1C78"/>
    <w:rsid w:val="00DA6875"/>
    <w:rsid w:val="00DB0107"/>
    <w:rsid w:val="00DB0B44"/>
    <w:rsid w:val="00DB18E3"/>
    <w:rsid w:val="00DB297D"/>
    <w:rsid w:val="00DB4314"/>
    <w:rsid w:val="00DB6163"/>
    <w:rsid w:val="00DB66A1"/>
    <w:rsid w:val="00DB75D0"/>
    <w:rsid w:val="00DB7C7C"/>
    <w:rsid w:val="00DC0A19"/>
    <w:rsid w:val="00DC0C8E"/>
    <w:rsid w:val="00DC1BE6"/>
    <w:rsid w:val="00DC68AF"/>
    <w:rsid w:val="00DD1317"/>
    <w:rsid w:val="00DD2426"/>
    <w:rsid w:val="00DD2F1D"/>
    <w:rsid w:val="00DD3ACE"/>
    <w:rsid w:val="00DD60CF"/>
    <w:rsid w:val="00DE02C0"/>
    <w:rsid w:val="00DE0C01"/>
    <w:rsid w:val="00DE3797"/>
    <w:rsid w:val="00DE4E97"/>
    <w:rsid w:val="00DE5AB2"/>
    <w:rsid w:val="00DE671D"/>
    <w:rsid w:val="00DF4497"/>
    <w:rsid w:val="00DF44DC"/>
    <w:rsid w:val="00DF4E4D"/>
    <w:rsid w:val="00DF715B"/>
    <w:rsid w:val="00E00C09"/>
    <w:rsid w:val="00E01840"/>
    <w:rsid w:val="00E03760"/>
    <w:rsid w:val="00E03EFD"/>
    <w:rsid w:val="00E0764D"/>
    <w:rsid w:val="00E0782E"/>
    <w:rsid w:val="00E10D0C"/>
    <w:rsid w:val="00E10E49"/>
    <w:rsid w:val="00E1639B"/>
    <w:rsid w:val="00E16966"/>
    <w:rsid w:val="00E16B58"/>
    <w:rsid w:val="00E173A4"/>
    <w:rsid w:val="00E1777D"/>
    <w:rsid w:val="00E20B76"/>
    <w:rsid w:val="00E21B6D"/>
    <w:rsid w:val="00E22996"/>
    <w:rsid w:val="00E31245"/>
    <w:rsid w:val="00E319E4"/>
    <w:rsid w:val="00E34FE8"/>
    <w:rsid w:val="00E377D4"/>
    <w:rsid w:val="00E406E1"/>
    <w:rsid w:val="00E4111A"/>
    <w:rsid w:val="00E418B7"/>
    <w:rsid w:val="00E419D1"/>
    <w:rsid w:val="00E41A8F"/>
    <w:rsid w:val="00E47A9E"/>
    <w:rsid w:val="00E52810"/>
    <w:rsid w:val="00E536A2"/>
    <w:rsid w:val="00E56F5D"/>
    <w:rsid w:val="00E60A9C"/>
    <w:rsid w:val="00E61924"/>
    <w:rsid w:val="00E61E2A"/>
    <w:rsid w:val="00E62870"/>
    <w:rsid w:val="00E63015"/>
    <w:rsid w:val="00E6532F"/>
    <w:rsid w:val="00E70E68"/>
    <w:rsid w:val="00E7106D"/>
    <w:rsid w:val="00E7401E"/>
    <w:rsid w:val="00E762FB"/>
    <w:rsid w:val="00E808E3"/>
    <w:rsid w:val="00E817C5"/>
    <w:rsid w:val="00E81DDF"/>
    <w:rsid w:val="00E82791"/>
    <w:rsid w:val="00E8332D"/>
    <w:rsid w:val="00E85DFB"/>
    <w:rsid w:val="00E85F74"/>
    <w:rsid w:val="00E865C1"/>
    <w:rsid w:val="00E87CCD"/>
    <w:rsid w:val="00E87EBC"/>
    <w:rsid w:val="00E90614"/>
    <w:rsid w:val="00E92C08"/>
    <w:rsid w:val="00E94054"/>
    <w:rsid w:val="00E9426D"/>
    <w:rsid w:val="00E947D0"/>
    <w:rsid w:val="00E94B32"/>
    <w:rsid w:val="00E94F48"/>
    <w:rsid w:val="00E95122"/>
    <w:rsid w:val="00E95A5B"/>
    <w:rsid w:val="00EA02B6"/>
    <w:rsid w:val="00EA0BAE"/>
    <w:rsid w:val="00EA1009"/>
    <w:rsid w:val="00EA1F39"/>
    <w:rsid w:val="00EA328C"/>
    <w:rsid w:val="00EA50FC"/>
    <w:rsid w:val="00EA6123"/>
    <w:rsid w:val="00EB170B"/>
    <w:rsid w:val="00EB290D"/>
    <w:rsid w:val="00EB474C"/>
    <w:rsid w:val="00EB5517"/>
    <w:rsid w:val="00EB632A"/>
    <w:rsid w:val="00EC36BC"/>
    <w:rsid w:val="00ED18AF"/>
    <w:rsid w:val="00ED2203"/>
    <w:rsid w:val="00ED2569"/>
    <w:rsid w:val="00ED25B1"/>
    <w:rsid w:val="00ED3109"/>
    <w:rsid w:val="00ED621F"/>
    <w:rsid w:val="00ED7FAF"/>
    <w:rsid w:val="00EE0104"/>
    <w:rsid w:val="00EE07DA"/>
    <w:rsid w:val="00EE2AD2"/>
    <w:rsid w:val="00EE324B"/>
    <w:rsid w:val="00EE56CB"/>
    <w:rsid w:val="00EE6B8D"/>
    <w:rsid w:val="00EE6C48"/>
    <w:rsid w:val="00EF0079"/>
    <w:rsid w:val="00EF4E25"/>
    <w:rsid w:val="00EF5AEB"/>
    <w:rsid w:val="00EF5E4C"/>
    <w:rsid w:val="00EF6B7E"/>
    <w:rsid w:val="00F03DD9"/>
    <w:rsid w:val="00F06A8A"/>
    <w:rsid w:val="00F0761C"/>
    <w:rsid w:val="00F1054C"/>
    <w:rsid w:val="00F11975"/>
    <w:rsid w:val="00F1246B"/>
    <w:rsid w:val="00F243C8"/>
    <w:rsid w:val="00F25F70"/>
    <w:rsid w:val="00F26D6A"/>
    <w:rsid w:val="00F304A9"/>
    <w:rsid w:val="00F30688"/>
    <w:rsid w:val="00F30C1A"/>
    <w:rsid w:val="00F33F84"/>
    <w:rsid w:val="00F34FB2"/>
    <w:rsid w:val="00F35A11"/>
    <w:rsid w:val="00F400ED"/>
    <w:rsid w:val="00F420CC"/>
    <w:rsid w:val="00F43840"/>
    <w:rsid w:val="00F43BBA"/>
    <w:rsid w:val="00F45E41"/>
    <w:rsid w:val="00F50479"/>
    <w:rsid w:val="00F507CD"/>
    <w:rsid w:val="00F52083"/>
    <w:rsid w:val="00F53C91"/>
    <w:rsid w:val="00F56191"/>
    <w:rsid w:val="00F56E87"/>
    <w:rsid w:val="00F61FC5"/>
    <w:rsid w:val="00F64BB0"/>
    <w:rsid w:val="00F6546C"/>
    <w:rsid w:val="00F709AA"/>
    <w:rsid w:val="00F73E51"/>
    <w:rsid w:val="00F75244"/>
    <w:rsid w:val="00F801B9"/>
    <w:rsid w:val="00F8304C"/>
    <w:rsid w:val="00F85A8C"/>
    <w:rsid w:val="00F86E62"/>
    <w:rsid w:val="00F915F1"/>
    <w:rsid w:val="00F91721"/>
    <w:rsid w:val="00F920ED"/>
    <w:rsid w:val="00F95601"/>
    <w:rsid w:val="00F957DB"/>
    <w:rsid w:val="00FA5879"/>
    <w:rsid w:val="00FA58E9"/>
    <w:rsid w:val="00FA5CFA"/>
    <w:rsid w:val="00FB04D2"/>
    <w:rsid w:val="00FB0604"/>
    <w:rsid w:val="00FB209F"/>
    <w:rsid w:val="00FB6215"/>
    <w:rsid w:val="00FB6448"/>
    <w:rsid w:val="00FD0668"/>
    <w:rsid w:val="00FD2335"/>
    <w:rsid w:val="00FD2AED"/>
    <w:rsid w:val="00FD739B"/>
    <w:rsid w:val="00FD784E"/>
    <w:rsid w:val="00FE0A74"/>
    <w:rsid w:val="00FE0E36"/>
    <w:rsid w:val="00FE2790"/>
    <w:rsid w:val="00FE4D23"/>
    <w:rsid w:val="00FE639A"/>
    <w:rsid w:val="00FE6EA5"/>
    <w:rsid w:val="00FE76EB"/>
    <w:rsid w:val="00FE7BE9"/>
    <w:rsid w:val="00FF344D"/>
    <w:rsid w:val="00FF366D"/>
    <w:rsid w:val="00FF401B"/>
    <w:rsid w:val="00FF463F"/>
    <w:rsid w:val="00FF55FB"/>
    <w:rsid w:val="00FF5C61"/>
    <w:rsid w:val="00FF7F98"/>
    <w:rsid w:val="016D0AE4"/>
    <w:rsid w:val="0173558A"/>
    <w:rsid w:val="018B513A"/>
    <w:rsid w:val="01C55CBC"/>
    <w:rsid w:val="02021905"/>
    <w:rsid w:val="020C2A3C"/>
    <w:rsid w:val="02347182"/>
    <w:rsid w:val="0256505D"/>
    <w:rsid w:val="02840791"/>
    <w:rsid w:val="02873BB9"/>
    <w:rsid w:val="02C35A8C"/>
    <w:rsid w:val="02F32FFC"/>
    <w:rsid w:val="02F33C8E"/>
    <w:rsid w:val="02F4124E"/>
    <w:rsid w:val="0312709C"/>
    <w:rsid w:val="032D650E"/>
    <w:rsid w:val="03315E11"/>
    <w:rsid w:val="03483348"/>
    <w:rsid w:val="035319A4"/>
    <w:rsid w:val="0363259C"/>
    <w:rsid w:val="03646924"/>
    <w:rsid w:val="03A13EF0"/>
    <w:rsid w:val="03E80C4F"/>
    <w:rsid w:val="03FC0559"/>
    <w:rsid w:val="03FC5AE5"/>
    <w:rsid w:val="04447FB3"/>
    <w:rsid w:val="045E7583"/>
    <w:rsid w:val="04722D72"/>
    <w:rsid w:val="047D4AC7"/>
    <w:rsid w:val="048B1624"/>
    <w:rsid w:val="04EB042F"/>
    <w:rsid w:val="053A3164"/>
    <w:rsid w:val="054D2B00"/>
    <w:rsid w:val="055052D8"/>
    <w:rsid w:val="0596101C"/>
    <w:rsid w:val="0598128A"/>
    <w:rsid w:val="061614DB"/>
    <w:rsid w:val="063D115E"/>
    <w:rsid w:val="063E2346"/>
    <w:rsid w:val="066F0F41"/>
    <w:rsid w:val="06741ABD"/>
    <w:rsid w:val="067B3C14"/>
    <w:rsid w:val="068C79F0"/>
    <w:rsid w:val="069570A1"/>
    <w:rsid w:val="06B11E4C"/>
    <w:rsid w:val="06C158EB"/>
    <w:rsid w:val="06CC1C4B"/>
    <w:rsid w:val="06F32700"/>
    <w:rsid w:val="06F832D7"/>
    <w:rsid w:val="077A3CEC"/>
    <w:rsid w:val="07B0770E"/>
    <w:rsid w:val="07D27EA8"/>
    <w:rsid w:val="08363DD4"/>
    <w:rsid w:val="085812C8"/>
    <w:rsid w:val="08622C24"/>
    <w:rsid w:val="08653728"/>
    <w:rsid w:val="08BF40AC"/>
    <w:rsid w:val="090C4E18"/>
    <w:rsid w:val="098470A4"/>
    <w:rsid w:val="09B43E53"/>
    <w:rsid w:val="0A2006DF"/>
    <w:rsid w:val="0A3D734D"/>
    <w:rsid w:val="0A4831D0"/>
    <w:rsid w:val="0A483924"/>
    <w:rsid w:val="0B071D3B"/>
    <w:rsid w:val="0B267E65"/>
    <w:rsid w:val="0B435506"/>
    <w:rsid w:val="0B4D6655"/>
    <w:rsid w:val="0B500328"/>
    <w:rsid w:val="0B5218A1"/>
    <w:rsid w:val="0B5E2329"/>
    <w:rsid w:val="0BDA5E91"/>
    <w:rsid w:val="0BF267F0"/>
    <w:rsid w:val="0C01398D"/>
    <w:rsid w:val="0C4C7929"/>
    <w:rsid w:val="0C853010"/>
    <w:rsid w:val="0CAF6800"/>
    <w:rsid w:val="0D3606B5"/>
    <w:rsid w:val="0D426F90"/>
    <w:rsid w:val="0D5A6454"/>
    <w:rsid w:val="0D5D20E6"/>
    <w:rsid w:val="0D8C3BEB"/>
    <w:rsid w:val="0DB8556E"/>
    <w:rsid w:val="0E124C7E"/>
    <w:rsid w:val="0E1518A1"/>
    <w:rsid w:val="0E1B3AE0"/>
    <w:rsid w:val="0E285C93"/>
    <w:rsid w:val="0E2F5830"/>
    <w:rsid w:val="0E3C5C14"/>
    <w:rsid w:val="0E7E2229"/>
    <w:rsid w:val="0ECC7937"/>
    <w:rsid w:val="0EE22579"/>
    <w:rsid w:val="0EF6634E"/>
    <w:rsid w:val="0F622805"/>
    <w:rsid w:val="0F987405"/>
    <w:rsid w:val="0FDC42A7"/>
    <w:rsid w:val="10367123"/>
    <w:rsid w:val="10417984"/>
    <w:rsid w:val="10895666"/>
    <w:rsid w:val="1090553E"/>
    <w:rsid w:val="10AA3894"/>
    <w:rsid w:val="10AF63B7"/>
    <w:rsid w:val="10E02E12"/>
    <w:rsid w:val="118F7CFF"/>
    <w:rsid w:val="1197619F"/>
    <w:rsid w:val="11FF19BD"/>
    <w:rsid w:val="12426DD2"/>
    <w:rsid w:val="12A70E1F"/>
    <w:rsid w:val="12AF0CEE"/>
    <w:rsid w:val="12B72FCD"/>
    <w:rsid w:val="12D524C3"/>
    <w:rsid w:val="12D6271E"/>
    <w:rsid w:val="130518A2"/>
    <w:rsid w:val="130D6092"/>
    <w:rsid w:val="133A0200"/>
    <w:rsid w:val="135950FD"/>
    <w:rsid w:val="136B50CE"/>
    <w:rsid w:val="137E6912"/>
    <w:rsid w:val="13842C16"/>
    <w:rsid w:val="13B660AC"/>
    <w:rsid w:val="13B758FF"/>
    <w:rsid w:val="13C5743C"/>
    <w:rsid w:val="13D029CA"/>
    <w:rsid w:val="14725BD8"/>
    <w:rsid w:val="14A423A8"/>
    <w:rsid w:val="14E32A08"/>
    <w:rsid w:val="14E62BA3"/>
    <w:rsid w:val="15151870"/>
    <w:rsid w:val="1517224A"/>
    <w:rsid w:val="15791FA8"/>
    <w:rsid w:val="157D01C2"/>
    <w:rsid w:val="159B7C4F"/>
    <w:rsid w:val="15B57EA4"/>
    <w:rsid w:val="15C947BC"/>
    <w:rsid w:val="15E74C42"/>
    <w:rsid w:val="165226A8"/>
    <w:rsid w:val="165A2530"/>
    <w:rsid w:val="16A05E3D"/>
    <w:rsid w:val="16AD5139"/>
    <w:rsid w:val="17083EDC"/>
    <w:rsid w:val="17147CB9"/>
    <w:rsid w:val="17233A58"/>
    <w:rsid w:val="174C4B7F"/>
    <w:rsid w:val="177158A7"/>
    <w:rsid w:val="17E42C71"/>
    <w:rsid w:val="18043C32"/>
    <w:rsid w:val="180B4D7E"/>
    <w:rsid w:val="180E3144"/>
    <w:rsid w:val="181007CF"/>
    <w:rsid w:val="182857AC"/>
    <w:rsid w:val="184A1286"/>
    <w:rsid w:val="187C0550"/>
    <w:rsid w:val="18A06742"/>
    <w:rsid w:val="1929079B"/>
    <w:rsid w:val="19314B52"/>
    <w:rsid w:val="193843DE"/>
    <w:rsid w:val="19483C4A"/>
    <w:rsid w:val="19595E57"/>
    <w:rsid w:val="196533B7"/>
    <w:rsid w:val="197C1A0D"/>
    <w:rsid w:val="19B47531"/>
    <w:rsid w:val="19EF2318"/>
    <w:rsid w:val="19FB70C4"/>
    <w:rsid w:val="1A4D0B70"/>
    <w:rsid w:val="1A6D0A09"/>
    <w:rsid w:val="1A6D6BAE"/>
    <w:rsid w:val="1A7840BB"/>
    <w:rsid w:val="1A7F6325"/>
    <w:rsid w:val="1A895970"/>
    <w:rsid w:val="1A8D4D62"/>
    <w:rsid w:val="1AC467AA"/>
    <w:rsid w:val="1B787B31"/>
    <w:rsid w:val="1BD21EF1"/>
    <w:rsid w:val="1C1C260C"/>
    <w:rsid w:val="1C3D60E3"/>
    <w:rsid w:val="1C7238D5"/>
    <w:rsid w:val="1C840525"/>
    <w:rsid w:val="1C84143D"/>
    <w:rsid w:val="1C8B701C"/>
    <w:rsid w:val="1C977472"/>
    <w:rsid w:val="1CF163A7"/>
    <w:rsid w:val="1D1A3062"/>
    <w:rsid w:val="1D23178A"/>
    <w:rsid w:val="1D3C5EE1"/>
    <w:rsid w:val="1D4666A1"/>
    <w:rsid w:val="1D473226"/>
    <w:rsid w:val="1D4A4435"/>
    <w:rsid w:val="1D546098"/>
    <w:rsid w:val="1D8A4831"/>
    <w:rsid w:val="1DA75A48"/>
    <w:rsid w:val="1E635786"/>
    <w:rsid w:val="1E9E7418"/>
    <w:rsid w:val="1EC52E72"/>
    <w:rsid w:val="1EC91BF5"/>
    <w:rsid w:val="1ECD49B8"/>
    <w:rsid w:val="1EF831D2"/>
    <w:rsid w:val="1F562B02"/>
    <w:rsid w:val="1FDA25D0"/>
    <w:rsid w:val="1FE049EE"/>
    <w:rsid w:val="20194A40"/>
    <w:rsid w:val="203B529E"/>
    <w:rsid w:val="204469BC"/>
    <w:rsid w:val="20524E44"/>
    <w:rsid w:val="20844494"/>
    <w:rsid w:val="20863AF3"/>
    <w:rsid w:val="209B2E36"/>
    <w:rsid w:val="20D61200"/>
    <w:rsid w:val="210E7527"/>
    <w:rsid w:val="2146615C"/>
    <w:rsid w:val="21587A1D"/>
    <w:rsid w:val="21651998"/>
    <w:rsid w:val="221A39C9"/>
    <w:rsid w:val="22271A7E"/>
    <w:rsid w:val="22334F35"/>
    <w:rsid w:val="22551AD5"/>
    <w:rsid w:val="226371B8"/>
    <w:rsid w:val="226C59F0"/>
    <w:rsid w:val="22B440FE"/>
    <w:rsid w:val="22D24D60"/>
    <w:rsid w:val="23060D8C"/>
    <w:rsid w:val="234611FA"/>
    <w:rsid w:val="23485551"/>
    <w:rsid w:val="237467A2"/>
    <w:rsid w:val="239A18B2"/>
    <w:rsid w:val="23CD7DA1"/>
    <w:rsid w:val="23FA5FEA"/>
    <w:rsid w:val="241C7A13"/>
    <w:rsid w:val="2426692F"/>
    <w:rsid w:val="244D65B8"/>
    <w:rsid w:val="248E2DE1"/>
    <w:rsid w:val="249809B4"/>
    <w:rsid w:val="24CA4117"/>
    <w:rsid w:val="24D64A43"/>
    <w:rsid w:val="24FD50EE"/>
    <w:rsid w:val="25347747"/>
    <w:rsid w:val="25697422"/>
    <w:rsid w:val="256A4E4D"/>
    <w:rsid w:val="25875AFA"/>
    <w:rsid w:val="25897AC4"/>
    <w:rsid w:val="259E376E"/>
    <w:rsid w:val="25DD571A"/>
    <w:rsid w:val="25F74A2E"/>
    <w:rsid w:val="262E0970"/>
    <w:rsid w:val="26483950"/>
    <w:rsid w:val="268F2EB8"/>
    <w:rsid w:val="26B01932"/>
    <w:rsid w:val="26D27C2D"/>
    <w:rsid w:val="26F86CAF"/>
    <w:rsid w:val="27280C17"/>
    <w:rsid w:val="273864DE"/>
    <w:rsid w:val="275D4D64"/>
    <w:rsid w:val="276E51C4"/>
    <w:rsid w:val="276F7EC0"/>
    <w:rsid w:val="27C13000"/>
    <w:rsid w:val="2849353B"/>
    <w:rsid w:val="28642907"/>
    <w:rsid w:val="286940D9"/>
    <w:rsid w:val="286D5F65"/>
    <w:rsid w:val="28997FF9"/>
    <w:rsid w:val="28ED2118"/>
    <w:rsid w:val="290D7B43"/>
    <w:rsid w:val="29A0418A"/>
    <w:rsid w:val="29E33C4B"/>
    <w:rsid w:val="29F30D4C"/>
    <w:rsid w:val="2A261D85"/>
    <w:rsid w:val="2A344CC5"/>
    <w:rsid w:val="2AA0533E"/>
    <w:rsid w:val="2B4512B9"/>
    <w:rsid w:val="2B51698E"/>
    <w:rsid w:val="2B6761B2"/>
    <w:rsid w:val="2BC21530"/>
    <w:rsid w:val="2BDC1AD4"/>
    <w:rsid w:val="2C062A3B"/>
    <w:rsid w:val="2C534C5C"/>
    <w:rsid w:val="2CBA2FB1"/>
    <w:rsid w:val="2CC338BC"/>
    <w:rsid w:val="2D030DB2"/>
    <w:rsid w:val="2D3F4D6F"/>
    <w:rsid w:val="2D6A1F89"/>
    <w:rsid w:val="2DC367B3"/>
    <w:rsid w:val="2DD1218E"/>
    <w:rsid w:val="2DF53F49"/>
    <w:rsid w:val="2E1343CF"/>
    <w:rsid w:val="2E1819E5"/>
    <w:rsid w:val="2E2B2D7C"/>
    <w:rsid w:val="2EA01DE3"/>
    <w:rsid w:val="2EA663FE"/>
    <w:rsid w:val="2EB24CE0"/>
    <w:rsid w:val="2EC7265D"/>
    <w:rsid w:val="2EF27956"/>
    <w:rsid w:val="2F0F4239"/>
    <w:rsid w:val="2FA920B8"/>
    <w:rsid w:val="2FC418D8"/>
    <w:rsid w:val="2FC64924"/>
    <w:rsid w:val="2FE52A7E"/>
    <w:rsid w:val="300E7950"/>
    <w:rsid w:val="304C61CA"/>
    <w:rsid w:val="307329D5"/>
    <w:rsid w:val="307C4E72"/>
    <w:rsid w:val="30A74C5B"/>
    <w:rsid w:val="30B01B4A"/>
    <w:rsid w:val="30D20571"/>
    <w:rsid w:val="310F3573"/>
    <w:rsid w:val="317821EF"/>
    <w:rsid w:val="31E4090D"/>
    <w:rsid w:val="31FD161E"/>
    <w:rsid w:val="32153857"/>
    <w:rsid w:val="32794A1C"/>
    <w:rsid w:val="327D4BC1"/>
    <w:rsid w:val="328775B4"/>
    <w:rsid w:val="330723DC"/>
    <w:rsid w:val="337E0C62"/>
    <w:rsid w:val="33CF0D98"/>
    <w:rsid w:val="340805A8"/>
    <w:rsid w:val="346A7BCF"/>
    <w:rsid w:val="348A193A"/>
    <w:rsid w:val="349A13A6"/>
    <w:rsid w:val="349D42F5"/>
    <w:rsid w:val="35415CC5"/>
    <w:rsid w:val="354C1656"/>
    <w:rsid w:val="356814A4"/>
    <w:rsid w:val="357A2F85"/>
    <w:rsid w:val="358337C3"/>
    <w:rsid w:val="359B703E"/>
    <w:rsid w:val="35D958F9"/>
    <w:rsid w:val="360C5343"/>
    <w:rsid w:val="360D7D52"/>
    <w:rsid w:val="36176A26"/>
    <w:rsid w:val="362E7FFA"/>
    <w:rsid w:val="36315D3A"/>
    <w:rsid w:val="366157C4"/>
    <w:rsid w:val="366D4898"/>
    <w:rsid w:val="367B2569"/>
    <w:rsid w:val="36AE1139"/>
    <w:rsid w:val="36AF31C8"/>
    <w:rsid w:val="36C23C6D"/>
    <w:rsid w:val="370074BA"/>
    <w:rsid w:val="37045804"/>
    <w:rsid w:val="378679C0"/>
    <w:rsid w:val="37A367C3"/>
    <w:rsid w:val="37B3277F"/>
    <w:rsid w:val="37D77D6E"/>
    <w:rsid w:val="37E30F28"/>
    <w:rsid w:val="3835795C"/>
    <w:rsid w:val="384E78A9"/>
    <w:rsid w:val="385B37C8"/>
    <w:rsid w:val="386B35B8"/>
    <w:rsid w:val="387C313D"/>
    <w:rsid w:val="38A36E8B"/>
    <w:rsid w:val="38A94FE7"/>
    <w:rsid w:val="38B236C7"/>
    <w:rsid w:val="38D736B9"/>
    <w:rsid w:val="38ED560D"/>
    <w:rsid w:val="39335925"/>
    <w:rsid w:val="393C6ED0"/>
    <w:rsid w:val="39B00F52"/>
    <w:rsid w:val="39CC10E9"/>
    <w:rsid w:val="39D26841"/>
    <w:rsid w:val="39D81877"/>
    <w:rsid w:val="39EE04F3"/>
    <w:rsid w:val="3A5902A4"/>
    <w:rsid w:val="3A655FB2"/>
    <w:rsid w:val="3A6B2F3C"/>
    <w:rsid w:val="3A742699"/>
    <w:rsid w:val="3A78116B"/>
    <w:rsid w:val="3A7F400B"/>
    <w:rsid w:val="3AAD08CD"/>
    <w:rsid w:val="3B61579D"/>
    <w:rsid w:val="3B6E4235"/>
    <w:rsid w:val="3BA7084C"/>
    <w:rsid w:val="3BCA3066"/>
    <w:rsid w:val="3C01771B"/>
    <w:rsid w:val="3C764097"/>
    <w:rsid w:val="3CA55B29"/>
    <w:rsid w:val="3CB21A52"/>
    <w:rsid w:val="3CC35212"/>
    <w:rsid w:val="3CD84EB3"/>
    <w:rsid w:val="3D000214"/>
    <w:rsid w:val="3D0072B8"/>
    <w:rsid w:val="3D0173C5"/>
    <w:rsid w:val="3D1E72DC"/>
    <w:rsid w:val="3D332398"/>
    <w:rsid w:val="3D9E622F"/>
    <w:rsid w:val="3DE83833"/>
    <w:rsid w:val="3E104487"/>
    <w:rsid w:val="3E465B7C"/>
    <w:rsid w:val="3E4660FB"/>
    <w:rsid w:val="3E734A16"/>
    <w:rsid w:val="3E752DDF"/>
    <w:rsid w:val="3E92628C"/>
    <w:rsid w:val="3EF728D5"/>
    <w:rsid w:val="3F877A39"/>
    <w:rsid w:val="40093884"/>
    <w:rsid w:val="400D176C"/>
    <w:rsid w:val="401D2E8B"/>
    <w:rsid w:val="40251D40"/>
    <w:rsid w:val="406366DD"/>
    <w:rsid w:val="40DF6392"/>
    <w:rsid w:val="41887122"/>
    <w:rsid w:val="418F7312"/>
    <w:rsid w:val="41AC096A"/>
    <w:rsid w:val="41BB295C"/>
    <w:rsid w:val="41E974C9"/>
    <w:rsid w:val="42593309"/>
    <w:rsid w:val="425F29E4"/>
    <w:rsid w:val="42BB2A00"/>
    <w:rsid w:val="42CF1A6D"/>
    <w:rsid w:val="42D9578F"/>
    <w:rsid w:val="42FB3958"/>
    <w:rsid w:val="433504EC"/>
    <w:rsid w:val="434F4957"/>
    <w:rsid w:val="435E59BE"/>
    <w:rsid w:val="4362385A"/>
    <w:rsid w:val="43CE580F"/>
    <w:rsid w:val="4401783A"/>
    <w:rsid w:val="440A4948"/>
    <w:rsid w:val="44406889"/>
    <w:rsid w:val="44550E45"/>
    <w:rsid w:val="44931781"/>
    <w:rsid w:val="44B94D9B"/>
    <w:rsid w:val="45196317"/>
    <w:rsid w:val="452C3A1D"/>
    <w:rsid w:val="454D74A9"/>
    <w:rsid w:val="45E004FC"/>
    <w:rsid w:val="45E138F4"/>
    <w:rsid w:val="46547D5A"/>
    <w:rsid w:val="46AE6F33"/>
    <w:rsid w:val="46B1432D"/>
    <w:rsid w:val="47046B53"/>
    <w:rsid w:val="4736472B"/>
    <w:rsid w:val="47376F28"/>
    <w:rsid w:val="47CC6923"/>
    <w:rsid w:val="480E207F"/>
    <w:rsid w:val="480F6038"/>
    <w:rsid w:val="48576465"/>
    <w:rsid w:val="48FC2DB1"/>
    <w:rsid w:val="49522D5E"/>
    <w:rsid w:val="49A02651"/>
    <w:rsid w:val="49C47659"/>
    <w:rsid w:val="49DF11B1"/>
    <w:rsid w:val="4A2B5779"/>
    <w:rsid w:val="4A450EF1"/>
    <w:rsid w:val="4A5D5D84"/>
    <w:rsid w:val="4A88006B"/>
    <w:rsid w:val="4A9401EE"/>
    <w:rsid w:val="4A9F52A4"/>
    <w:rsid w:val="4AD351BA"/>
    <w:rsid w:val="4B050259"/>
    <w:rsid w:val="4B0557AD"/>
    <w:rsid w:val="4B06733D"/>
    <w:rsid w:val="4B0B4954"/>
    <w:rsid w:val="4B6F670D"/>
    <w:rsid w:val="4B730369"/>
    <w:rsid w:val="4BAB27B1"/>
    <w:rsid w:val="4BB26B7D"/>
    <w:rsid w:val="4BD935B2"/>
    <w:rsid w:val="4C420357"/>
    <w:rsid w:val="4C420BC6"/>
    <w:rsid w:val="4C5C2F8D"/>
    <w:rsid w:val="4C8F4AEF"/>
    <w:rsid w:val="4CAD2284"/>
    <w:rsid w:val="4CBF59B7"/>
    <w:rsid w:val="4CFD651E"/>
    <w:rsid w:val="4DBF37D4"/>
    <w:rsid w:val="4DFF1E22"/>
    <w:rsid w:val="4E04701D"/>
    <w:rsid w:val="4E0F02B7"/>
    <w:rsid w:val="4E19737E"/>
    <w:rsid w:val="4E6E2FB5"/>
    <w:rsid w:val="4E8D38D2"/>
    <w:rsid w:val="4EB175DB"/>
    <w:rsid w:val="4EBA414E"/>
    <w:rsid w:val="4F5662D3"/>
    <w:rsid w:val="4F5A491C"/>
    <w:rsid w:val="500E28C5"/>
    <w:rsid w:val="50606A7D"/>
    <w:rsid w:val="50A62A29"/>
    <w:rsid w:val="50D61B66"/>
    <w:rsid w:val="50E06415"/>
    <w:rsid w:val="50EF617E"/>
    <w:rsid w:val="511C715A"/>
    <w:rsid w:val="51207AE6"/>
    <w:rsid w:val="513A03FE"/>
    <w:rsid w:val="5153495F"/>
    <w:rsid w:val="51547B32"/>
    <w:rsid w:val="519A7131"/>
    <w:rsid w:val="51AC581D"/>
    <w:rsid w:val="51C0603E"/>
    <w:rsid w:val="5218720A"/>
    <w:rsid w:val="521E46DD"/>
    <w:rsid w:val="52217827"/>
    <w:rsid w:val="52412A09"/>
    <w:rsid w:val="52445A58"/>
    <w:rsid w:val="524B13D8"/>
    <w:rsid w:val="5266074B"/>
    <w:rsid w:val="52727066"/>
    <w:rsid w:val="527F3531"/>
    <w:rsid w:val="52B86C7A"/>
    <w:rsid w:val="52D715BF"/>
    <w:rsid w:val="53675712"/>
    <w:rsid w:val="536F3457"/>
    <w:rsid w:val="537155BE"/>
    <w:rsid w:val="537B63EF"/>
    <w:rsid w:val="53D61885"/>
    <w:rsid w:val="53DF24DA"/>
    <w:rsid w:val="543A1E06"/>
    <w:rsid w:val="54417169"/>
    <w:rsid w:val="54444075"/>
    <w:rsid w:val="54482775"/>
    <w:rsid w:val="54CA7B59"/>
    <w:rsid w:val="54D45954"/>
    <w:rsid w:val="54FD4609"/>
    <w:rsid w:val="55030E5B"/>
    <w:rsid w:val="550D3B58"/>
    <w:rsid w:val="555A1BA0"/>
    <w:rsid w:val="55810253"/>
    <w:rsid w:val="55CA674D"/>
    <w:rsid w:val="55D02697"/>
    <w:rsid w:val="55DA64AD"/>
    <w:rsid w:val="55F76BEE"/>
    <w:rsid w:val="561A081A"/>
    <w:rsid w:val="561D19DF"/>
    <w:rsid w:val="56292132"/>
    <w:rsid w:val="56307F1D"/>
    <w:rsid w:val="566F4E48"/>
    <w:rsid w:val="56B850C9"/>
    <w:rsid w:val="56C02A96"/>
    <w:rsid w:val="56CF0F2B"/>
    <w:rsid w:val="56DD7F5E"/>
    <w:rsid w:val="56F73FDE"/>
    <w:rsid w:val="57032983"/>
    <w:rsid w:val="572A285B"/>
    <w:rsid w:val="57527466"/>
    <w:rsid w:val="576D24F2"/>
    <w:rsid w:val="57A51C8C"/>
    <w:rsid w:val="57A5783A"/>
    <w:rsid w:val="57EF4246"/>
    <w:rsid w:val="5832685C"/>
    <w:rsid w:val="584568AC"/>
    <w:rsid w:val="58824ACC"/>
    <w:rsid w:val="589200EC"/>
    <w:rsid w:val="58A91476"/>
    <w:rsid w:val="58B3435E"/>
    <w:rsid w:val="590D7131"/>
    <w:rsid w:val="591253D6"/>
    <w:rsid w:val="594B37F1"/>
    <w:rsid w:val="596F2552"/>
    <w:rsid w:val="599E5578"/>
    <w:rsid w:val="59AB0C98"/>
    <w:rsid w:val="59C37040"/>
    <w:rsid w:val="59CB0374"/>
    <w:rsid w:val="59DE0CA7"/>
    <w:rsid w:val="5A1A3741"/>
    <w:rsid w:val="5A7616BE"/>
    <w:rsid w:val="5A770749"/>
    <w:rsid w:val="5A861ABD"/>
    <w:rsid w:val="5A8F20BE"/>
    <w:rsid w:val="5AA837AC"/>
    <w:rsid w:val="5AB67D0C"/>
    <w:rsid w:val="5ABE59E9"/>
    <w:rsid w:val="5AC4067B"/>
    <w:rsid w:val="5ADF6E56"/>
    <w:rsid w:val="5B0116C7"/>
    <w:rsid w:val="5B1F3B03"/>
    <w:rsid w:val="5B242EC8"/>
    <w:rsid w:val="5B380C90"/>
    <w:rsid w:val="5B6363EB"/>
    <w:rsid w:val="5B7D338F"/>
    <w:rsid w:val="5B9F14C4"/>
    <w:rsid w:val="5BA1276A"/>
    <w:rsid w:val="5BA57C0C"/>
    <w:rsid w:val="5C234513"/>
    <w:rsid w:val="5C425CFC"/>
    <w:rsid w:val="5C462667"/>
    <w:rsid w:val="5C4F6BD1"/>
    <w:rsid w:val="5C7E21D6"/>
    <w:rsid w:val="5C910A31"/>
    <w:rsid w:val="5C9367F6"/>
    <w:rsid w:val="5CB77CFA"/>
    <w:rsid w:val="5D214E4E"/>
    <w:rsid w:val="5D611272"/>
    <w:rsid w:val="5D630DB1"/>
    <w:rsid w:val="5D9562FF"/>
    <w:rsid w:val="5DAB0B66"/>
    <w:rsid w:val="5DDE6F83"/>
    <w:rsid w:val="5DF146B7"/>
    <w:rsid w:val="5E16050E"/>
    <w:rsid w:val="5E327DFC"/>
    <w:rsid w:val="5E4D122B"/>
    <w:rsid w:val="5E8425FB"/>
    <w:rsid w:val="5E9F11E3"/>
    <w:rsid w:val="5EF336FC"/>
    <w:rsid w:val="5F01627C"/>
    <w:rsid w:val="5F074FDA"/>
    <w:rsid w:val="5F35068C"/>
    <w:rsid w:val="5F405E81"/>
    <w:rsid w:val="5F4C0C3F"/>
    <w:rsid w:val="60A76A75"/>
    <w:rsid w:val="60A90CC5"/>
    <w:rsid w:val="61241947"/>
    <w:rsid w:val="612E6AAD"/>
    <w:rsid w:val="61633FDA"/>
    <w:rsid w:val="616A7D2F"/>
    <w:rsid w:val="61745166"/>
    <w:rsid w:val="61974113"/>
    <w:rsid w:val="61C64A0E"/>
    <w:rsid w:val="61F40A0D"/>
    <w:rsid w:val="621347D8"/>
    <w:rsid w:val="62173786"/>
    <w:rsid w:val="621C2B4B"/>
    <w:rsid w:val="62404A8B"/>
    <w:rsid w:val="6241261C"/>
    <w:rsid w:val="62420210"/>
    <w:rsid w:val="62611DB0"/>
    <w:rsid w:val="62662018"/>
    <w:rsid w:val="62B47326"/>
    <w:rsid w:val="62EE553D"/>
    <w:rsid w:val="6300421A"/>
    <w:rsid w:val="630901A6"/>
    <w:rsid w:val="632C0E07"/>
    <w:rsid w:val="6349725C"/>
    <w:rsid w:val="63865AC3"/>
    <w:rsid w:val="638A4820"/>
    <w:rsid w:val="63931D5D"/>
    <w:rsid w:val="639E415F"/>
    <w:rsid w:val="63A27AA9"/>
    <w:rsid w:val="64035650"/>
    <w:rsid w:val="644A2A60"/>
    <w:rsid w:val="64812DEB"/>
    <w:rsid w:val="64CB0227"/>
    <w:rsid w:val="656138C5"/>
    <w:rsid w:val="65942779"/>
    <w:rsid w:val="663C677D"/>
    <w:rsid w:val="66741ECD"/>
    <w:rsid w:val="66987842"/>
    <w:rsid w:val="66A001EE"/>
    <w:rsid w:val="66B206ED"/>
    <w:rsid w:val="66EF4ABB"/>
    <w:rsid w:val="67CC59E3"/>
    <w:rsid w:val="68264A5A"/>
    <w:rsid w:val="685B20EE"/>
    <w:rsid w:val="68907DEF"/>
    <w:rsid w:val="68E93DF6"/>
    <w:rsid w:val="690359D6"/>
    <w:rsid w:val="691427CE"/>
    <w:rsid w:val="69826F10"/>
    <w:rsid w:val="6992118F"/>
    <w:rsid w:val="699A6627"/>
    <w:rsid w:val="69AE4AF5"/>
    <w:rsid w:val="69C96D41"/>
    <w:rsid w:val="69F04850"/>
    <w:rsid w:val="6A072332"/>
    <w:rsid w:val="6A087A2A"/>
    <w:rsid w:val="6A2A2395"/>
    <w:rsid w:val="6A435043"/>
    <w:rsid w:val="6A5E2F38"/>
    <w:rsid w:val="6AF52ECD"/>
    <w:rsid w:val="6B113469"/>
    <w:rsid w:val="6B2A277C"/>
    <w:rsid w:val="6B43383E"/>
    <w:rsid w:val="6B8D6867"/>
    <w:rsid w:val="6B8D71AD"/>
    <w:rsid w:val="6BAA5F82"/>
    <w:rsid w:val="6BAE515B"/>
    <w:rsid w:val="6BFE1359"/>
    <w:rsid w:val="6D264A09"/>
    <w:rsid w:val="6D285EEE"/>
    <w:rsid w:val="6D3A4256"/>
    <w:rsid w:val="6D912FC0"/>
    <w:rsid w:val="6DAB2AD4"/>
    <w:rsid w:val="6DB4632D"/>
    <w:rsid w:val="6DDE162C"/>
    <w:rsid w:val="6E1172F4"/>
    <w:rsid w:val="6E196680"/>
    <w:rsid w:val="6E380D0C"/>
    <w:rsid w:val="6EB8009F"/>
    <w:rsid w:val="6EC647D7"/>
    <w:rsid w:val="6ED919F6"/>
    <w:rsid w:val="6EDE3796"/>
    <w:rsid w:val="6EF410D7"/>
    <w:rsid w:val="6EFA4214"/>
    <w:rsid w:val="6F5153EC"/>
    <w:rsid w:val="6FC84312"/>
    <w:rsid w:val="6FE605C4"/>
    <w:rsid w:val="70265F41"/>
    <w:rsid w:val="703B2D36"/>
    <w:rsid w:val="70673123"/>
    <w:rsid w:val="706C3BCA"/>
    <w:rsid w:val="70A34986"/>
    <w:rsid w:val="70B704DA"/>
    <w:rsid w:val="70EE5FFA"/>
    <w:rsid w:val="70FA674D"/>
    <w:rsid w:val="710B069E"/>
    <w:rsid w:val="714844A1"/>
    <w:rsid w:val="714C17A4"/>
    <w:rsid w:val="7161057A"/>
    <w:rsid w:val="71793B16"/>
    <w:rsid w:val="71A12B08"/>
    <w:rsid w:val="71AF4994"/>
    <w:rsid w:val="71FD4F1A"/>
    <w:rsid w:val="722975D2"/>
    <w:rsid w:val="72457E9C"/>
    <w:rsid w:val="7270316B"/>
    <w:rsid w:val="72757CAB"/>
    <w:rsid w:val="727C248C"/>
    <w:rsid w:val="73264FA6"/>
    <w:rsid w:val="73337CF4"/>
    <w:rsid w:val="734B2C0B"/>
    <w:rsid w:val="73824F7C"/>
    <w:rsid w:val="739648B7"/>
    <w:rsid w:val="73B37F21"/>
    <w:rsid w:val="73EF00BF"/>
    <w:rsid w:val="7406050A"/>
    <w:rsid w:val="7420296E"/>
    <w:rsid w:val="74746816"/>
    <w:rsid w:val="74747483"/>
    <w:rsid w:val="74CE0C97"/>
    <w:rsid w:val="752306D3"/>
    <w:rsid w:val="752537A3"/>
    <w:rsid w:val="758111EB"/>
    <w:rsid w:val="759676DE"/>
    <w:rsid w:val="75D23344"/>
    <w:rsid w:val="75D60E9A"/>
    <w:rsid w:val="75E579CC"/>
    <w:rsid w:val="76184CE8"/>
    <w:rsid w:val="76525E43"/>
    <w:rsid w:val="76783713"/>
    <w:rsid w:val="76BB7D9C"/>
    <w:rsid w:val="76D46753"/>
    <w:rsid w:val="76FF4ABD"/>
    <w:rsid w:val="77813724"/>
    <w:rsid w:val="778E6FF9"/>
    <w:rsid w:val="77BC650A"/>
    <w:rsid w:val="77D50689"/>
    <w:rsid w:val="781A4D46"/>
    <w:rsid w:val="782C4AD2"/>
    <w:rsid w:val="782E006B"/>
    <w:rsid w:val="786A240A"/>
    <w:rsid w:val="78827754"/>
    <w:rsid w:val="7892370F"/>
    <w:rsid w:val="789B5F87"/>
    <w:rsid w:val="78F02F79"/>
    <w:rsid w:val="79086F68"/>
    <w:rsid w:val="792E05AF"/>
    <w:rsid w:val="79C678D4"/>
    <w:rsid w:val="79EE1860"/>
    <w:rsid w:val="7A08012D"/>
    <w:rsid w:val="7B036820"/>
    <w:rsid w:val="7B08205F"/>
    <w:rsid w:val="7B4927AB"/>
    <w:rsid w:val="7B8E01BE"/>
    <w:rsid w:val="7BFF157E"/>
    <w:rsid w:val="7C391482"/>
    <w:rsid w:val="7C5036C5"/>
    <w:rsid w:val="7C611615"/>
    <w:rsid w:val="7C9932A4"/>
    <w:rsid w:val="7CA943D8"/>
    <w:rsid w:val="7CB41EA6"/>
    <w:rsid w:val="7CF0563E"/>
    <w:rsid w:val="7D060CAB"/>
    <w:rsid w:val="7D0B50EE"/>
    <w:rsid w:val="7D7942E8"/>
    <w:rsid w:val="7D9552CA"/>
    <w:rsid w:val="7DF42BD8"/>
    <w:rsid w:val="7E255143"/>
    <w:rsid w:val="7E7200FE"/>
    <w:rsid w:val="7E9975A5"/>
    <w:rsid w:val="7EA46823"/>
    <w:rsid w:val="7EE46AA6"/>
    <w:rsid w:val="7EEA05E4"/>
    <w:rsid w:val="7EED5B43"/>
    <w:rsid w:val="7F402117"/>
    <w:rsid w:val="7F5B6A68"/>
    <w:rsid w:val="7F871130"/>
    <w:rsid w:val="7F907C00"/>
    <w:rsid w:val="7FA51F7A"/>
    <w:rsid w:val="7FC97A14"/>
    <w:rsid w:val="7FF64583"/>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8"/>
    <w:autoRedefine/>
    <w:qFormat/>
    <w:uiPriority w:val="0"/>
    <w:pPr>
      <w:keepNext/>
      <w:autoSpaceDE w:val="0"/>
      <w:autoSpaceDN w:val="0"/>
      <w:adjustRightInd w:val="0"/>
      <w:jc w:val="center"/>
      <w:outlineLvl w:val="0"/>
    </w:pPr>
    <w:rPr>
      <w:rFonts w:ascii="宋体"/>
      <w:color w:val="000000"/>
      <w:sz w:val="28"/>
      <w:szCs w:val="20"/>
    </w:rPr>
  </w:style>
  <w:style w:type="paragraph" w:styleId="3">
    <w:name w:val="heading 2"/>
    <w:basedOn w:val="1"/>
    <w:next w:val="1"/>
    <w:link w:val="43"/>
    <w:autoRedefine/>
    <w:qFormat/>
    <w:uiPriority w:val="0"/>
    <w:pPr>
      <w:keepNext/>
      <w:keepLines/>
      <w:spacing w:before="260" w:after="260" w:line="416" w:lineRule="auto"/>
      <w:outlineLvl w:val="1"/>
    </w:pPr>
    <w:rPr>
      <w:rFonts w:ascii="Arial" w:hAnsi="Arial"/>
      <w:b/>
      <w:bCs/>
      <w:sz w:val="32"/>
      <w:szCs w:val="32"/>
    </w:rPr>
  </w:style>
  <w:style w:type="paragraph" w:styleId="4">
    <w:name w:val="heading 3"/>
    <w:basedOn w:val="1"/>
    <w:next w:val="1"/>
    <w:link w:val="44"/>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5"/>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firstLineChars="200"/>
    </w:pPr>
    <w:rPr>
      <w:szCs w:val="21"/>
    </w:rPr>
  </w:style>
  <w:style w:type="paragraph" w:styleId="7">
    <w:name w:val="Body Text"/>
    <w:basedOn w:val="1"/>
    <w:next w:val="8"/>
    <w:autoRedefine/>
    <w:qFormat/>
    <w:uiPriority w:val="0"/>
    <w:pPr>
      <w:spacing w:after="120"/>
    </w:pPr>
  </w:style>
  <w:style w:type="paragraph" w:styleId="8">
    <w:name w:val="Body Text 2"/>
    <w:basedOn w:val="1"/>
    <w:qFormat/>
    <w:uiPriority w:val="0"/>
    <w:pPr>
      <w:spacing w:line="360" w:lineRule="auto"/>
    </w:pPr>
    <w:rPr>
      <w:sz w:val="24"/>
    </w:rPr>
  </w:style>
  <w:style w:type="paragraph" w:styleId="9">
    <w:name w:val="annotation text"/>
    <w:basedOn w:val="1"/>
    <w:link w:val="59"/>
    <w:autoRedefine/>
    <w:unhideWhenUsed/>
    <w:qFormat/>
    <w:uiPriority w:val="99"/>
    <w:pPr>
      <w:jc w:val="left"/>
    </w:pPr>
  </w:style>
  <w:style w:type="paragraph" w:styleId="10">
    <w:name w:val="Body Text Indent"/>
    <w:basedOn w:val="1"/>
    <w:next w:val="11"/>
    <w:autoRedefine/>
    <w:unhideWhenUsed/>
    <w:qFormat/>
    <w:uiPriority w:val="99"/>
    <w:pPr>
      <w:spacing w:after="120"/>
      <w:ind w:left="420" w:leftChars="200"/>
    </w:pPr>
  </w:style>
  <w:style w:type="paragraph" w:styleId="11">
    <w:name w:val="envelope return"/>
    <w:basedOn w:val="1"/>
    <w:unhideWhenUsed/>
    <w:qFormat/>
    <w:uiPriority w:val="99"/>
    <w:pPr>
      <w:snapToGrid w:val="0"/>
    </w:pPr>
    <w:rPr>
      <w:rFonts w:ascii="Arial" w:hAnsi="Arial"/>
    </w:rPr>
  </w:style>
  <w:style w:type="paragraph" w:styleId="12">
    <w:name w:val="Plain Text"/>
    <w:basedOn w:val="1"/>
    <w:link w:val="42"/>
    <w:autoRedefine/>
    <w:qFormat/>
    <w:uiPriority w:val="0"/>
    <w:rPr>
      <w:rFonts w:ascii="宋体" w:hAnsi="Courier New" w:eastAsiaTheme="minorEastAsia" w:cstheme="minorBidi"/>
    </w:rPr>
  </w:style>
  <w:style w:type="paragraph" w:styleId="13">
    <w:name w:val="Date"/>
    <w:basedOn w:val="1"/>
    <w:next w:val="1"/>
    <w:link w:val="34"/>
    <w:autoRedefine/>
    <w:qFormat/>
    <w:uiPriority w:val="0"/>
    <w:rPr>
      <w:rFonts w:ascii="宋体" w:hAnsi="Courier New"/>
      <w:kern w:val="0"/>
      <w:sz w:val="32"/>
      <w:szCs w:val="20"/>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37"/>
    <w:autoRedefine/>
    <w:unhideWhenUsed/>
    <w:qFormat/>
    <w:uiPriority w:val="99"/>
    <w:pPr>
      <w:tabs>
        <w:tab w:val="center" w:pos="4153"/>
        <w:tab w:val="right" w:pos="8306"/>
      </w:tabs>
      <w:snapToGrid w:val="0"/>
      <w:jc w:val="left"/>
    </w:pPr>
    <w:rPr>
      <w:sz w:val="18"/>
      <w:szCs w:val="18"/>
    </w:rPr>
  </w:style>
  <w:style w:type="paragraph" w:styleId="16">
    <w:name w:val="header"/>
    <w:basedOn w:val="1"/>
    <w:link w:val="3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2"/>
    <w:basedOn w:val="1"/>
    <w:next w:val="1"/>
    <w:semiHidden/>
    <w:qFormat/>
    <w:uiPriority w:val="0"/>
    <w:pPr>
      <w:tabs>
        <w:tab w:val="right" w:leader="dot" w:pos="8296"/>
      </w:tabs>
      <w:ind w:left="210"/>
      <w:jc w:val="left"/>
    </w:pPr>
    <w:rPr>
      <w:smallCaps/>
    </w:rPr>
  </w:style>
  <w:style w:type="paragraph" w:styleId="18">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1"/>
    <w:next w:val="1"/>
    <w:qFormat/>
    <w:uiPriority w:val="0"/>
    <w:pPr>
      <w:spacing w:before="240" w:after="60"/>
      <w:jc w:val="center"/>
      <w:outlineLvl w:val="0"/>
    </w:pPr>
    <w:rPr>
      <w:rFonts w:ascii="Cambria" w:hAnsi="Cambria"/>
      <w:b/>
      <w:bCs/>
      <w:sz w:val="32"/>
      <w:szCs w:val="32"/>
    </w:rPr>
  </w:style>
  <w:style w:type="paragraph" w:styleId="21">
    <w:name w:val="annotation subject"/>
    <w:basedOn w:val="9"/>
    <w:next w:val="9"/>
    <w:link w:val="40"/>
    <w:autoRedefine/>
    <w:semiHidden/>
    <w:unhideWhenUsed/>
    <w:qFormat/>
    <w:uiPriority w:val="99"/>
    <w:rPr>
      <w:b/>
      <w:bCs/>
    </w:rPr>
  </w:style>
  <w:style w:type="paragraph" w:styleId="22">
    <w:name w:val="Body Text First Indent 2"/>
    <w:basedOn w:val="10"/>
    <w:autoRedefine/>
    <w:qFormat/>
    <w:uiPriority w:val="0"/>
    <w:pPr>
      <w:ind w:firstLine="420" w:firstLineChars="200"/>
    </w:pPr>
    <w:rPr>
      <w:szCs w:val="24"/>
    </w:rPr>
  </w:style>
  <w:style w:type="table" w:styleId="24">
    <w:name w:val="Table Grid"/>
    <w:basedOn w:val="23"/>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6">
    <w:name w:val="Strong"/>
    <w:qFormat/>
    <w:uiPriority w:val="0"/>
    <w:rPr>
      <w:rFonts w:ascii="Times New Roman" w:hAnsi="Times New Roman" w:eastAsia="宋体" w:cs="Times New Roman"/>
      <w:b/>
      <w:bCs/>
    </w:rPr>
  </w:style>
  <w:style w:type="character" w:styleId="27">
    <w:name w:val="page number"/>
    <w:basedOn w:val="25"/>
    <w:qFormat/>
    <w:uiPriority w:val="0"/>
  </w:style>
  <w:style w:type="character" w:styleId="28">
    <w:name w:val="Hyperlink"/>
    <w:autoRedefine/>
    <w:qFormat/>
    <w:uiPriority w:val="99"/>
    <w:rPr>
      <w:color w:val="0000FF"/>
      <w:u w:val="single"/>
    </w:rPr>
  </w:style>
  <w:style w:type="character" w:styleId="29">
    <w:name w:val="annotation reference"/>
    <w:basedOn w:val="25"/>
    <w:autoRedefine/>
    <w:semiHidden/>
    <w:unhideWhenUsed/>
    <w:qFormat/>
    <w:uiPriority w:val="99"/>
    <w:rPr>
      <w:sz w:val="21"/>
      <w:szCs w:val="21"/>
    </w:rPr>
  </w:style>
  <w:style w:type="paragraph" w:customStyle="1" w:styleId="30">
    <w:name w:val="表格文字"/>
    <w:basedOn w:val="1"/>
    <w:autoRedefine/>
    <w:qFormat/>
    <w:uiPriority w:val="0"/>
    <w:pPr>
      <w:spacing w:before="25" w:after="25" w:line="240" w:lineRule="auto"/>
      <w:ind w:firstLine="0"/>
      <w:jc w:val="left"/>
    </w:pPr>
    <w:rPr>
      <w:bCs/>
      <w:spacing w:val="10"/>
      <w:kern w:val="0"/>
      <w:sz w:val="24"/>
    </w:rPr>
  </w:style>
  <w:style w:type="paragraph" w:styleId="31">
    <w:name w:val="List Paragraph"/>
    <w:basedOn w:val="1"/>
    <w:autoRedefine/>
    <w:qFormat/>
    <w:uiPriority w:val="34"/>
    <w:pPr>
      <w:ind w:firstLine="420" w:firstLineChars="200"/>
    </w:pPr>
  </w:style>
  <w:style w:type="paragraph" w:customStyle="1" w:styleId="32">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33">
    <w:name w:val="日期 Char"/>
    <w:basedOn w:val="25"/>
    <w:link w:val="13"/>
    <w:autoRedefine/>
    <w:qFormat/>
    <w:uiPriority w:val="0"/>
    <w:rPr>
      <w:rFonts w:ascii="宋体" w:hAnsi="Courier New" w:eastAsia="宋体" w:cs="Times New Roman"/>
      <w:kern w:val="0"/>
      <w:sz w:val="32"/>
      <w:szCs w:val="20"/>
    </w:rPr>
  </w:style>
  <w:style w:type="character" w:customStyle="1" w:styleId="34">
    <w:name w:val="日期 Char1"/>
    <w:basedOn w:val="25"/>
    <w:link w:val="13"/>
    <w:autoRedefine/>
    <w:semiHidden/>
    <w:qFormat/>
    <w:uiPriority w:val="99"/>
    <w:rPr>
      <w:rFonts w:ascii="Calibri" w:hAnsi="Calibri" w:eastAsia="宋体" w:cs="Times New Roman"/>
    </w:rPr>
  </w:style>
  <w:style w:type="character" w:customStyle="1" w:styleId="35">
    <w:name w:val="批注框文本 Char"/>
    <w:basedOn w:val="25"/>
    <w:link w:val="14"/>
    <w:autoRedefine/>
    <w:semiHidden/>
    <w:qFormat/>
    <w:uiPriority w:val="99"/>
    <w:rPr>
      <w:rFonts w:ascii="Calibri" w:hAnsi="Calibri" w:eastAsia="宋体" w:cs="Times New Roman"/>
      <w:sz w:val="18"/>
      <w:szCs w:val="18"/>
    </w:rPr>
  </w:style>
  <w:style w:type="character" w:customStyle="1" w:styleId="36">
    <w:name w:val="页眉 Char"/>
    <w:basedOn w:val="25"/>
    <w:link w:val="16"/>
    <w:autoRedefine/>
    <w:semiHidden/>
    <w:qFormat/>
    <w:uiPriority w:val="99"/>
    <w:rPr>
      <w:rFonts w:ascii="Calibri" w:hAnsi="Calibri" w:eastAsia="宋体" w:cs="Times New Roman"/>
      <w:sz w:val="18"/>
      <w:szCs w:val="18"/>
    </w:rPr>
  </w:style>
  <w:style w:type="character" w:customStyle="1" w:styleId="37">
    <w:name w:val="页脚 Char"/>
    <w:basedOn w:val="25"/>
    <w:link w:val="15"/>
    <w:autoRedefine/>
    <w:qFormat/>
    <w:uiPriority w:val="99"/>
    <w:rPr>
      <w:rFonts w:ascii="Calibri" w:hAnsi="Calibri" w:eastAsia="宋体" w:cs="Times New Roman"/>
      <w:sz w:val="18"/>
      <w:szCs w:val="18"/>
    </w:rPr>
  </w:style>
  <w:style w:type="character" w:customStyle="1" w:styleId="38">
    <w:name w:val="标题 1 Char"/>
    <w:basedOn w:val="25"/>
    <w:link w:val="2"/>
    <w:autoRedefine/>
    <w:qFormat/>
    <w:uiPriority w:val="0"/>
    <w:rPr>
      <w:rFonts w:ascii="宋体" w:hAnsi="Calibri" w:eastAsia="宋体" w:cs="Times New Roman"/>
      <w:color w:val="000000"/>
      <w:sz w:val="28"/>
      <w:szCs w:val="20"/>
    </w:rPr>
  </w:style>
  <w:style w:type="character" w:customStyle="1" w:styleId="39">
    <w:name w:val="批注文字 Char"/>
    <w:basedOn w:val="25"/>
    <w:link w:val="9"/>
    <w:autoRedefine/>
    <w:qFormat/>
    <w:uiPriority w:val="99"/>
    <w:rPr>
      <w:rFonts w:ascii="Calibri" w:hAnsi="Calibri" w:eastAsia="宋体" w:cs="Times New Roman"/>
    </w:rPr>
  </w:style>
  <w:style w:type="character" w:customStyle="1" w:styleId="40">
    <w:name w:val="批注主题 Char"/>
    <w:basedOn w:val="39"/>
    <w:link w:val="21"/>
    <w:autoRedefine/>
    <w:semiHidden/>
    <w:qFormat/>
    <w:uiPriority w:val="99"/>
    <w:rPr>
      <w:b/>
      <w:bCs/>
    </w:rPr>
  </w:style>
  <w:style w:type="character" w:customStyle="1" w:styleId="41">
    <w:name w:val="纯文本 Char"/>
    <w:link w:val="12"/>
    <w:autoRedefine/>
    <w:qFormat/>
    <w:uiPriority w:val="0"/>
    <w:rPr>
      <w:rFonts w:ascii="宋体" w:hAnsi="Courier New"/>
    </w:rPr>
  </w:style>
  <w:style w:type="character" w:customStyle="1" w:styleId="42">
    <w:name w:val="纯文本 Char1"/>
    <w:basedOn w:val="25"/>
    <w:link w:val="12"/>
    <w:autoRedefine/>
    <w:semiHidden/>
    <w:qFormat/>
    <w:uiPriority w:val="99"/>
    <w:rPr>
      <w:rFonts w:ascii="宋体" w:hAnsi="Courier New" w:eastAsia="宋体" w:cs="Courier New"/>
      <w:szCs w:val="21"/>
    </w:rPr>
  </w:style>
  <w:style w:type="character" w:customStyle="1" w:styleId="43">
    <w:name w:val="标题 2 Char"/>
    <w:basedOn w:val="25"/>
    <w:link w:val="3"/>
    <w:autoRedefine/>
    <w:qFormat/>
    <w:uiPriority w:val="0"/>
    <w:rPr>
      <w:rFonts w:ascii="Arial" w:hAnsi="Arial" w:eastAsia="宋体" w:cs="Times New Roman"/>
      <w:b/>
      <w:bCs/>
      <w:sz w:val="32"/>
      <w:szCs w:val="32"/>
    </w:rPr>
  </w:style>
  <w:style w:type="character" w:customStyle="1" w:styleId="44">
    <w:name w:val="标题 3 Char"/>
    <w:basedOn w:val="25"/>
    <w:link w:val="4"/>
    <w:autoRedefine/>
    <w:semiHidden/>
    <w:qFormat/>
    <w:uiPriority w:val="9"/>
    <w:rPr>
      <w:rFonts w:ascii="Calibri" w:hAnsi="Calibri" w:eastAsia="宋体" w:cs="Times New Roman"/>
      <w:b/>
      <w:bCs/>
      <w:sz w:val="32"/>
      <w:szCs w:val="32"/>
    </w:rPr>
  </w:style>
  <w:style w:type="character" w:customStyle="1" w:styleId="45">
    <w:name w:val="标题 4 Char"/>
    <w:basedOn w:val="25"/>
    <w:link w:val="5"/>
    <w:autoRedefine/>
    <w:qFormat/>
    <w:uiPriority w:val="0"/>
    <w:rPr>
      <w:rFonts w:ascii="Cambria" w:hAnsi="Cambria" w:eastAsia="宋体" w:cs="Times New Roman"/>
      <w:b/>
      <w:bCs/>
      <w:sz w:val="28"/>
      <w:szCs w:val="28"/>
    </w:rPr>
  </w:style>
  <w:style w:type="paragraph" w:customStyle="1" w:styleId="46">
    <w:name w:val="xl48"/>
    <w:basedOn w:val="1"/>
    <w:autoRedefine/>
    <w:qFormat/>
    <w:uiPriority w:val="0"/>
    <w:pPr>
      <w:widowControl/>
      <w:pBdr>
        <w:bottom w:val="single" w:color="auto" w:sz="4" w:space="0"/>
      </w:pBdr>
      <w:spacing w:before="100" w:beforeAutospacing="1" w:after="100" w:afterAutospacing="1"/>
      <w:jc w:val="center"/>
      <w:textAlignment w:val="center"/>
    </w:pPr>
    <w:rPr>
      <w:rFonts w:eastAsia="Arial Unicode MS"/>
      <w:kern w:val="0"/>
      <w:sz w:val="24"/>
      <w:szCs w:val="24"/>
    </w:rPr>
  </w:style>
  <w:style w:type="paragraph" w:customStyle="1" w:styleId="47">
    <w:name w:val="1"/>
    <w:basedOn w:val="1"/>
    <w:next w:val="12"/>
    <w:autoRedefine/>
    <w:qFormat/>
    <w:uiPriority w:val="0"/>
    <w:rPr>
      <w:rFonts w:ascii="宋体" w:hAnsi="Courier New"/>
      <w:szCs w:val="20"/>
    </w:rPr>
  </w:style>
  <w:style w:type="paragraph" w:customStyle="1" w:styleId="48">
    <w:name w:val="8"/>
    <w:basedOn w:val="1"/>
    <w:next w:val="12"/>
    <w:autoRedefine/>
    <w:qFormat/>
    <w:uiPriority w:val="0"/>
    <w:rPr>
      <w:rFonts w:ascii="宋体" w:hAnsi="Courier New"/>
      <w:szCs w:val="20"/>
    </w:rPr>
  </w:style>
  <w:style w:type="paragraph" w:customStyle="1" w:styleId="49">
    <w:name w:val="_Style 55"/>
    <w:basedOn w:val="1"/>
    <w:next w:val="12"/>
    <w:autoRedefine/>
    <w:qFormat/>
    <w:uiPriority w:val="0"/>
    <w:rPr>
      <w:rFonts w:ascii="宋体" w:hAnsi="Courier New"/>
      <w:szCs w:val="20"/>
    </w:rPr>
  </w:style>
  <w:style w:type="paragraph" w:customStyle="1" w:styleId="50">
    <w:name w:val="7"/>
    <w:basedOn w:val="1"/>
    <w:next w:val="12"/>
    <w:link w:val="51"/>
    <w:autoRedefine/>
    <w:qFormat/>
    <w:uiPriority w:val="0"/>
    <w:rPr>
      <w:rFonts w:ascii="宋体" w:hAnsi="Courier New"/>
      <w:szCs w:val="20"/>
    </w:rPr>
  </w:style>
  <w:style w:type="character" w:customStyle="1" w:styleId="51">
    <w:name w:val="Char1"/>
    <w:link w:val="50"/>
    <w:autoRedefine/>
    <w:qFormat/>
    <w:uiPriority w:val="0"/>
    <w:rPr>
      <w:rFonts w:ascii="宋体" w:hAnsi="Courier New" w:eastAsia="宋体" w:cs="Times New Roman"/>
      <w:szCs w:val="20"/>
    </w:rPr>
  </w:style>
  <w:style w:type="paragraph" w:customStyle="1" w:styleId="52">
    <w:name w:val="Body text|1"/>
    <w:basedOn w:val="1"/>
    <w:autoRedefine/>
    <w:qFormat/>
    <w:uiPriority w:val="0"/>
    <w:pPr>
      <w:widowControl w:val="0"/>
      <w:shd w:val="clear" w:color="auto" w:fill="auto"/>
      <w:spacing w:line="396" w:lineRule="auto"/>
    </w:pPr>
    <w:rPr>
      <w:rFonts w:ascii="宋体" w:hAnsi="宋体" w:eastAsia="宋体" w:cs="宋体"/>
      <w:u w:val="none"/>
      <w:shd w:val="clear" w:color="auto" w:fill="auto"/>
      <w:lang w:val="zh-TW" w:eastAsia="zh-TW" w:bidi="zh-TW"/>
    </w:rPr>
  </w:style>
  <w:style w:type="paragraph" w:customStyle="1" w:styleId="5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4">
    <w:name w:val="表正文"/>
    <w:basedOn w:val="1"/>
    <w:qFormat/>
    <w:uiPriority w:val="0"/>
    <w:rPr>
      <w:sz w:val="18"/>
    </w:rPr>
  </w:style>
  <w:style w:type="paragraph" w:customStyle="1" w:styleId="55">
    <w:name w:val="表格并列项"/>
    <w:basedOn w:val="56"/>
    <w:qFormat/>
    <w:uiPriority w:val="0"/>
    <w:pPr>
      <w:tabs>
        <w:tab w:val="left" w:pos="839"/>
      </w:tabs>
      <w:spacing w:before="40" w:after="40"/>
      <w:ind w:left="840" w:firstLineChars="0"/>
    </w:pPr>
  </w:style>
  <w:style w:type="paragraph" w:customStyle="1" w:styleId="56">
    <w:name w:val="并列项"/>
    <w:basedOn w:val="31"/>
    <w:qFormat/>
    <w:uiPriority w:val="0"/>
    <w:pPr>
      <w:numPr>
        <w:ilvl w:val="0"/>
        <w:numId w:val="1"/>
      </w:numPr>
      <w:snapToGrid w:val="0"/>
      <w:ind w:left="420"/>
      <w:contextualSpacing/>
    </w:pPr>
    <w:rPr>
      <w:rFonts w:cs="Cambria"/>
    </w:rPr>
  </w:style>
  <w:style w:type="paragraph" w:customStyle="1" w:styleId="57">
    <w:name w:val="Normal Indent"/>
    <w:basedOn w:val="1"/>
    <w:next w:val="1"/>
    <w:qFormat/>
    <w:uiPriority w:val="0"/>
    <w:pPr>
      <w:ind w:firstLine="420"/>
    </w:pPr>
    <w:rPr>
      <w:rFonts w:ascii="Calibri" w:hAnsi="Calibri" w:eastAsia="宋体"/>
      <w:szCs w:val="20"/>
    </w:rPr>
  </w:style>
  <w:style w:type="paragraph" w:customStyle="1" w:styleId="58">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9">
    <w:name w:val="批注文字 字符"/>
    <w:basedOn w:val="25"/>
    <w:link w:val="9"/>
    <w:autoRedefine/>
    <w:qFormat/>
    <w:uiPriority w:val="0"/>
    <w:rPr>
      <w:rFonts w:asciiTheme="minorHAnsi" w:hAnsiTheme="minorHAnsi" w:eastAsiaTheme="minorEastAsia" w:cstheme="minorBidi"/>
      <w:kern w:val="2"/>
      <w:sz w:val="21"/>
      <w:szCs w:val="24"/>
    </w:rPr>
  </w:style>
  <w:style w:type="paragraph" w:customStyle="1" w:styleId="60">
    <w:name w:val="Table Text"/>
    <w:basedOn w:val="1"/>
    <w:semiHidden/>
    <w:qFormat/>
    <w:uiPriority w:val="0"/>
    <w:rPr>
      <w:rFonts w:ascii="宋体" w:hAnsi="宋体" w:eastAsia="宋体" w:cs="宋体"/>
      <w:sz w:val="21"/>
      <w:szCs w:val="21"/>
      <w:lang w:val="en-US" w:eastAsia="en-US" w:bidi="ar-SA"/>
    </w:rPr>
  </w:style>
  <w:style w:type="table" w:customStyle="1" w:styleId="6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ED83-26AA-4E65-B141-EB370BBE78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1111</Words>
  <Characters>1152</Characters>
  <Lines>229</Lines>
  <Paragraphs>64</Paragraphs>
  <TotalTime>1</TotalTime>
  <ScaleCrop>false</ScaleCrop>
  <LinksUpToDate>false</LinksUpToDate>
  <CharactersWithSpaces>1154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2019-10-21T09:39:00Z</dcterms:created>
  <dc:creator>User</dc:creator>
  <cp:lastModifiedBy>中正--李工</cp:lastModifiedBy>
  <cp:lastPrinted>2020-05-21T02:27:00Z</cp:lastPrinted>
  <dcterms:modified xsi:type="dcterms:W3CDTF">2026-09-30T08:54:22Z</dcterms:modified>
  <cp:revision>1664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B946BEF99C8F409FBFCFBF89E6EAF5A4</vt:lpwstr>
  </property>
  <property fmtid="{D5CDD505-2E9C-101B-9397-08002B2CF9AE}" pid="4" name="KSOTemplateDocerSaveRecord">
    <vt:lpwstr>eyJoZGlkIjoiMzNiN2JjZGQwODQzNTVmMDg4ZGNmNzRhYmJlZDY2YTUiLCJ1c2VySWQiOiI0NjMwNjU1NzcifQ==</vt:lpwstr>
  </property>
</Properties>
</file>