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4A8A157C">
      <w:pPr>
        <w:adjustRightInd w:val="0"/>
        <w:snapToGrid w:val="0"/>
        <w:spacing w:line="300" w:lineRule="auto"/>
        <w:jc w:val="center"/>
        <w:rPr>
          <w:rFonts w:hint="eastAsia" w:asciiTheme="minorEastAsia" w:hAnsiTheme="minorEastAsia" w:eastAsiaTheme="minorEastAsia"/>
          <w:b/>
          <w:snapToGrid w:val="0"/>
          <w:kern w:val="0"/>
          <w:sz w:val="84"/>
          <w:szCs w:val="84"/>
          <w:lang w:eastAsia="zh-CN"/>
        </w:rPr>
      </w:pPr>
      <w:r>
        <w:rPr>
          <w:rFonts w:hint="eastAsia" w:asciiTheme="minorEastAsia" w:hAnsiTheme="minorEastAsia" w:eastAsiaTheme="minorEastAsia"/>
          <w:b/>
          <w:bCs/>
          <w:snapToGrid w:val="0"/>
          <w:kern w:val="0"/>
          <w:sz w:val="84"/>
          <w:szCs w:val="84"/>
          <w:lang w:eastAsia="zh-CN"/>
        </w:rPr>
        <w:t>射频消融治疗仪</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76EAC755">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SZZZ2026-QA0179</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8"/>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8"/>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八</w:t>
      </w:r>
      <w:r>
        <w:rPr>
          <w:rFonts w:hint="eastAsia"/>
          <w:b/>
          <w:snapToGrid w:val="0"/>
          <w:sz w:val="30"/>
        </w:rPr>
        <w:t>月</w:t>
      </w:r>
    </w:p>
    <w:p w14:paraId="0E9B1833"/>
    <w:p w14:paraId="3EE5AD1B"/>
    <w:p w14:paraId="3737A5AC"/>
    <w:p w14:paraId="4567F4A1"/>
    <w:p w14:paraId="34C1985B"/>
    <w:p w14:paraId="4D804BA9">
      <w:pPr>
        <w:jc w:val="center"/>
        <w:rPr>
          <w:rFonts w:asciiTheme="minorEastAsia" w:hAnsiTheme="minorEastAsia" w:eastAsiaTheme="minorEastAsia"/>
          <w:b/>
          <w:bCs/>
          <w:szCs w:val="21"/>
        </w:rPr>
      </w:pPr>
    </w:p>
    <w:p w14:paraId="1367AE0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ascii="宋体" w:hAnsi="宋体"/>
          <w:sz w:val="24"/>
        </w:rPr>
      </w:pPr>
    </w:p>
    <w:p w14:paraId="7652862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ascii="仿宋" w:hAnsi="仿宋" w:eastAsia="仿宋"/>
          <w:sz w:val="24"/>
        </w:rPr>
      </w:pPr>
    </w:p>
    <w:p w14:paraId="765C94BC">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ascii="仿宋" w:hAnsi="仿宋" w:eastAsia="仿宋"/>
          <w:sz w:val="24"/>
        </w:rPr>
      </w:pPr>
    </w:p>
    <w:p w14:paraId="1A9DB0BD">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47</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81</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97</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97</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101</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104</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107</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109</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1"/>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射频消融治疗仪</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8</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18</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SZZZ2026-QA0179</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射频消融治疗仪</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1F37B0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400,000.00</w:t>
      </w:r>
      <w:r>
        <w:rPr>
          <w:rFonts w:hint="eastAsia" w:ascii="宋体" w:hAnsi="宋体" w:eastAsia="宋体"/>
          <w:snapToGrid w:val="0"/>
          <w:color w:val="auto"/>
          <w:sz w:val="21"/>
          <w:szCs w:val="21"/>
        </w:rPr>
        <w:t>元</w:t>
      </w:r>
    </w:p>
    <w:p w14:paraId="3D21294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400,000.00</w:t>
      </w:r>
      <w:r>
        <w:rPr>
          <w:rFonts w:hint="eastAsia" w:ascii="宋体" w:hAnsi="宋体" w:eastAsia="宋体"/>
          <w:snapToGrid w:val="0"/>
          <w:color w:val="auto"/>
          <w:sz w:val="21"/>
          <w:szCs w:val="21"/>
        </w:rPr>
        <w:t>元</w:t>
      </w:r>
    </w:p>
    <w:p w14:paraId="3A6DF4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hint="eastAsia" w:asciiTheme="minorEastAsia" w:hAnsiTheme="minorEastAsia" w:eastAsiaTheme="minorEastAsia"/>
                <w:sz w:val="21"/>
                <w:szCs w:val="21"/>
                <w:lang w:eastAsia="zh-CN"/>
              </w:rPr>
            </w:pPr>
            <w:r>
              <w:rPr>
                <w:rFonts w:hint="eastAsia" w:ascii="宋体" w:hAnsi="宋体" w:cs="宋体" w:eastAsiaTheme="minorEastAsia"/>
                <w:sz w:val="21"/>
                <w:szCs w:val="21"/>
                <w:lang w:val="en-US" w:eastAsia="zh-CN"/>
              </w:rPr>
              <w:t>套</w:t>
            </w:r>
          </w:p>
        </w:tc>
        <w:tc>
          <w:tcPr>
            <w:tcW w:w="2977" w:type="dxa"/>
            <w:shd w:val="clear" w:color="auto" w:fill="auto"/>
            <w:vAlign w:val="center"/>
          </w:tcPr>
          <w:p w14:paraId="73E04DCD">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61E4AA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116A55F9">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r>
        <w:rPr>
          <w:rFonts w:hint="eastAsia" w:asciiTheme="minorEastAsia" w:hAnsiTheme="minorEastAsia" w:eastAsiaTheme="minorEastAsia"/>
          <w:snapToGrid w:val="0"/>
          <w:color w:val="auto"/>
          <w:sz w:val="21"/>
          <w:lang w:eastAsia="zh-CN"/>
        </w:rPr>
        <w:t>；</w:t>
      </w:r>
    </w:p>
    <w:p w14:paraId="04D0320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FF0000"/>
          <w:sz w:val="21"/>
        </w:rPr>
      </w:pPr>
      <w:r>
        <w:rPr>
          <w:rFonts w:hint="eastAsia" w:asciiTheme="minorEastAsia" w:hAnsiTheme="minorEastAsia" w:eastAsiaTheme="minorEastAsia"/>
          <w:snapToGrid w:val="0"/>
          <w:color w:val="FF0000"/>
          <w:sz w:val="21"/>
        </w:rPr>
        <w:t>（</w:t>
      </w:r>
      <w:r>
        <w:rPr>
          <w:rFonts w:hint="eastAsia" w:asciiTheme="minorEastAsia" w:hAnsiTheme="minorEastAsia" w:eastAsiaTheme="minorEastAsia"/>
          <w:snapToGrid w:val="0"/>
          <w:color w:val="FF0000"/>
          <w:sz w:val="21"/>
          <w:lang w:val="en-US" w:eastAsia="zh-CN"/>
        </w:rPr>
        <w:t>9</w:t>
      </w:r>
      <w:r>
        <w:rPr>
          <w:rFonts w:hint="eastAsia" w:asciiTheme="minorEastAsia" w:hAnsiTheme="minorEastAsia" w:eastAsiaTheme="minorEastAsia"/>
          <w:snapToGrid w:val="0"/>
          <w:color w:val="FF0000"/>
          <w:sz w:val="21"/>
        </w:rPr>
        <w:t>）参与本项目投标的供应商须提供《北京大学深圳医院供应商廉洁购销承诺书》（相应格式见投标文件格式“格式1投标人资格证明文件”）；</w:t>
      </w:r>
    </w:p>
    <w:p w14:paraId="50689D8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FF0000"/>
          <w:sz w:val="21"/>
        </w:rPr>
        <w:t>（</w:t>
      </w:r>
      <w:r>
        <w:rPr>
          <w:rFonts w:hint="eastAsia" w:asciiTheme="minorEastAsia" w:hAnsiTheme="minorEastAsia" w:eastAsiaTheme="minorEastAsia"/>
          <w:snapToGrid w:val="0"/>
          <w:color w:val="FF0000"/>
          <w:sz w:val="21"/>
          <w:lang w:val="en-US" w:eastAsia="zh-CN"/>
        </w:rPr>
        <w:t>10</w:t>
      </w:r>
      <w:r>
        <w:rPr>
          <w:rFonts w:hint="eastAsia" w:asciiTheme="minorEastAsia" w:hAnsiTheme="minorEastAsia" w:eastAsiaTheme="minorEastAsia"/>
          <w:snapToGrid w:val="0"/>
          <w:color w:val="FF0000"/>
          <w:sz w:val="21"/>
        </w:rPr>
        <w:t>）投标人未被列入“北京大学深圳医院诚信档案管理名单”（由采购代理机构或采购人查询，投标人无需提供证明材料）。</w:t>
      </w:r>
    </w:p>
    <w:p w14:paraId="036B4C77">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9ABA18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18</w:t>
      </w:r>
      <w:r>
        <w:rPr>
          <w:rFonts w:hint="eastAsia" w:ascii="宋体" w:hAnsi="宋体" w:eastAsia="宋体"/>
          <w:snapToGrid w:val="0"/>
          <w:color w:val="auto"/>
          <w:sz w:val="21"/>
          <w:szCs w:val="21"/>
          <w:u w:val="single"/>
        </w:rPr>
        <w:t>日14点30分（北京时间）</w:t>
      </w:r>
    </w:p>
    <w:p w14:paraId="334B5CD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0EFF6AD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16B8EDB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7E06F8C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名称：北京大学深圳医院</w:t>
      </w:r>
    </w:p>
    <w:p w14:paraId="59063BB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地址：深圳市福田区莲花路1120号</w:t>
      </w:r>
    </w:p>
    <w:p w14:paraId="456AF2B6">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钟先生,0755-83923333</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w:t>
      </w:r>
      <w:r>
        <w:rPr>
          <w:rFonts w:hint="eastAsia" w:ascii="宋体" w:hAnsi="宋体" w:eastAsia="宋体"/>
          <w:snapToGrid w:val="0"/>
          <w:color w:val="auto"/>
          <w:sz w:val="21"/>
          <w:szCs w:val="21"/>
          <w:lang w:val="en-US" w:eastAsia="zh-CN"/>
        </w:rPr>
        <w:t>学华/周穗绮</w:t>
      </w:r>
      <w:r>
        <w:rPr>
          <w:rFonts w:hint="eastAsia" w:ascii="宋体" w:hAnsi="宋体" w:eastAsia="宋体"/>
          <w:snapToGrid w:val="0"/>
          <w:color w:val="auto"/>
          <w:sz w:val="21"/>
          <w:szCs w:val="21"/>
        </w:rPr>
        <w:t>，0755-83026699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w:t>
      </w:r>
      <w:r>
        <w:rPr>
          <w:rFonts w:hint="eastAsia" w:ascii="宋体" w:hAnsi="宋体" w:eastAsia="宋体"/>
          <w:snapToGrid w:val="0"/>
          <w:color w:val="auto"/>
          <w:sz w:val="21"/>
          <w:szCs w:val="21"/>
          <w:lang w:val="en-US" w:eastAsia="zh-CN"/>
        </w:rPr>
        <w:t>学华/周穗绮</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8</w:t>
      </w:r>
      <w:r>
        <w:rPr>
          <w:rFonts w:ascii="宋体" w:hAnsi="宋体"/>
          <w:snapToGrid w:val="0"/>
          <w:kern w:val="0"/>
          <w:sz w:val="24"/>
        </w:rPr>
        <w:t>月</w:t>
      </w:r>
      <w:r>
        <w:rPr>
          <w:rFonts w:hint="eastAsia" w:ascii="宋体" w:hAnsi="宋体"/>
          <w:snapToGrid w:val="0"/>
          <w:kern w:val="0"/>
          <w:sz w:val="24"/>
          <w:lang w:val="en-US" w:eastAsia="zh-CN"/>
        </w:rPr>
        <w:t>7</w:t>
      </w:r>
      <w:bookmarkStart w:id="114" w:name="_GoBack"/>
      <w:bookmarkEnd w:id="114"/>
      <w:r>
        <w:rPr>
          <w:rFonts w:hint="eastAsia" w:ascii="宋体" w:hAnsi="宋体"/>
          <w:snapToGrid w:val="0"/>
          <w:kern w:val="0"/>
          <w:sz w:val="24"/>
        </w:rPr>
        <w:t>日</w:t>
      </w: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0037EC8">
      <w:pPr>
        <w:rPr>
          <w:rFonts w:hint="eastAsia"/>
        </w:rPr>
      </w:pPr>
      <w:bookmarkStart w:id="2" w:name="_Toc135293321"/>
      <w:r>
        <w:rPr>
          <w:rFonts w:hint="eastAsia"/>
        </w:rPr>
        <w:br w:type="page"/>
      </w:r>
    </w:p>
    <w:p w14:paraId="0526D094">
      <w:pPr>
        <w:pStyle w:val="2"/>
      </w:pPr>
      <w:r>
        <w:rPr>
          <w:rFonts w:hint="eastAsia"/>
        </w:rPr>
        <w:t>第二章  项目需求</w:t>
      </w:r>
      <w:bookmarkEnd w:id="2"/>
    </w:p>
    <w:p w14:paraId="594C8182">
      <w:pPr>
        <w:spacing w:afterLines="50" w:line="360" w:lineRule="auto"/>
        <w:ind w:left="2"/>
        <w:jc w:val="center"/>
        <w:rPr>
          <w:rFonts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w:t>
      </w:r>
      <w:r>
        <w:rPr>
          <w:rFonts w:hint="eastAsia" w:ascii="仿宋_GB2312" w:eastAsia="仿宋_GB2312"/>
          <w:sz w:val="24"/>
          <w:lang w:eastAsia="zh-CN"/>
        </w:rPr>
        <w:t>分项报价表</w:t>
      </w:r>
      <w:r>
        <w:rPr>
          <w:rFonts w:hint="eastAsia" w:ascii="仿宋_GB2312" w:eastAsia="仿宋_GB2312"/>
          <w:sz w:val="24"/>
        </w:rPr>
        <w:t>”中明确注明“定制”，否则该产品技术参数按负偏离处理。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728E00A7">
      <w:pPr>
        <w:autoSpaceDE w:val="0"/>
        <w:autoSpaceDN w:val="0"/>
        <w:adjustRightInd w:val="0"/>
        <w:spacing w:line="360" w:lineRule="auto"/>
        <w:ind w:firstLine="482" w:firstLineChars="200"/>
        <w:jc w:val="left"/>
        <w:rPr>
          <w:rFonts w:hint="eastAsia" w:ascii="仿宋_GB2312" w:eastAsia="仿宋_GB2312"/>
          <w:b/>
          <w:sz w:val="24"/>
          <w:highlight w:val="yellow"/>
        </w:rPr>
      </w:pPr>
      <w:r>
        <w:rPr>
          <w:rFonts w:hint="eastAsia" w:ascii="仿宋_GB2312" w:eastAsia="仿宋_GB2312"/>
          <w:b/>
          <w:sz w:val="24"/>
          <w:highlight w:val="yellow"/>
        </w:rPr>
        <w:t>6、加注★的条款为不可负偏离的实质性条款，任一项未响应或不满足要求的，将导致投标无效。</w:t>
      </w:r>
    </w:p>
    <w:p w14:paraId="6B1F2970">
      <w:pPr>
        <w:autoSpaceDE w:val="0"/>
        <w:autoSpaceDN w:val="0"/>
        <w:adjustRightInd w:val="0"/>
        <w:spacing w:line="360" w:lineRule="auto"/>
        <w:ind w:firstLine="482" w:firstLineChars="200"/>
        <w:jc w:val="left"/>
        <w:rPr>
          <w:rFonts w:hint="eastAsia" w:ascii="仿宋_GB2312" w:hAnsi="仿宋_GB2312" w:eastAsia="仿宋_GB2312" w:cs="仿宋_GB2312"/>
          <w:b/>
          <w:color w:val="FF0000"/>
          <w:sz w:val="24"/>
          <w:szCs w:val="24"/>
          <w:highlight w:val="none"/>
          <w:lang w:val="en-US" w:eastAsia="zh-CN"/>
        </w:rPr>
      </w:pPr>
      <w:r>
        <w:rPr>
          <w:rFonts w:hint="eastAsia" w:ascii="仿宋_GB2312" w:hAnsi="仿宋_GB2312" w:eastAsia="仿宋_GB2312" w:cs="仿宋_GB2312"/>
          <w:b/>
          <w:color w:val="FF0000"/>
          <w:sz w:val="24"/>
          <w:szCs w:val="24"/>
          <w:highlight w:val="none"/>
          <w:lang w:val="en-US" w:eastAsia="zh-CN"/>
        </w:rPr>
        <w:t>7、</w:t>
      </w:r>
      <w:r>
        <w:rPr>
          <w:rFonts w:hint="eastAsia" w:ascii="仿宋_GB2312" w:hAnsi="仿宋_GB2312" w:eastAsia="仿宋_GB2312" w:cs="仿宋_GB2312"/>
          <w:b/>
          <w:bCs/>
          <w:color w:val="FF0000"/>
          <w:sz w:val="24"/>
          <w:szCs w:val="24"/>
          <w:highlight w:val="none"/>
          <w:lang w:eastAsia="zh-CN"/>
        </w:rPr>
        <w:t>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46家美国企业名单链接如下：http://gks.mof.gov.cn/guizhangzhidu/202606/t20260622_3991936.htm”。</w:t>
      </w:r>
    </w:p>
    <w:p w14:paraId="4AA14473">
      <w:pPr>
        <w:spacing w:line="360" w:lineRule="auto"/>
        <w:ind w:left="510"/>
        <w:rPr>
          <w:rFonts w:eastAsia="黑体"/>
          <w:bCs/>
          <w:snapToGrid w:val="0"/>
          <w:kern w:val="0"/>
          <w:sz w:val="24"/>
        </w:rPr>
      </w:pPr>
    </w:p>
    <w:p w14:paraId="37FE0766">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射频消融治疗仪</w:t>
            </w:r>
          </w:p>
        </w:tc>
        <w:tc>
          <w:tcPr>
            <w:tcW w:w="850" w:type="dxa"/>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套</w:t>
            </w:r>
          </w:p>
        </w:tc>
        <w:tc>
          <w:tcPr>
            <w:tcW w:w="1701" w:type="dxa"/>
            <w:vAlign w:val="center"/>
          </w:tcPr>
          <w:p w14:paraId="7C1C0756">
            <w:pPr>
              <w:jc w:val="center"/>
              <w:rPr>
                <w:rFonts w:hint="default" w:ascii="宋体" w:hAnsi="宋体" w:eastAsia="宋体" w:cs="宋体"/>
                <w:bCs/>
                <w:kern w:val="0"/>
                <w:szCs w:val="21"/>
                <w:lang w:val="en-US" w:eastAsia="zh-CN"/>
              </w:rPr>
            </w:pPr>
            <w:r>
              <w:rPr>
                <w:rFonts w:hint="eastAsia" w:ascii="宋体" w:hAnsi="宋体" w:cs="宋体"/>
                <w:bCs/>
                <w:kern w:val="0"/>
                <w:szCs w:val="21"/>
                <w:lang w:val="en-US" w:eastAsia="zh-CN"/>
              </w:rPr>
              <w:t>400000</w:t>
            </w:r>
          </w:p>
        </w:tc>
        <w:tc>
          <w:tcPr>
            <w:tcW w:w="1417" w:type="dxa"/>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ascii="宋体" w:hAnsi="宋体"/>
          <w:bCs/>
          <w:snapToGrid w:val="0"/>
          <w:kern w:val="0"/>
          <w:szCs w:val="21"/>
        </w:rPr>
      </w:pPr>
    </w:p>
    <w:p w14:paraId="0F56AA66">
      <w:pPr>
        <w:rPr>
          <w:rFonts w:ascii="宋体" w:hAnsi="宋体"/>
          <w:b/>
          <w:szCs w:val="21"/>
        </w:rPr>
      </w:pPr>
      <w:r>
        <w:rPr>
          <w:rFonts w:hint="eastAsia" w:ascii="宋体" w:hAnsi="宋体"/>
          <w:b/>
          <w:szCs w:val="21"/>
        </w:rPr>
        <w:t>（二）货物清单明细</w:t>
      </w:r>
    </w:p>
    <w:tbl>
      <w:tblPr>
        <w:tblStyle w:val="5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325"/>
        <w:gridCol w:w="750"/>
        <w:gridCol w:w="730"/>
        <w:gridCol w:w="1840"/>
        <w:gridCol w:w="1435"/>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015C2992">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325" w:type="dxa"/>
            <w:vAlign w:val="center"/>
          </w:tcPr>
          <w:p w14:paraId="34409A2A">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750" w:type="dxa"/>
            <w:vAlign w:val="center"/>
          </w:tcPr>
          <w:p w14:paraId="663D5FC7">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730" w:type="dxa"/>
            <w:vAlign w:val="center"/>
          </w:tcPr>
          <w:p w14:paraId="0ECB04BF">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40" w:type="dxa"/>
            <w:vAlign w:val="center"/>
          </w:tcPr>
          <w:p w14:paraId="2FFF3169">
            <w:pPr>
              <w:widowControl/>
              <w:spacing w:line="360" w:lineRule="auto"/>
              <w:jc w:val="center"/>
              <w:rPr>
                <w:rFonts w:ascii="宋体" w:hAnsi="宋体" w:cs="宋体"/>
                <w:b/>
                <w:kern w:val="0"/>
                <w:szCs w:val="21"/>
              </w:rPr>
            </w:pPr>
            <w:r>
              <w:rPr>
                <w:rFonts w:hint="eastAsia" w:ascii="宋体" w:hAnsi="宋体" w:cs="宋体"/>
                <w:b/>
                <w:kern w:val="0"/>
                <w:szCs w:val="21"/>
              </w:rPr>
              <w:t>预算金额</w:t>
            </w:r>
          </w:p>
          <w:p w14:paraId="023640ED">
            <w:pPr>
              <w:widowControl/>
              <w:spacing w:line="360" w:lineRule="auto"/>
              <w:jc w:val="center"/>
              <w:rPr>
                <w:rFonts w:ascii="宋体" w:hAnsi="宋体" w:cs="宋体"/>
                <w:b/>
                <w:kern w:val="0"/>
                <w:szCs w:val="21"/>
              </w:rPr>
            </w:pPr>
            <w:r>
              <w:rPr>
                <w:rFonts w:hint="eastAsia" w:ascii="宋体" w:hAnsi="宋体" w:cs="宋体"/>
                <w:b/>
                <w:szCs w:val="21"/>
              </w:rPr>
              <w:t>（人民币元）</w:t>
            </w:r>
          </w:p>
        </w:tc>
        <w:tc>
          <w:tcPr>
            <w:tcW w:w="1435" w:type="dxa"/>
            <w:vAlign w:val="center"/>
          </w:tcPr>
          <w:p w14:paraId="651C585C">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325" w:type="dxa"/>
            <w:vAlign w:val="center"/>
          </w:tcPr>
          <w:p w14:paraId="4DF1A81E">
            <w:pPr>
              <w:widowControl/>
              <w:jc w:val="center"/>
              <w:rPr>
                <w:rFonts w:ascii="宋体" w:hAnsi="宋体" w:cs="宋体"/>
                <w:kern w:val="0"/>
                <w:szCs w:val="21"/>
              </w:rPr>
            </w:pPr>
            <w:r>
              <w:rPr>
                <w:rFonts w:hint="eastAsia" w:ascii="宋体" w:hAnsi="宋体" w:cs="宋体"/>
                <w:kern w:val="0"/>
                <w:szCs w:val="21"/>
                <w:lang w:eastAsia="zh-CN"/>
              </w:rPr>
              <w:t>射频消融治疗仪</w:t>
            </w:r>
          </w:p>
        </w:tc>
        <w:tc>
          <w:tcPr>
            <w:tcW w:w="750" w:type="dxa"/>
            <w:vAlign w:val="center"/>
          </w:tcPr>
          <w:p w14:paraId="15B19941">
            <w:pPr>
              <w:widowControl/>
              <w:jc w:val="center"/>
              <w:rPr>
                <w:rFonts w:hint="eastAsia" w:ascii="宋体" w:hAnsi="宋体" w:eastAsia="宋体" w:cs="宋体"/>
                <w:kern w:val="0"/>
                <w:szCs w:val="21"/>
                <w:lang w:eastAsia="zh-CN"/>
              </w:rPr>
            </w:pPr>
            <w:r>
              <w:rPr>
                <w:rFonts w:hint="eastAsia" w:eastAsia="等线" w:cs="Times New Roman"/>
                <w:color w:val="000000"/>
                <w:kern w:val="0"/>
                <w:szCs w:val="21"/>
                <w:lang w:val="en-US" w:eastAsia="zh-CN"/>
              </w:rPr>
              <w:t>1</w:t>
            </w:r>
          </w:p>
        </w:tc>
        <w:tc>
          <w:tcPr>
            <w:tcW w:w="730" w:type="dxa"/>
            <w:vAlign w:val="center"/>
          </w:tcPr>
          <w:p w14:paraId="1E5DCF09">
            <w:pPr>
              <w:widowControl/>
              <w:jc w:val="center"/>
              <w:rPr>
                <w:rFonts w:hint="eastAsia" w:ascii="宋体" w:hAnsi="宋体" w:eastAsia="宋体" w:cs="宋体"/>
                <w:kern w:val="0"/>
                <w:szCs w:val="21"/>
                <w:lang w:eastAsia="zh-CN"/>
              </w:rPr>
            </w:pPr>
            <w:r>
              <w:rPr>
                <w:rFonts w:hint="eastAsia" w:ascii="宋体" w:hAnsi="宋体" w:cs="宋体"/>
                <w:color w:val="000000"/>
                <w:kern w:val="0"/>
                <w:sz w:val="20"/>
                <w:szCs w:val="20"/>
                <w:lang w:val="en-US" w:eastAsia="zh-CN"/>
              </w:rPr>
              <w:t>套</w:t>
            </w:r>
          </w:p>
        </w:tc>
        <w:tc>
          <w:tcPr>
            <w:tcW w:w="1840" w:type="dxa"/>
            <w:vAlign w:val="center"/>
          </w:tcPr>
          <w:p w14:paraId="590DA45D">
            <w:pPr>
              <w:widowControl/>
              <w:jc w:val="center"/>
              <w:rPr>
                <w:rFonts w:ascii="宋体" w:hAnsi="宋体" w:cs="宋体"/>
                <w:kern w:val="0"/>
                <w:szCs w:val="21"/>
              </w:rPr>
            </w:pPr>
            <w:r>
              <w:rPr>
                <w:rFonts w:hint="eastAsia" w:ascii="宋体" w:hAnsi="宋体" w:cs="宋体"/>
                <w:bCs/>
                <w:kern w:val="0"/>
                <w:szCs w:val="21"/>
                <w:lang w:val="en-US" w:eastAsia="zh-CN"/>
              </w:rPr>
              <w:t>400000</w:t>
            </w:r>
          </w:p>
        </w:tc>
        <w:tc>
          <w:tcPr>
            <w:tcW w:w="1435" w:type="dxa"/>
            <w:vAlign w:val="center"/>
          </w:tcPr>
          <w:p w14:paraId="5F9CF9AE">
            <w:pPr>
              <w:spacing w:line="360" w:lineRule="auto"/>
              <w:ind w:firstLine="210" w:firstLineChars="100"/>
              <w:jc w:val="left"/>
              <w:rPr>
                <w:rFonts w:ascii="宋体" w:hAnsi="宋体" w:cs="宋体"/>
                <w:kern w:val="0"/>
                <w:szCs w:val="21"/>
              </w:rPr>
            </w:pPr>
            <w:r>
              <w:rPr>
                <w:rFonts w:hint="eastAsia" w:ascii="宋体" w:hAnsi="宋体" w:cs="宋体"/>
                <w:kern w:val="0"/>
                <w:szCs w:val="21"/>
              </w:rPr>
              <w:t>拒绝进口</w:t>
            </w:r>
          </w:p>
        </w:tc>
      </w:tr>
    </w:tbl>
    <w:p w14:paraId="40023506">
      <w:pPr>
        <w:widowControl/>
        <w:snapToGrid w:val="0"/>
        <w:spacing w:line="360" w:lineRule="auto"/>
        <w:ind w:left="2"/>
        <w:jc w:val="left"/>
        <w:rPr>
          <w:rFonts w:ascii="宋体" w:hAnsi="宋体"/>
          <w:bCs/>
          <w:snapToGrid w:val="0"/>
          <w:kern w:val="0"/>
          <w:szCs w:val="21"/>
        </w:rPr>
      </w:pPr>
    </w:p>
    <w:p w14:paraId="1FA8320C">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56B7DB5">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tbl>
      <w:tblPr>
        <w:tblStyle w:val="50"/>
        <w:tblpPr w:leftFromText="180" w:rightFromText="180" w:vertAnchor="text" w:horzAnchor="page" w:tblpX="1215" w:tblpY="300"/>
        <w:tblOverlap w:val="never"/>
        <w:tblW w:w="9660" w:type="dxa"/>
        <w:tblInd w:w="0" w:type="dxa"/>
        <w:tblLayout w:type="fixed"/>
        <w:tblCellMar>
          <w:top w:w="0" w:type="dxa"/>
          <w:left w:w="108" w:type="dxa"/>
          <w:bottom w:w="0" w:type="dxa"/>
          <w:right w:w="108" w:type="dxa"/>
        </w:tblCellMar>
      </w:tblPr>
      <w:tblGrid>
        <w:gridCol w:w="750"/>
        <w:gridCol w:w="1250"/>
        <w:gridCol w:w="7660"/>
      </w:tblGrid>
      <w:tr w14:paraId="3692FD58">
        <w:tblPrEx>
          <w:tblCellMar>
            <w:top w:w="0" w:type="dxa"/>
            <w:left w:w="108" w:type="dxa"/>
            <w:bottom w:w="0" w:type="dxa"/>
            <w:right w:w="108" w:type="dxa"/>
          </w:tblCellMar>
        </w:tblPrEx>
        <w:trPr>
          <w:trHeight w:val="317" w:hRule="atLeast"/>
        </w:trPr>
        <w:tc>
          <w:tcPr>
            <w:tcW w:w="750" w:type="dxa"/>
            <w:tcBorders>
              <w:top w:val="single" w:color="000000" w:sz="4" w:space="0"/>
              <w:left w:val="single" w:color="000000" w:sz="4" w:space="0"/>
              <w:bottom w:val="single" w:color="auto" w:sz="4" w:space="0"/>
              <w:right w:val="single" w:color="000000" w:sz="4" w:space="0"/>
            </w:tcBorders>
            <w:vAlign w:val="bottom"/>
          </w:tcPr>
          <w:p w14:paraId="6E75FF67">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bidi="ar"/>
              </w:rPr>
              <w:t>序号</w:t>
            </w:r>
          </w:p>
        </w:tc>
        <w:tc>
          <w:tcPr>
            <w:tcW w:w="1250" w:type="dxa"/>
            <w:tcBorders>
              <w:top w:val="single" w:color="000000" w:sz="4" w:space="0"/>
              <w:left w:val="single" w:color="000000" w:sz="4" w:space="0"/>
              <w:bottom w:val="single" w:color="auto" w:sz="4" w:space="0"/>
              <w:right w:val="single" w:color="000000" w:sz="4" w:space="0"/>
            </w:tcBorders>
            <w:vAlign w:val="bottom"/>
          </w:tcPr>
          <w:p w14:paraId="3FD3F985">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bidi="ar"/>
              </w:rPr>
              <w:t>货物名称</w:t>
            </w:r>
          </w:p>
        </w:tc>
        <w:tc>
          <w:tcPr>
            <w:tcW w:w="7660" w:type="dxa"/>
            <w:tcBorders>
              <w:top w:val="single" w:color="000000" w:sz="4" w:space="0"/>
              <w:left w:val="single" w:color="000000" w:sz="4" w:space="0"/>
              <w:bottom w:val="single" w:color="000000" w:sz="4" w:space="0"/>
              <w:right w:val="single" w:color="000000" w:sz="4" w:space="0"/>
            </w:tcBorders>
            <w:vAlign w:val="bottom"/>
          </w:tcPr>
          <w:p w14:paraId="42183AC2">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招标</w:t>
            </w:r>
            <w:r>
              <w:rPr>
                <w:rFonts w:hint="eastAsia" w:asciiTheme="minorEastAsia" w:hAnsiTheme="minorEastAsia" w:eastAsiaTheme="minorEastAsia" w:cstheme="minorEastAsia"/>
                <w:color w:val="000000"/>
                <w:kern w:val="0"/>
                <w:sz w:val="21"/>
                <w:szCs w:val="21"/>
                <w:lang w:bidi="ar"/>
              </w:rPr>
              <w:t>技术</w:t>
            </w:r>
            <w:r>
              <w:rPr>
                <w:rFonts w:hint="eastAsia" w:asciiTheme="minorEastAsia" w:hAnsiTheme="minorEastAsia" w:eastAsiaTheme="minorEastAsia" w:cstheme="minorEastAsia"/>
                <w:color w:val="000000"/>
                <w:kern w:val="0"/>
                <w:sz w:val="21"/>
                <w:szCs w:val="21"/>
                <w:lang w:val="en-US" w:eastAsia="zh-CN" w:bidi="ar"/>
              </w:rPr>
              <w:t>参数</w:t>
            </w:r>
            <w:r>
              <w:rPr>
                <w:rFonts w:hint="eastAsia" w:asciiTheme="minorEastAsia" w:hAnsiTheme="minorEastAsia" w:eastAsiaTheme="minorEastAsia" w:cstheme="minorEastAsia"/>
                <w:color w:val="000000"/>
                <w:kern w:val="0"/>
                <w:sz w:val="21"/>
                <w:szCs w:val="21"/>
                <w:lang w:bidi="ar"/>
              </w:rPr>
              <w:t>要求</w:t>
            </w:r>
          </w:p>
        </w:tc>
      </w:tr>
      <w:tr w14:paraId="76184022">
        <w:tblPrEx>
          <w:tblCellMar>
            <w:top w:w="0" w:type="dxa"/>
            <w:left w:w="108" w:type="dxa"/>
            <w:bottom w:w="0" w:type="dxa"/>
            <w:right w:w="108" w:type="dxa"/>
          </w:tblCellMar>
        </w:tblPrEx>
        <w:trPr>
          <w:trHeight w:val="353" w:hRule="atLeast"/>
        </w:trPr>
        <w:tc>
          <w:tcPr>
            <w:tcW w:w="750" w:type="dxa"/>
            <w:vMerge w:val="restart"/>
            <w:tcBorders>
              <w:left w:val="single" w:color="auto" w:sz="4" w:space="0"/>
              <w:right w:val="single" w:color="000000" w:sz="4" w:space="0"/>
            </w:tcBorders>
          </w:tcPr>
          <w:p w14:paraId="1E609BEA">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restart"/>
            <w:tcBorders>
              <w:left w:val="single" w:color="000000" w:sz="4" w:space="0"/>
              <w:right w:val="single" w:color="auto" w:sz="4" w:space="0"/>
            </w:tcBorders>
          </w:tcPr>
          <w:p w14:paraId="7B4A1714">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64644782">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eastAsia="宋体" w:asciiTheme="minorEastAsia" w:hAnsiTheme="minorEastAsia" w:cstheme="minorEastAsia"/>
                <w:b/>
                <w:bCs/>
                <w:color w:val="FF0000"/>
                <w:sz w:val="21"/>
                <w:szCs w:val="21"/>
                <w:lang w:eastAsia="zh-CN"/>
              </w:rPr>
            </w:pPr>
            <w:r>
              <w:rPr>
                <w:rFonts w:hint="eastAsia" w:asciiTheme="minorEastAsia" w:hAnsiTheme="minorEastAsia" w:eastAsiaTheme="minorEastAsia" w:cstheme="minorEastAsia"/>
                <w:b/>
                <w:bCs/>
                <w:color w:val="FF0000"/>
                <w:sz w:val="21"/>
                <w:szCs w:val="21"/>
              </w:rPr>
              <w:t>▲</w:t>
            </w:r>
            <w:r>
              <w:rPr>
                <w:rFonts w:hint="eastAsia" w:asciiTheme="minorEastAsia" w:hAnsiTheme="minorEastAsia" w:eastAsiaTheme="minorEastAsia" w:cstheme="minorEastAsia"/>
                <w:b/>
                <w:bCs/>
                <w:color w:val="FF0000"/>
                <w:sz w:val="21"/>
                <w:szCs w:val="21"/>
                <w:lang w:val="en-US" w:eastAsia="zh-CN"/>
              </w:rPr>
              <w:t>1.</w:t>
            </w:r>
            <w:r>
              <w:rPr>
                <w:rFonts w:hint="eastAsia" w:asciiTheme="minorEastAsia" w:hAnsiTheme="minorEastAsia" w:eastAsiaTheme="minorEastAsia" w:cstheme="minorEastAsia"/>
                <w:b/>
                <w:bCs/>
                <w:color w:val="FF0000"/>
                <w:sz w:val="21"/>
                <w:szCs w:val="21"/>
              </w:rPr>
              <w:t>多种射频治疗模式：具有1-4路输出，可以同时治疗四个不同靶点。支持单极、多针单极、双针双极模式</w:t>
            </w:r>
            <w:r>
              <w:rPr>
                <w:rFonts w:hint="eastAsia" w:asciiTheme="minorEastAsia" w:hAnsiTheme="minorEastAsia" w:eastAsiaTheme="minorEastAsia" w:cstheme="minorEastAsia"/>
                <w:b/>
                <w:bCs/>
                <w:color w:val="FF0000"/>
                <w:sz w:val="21"/>
                <w:szCs w:val="21"/>
                <w:lang w:eastAsia="zh-CN"/>
              </w:rPr>
              <w:t>；</w:t>
            </w:r>
            <w:r>
              <w:rPr>
                <w:rFonts w:hint="eastAsia" w:asciiTheme="minorEastAsia" w:hAnsiTheme="minorEastAsia" w:eastAsiaTheme="minorEastAsia" w:cstheme="minorEastAsia"/>
                <w:b/>
                <w:bCs/>
                <w:color w:val="FF0000"/>
                <w:sz w:val="21"/>
                <w:szCs w:val="21"/>
                <w:lang w:val="en-US" w:eastAsia="zh-CN"/>
              </w:rPr>
              <w:t>提供产品彩页或产品说明书关键页（相关参数在证明材料中标注）</w:t>
            </w:r>
            <w:r>
              <w:rPr>
                <w:rFonts w:hint="eastAsia"/>
                <w:b/>
                <w:bCs/>
                <w:color w:val="FF0000"/>
                <w:lang w:eastAsia="zh-CN"/>
              </w:rPr>
              <w:t>。</w:t>
            </w:r>
          </w:p>
        </w:tc>
      </w:tr>
      <w:tr w14:paraId="53023970">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1B614680">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7DDA5092">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3B51FA75">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eastAsia="宋体" w:asciiTheme="minorEastAsia" w:hAnsiTheme="minorEastAsia" w:cstheme="minorEastAsia"/>
                <w:b/>
                <w:bCs/>
                <w:color w:val="FF0000"/>
                <w:sz w:val="21"/>
                <w:szCs w:val="21"/>
                <w:lang w:eastAsia="zh-CN"/>
              </w:rPr>
            </w:pPr>
            <w:r>
              <w:rPr>
                <w:rFonts w:hint="eastAsia" w:asciiTheme="minorEastAsia" w:hAnsiTheme="minorEastAsia" w:eastAsiaTheme="minorEastAsia" w:cstheme="minorEastAsia"/>
                <w:b/>
                <w:bCs/>
                <w:color w:val="FF0000"/>
                <w:sz w:val="21"/>
                <w:szCs w:val="21"/>
              </w:rPr>
              <w:t>▲</w:t>
            </w:r>
            <w:r>
              <w:rPr>
                <w:rFonts w:hint="eastAsia" w:asciiTheme="minorEastAsia" w:hAnsiTheme="minorEastAsia" w:eastAsiaTheme="minorEastAsia" w:cstheme="minorEastAsia"/>
                <w:b/>
                <w:bCs/>
                <w:color w:val="FF0000"/>
                <w:sz w:val="21"/>
                <w:szCs w:val="21"/>
                <w:lang w:val="en-US" w:eastAsia="zh-CN"/>
              </w:rPr>
              <w:t>2.</w:t>
            </w:r>
            <w:r>
              <w:rPr>
                <w:rFonts w:hint="eastAsia" w:asciiTheme="minorEastAsia" w:hAnsiTheme="minorEastAsia" w:eastAsiaTheme="minorEastAsia" w:cstheme="minorEastAsia"/>
                <w:b/>
                <w:bCs/>
                <w:color w:val="FF0000"/>
                <w:sz w:val="21"/>
                <w:szCs w:val="21"/>
              </w:rPr>
              <w:t>射频输出功率：</w:t>
            </w:r>
            <w:r>
              <w:rPr>
                <w:rFonts w:hint="eastAsia" w:asciiTheme="minorEastAsia" w:hAnsiTheme="minorEastAsia" w:eastAsiaTheme="minorEastAsia" w:cstheme="minorEastAsia"/>
                <w:b/>
                <w:bCs/>
                <w:color w:val="FF0000"/>
                <w:sz w:val="21"/>
                <w:szCs w:val="21"/>
                <w:lang w:val="en-US" w:eastAsia="zh-CN"/>
              </w:rPr>
              <w:t>≥</w:t>
            </w:r>
            <w:r>
              <w:rPr>
                <w:rFonts w:hint="eastAsia" w:asciiTheme="minorEastAsia" w:hAnsiTheme="minorEastAsia" w:eastAsiaTheme="minorEastAsia" w:cstheme="minorEastAsia"/>
                <w:b/>
                <w:bCs/>
                <w:color w:val="FF0000"/>
                <w:sz w:val="21"/>
                <w:szCs w:val="21"/>
              </w:rPr>
              <w:t>70W</w:t>
            </w:r>
            <w:r>
              <w:rPr>
                <w:rFonts w:hint="eastAsia" w:asciiTheme="minorEastAsia" w:hAnsiTheme="minorEastAsia" w:eastAsiaTheme="minorEastAsia" w:cstheme="minorEastAsia"/>
                <w:b/>
                <w:bCs/>
                <w:color w:val="FF0000"/>
                <w:sz w:val="21"/>
                <w:szCs w:val="21"/>
                <w:lang w:eastAsia="zh-CN"/>
              </w:rPr>
              <w:t>；</w:t>
            </w:r>
            <w:r>
              <w:rPr>
                <w:rFonts w:hint="eastAsia" w:asciiTheme="minorEastAsia" w:hAnsiTheme="minorEastAsia" w:eastAsiaTheme="minorEastAsia" w:cstheme="minorEastAsia"/>
                <w:b/>
                <w:bCs/>
                <w:color w:val="FF0000"/>
                <w:sz w:val="21"/>
                <w:szCs w:val="21"/>
                <w:lang w:val="en-US" w:eastAsia="zh-CN"/>
              </w:rPr>
              <w:t>提供产品彩页或产品说明书关键页（相关参数在证明材料中标注）。</w:t>
            </w:r>
          </w:p>
        </w:tc>
      </w:tr>
      <w:tr w14:paraId="01E9A7A3">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17625CD9">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3390BE89">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52EA4F1B">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热凝工作频率：488KHZ</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±5KHZ</w:t>
            </w:r>
            <w:r>
              <w:rPr>
                <w:rFonts w:hint="eastAsia" w:asciiTheme="minorEastAsia" w:hAnsiTheme="minorEastAsia" w:eastAsiaTheme="minorEastAsia" w:cstheme="minorEastAsia"/>
                <w:color w:val="000000"/>
                <w:sz w:val="21"/>
                <w:szCs w:val="21"/>
                <w:lang w:eastAsia="zh-CN"/>
              </w:rPr>
              <w:t>）。</w:t>
            </w:r>
          </w:p>
        </w:tc>
      </w:tr>
      <w:tr w14:paraId="554F7251">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7BD0D01C">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14CCAF59">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0B6FA667">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4.</w:t>
            </w:r>
            <w:r>
              <w:rPr>
                <w:rFonts w:hint="eastAsia" w:asciiTheme="minorEastAsia" w:hAnsiTheme="minorEastAsia" w:eastAsiaTheme="minorEastAsia" w:cstheme="minorEastAsia"/>
                <w:color w:val="000000"/>
                <w:sz w:val="21"/>
                <w:szCs w:val="21"/>
              </w:rPr>
              <w:t>电阻抗测量: 30-2999Ω，使用时可分别同时显示每一路的阻抗值</w:t>
            </w:r>
            <w:r>
              <w:rPr>
                <w:rFonts w:hint="eastAsia" w:asciiTheme="minorEastAsia" w:hAnsiTheme="minorEastAsia" w:eastAsiaTheme="minorEastAsia" w:cstheme="minorEastAsia"/>
                <w:color w:val="000000"/>
                <w:sz w:val="21"/>
                <w:szCs w:val="21"/>
                <w:lang w:eastAsia="zh-CN"/>
              </w:rPr>
              <w:t>。</w:t>
            </w:r>
          </w:p>
        </w:tc>
      </w:tr>
      <w:tr w14:paraId="41AB98AA">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63E17067">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5AA21D99">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18564BEE">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5.</w:t>
            </w:r>
            <w:r>
              <w:rPr>
                <w:rFonts w:hint="eastAsia" w:asciiTheme="minorEastAsia" w:hAnsiTheme="minorEastAsia" w:eastAsiaTheme="minorEastAsia" w:cstheme="minorEastAsia"/>
                <w:color w:val="000000"/>
                <w:sz w:val="21"/>
                <w:szCs w:val="21"/>
              </w:rPr>
              <w:t>具有恒定电流、恒定电压刺激功能，恒定电压刺激幅度为0—10V，恒定电流刺激幅度为0—10mA</w:t>
            </w:r>
            <w:r>
              <w:rPr>
                <w:rFonts w:hint="eastAsia" w:asciiTheme="minorEastAsia" w:hAnsiTheme="minorEastAsia" w:eastAsiaTheme="minorEastAsia" w:cstheme="minorEastAsia"/>
                <w:color w:val="000000"/>
                <w:sz w:val="21"/>
                <w:szCs w:val="21"/>
                <w:lang w:eastAsia="zh-CN"/>
              </w:rPr>
              <w:t>。</w:t>
            </w:r>
          </w:p>
        </w:tc>
      </w:tr>
      <w:tr w14:paraId="65C40A9A">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6F0C9C3A">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51D2618B">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0EF4F0BC">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6.</w:t>
            </w:r>
            <w:r>
              <w:rPr>
                <w:rFonts w:hint="eastAsia" w:asciiTheme="minorEastAsia" w:hAnsiTheme="minorEastAsia" w:eastAsiaTheme="minorEastAsia" w:cstheme="minorEastAsia"/>
                <w:color w:val="000000"/>
                <w:sz w:val="21"/>
                <w:szCs w:val="21"/>
              </w:rPr>
              <w:t>电刺激定位脉冲频率范围1-200Hz,电脉冲宽度范围0.05-3.00ms</w:t>
            </w:r>
            <w:r>
              <w:rPr>
                <w:rFonts w:hint="eastAsia" w:asciiTheme="minorEastAsia" w:hAnsiTheme="minorEastAsia" w:eastAsiaTheme="minorEastAsia" w:cstheme="minorEastAsia"/>
                <w:color w:val="000000"/>
                <w:sz w:val="21"/>
                <w:szCs w:val="21"/>
                <w:lang w:eastAsia="zh-CN"/>
              </w:rPr>
              <w:t>。</w:t>
            </w:r>
          </w:p>
        </w:tc>
      </w:tr>
      <w:tr w14:paraId="3A23CCE3">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2CD79987">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662992E1">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63F49C79">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7.</w:t>
            </w:r>
            <w:r>
              <w:rPr>
                <w:rFonts w:hint="eastAsia" w:asciiTheme="minorEastAsia" w:hAnsiTheme="minorEastAsia" w:eastAsiaTheme="minorEastAsia" w:cstheme="minorEastAsia"/>
                <w:color w:val="000000"/>
                <w:sz w:val="21"/>
                <w:szCs w:val="21"/>
              </w:rPr>
              <w:t>具有双相矩形波，单相矩形波，交替矩形波，三种刺激波形</w:t>
            </w:r>
            <w:r>
              <w:rPr>
                <w:rFonts w:hint="eastAsia" w:asciiTheme="minorEastAsia" w:hAnsiTheme="minorEastAsia" w:eastAsiaTheme="minorEastAsia" w:cstheme="minorEastAsia"/>
                <w:color w:val="000000"/>
                <w:sz w:val="21"/>
                <w:szCs w:val="21"/>
                <w:lang w:eastAsia="zh-CN"/>
              </w:rPr>
              <w:t>。</w:t>
            </w:r>
          </w:p>
        </w:tc>
      </w:tr>
      <w:tr w14:paraId="56729C57">
        <w:tblPrEx>
          <w:tblCellMar>
            <w:top w:w="0" w:type="dxa"/>
            <w:left w:w="108" w:type="dxa"/>
            <w:bottom w:w="0" w:type="dxa"/>
            <w:right w:w="108" w:type="dxa"/>
          </w:tblCellMar>
        </w:tblPrEx>
        <w:trPr>
          <w:trHeight w:val="563" w:hRule="atLeast"/>
        </w:trPr>
        <w:tc>
          <w:tcPr>
            <w:tcW w:w="750" w:type="dxa"/>
            <w:vMerge w:val="continue"/>
            <w:tcBorders>
              <w:left w:val="single" w:color="auto" w:sz="4" w:space="0"/>
              <w:right w:val="single" w:color="000000" w:sz="4" w:space="0"/>
            </w:tcBorders>
          </w:tcPr>
          <w:p w14:paraId="59C82580">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6E53864D">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155419E8">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8.</w:t>
            </w:r>
            <w:r>
              <w:rPr>
                <w:rFonts w:hint="eastAsia" w:asciiTheme="minorEastAsia" w:hAnsiTheme="minorEastAsia" w:eastAsiaTheme="minorEastAsia" w:cstheme="minorEastAsia"/>
                <w:color w:val="000000"/>
                <w:sz w:val="21"/>
                <w:szCs w:val="21"/>
              </w:rPr>
              <w:t>脉冲射频模式具有温度模式，电压模式和脉宽模式，参数如下：</w:t>
            </w:r>
          </w:p>
        </w:tc>
      </w:tr>
      <w:tr w14:paraId="1FB050D6">
        <w:tblPrEx>
          <w:tblCellMar>
            <w:top w:w="0" w:type="dxa"/>
            <w:left w:w="108" w:type="dxa"/>
            <w:bottom w:w="0" w:type="dxa"/>
            <w:right w:w="108" w:type="dxa"/>
          </w:tblCellMar>
        </w:tblPrEx>
        <w:trPr>
          <w:trHeight w:val="563" w:hRule="atLeast"/>
        </w:trPr>
        <w:tc>
          <w:tcPr>
            <w:tcW w:w="750" w:type="dxa"/>
            <w:vMerge w:val="continue"/>
            <w:tcBorders>
              <w:left w:val="single" w:color="auto" w:sz="4" w:space="0"/>
              <w:right w:val="single" w:color="000000" w:sz="4" w:space="0"/>
            </w:tcBorders>
          </w:tcPr>
          <w:p w14:paraId="2514F439">
            <w:pPr>
              <w:keepNext w:val="0"/>
              <w:keepLines w:val="0"/>
              <w:pageBreakBefore w:val="0"/>
              <w:widowControl/>
              <w:kinsoku/>
              <w:wordWrap/>
              <w:overflowPunct/>
              <w:topLinePunct w:val="0"/>
              <w:autoSpaceDE/>
              <w:autoSpaceDN/>
              <w:bidi w:val="0"/>
              <w:adjustRightInd/>
              <w:snapToGrid/>
              <w:spacing w:line="360" w:lineRule="auto"/>
              <w:textAlignment w:val="bottom"/>
            </w:pPr>
          </w:p>
        </w:tc>
        <w:tc>
          <w:tcPr>
            <w:tcW w:w="1250" w:type="dxa"/>
            <w:vMerge w:val="continue"/>
            <w:tcBorders>
              <w:left w:val="single" w:color="000000" w:sz="4" w:space="0"/>
              <w:right w:val="single" w:color="auto" w:sz="4" w:space="0"/>
            </w:tcBorders>
          </w:tcPr>
          <w:p w14:paraId="7332E3F3">
            <w:pPr>
              <w:keepNext w:val="0"/>
              <w:keepLines w:val="0"/>
              <w:pageBreakBefore w:val="0"/>
              <w:widowControl/>
              <w:kinsoku/>
              <w:wordWrap/>
              <w:overflowPunct/>
              <w:topLinePunct w:val="0"/>
              <w:autoSpaceDE/>
              <w:autoSpaceDN/>
              <w:bidi w:val="0"/>
              <w:adjustRightInd/>
              <w:snapToGrid/>
              <w:spacing w:line="360" w:lineRule="auto"/>
              <w:textAlignment w:val="bottom"/>
            </w:pPr>
          </w:p>
        </w:tc>
        <w:tc>
          <w:tcPr>
            <w:tcW w:w="7660" w:type="dxa"/>
            <w:tcBorders>
              <w:top w:val="single" w:color="000000" w:sz="4" w:space="0"/>
              <w:left w:val="single" w:color="auto" w:sz="4" w:space="0"/>
              <w:bottom w:val="single" w:color="000000" w:sz="4" w:space="0"/>
              <w:right w:val="single" w:color="000000" w:sz="4" w:space="0"/>
            </w:tcBorders>
            <w:vAlign w:val="center"/>
          </w:tcPr>
          <w:p w14:paraId="5583D66D">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8.</w:t>
            </w:r>
            <w:r>
              <w:rPr>
                <w:rFonts w:hint="eastAsia" w:asciiTheme="minorEastAsia" w:hAnsiTheme="minorEastAsia" w:eastAsiaTheme="minorEastAsia" w:cstheme="minorEastAsia"/>
                <w:color w:val="000000"/>
                <w:sz w:val="21"/>
                <w:szCs w:val="21"/>
              </w:rPr>
              <w:t>1脉冲射频设定温度：30-95℃，支持高温脉冲射频；</w:t>
            </w:r>
          </w:p>
        </w:tc>
      </w:tr>
      <w:tr w14:paraId="651DE01B">
        <w:tblPrEx>
          <w:tblCellMar>
            <w:top w:w="0" w:type="dxa"/>
            <w:left w:w="108" w:type="dxa"/>
            <w:bottom w:w="0" w:type="dxa"/>
            <w:right w:w="108" w:type="dxa"/>
          </w:tblCellMar>
        </w:tblPrEx>
        <w:trPr>
          <w:trHeight w:val="563" w:hRule="atLeast"/>
        </w:trPr>
        <w:tc>
          <w:tcPr>
            <w:tcW w:w="750" w:type="dxa"/>
            <w:vMerge w:val="continue"/>
            <w:tcBorders>
              <w:left w:val="single" w:color="auto" w:sz="4" w:space="0"/>
              <w:right w:val="single" w:color="000000" w:sz="4" w:space="0"/>
            </w:tcBorders>
          </w:tcPr>
          <w:p w14:paraId="6987FAE6">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1250" w:type="dxa"/>
            <w:vMerge w:val="continue"/>
            <w:tcBorders>
              <w:left w:val="single" w:color="000000" w:sz="4" w:space="0"/>
              <w:right w:val="single" w:color="auto" w:sz="4" w:space="0"/>
            </w:tcBorders>
          </w:tcPr>
          <w:p w14:paraId="26B04C0D">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21B81BF8">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b/>
                <w:bCs/>
                <w:color w:val="FF0000"/>
                <w:sz w:val="21"/>
                <w:szCs w:val="21"/>
              </w:rPr>
              <w:t>▲</w:t>
            </w:r>
            <w:r>
              <w:rPr>
                <w:rFonts w:hint="eastAsia" w:asciiTheme="minorEastAsia" w:hAnsiTheme="minorEastAsia" w:eastAsiaTheme="minorEastAsia" w:cstheme="minorEastAsia"/>
                <w:b/>
                <w:bCs/>
                <w:color w:val="FF0000"/>
                <w:sz w:val="21"/>
                <w:szCs w:val="21"/>
                <w:lang w:val="en-US" w:eastAsia="zh-CN"/>
              </w:rPr>
              <w:t>8.</w:t>
            </w:r>
            <w:r>
              <w:rPr>
                <w:rFonts w:hint="eastAsia" w:asciiTheme="minorEastAsia" w:hAnsiTheme="minorEastAsia" w:eastAsiaTheme="minorEastAsia" w:cstheme="minorEastAsia"/>
                <w:b/>
                <w:bCs/>
                <w:color w:val="FF0000"/>
                <w:sz w:val="21"/>
                <w:szCs w:val="21"/>
              </w:rPr>
              <w:t>2脉冲射频电压：有效值为20Vrms(28Vp)-99Vrms(140Vp)，支持高压脉冲射频；</w:t>
            </w:r>
            <w:r>
              <w:rPr>
                <w:rFonts w:hint="eastAsia" w:asciiTheme="minorEastAsia" w:hAnsiTheme="minorEastAsia" w:eastAsiaTheme="minorEastAsia" w:cstheme="minorEastAsia"/>
                <w:b/>
                <w:bCs/>
                <w:color w:val="FF0000"/>
                <w:sz w:val="21"/>
                <w:szCs w:val="21"/>
                <w:lang w:val="en-US" w:eastAsia="zh-CN"/>
              </w:rPr>
              <w:t>提供产品彩页或产品说明书关键页（相关参数在证明材料中标注）。</w:t>
            </w:r>
          </w:p>
        </w:tc>
      </w:tr>
      <w:tr w14:paraId="5497076D">
        <w:tblPrEx>
          <w:tblCellMar>
            <w:top w:w="0" w:type="dxa"/>
            <w:left w:w="108" w:type="dxa"/>
            <w:bottom w:w="0" w:type="dxa"/>
            <w:right w:w="108" w:type="dxa"/>
          </w:tblCellMar>
        </w:tblPrEx>
        <w:trPr>
          <w:trHeight w:val="563" w:hRule="atLeast"/>
        </w:trPr>
        <w:tc>
          <w:tcPr>
            <w:tcW w:w="750" w:type="dxa"/>
            <w:vMerge w:val="continue"/>
            <w:tcBorders>
              <w:left w:val="single" w:color="auto" w:sz="4" w:space="0"/>
              <w:right w:val="single" w:color="000000" w:sz="4" w:space="0"/>
            </w:tcBorders>
          </w:tcPr>
          <w:p w14:paraId="44BB1C86">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1250" w:type="dxa"/>
            <w:vMerge w:val="continue"/>
            <w:tcBorders>
              <w:left w:val="single" w:color="000000" w:sz="4" w:space="0"/>
              <w:right w:val="single" w:color="auto" w:sz="4" w:space="0"/>
            </w:tcBorders>
          </w:tcPr>
          <w:p w14:paraId="3025A899">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4B4E0F35">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8.3</w:t>
            </w:r>
            <w:r>
              <w:rPr>
                <w:rFonts w:hint="eastAsia" w:asciiTheme="minorEastAsia" w:hAnsiTheme="minorEastAsia" w:eastAsiaTheme="minorEastAsia" w:cstheme="minorEastAsia"/>
                <w:color w:val="000000"/>
                <w:sz w:val="21"/>
                <w:szCs w:val="21"/>
              </w:rPr>
              <w:t>脉宽脉冲射频模式：3-40ms；</w:t>
            </w:r>
          </w:p>
        </w:tc>
      </w:tr>
      <w:tr w14:paraId="2145E89B">
        <w:tblPrEx>
          <w:tblCellMar>
            <w:top w:w="0" w:type="dxa"/>
            <w:left w:w="108" w:type="dxa"/>
            <w:bottom w:w="0" w:type="dxa"/>
            <w:right w:w="108" w:type="dxa"/>
          </w:tblCellMar>
        </w:tblPrEx>
        <w:trPr>
          <w:trHeight w:val="563" w:hRule="atLeast"/>
        </w:trPr>
        <w:tc>
          <w:tcPr>
            <w:tcW w:w="750" w:type="dxa"/>
            <w:vMerge w:val="continue"/>
            <w:tcBorders>
              <w:left w:val="single" w:color="auto" w:sz="4" w:space="0"/>
              <w:right w:val="single" w:color="000000" w:sz="4" w:space="0"/>
            </w:tcBorders>
          </w:tcPr>
          <w:p w14:paraId="75A368E9">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1250" w:type="dxa"/>
            <w:vMerge w:val="continue"/>
            <w:tcBorders>
              <w:left w:val="single" w:color="000000" w:sz="4" w:space="0"/>
              <w:right w:val="single" w:color="auto" w:sz="4" w:space="0"/>
            </w:tcBorders>
          </w:tcPr>
          <w:p w14:paraId="245A947A">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14C64882">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8.4</w:t>
            </w:r>
            <w:r>
              <w:rPr>
                <w:rFonts w:hint="eastAsia" w:asciiTheme="minorEastAsia" w:hAnsiTheme="minorEastAsia" w:eastAsiaTheme="minorEastAsia" w:cstheme="minorEastAsia"/>
                <w:color w:val="000000"/>
                <w:sz w:val="21"/>
                <w:szCs w:val="21"/>
              </w:rPr>
              <w:t>脉冲射频时间设定：0-30min</w:t>
            </w:r>
            <w:r>
              <w:rPr>
                <w:rFonts w:hint="eastAsia" w:asciiTheme="minorEastAsia" w:hAnsiTheme="minorEastAsia" w:eastAsiaTheme="minorEastAsia" w:cstheme="minorEastAsia"/>
                <w:color w:val="000000"/>
                <w:sz w:val="21"/>
                <w:szCs w:val="21"/>
                <w:lang w:eastAsia="zh-CN"/>
              </w:rPr>
              <w:t>。</w:t>
            </w:r>
          </w:p>
        </w:tc>
      </w:tr>
      <w:tr w14:paraId="566A43D5">
        <w:tblPrEx>
          <w:tblCellMar>
            <w:top w:w="0" w:type="dxa"/>
            <w:left w:w="108" w:type="dxa"/>
            <w:bottom w:w="0" w:type="dxa"/>
            <w:right w:w="108" w:type="dxa"/>
          </w:tblCellMar>
        </w:tblPrEx>
        <w:trPr>
          <w:trHeight w:val="587" w:hRule="atLeast"/>
        </w:trPr>
        <w:tc>
          <w:tcPr>
            <w:tcW w:w="750" w:type="dxa"/>
            <w:vMerge w:val="continue"/>
            <w:tcBorders>
              <w:left w:val="single" w:color="auto" w:sz="4" w:space="0"/>
              <w:right w:val="single" w:color="000000" w:sz="4" w:space="0"/>
            </w:tcBorders>
          </w:tcPr>
          <w:p w14:paraId="05E4A541">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2FA45474">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4E48B590">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9.</w:t>
            </w:r>
            <w:r>
              <w:rPr>
                <w:rFonts w:hint="eastAsia" w:asciiTheme="minorEastAsia" w:hAnsiTheme="minorEastAsia" w:eastAsiaTheme="minorEastAsia" w:cstheme="minorEastAsia"/>
                <w:color w:val="000000"/>
                <w:sz w:val="21"/>
                <w:szCs w:val="21"/>
              </w:rPr>
              <w:t>连续射频具有标准模式和阶跃模式，参数如下：</w:t>
            </w:r>
          </w:p>
        </w:tc>
      </w:tr>
      <w:tr w14:paraId="1BD85632">
        <w:tblPrEx>
          <w:tblCellMar>
            <w:top w:w="0" w:type="dxa"/>
            <w:left w:w="108" w:type="dxa"/>
            <w:bottom w:w="0" w:type="dxa"/>
            <w:right w:w="108" w:type="dxa"/>
          </w:tblCellMar>
        </w:tblPrEx>
        <w:trPr>
          <w:trHeight w:val="587" w:hRule="atLeast"/>
        </w:trPr>
        <w:tc>
          <w:tcPr>
            <w:tcW w:w="750" w:type="dxa"/>
            <w:vMerge w:val="continue"/>
            <w:tcBorders>
              <w:left w:val="single" w:color="auto" w:sz="4" w:space="0"/>
              <w:right w:val="single" w:color="000000" w:sz="4" w:space="0"/>
            </w:tcBorders>
          </w:tcPr>
          <w:p w14:paraId="1D2E88F2">
            <w:pPr>
              <w:keepNext w:val="0"/>
              <w:keepLines w:val="0"/>
              <w:pageBreakBefore w:val="0"/>
              <w:widowControl/>
              <w:kinsoku/>
              <w:wordWrap/>
              <w:overflowPunct/>
              <w:topLinePunct w:val="0"/>
              <w:autoSpaceDE/>
              <w:autoSpaceDN/>
              <w:bidi w:val="0"/>
              <w:adjustRightInd/>
              <w:snapToGrid/>
              <w:spacing w:line="360" w:lineRule="auto"/>
              <w:textAlignment w:val="bottom"/>
            </w:pPr>
          </w:p>
        </w:tc>
        <w:tc>
          <w:tcPr>
            <w:tcW w:w="1250" w:type="dxa"/>
            <w:vMerge w:val="continue"/>
            <w:tcBorders>
              <w:left w:val="single" w:color="000000" w:sz="4" w:space="0"/>
              <w:right w:val="single" w:color="auto" w:sz="4" w:space="0"/>
            </w:tcBorders>
          </w:tcPr>
          <w:p w14:paraId="6322939B">
            <w:pPr>
              <w:keepNext w:val="0"/>
              <w:keepLines w:val="0"/>
              <w:pageBreakBefore w:val="0"/>
              <w:widowControl/>
              <w:kinsoku/>
              <w:wordWrap/>
              <w:overflowPunct/>
              <w:topLinePunct w:val="0"/>
              <w:autoSpaceDE/>
              <w:autoSpaceDN/>
              <w:bidi w:val="0"/>
              <w:adjustRightInd/>
              <w:snapToGrid/>
              <w:spacing w:line="360" w:lineRule="auto"/>
              <w:textAlignment w:val="bottom"/>
            </w:pPr>
          </w:p>
        </w:tc>
        <w:tc>
          <w:tcPr>
            <w:tcW w:w="7660" w:type="dxa"/>
            <w:tcBorders>
              <w:top w:val="single" w:color="000000" w:sz="4" w:space="0"/>
              <w:left w:val="single" w:color="auto" w:sz="4" w:space="0"/>
              <w:bottom w:val="single" w:color="000000" w:sz="4" w:space="0"/>
              <w:right w:val="single" w:color="000000" w:sz="4" w:space="0"/>
            </w:tcBorders>
            <w:vAlign w:val="center"/>
          </w:tcPr>
          <w:p w14:paraId="773476F4">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9.1</w:t>
            </w:r>
            <w:r>
              <w:rPr>
                <w:rFonts w:hint="eastAsia" w:asciiTheme="minorEastAsia" w:hAnsiTheme="minorEastAsia" w:eastAsiaTheme="minorEastAsia" w:cstheme="minorEastAsia"/>
                <w:color w:val="000000"/>
                <w:sz w:val="21"/>
                <w:szCs w:val="21"/>
              </w:rPr>
              <w:t>温度设定范围：30℃-95℃；</w:t>
            </w:r>
          </w:p>
        </w:tc>
      </w:tr>
      <w:tr w14:paraId="60E2DA3A">
        <w:tblPrEx>
          <w:tblCellMar>
            <w:top w:w="0" w:type="dxa"/>
            <w:left w:w="108" w:type="dxa"/>
            <w:bottom w:w="0" w:type="dxa"/>
            <w:right w:w="108" w:type="dxa"/>
          </w:tblCellMar>
        </w:tblPrEx>
        <w:trPr>
          <w:trHeight w:val="587" w:hRule="atLeast"/>
        </w:trPr>
        <w:tc>
          <w:tcPr>
            <w:tcW w:w="750" w:type="dxa"/>
            <w:vMerge w:val="continue"/>
            <w:tcBorders>
              <w:left w:val="single" w:color="auto" w:sz="4" w:space="0"/>
              <w:right w:val="single" w:color="000000" w:sz="4" w:space="0"/>
            </w:tcBorders>
          </w:tcPr>
          <w:p w14:paraId="61F20E1F">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1250" w:type="dxa"/>
            <w:vMerge w:val="continue"/>
            <w:tcBorders>
              <w:left w:val="single" w:color="000000" w:sz="4" w:space="0"/>
              <w:right w:val="single" w:color="auto" w:sz="4" w:space="0"/>
            </w:tcBorders>
          </w:tcPr>
          <w:p w14:paraId="2115AFC8">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24EA65B2">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9.2</w:t>
            </w:r>
            <w:r>
              <w:rPr>
                <w:rFonts w:hint="eastAsia" w:asciiTheme="minorEastAsia" w:hAnsiTheme="minorEastAsia" w:eastAsiaTheme="minorEastAsia" w:cstheme="minorEastAsia"/>
                <w:color w:val="000000"/>
                <w:sz w:val="21"/>
                <w:szCs w:val="21"/>
              </w:rPr>
              <w:t>连续射频时间设定：0-10min;</w:t>
            </w:r>
          </w:p>
        </w:tc>
      </w:tr>
      <w:tr w14:paraId="78CE77AA">
        <w:tblPrEx>
          <w:tblCellMar>
            <w:top w:w="0" w:type="dxa"/>
            <w:left w:w="108" w:type="dxa"/>
            <w:bottom w:w="0" w:type="dxa"/>
            <w:right w:w="108" w:type="dxa"/>
          </w:tblCellMar>
        </w:tblPrEx>
        <w:trPr>
          <w:trHeight w:val="587" w:hRule="atLeast"/>
        </w:trPr>
        <w:tc>
          <w:tcPr>
            <w:tcW w:w="750" w:type="dxa"/>
            <w:vMerge w:val="continue"/>
            <w:tcBorders>
              <w:left w:val="single" w:color="auto" w:sz="4" w:space="0"/>
              <w:right w:val="single" w:color="000000" w:sz="4" w:space="0"/>
            </w:tcBorders>
          </w:tcPr>
          <w:p w14:paraId="41DC884E">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1250" w:type="dxa"/>
            <w:vMerge w:val="continue"/>
            <w:tcBorders>
              <w:left w:val="single" w:color="000000" w:sz="4" w:space="0"/>
              <w:right w:val="single" w:color="auto" w:sz="4" w:space="0"/>
            </w:tcBorders>
          </w:tcPr>
          <w:p w14:paraId="55ECE32F">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0775750F">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9.3</w:t>
            </w:r>
            <w:r>
              <w:rPr>
                <w:rFonts w:hint="eastAsia" w:asciiTheme="minorEastAsia" w:hAnsiTheme="minorEastAsia" w:eastAsiaTheme="minorEastAsia" w:cstheme="minorEastAsia"/>
                <w:color w:val="000000"/>
                <w:sz w:val="21"/>
                <w:szCs w:val="21"/>
              </w:rPr>
              <w:t>使用阶跃模式时，可以预先设定各个温度所需要的时间，启动后自动按照设定参数执行，完成全部温度和时间后自动停止</w:t>
            </w:r>
            <w:r>
              <w:rPr>
                <w:rFonts w:hint="eastAsia" w:asciiTheme="minorEastAsia" w:hAnsiTheme="minorEastAsia" w:eastAsiaTheme="minorEastAsia" w:cstheme="minorEastAsia"/>
                <w:color w:val="000000"/>
                <w:sz w:val="21"/>
                <w:szCs w:val="21"/>
                <w:lang w:eastAsia="zh-CN"/>
              </w:rPr>
              <w:t>。</w:t>
            </w:r>
          </w:p>
        </w:tc>
      </w:tr>
      <w:tr w14:paraId="2BC5B062">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45B91925">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69068751">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3A821753">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10.</w:t>
            </w:r>
            <w:r>
              <w:rPr>
                <w:rFonts w:hint="eastAsia" w:asciiTheme="minorEastAsia" w:hAnsiTheme="minorEastAsia" w:eastAsiaTheme="minorEastAsia" w:cstheme="minorEastAsia"/>
                <w:color w:val="000000"/>
                <w:sz w:val="21"/>
                <w:szCs w:val="21"/>
              </w:rPr>
              <w:t>负极片粘贴状态显示：能显示负极片粘贴是否良好；在治疗过程中实时监测负极片与人体的接触质量，防止由于负极片接触不好引起患者灼伤</w:t>
            </w:r>
            <w:r>
              <w:rPr>
                <w:rFonts w:hint="eastAsia" w:asciiTheme="minorEastAsia" w:hAnsiTheme="minorEastAsia" w:eastAsiaTheme="minorEastAsia" w:cstheme="minorEastAsia"/>
                <w:color w:val="000000"/>
                <w:sz w:val="21"/>
                <w:szCs w:val="21"/>
                <w:lang w:eastAsia="zh-CN"/>
              </w:rPr>
              <w:t>。</w:t>
            </w:r>
          </w:p>
        </w:tc>
      </w:tr>
      <w:tr w14:paraId="40521427">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5A0C6249">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28237DB0">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74998361">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11.</w:t>
            </w:r>
            <w:r>
              <w:rPr>
                <w:rFonts w:hint="eastAsia" w:asciiTheme="minorEastAsia" w:hAnsiTheme="minorEastAsia" w:eastAsiaTheme="minorEastAsia" w:cstheme="minorEastAsia"/>
                <w:color w:val="000000"/>
                <w:sz w:val="21"/>
                <w:szCs w:val="21"/>
              </w:rPr>
              <w:t>自动记录治疗参数，支持病案录入，支持治疗报告打印，支持图像导入和查看</w:t>
            </w:r>
            <w:r>
              <w:rPr>
                <w:rFonts w:hint="eastAsia" w:asciiTheme="minorEastAsia" w:hAnsiTheme="minorEastAsia" w:eastAsiaTheme="minorEastAsia" w:cstheme="minorEastAsia"/>
                <w:color w:val="000000"/>
                <w:sz w:val="21"/>
                <w:szCs w:val="21"/>
                <w:lang w:eastAsia="zh-CN"/>
              </w:rPr>
              <w:t>。</w:t>
            </w:r>
          </w:p>
        </w:tc>
      </w:tr>
      <w:tr w14:paraId="4073CFE6">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0A77EEC5">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360FA7ED">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11A9F6F5">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12.</w:t>
            </w:r>
            <w:r>
              <w:rPr>
                <w:rFonts w:hint="eastAsia" w:asciiTheme="minorEastAsia" w:hAnsiTheme="minorEastAsia" w:eastAsiaTheme="minorEastAsia" w:cstheme="minorEastAsia"/>
                <w:color w:val="000000"/>
                <w:sz w:val="21"/>
                <w:szCs w:val="21"/>
              </w:rPr>
              <w:t>全触摸屏模式：</w:t>
            </w:r>
            <w:r>
              <w:rPr>
                <w:rFonts w:hint="eastAsia"/>
                <w:lang w:val="en-US" w:eastAsia="zh-CN"/>
              </w:rPr>
              <w:t>≥</w:t>
            </w:r>
            <w:r>
              <w:rPr>
                <w:rFonts w:hint="eastAsia" w:asciiTheme="minorEastAsia" w:hAnsiTheme="minorEastAsia" w:eastAsiaTheme="minorEastAsia" w:cstheme="minorEastAsia"/>
                <w:color w:val="000000"/>
                <w:sz w:val="21"/>
                <w:szCs w:val="21"/>
              </w:rPr>
              <w:t>12英寸全触摸屏操控</w:t>
            </w:r>
            <w:r>
              <w:rPr>
                <w:rFonts w:hint="eastAsia" w:asciiTheme="minorEastAsia" w:hAnsiTheme="minorEastAsia" w:eastAsiaTheme="minorEastAsia" w:cstheme="minorEastAsia"/>
                <w:color w:val="000000"/>
                <w:sz w:val="21"/>
                <w:szCs w:val="21"/>
                <w:lang w:eastAsia="zh-CN"/>
              </w:rPr>
              <w:t>。</w:t>
            </w:r>
          </w:p>
        </w:tc>
      </w:tr>
      <w:tr w14:paraId="3997C1A6">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35FB7B8E">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0BBFB7A1">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54F44213">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13.</w:t>
            </w:r>
            <w:r>
              <w:rPr>
                <w:rFonts w:hint="eastAsia" w:asciiTheme="minorEastAsia" w:hAnsiTheme="minorEastAsia" w:eastAsiaTheme="minorEastAsia" w:cstheme="minorEastAsia"/>
                <w:color w:val="000000"/>
                <w:sz w:val="21"/>
                <w:szCs w:val="21"/>
              </w:rPr>
              <w:t>常用参数储存功能：可存储</w:t>
            </w:r>
            <w:r>
              <w:rPr>
                <w:rFonts w:hint="eastAsia"/>
                <w:lang w:val="en-US" w:eastAsia="zh-CN"/>
              </w:rPr>
              <w:t>≥</w:t>
            </w:r>
            <w:r>
              <w:rPr>
                <w:rFonts w:hint="eastAsia" w:asciiTheme="minorEastAsia" w:hAnsiTheme="minorEastAsia" w:eastAsiaTheme="minorEastAsia" w:cstheme="minorEastAsia"/>
                <w:color w:val="000000"/>
                <w:sz w:val="21"/>
                <w:szCs w:val="21"/>
              </w:rPr>
              <w:t>5组常用电刺激和射频参数</w:t>
            </w:r>
            <w:r>
              <w:rPr>
                <w:rFonts w:hint="eastAsia" w:asciiTheme="minorEastAsia" w:hAnsiTheme="minorEastAsia" w:eastAsiaTheme="minorEastAsia" w:cstheme="minorEastAsia"/>
                <w:color w:val="000000"/>
                <w:sz w:val="21"/>
                <w:szCs w:val="21"/>
                <w:lang w:eastAsia="zh-CN"/>
              </w:rPr>
              <w:t>。</w:t>
            </w:r>
          </w:p>
        </w:tc>
      </w:tr>
      <w:tr w14:paraId="5796346E">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186FBC9D">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11A39F64">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4D267653">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14.</w:t>
            </w:r>
            <w:r>
              <w:rPr>
                <w:rFonts w:hint="eastAsia" w:asciiTheme="minorEastAsia" w:hAnsiTheme="minorEastAsia" w:eastAsiaTheme="minorEastAsia" w:cstheme="minorEastAsia"/>
                <w:color w:val="000000"/>
                <w:sz w:val="21"/>
                <w:szCs w:val="21"/>
              </w:rPr>
              <w:t>有完整的主机开机自测功能，开机后可对电极进行测试，防止电极损坏</w:t>
            </w:r>
            <w:r>
              <w:rPr>
                <w:rFonts w:hint="eastAsia" w:asciiTheme="minorEastAsia" w:hAnsiTheme="minorEastAsia" w:eastAsiaTheme="minorEastAsia" w:cstheme="minorEastAsia"/>
                <w:color w:val="000000"/>
                <w:sz w:val="21"/>
                <w:szCs w:val="21"/>
                <w:lang w:eastAsia="zh-CN"/>
              </w:rPr>
              <w:t>。</w:t>
            </w:r>
          </w:p>
        </w:tc>
      </w:tr>
      <w:tr w14:paraId="270DCE52">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3866377A">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446B2327">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5D307538">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15.</w:t>
            </w:r>
            <w:r>
              <w:rPr>
                <w:rFonts w:hint="eastAsia" w:asciiTheme="minorEastAsia" w:hAnsiTheme="minorEastAsia" w:eastAsiaTheme="minorEastAsia" w:cstheme="minorEastAsia"/>
                <w:color w:val="000000"/>
                <w:sz w:val="21"/>
                <w:szCs w:val="21"/>
              </w:rPr>
              <w:t>射频输出时全面监控工作状态，遇到异常时停止射频输出并弹出功率输出异常报警、超温报警、断开报警等，保证手术安全性</w:t>
            </w:r>
            <w:r>
              <w:rPr>
                <w:rFonts w:hint="eastAsia" w:asciiTheme="minorEastAsia" w:hAnsiTheme="minorEastAsia" w:eastAsiaTheme="minorEastAsia" w:cstheme="minorEastAsia"/>
                <w:color w:val="000000"/>
                <w:sz w:val="21"/>
                <w:szCs w:val="21"/>
                <w:lang w:eastAsia="zh-CN"/>
              </w:rPr>
              <w:t>。</w:t>
            </w:r>
          </w:p>
        </w:tc>
      </w:tr>
      <w:tr w14:paraId="2AC33D9C">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57B0E59F">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3865E9B1">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38C2F87A">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16.</w:t>
            </w:r>
            <w:r>
              <w:rPr>
                <w:rFonts w:hint="eastAsia" w:asciiTheme="minorEastAsia" w:hAnsiTheme="minorEastAsia" w:eastAsiaTheme="minorEastAsia" w:cstheme="minorEastAsia"/>
                <w:color w:val="000000"/>
                <w:sz w:val="21"/>
                <w:szCs w:val="21"/>
              </w:rPr>
              <w:t>手术电极能接受高温高压消毒灭菌方式</w:t>
            </w:r>
            <w:r>
              <w:rPr>
                <w:rFonts w:hint="eastAsia" w:asciiTheme="minorEastAsia" w:hAnsiTheme="minorEastAsia" w:eastAsiaTheme="minorEastAsia" w:cstheme="minorEastAsia"/>
                <w:color w:val="000000"/>
                <w:sz w:val="21"/>
                <w:szCs w:val="21"/>
                <w:lang w:eastAsia="zh-CN"/>
              </w:rPr>
              <w:t>。</w:t>
            </w:r>
          </w:p>
        </w:tc>
      </w:tr>
      <w:tr w14:paraId="78A3FC24">
        <w:tblPrEx>
          <w:tblCellMar>
            <w:top w:w="0" w:type="dxa"/>
            <w:left w:w="108" w:type="dxa"/>
            <w:bottom w:w="0" w:type="dxa"/>
            <w:right w:w="108" w:type="dxa"/>
          </w:tblCellMar>
        </w:tblPrEx>
        <w:trPr>
          <w:trHeight w:val="353" w:hRule="atLeast"/>
        </w:trPr>
        <w:tc>
          <w:tcPr>
            <w:tcW w:w="750" w:type="dxa"/>
            <w:vMerge w:val="continue"/>
            <w:tcBorders>
              <w:left w:val="single" w:color="auto" w:sz="4" w:space="0"/>
              <w:right w:val="single" w:color="000000" w:sz="4" w:space="0"/>
            </w:tcBorders>
          </w:tcPr>
          <w:p w14:paraId="1F1F429F">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right w:val="single" w:color="auto" w:sz="4" w:space="0"/>
            </w:tcBorders>
          </w:tcPr>
          <w:p w14:paraId="0D4B830A">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vAlign w:val="center"/>
          </w:tcPr>
          <w:p w14:paraId="24EECFBB">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val="en-US" w:eastAsia="zh-CN"/>
              </w:rPr>
              <w:t>17.</w:t>
            </w:r>
            <w:r>
              <w:rPr>
                <w:rFonts w:hint="eastAsia" w:asciiTheme="minorEastAsia" w:hAnsiTheme="minorEastAsia" w:eastAsiaTheme="minorEastAsia" w:cstheme="minorEastAsia"/>
                <w:color w:val="000000"/>
                <w:sz w:val="21"/>
                <w:szCs w:val="21"/>
              </w:rPr>
              <w:t>一次性使用套管针完全匹配手术电极</w:t>
            </w:r>
            <w:r>
              <w:rPr>
                <w:rFonts w:hint="eastAsia" w:asciiTheme="minorEastAsia" w:hAnsiTheme="minorEastAsia" w:eastAsiaTheme="minorEastAsia" w:cstheme="minorEastAsia"/>
                <w:color w:val="000000"/>
                <w:sz w:val="21"/>
                <w:szCs w:val="21"/>
                <w:lang w:eastAsia="zh-CN"/>
              </w:rPr>
              <w:t>。</w:t>
            </w:r>
          </w:p>
        </w:tc>
      </w:tr>
      <w:tr w14:paraId="646A41E3">
        <w:tblPrEx>
          <w:tblCellMar>
            <w:top w:w="0" w:type="dxa"/>
            <w:left w:w="108" w:type="dxa"/>
            <w:bottom w:w="0" w:type="dxa"/>
            <w:right w:w="108" w:type="dxa"/>
          </w:tblCellMar>
        </w:tblPrEx>
        <w:trPr>
          <w:trHeight w:val="1140" w:hRule="atLeast"/>
        </w:trPr>
        <w:tc>
          <w:tcPr>
            <w:tcW w:w="750" w:type="dxa"/>
            <w:vMerge w:val="continue"/>
            <w:tcBorders>
              <w:left w:val="single" w:color="auto" w:sz="4" w:space="0"/>
              <w:bottom w:val="single" w:color="auto" w:sz="4" w:space="0"/>
              <w:right w:val="single" w:color="000000" w:sz="4" w:space="0"/>
            </w:tcBorders>
          </w:tcPr>
          <w:p w14:paraId="0DECC29E">
            <w:pPr>
              <w:keepNext w:val="0"/>
              <w:keepLines w:val="0"/>
              <w:pageBreakBefore w:val="0"/>
              <w:kinsoku/>
              <w:wordWrap/>
              <w:overflowPunct/>
              <w:topLinePunct w:val="0"/>
              <w:autoSpaceDE/>
              <w:autoSpaceDN/>
              <w:bidi w:val="0"/>
              <w:adjustRightInd/>
              <w:snapToGrid/>
              <w:spacing w:line="360" w:lineRule="auto"/>
              <w:jc w:val="center"/>
              <w:rPr>
                <w:rFonts w:hint="eastAsia" w:asciiTheme="minorEastAsia" w:hAnsiTheme="minorEastAsia" w:eastAsiaTheme="minorEastAsia" w:cstheme="minorEastAsia"/>
                <w:color w:val="000000"/>
                <w:sz w:val="21"/>
                <w:szCs w:val="21"/>
              </w:rPr>
            </w:pPr>
          </w:p>
        </w:tc>
        <w:tc>
          <w:tcPr>
            <w:tcW w:w="1250" w:type="dxa"/>
            <w:vMerge w:val="continue"/>
            <w:tcBorders>
              <w:left w:val="single" w:color="000000" w:sz="4" w:space="0"/>
              <w:bottom w:val="single" w:color="auto" w:sz="4" w:space="0"/>
              <w:right w:val="single" w:color="auto" w:sz="4" w:space="0"/>
            </w:tcBorders>
          </w:tcPr>
          <w:p w14:paraId="4EF2DB8C">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color w:val="000000"/>
                <w:sz w:val="21"/>
                <w:szCs w:val="21"/>
              </w:rPr>
            </w:pPr>
          </w:p>
        </w:tc>
        <w:tc>
          <w:tcPr>
            <w:tcW w:w="7660" w:type="dxa"/>
            <w:tcBorders>
              <w:top w:val="single" w:color="000000" w:sz="4" w:space="0"/>
              <w:left w:val="single" w:color="auto" w:sz="4" w:space="0"/>
              <w:bottom w:val="single" w:color="000000" w:sz="4" w:space="0"/>
              <w:right w:val="single" w:color="000000" w:sz="4" w:space="0"/>
            </w:tcBorders>
          </w:tcPr>
          <w:p w14:paraId="50C4E9BD">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lang w:val="en-US" w:eastAsia="zh-CN"/>
              </w:rPr>
            </w:pPr>
            <w:r>
              <w:rPr>
                <w:rFonts w:hint="eastAsia" w:ascii="宋体" w:hAnsi="宋体" w:eastAsia="宋体" w:cs="Times New Roman"/>
                <w:b/>
                <w:bCs/>
                <w:color w:val="FF0000"/>
                <w:kern w:val="2"/>
                <w:sz w:val="21"/>
                <w:szCs w:val="21"/>
                <w:highlight w:val="yellow"/>
              </w:rPr>
              <w:t>★</w:t>
            </w:r>
            <w:r>
              <w:rPr>
                <w:rFonts w:hint="eastAsia" w:asciiTheme="minorEastAsia" w:hAnsiTheme="minorEastAsia" w:eastAsiaTheme="minorEastAsia" w:cstheme="minorEastAsia"/>
                <w:b/>
                <w:bCs/>
                <w:color w:val="FF0000"/>
                <w:sz w:val="21"/>
                <w:szCs w:val="21"/>
                <w:highlight w:val="yellow"/>
                <w:lang w:val="en-US" w:eastAsia="zh-CN"/>
              </w:rPr>
              <w:t>19.配置要求：</w:t>
            </w:r>
          </w:p>
          <w:p w14:paraId="0BEF9792">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（1）</w:t>
            </w:r>
            <w:r>
              <w:rPr>
                <w:rFonts w:hint="eastAsia" w:asciiTheme="minorEastAsia" w:hAnsiTheme="minorEastAsia" w:eastAsiaTheme="minorEastAsia" w:cstheme="minorEastAsia"/>
                <w:b/>
                <w:bCs/>
                <w:color w:val="FF0000"/>
                <w:sz w:val="21"/>
                <w:szCs w:val="21"/>
                <w:highlight w:val="yellow"/>
              </w:rPr>
              <w:t>射频消融治疗仪1台</w:t>
            </w:r>
          </w:p>
          <w:p w14:paraId="7C9DDD39">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（2）</w:t>
            </w:r>
            <w:r>
              <w:rPr>
                <w:rFonts w:hint="eastAsia" w:asciiTheme="minorEastAsia" w:hAnsiTheme="minorEastAsia" w:eastAsiaTheme="minorEastAsia" w:cstheme="minorEastAsia"/>
                <w:b/>
                <w:bCs/>
                <w:color w:val="FF0000"/>
                <w:sz w:val="21"/>
                <w:szCs w:val="21"/>
                <w:highlight w:val="yellow"/>
              </w:rPr>
              <w:t>电极针</w:t>
            </w:r>
            <w:r>
              <w:rPr>
                <w:rFonts w:hint="eastAsia" w:asciiTheme="minorEastAsia" w:hAnsiTheme="minorEastAsia" w:eastAsiaTheme="minorEastAsia" w:cstheme="minorEastAsia"/>
                <w:b/>
                <w:bCs/>
                <w:color w:val="FF0000"/>
                <w:sz w:val="21"/>
                <w:szCs w:val="21"/>
                <w:highlight w:val="yellow"/>
                <w:lang w:val="en-US" w:eastAsia="zh-CN"/>
              </w:rPr>
              <w:t>8</w:t>
            </w:r>
            <w:r>
              <w:rPr>
                <w:rFonts w:hint="eastAsia" w:asciiTheme="minorEastAsia" w:hAnsiTheme="minorEastAsia" w:eastAsiaTheme="minorEastAsia" w:cstheme="minorEastAsia"/>
                <w:b/>
                <w:bCs/>
                <w:color w:val="FF0000"/>
                <w:sz w:val="21"/>
                <w:szCs w:val="21"/>
                <w:highlight w:val="yellow"/>
              </w:rPr>
              <w:t>根</w:t>
            </w:r>
          </w:p>
          <w:p w14:paraId="2EFFBC34">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（3）</w:t>
            </w:r>
            <w:r>
              <w:rPr>
                <w:rFonts w:hint="eastAsia" w:asciiTheme="minorEastAsia" w:hAnsiTheme="minorEastAsia" w:eastAsiaTheme="minorEastAsia" w:cstheme="minorEastAsia"/>
                <w:b/>
                <w:bCs/>
                <w:color w:val="FF0000"/>
                <w:sz w:val="21"/>
                <w:szCs w:val="21"/>
                <w:highlight w:val="yellow"/>
              </w:rPr>
              <w:t>多路单电极连接电缆1根</w:t>
            </w:r>
          </w:p>
          <w:p w14:paraId="0114BCBD">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（4）</w:t>
            </w:r>
            <w:r>
              <w:rPr>
                <w:rFonts w:hint="eastAsia" w:asciiTheme="minorEastAsia" w:hAnsiTheme="minorEastAsia" w:eastAsiaTheme="minorEastAsia" w:cstheme="minorEastAsia"/>
                <w:b/>
                <w:bCs/>
                <w:color w:val="FF0000"/>
                <w:sz w:val="21"/>
                <w:szCs w:val="21"/>
                <w:highlight w:val="yellow"/>
              </w:rPr>
              <w:t>多路双电极连接电缆2根</w:t>
            </w:r>
          </w:p>
          <w:p w14:paraId="68F56E5C">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（5）</w:t>
            </w:r>
            <w:r>
              <w:rPr>
                <w:rFonts w:hint="eastAsia" w:asciiTheme="minorEastAsia" w:hAnsiTheme="minorEastAsia" w:eastAsiaTheme="minorEastAsia" w:cstheme="minorEastAsia"/>
                <w:b/>
                <w:bCs/>
                <w:color w:val="FF0000"/>
                <w:sz w:val="21"/>
                <w:szCs w:val="21"/>
                <w:highlight w:val="yellow"/>
              </w:rPr>
              <w:t>塑料高温消毒盒2个</w:t>
            </w:r>
          </w:p>
          <w:p w14:paraId="0EC0F7C2">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 xml:space="preserve">（6） </w:t>
            </w:r>
            <w:r>
              <w:rPr>
                <w:rFonts w:hint="eastAsia" w:asciiTheme="minorEastAsia" w:hAnsiTheme="minorEastAsia" w:eastAsiaTheme="minorEastAsia" w:cstheme="minorEastAsia"/>
                <w:b/>
                <w:bCs/>
                <w:color w:val="FF0000"/>
                <w:sz w:val="21"/>
                <w:szCs w:val="21"/>
                <w:highlight w:val="yellow"/>
              </w:rPr>
              <w:t>3.15A 速熔保险管2个</w:t>
            </w:r>
          </w:p>
          <w:p w14:paraId="298A9CF8">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（7）</w:t>
            </w:r>
            <w:r>
              <w:rPr>
                <w:rFonts w:hint="eastAsia" w:asciiTheme="minorEastAsia" w:hAnsiTheme="minorEastAsia" w:eastAsiaTheme="minorEastAsia" w:cstheme="minorEastAsia"/>
                <w:b/>
                <w:bCs/>
                <w:color w:val="FF0000"/>
                <w:sz w:val="21"/>
                <w:szCs w:val="21"/>
                <w:highlight w:val="yellow"/>
              </w:rPr>
              <w:t>电源线1根</w:t>
            </w:r>
          </w:p>
          <w:p w14:paraId="6A59BC85">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（8）</w:t>
            </w:r>
            <w:r>
              <w:rPr>
                <w:rFonts w:hint="eastAsia" w:asciiTheme="minorEastAsia" w:hAnsiTheme="minorEastAsia" w:eastAsiaTheme="minorEastAsia" w:cstheme="minorEastAsia"/>
                <w:b/>
                <w:bCs/>
                <w:color w:val="FF0000"/>
                <w:sz w:val="21"/>
                <w:szCs w:val="21"/>
                <w:highlight w:val="yellow"/>
              </w:rPr>
              <w:t>一次性使用中性电极3块</w:t>
            </w:r>
          </w:p>
          <w:p w14:paraId="0012A346">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（9）</w:t>
            </w:r>
            <w:r>
              <w:rPr>
                <w:rFonts w:hint="eastAsia" w:asciiTheme="minorEastAsia" w:hAnsiTheme="minorEastAsia" w:eastAsiaTheme="minorEastAsia" w:cstheme="minorEastAsia"/>
                <w:b/>
                <w:bCs/>
                <w:color w:val="FF0000"/>
                <w:sz w:val="21"/>
                <w:szCs w:val="21"/>
                <w:highlight w:val="yellow"/>
              </w:rPr>
              <w:t>中性电极2块</w:t>
            </w:r>
          </w:p>
          <w:p w14:paraId="27A9D73A">
            <w:pPr>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color w:val="FF0000"/>
                <w:sz w:val="21"/>
                <w:szCs w:val="21"/>
                <w:highlight w:val="yellow"/>
              </w:rPr>
            </w:pPr>
            <w:r>
              <w:rPr>
                <w:rFonts w:hint="eastAsia" w:asciiTheme="minorEastAsia" w:hAnsiTheme="minorEastAsia" w:eastAsiaTheme="minorEastAsia" w:cstheme="minorEastAsia"/>
                <w:b/>
                <w:bCs/>
                <w:color w:val="FF0000"/>
                <w:sz w:val="21"/>
                <w:szCs w:val="21"/>
                <w:highlight w:val="yellow"/>
                <w:lang w:val="en-US" w:eastAsia="zh-CN"/>
              </w:rPr>
              <w:t>（10）</w:t>
            </w:r>
            <w:r>
              <w:rPr>
                <w:rFonts w:hint="eastAsia" w:asciiTheme="minorEastAsia" w:hAnsiTheme="minorEastAsia" w:eastAsiaTheme="minorEastAsia" w:cstheme="minorEastAsia"/>
                <w:b/>
                <w:bCs/>
                <w:color w:val="FF0000"/>
                <w:sz w:val="21"/>
                <w:szCs w:val="21"/>
                <w:highlight w:val="yellow"/>
              </w:rPr>
              <w:t>中性电极适配电缆1根</w:t>
            </w:r>
          </w:p>
          <w:p w14:paraId="03937D4D">
            <w:pPr>
              <w:keepNext w:val="0"/>
              <w:keepLines w:val="0"/>
              <w:pageBreakBefore w:val="0"/>
              <w:widowControl/>
              <w:kinsoku/>
              <w:wordWrap/>
              <w:overflowPunct/>
              <w:topLinePunct w:val="0"/>
              <w:autoSpaceDE/>
              <w:autoSpaceDN/>
              <w:bidi w:val="0"/>
              <w:adjustRightInd/>
              <w:snapToGrid/>
              <w:spacing w:line="360" w:lineRule="auto"/>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b/>
                <w:bCs/>
                <w:color w:val="FF0000"/>
                <w:sz w:val="21"/>
                <w:szCs w:val="21"/>
                <w:highlight w:val="yellow"/>
                <w:lang w:val="en-US" w:eastAsia="zh-CN"/>
              </w:rPr>
              <w:t>（11）</w:t>
            </w:r>
            <w:r>
              <w:rPr>
                <w:rFonts w:hint="eastAsia" w:asciiTheme="minorEastAsia" w:hAnsiTheme="minorEastAsia" w:eastAsiaTheme="minorEastAsia" w:cstheme="minorEastAsia"/>
                <w:b/>
                <w:bCs/>
                <w:color w:val="FF0000"/>
                <w:sz w:val="21"/>
                <w:szCs w:val="21"/>
                <w:highlight w:val="yellow"/>
              </w:rPr>
              <w:t>四路射频使用说明书1本</w:t>
            </w:r>
          </w:p>
        </w:tc>
      </w:tr>
    </w:tbl>
    <w:p w14:paraId="20F4DFA3">
      <w:pPr>
        <w:spacing w:line="360" w:lineRule="auto"/>
        <w:rPr>
          <w:rFonts w:ascii="宋体" w:hAnsi="宋体"/>
          <w:b/>
          <w:bCs/>
          <w:snapToGrid w:val="0"/>
          <w:kern w:val="0"/>
          <w:sz w:val="24"/>
        </w:rPr>
      </w:pPr>
    </w:p>
    <w:p w14:paraId="35AF6A42">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960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490"/>
        <w:gridCol w:w="7330"/>
      </w:tblGrid>
      <w:tr w14:paraId="7FE9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2" w:type="dxa"/>
            <w:tcBorders>
              <w:top w:val="single" w:color="auto" w:sz="4" w:space="0"/>
              <w:left w:val="single" w:color="auto" w:sz="4" w:space="0"/>
              <w:bottom w:val="single" w:color="auto" w:sz="4" w:space="0"/>
              <w:right w:val="single" w:color="auto" w:sz="4" w:space="0"/>
            </w:tcBorders>
            <w:vAlign w:val="center"/>
          </w:tcPr>
          <w:p w14:paraId="61C22445">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1490" w:type="dxa"/>
            <w:tcBorders>
              <w:top w:val="single" w:color="auto" w:sz="4" w:space="0"/>
              <w:left w:val="single" w:color="auto" w:sz="4" w:space="0"/>
              <w:bottom w:val="single" w:color="auto" w:sz="4" w:space="0"/>
              <w:right w:val="single" w:color="auto" w:sz="4" w:space="0"/>
            </w:tcBorders>
            <w:vAlign w:val="center"/>
          </w:tcPr>
          <w:p w14:paraId="6FF64EA5">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目录</w:t>
            </w:r>
          </w:p>
        </w:tc>
        <w:tc>
          <w:tcPr>
            <w:tcW w:w="7330" w:type="dxa"/>
            <w:tcBorders>
              <w:top w:val="single" w:color="auto" w:sz="4" w:space="0"/>
              <w:left w:val="single" w:color="auto" w:sz="4" w:space="0"/>
              <w:bottom w:val="single" w:color="auto" w:sz="4" w:space="0"/>
              <w:right w:val="single" w:color="auto" w:sz="4" w:space="0"/>
            </w:tcBorders>
            <w:vAlign w:val="center"/>
          </w:tcPr>
          <w:p w14:paraId="5733F924">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招标</w:t>
            </w:r>
            <w:r>
              <w:rPr>
                <w:rFonts w:hint="eastAsia" w:asciiTheme="minorEastAsia" w:hAnsiTheme="minorEastAsia" w:eastAsiaTheme="minorEastAsia" w:cstheme="minorEastAsia"/>
                <w:b/>
                <w:sz w:val="21"/>
                <w:szCs w:val="21"/>
              </w:rPr>
              <w:t>商务要求</w:t>
            </w:r>
          </w:p>
        </w:tc>
      </w:tr>
      <w:tr w14:paraId="4CC9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602" w:type="dxa"/>
            <w:gridSpan w:val="3"/>
            <w:tcBorders>
              <w:top w:val="single" w:color="auto" w:sz="4" w:space="0"/>
              <w:left w:val="single" w:color="auto" w:sz="4" w:space="0"/>
              <w:bottom w:val="single" w:color="auto" w:sz="4" w:space="0"/>
              <w:right w:val="single" w:color="auto" w:sz="4" w:space="0"/>
            </w:tcBorders>
          </w:tcPr>
          <w:p w14:paraId="43CA8E7E">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（一）免费保修期内售后服务要求</w:t>
            </w:r>
          </w:p>
        </w:tc>
      </w:tr>
      <w:tr w14:paraId="1B26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82" w:type="dxa"/>
            <w:vMerge w:val="restart"/>
            <w:tcBorders>
              <w:top w:val="single" w:color="auto" w:sz="4" w:space="0"/>
              <w:left w:val="single" w:color="auto" w:sz="4" w:space="0"/>
              <w:right w:val="single" w:color="auto" w:sz="4" w:space="0"/>
            </w:tcBorders>
            <w:vAlign w:val="center"/>
          </w:tcPr>
          <w:p w14:paraId="6097D95D">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c>
          <w:tcPr>
            <w:tcW w:w="1490" w:type="dxa"/>
            <w:vMerge w:val="restart"/>
            <w:tcBorders>
              <w:top w:val="single" w:color="auto" w:sz="4" w:space="0"/>
              <w:left w:val="single" w:color="auto" w:sz="4" w:space="0"/>
              <w:right w:val="single" w:color="auto" w:sz="4" w:space="0"/>
            </w:tcBorders>
            <w:vAlign w:val="center"/>
          </w:tcPr>
          <w:p w14:paraId="3C7AAAC3">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维修响应及故障解决时间</w:t>
            </w:r>
          </w:p>
        </w:tc>
        <w:tc>
          <w:tcPr>
            <w:tcW w:w="7330" w:type="dxa"/>
            <w:tcBorders>
              <w:top w:val="single" w:color="auto" w:sz="4" w:space="0"/>
              <w:left w:val="single" w:color="auto" w:sz="4" w:space="0"/>
              <w:bottom w:val="single" w:color="auto" w:sz="4" w:space="0"/>
              <w:right w:val="single" w:color="auto" w:sz="4" w:space="0"/>
            </w:tcBorders>
          </w:tcPr>
          <w:p w14:paraId="48F5DCD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1.1免费保修期内，一旦发生质量问题，中标人保证接到通知</w:t>
            </w:r>
            <w:r>
              <w:rPr>
                <w:rFonts w:hint="eastAsia" w:asciiTheme="minorEastAsia" w:hAnsiTheme="minorEastAsia" w:eastAsiaTheme="minorEastAsia" w:cstheme="minorEastAsia"/>
                <w:bCs/>
                <w:color w:val="000000" w:themeColor="text1"/>
                <w:sz w:val="21"/>
                <w:szCs w:val="21"/>
                <w:u w:val="single"/>
                <w14:textFill>
                  <w14:solidFill>
                    <w14:schemeClr w14:val="tx1"/>
                  </w14:solidFill>
                </w14:textFill>
              </w:rPr>
              <w:t>后2</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小时响应，</w:t>
            </w:r>
            <w:r>
              <w:rPr>
                <w:rFonts w:hint="eastAsia" w:asciiTheme="minorEastAsia" w:hAnsiTheme="minorEastAsia" w:eastAsiaTheme="minorEastAsia" w:cstheme="minorEastAsia"/>
                <w:bCs/>
                <w:color w:val="000000" w:themeColor="text1"/>
                <w:sz w:val="21"/>
                <w:szCs w:val="21"/>
                <w:u w:val="single"/>
                <w14:textFill>
                  <w14:solidFill>
                    <w14:schemeClr w14:val="tx1"/>
                  </w14:solidFill>
                </w14:textFill>
              </w:rPr>
              <w:t>12</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小时到场维修，无法现场完成维修的，需 24 小时内提供可使用的备用机替代，确保临床工作顺利进行。</w:t>
            </w:r>
          </w:p>
        </w:tc>
      </w:tr>
      <w:tr w14:paraId="00F0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82" w:type="dxa"/>
            <w:vMerge w:val="continue"/>
            <w:tcBorders>
              <w:left w:val="single" w:color="auto" w:sz="4" w:space="0"/>
              <w:right w:val="single" w:color="auto" w:sz="4" w:space="0"/>
            </w:tcBorders>
            <w:vAlign w:val="center"/>
          </w:tcPr>
          <w:p w14:paraId="24AA1593">
            <w:pPr>
              <w:jc w:val="center"/>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2C0A791A">
            <w:pPr>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28D4A5FA">
            <w:pPr>
              <w:pStyle w:val="18"/>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1.2按需及时更换零配件，不需要更换配件的情况下4小时内修复；需要更换配件的情况下，按采购人要求提供备用机。单次故障停机修复时间不得超过3天</w:t>
            </w:r>
            <w:r>
              <w:rPr>
                <w:rFonts w:hint="eastAsia" w:asciiTheme="minorEastAsia" w:hAnsiTheme="minorEastAsia" w:eastAsia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日历天</w:t>
            </w:r>
            <w:r>
              <w:rPr>
                <w:rFonts w:hint="eastAsia" w:asciiTheme="minorEastAsia" w:hAnsiTheme="minorEastAsia" w:eastAsia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，每超1天</w:t>
            </w:r>
            <w:r>
              <w:rPr>
                <w:rFonts w:hint="eastAsia" w:asciiTheme="minorEastAsia" w:hAnsiTheme="minorEastAsia" w:eastAsia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日历天</w:t>
            </w:r>
            <w:r>
              <w:rPr>
                <w:rFonts w:hint="eastAsia" w:asciiTheme="minorEastAsia" w:hAnsiTheme="minorEastAsia" w:eastAsia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，顺延保修期3天</w:t>
            </w:r>
            <w:r>
              <w:rPr>
                <w:rFonts w:hint="eastAsia" w:asciiTheme="minorEastAsia" w:hAnsiTheme="minorEastAsia" w:eastAsia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日历天</w:t>
            </w:r>
            <w:r>
              <w:rPr>
                <w:rFonts w:hint="eastAsia" w:asciiTheme="minorEastAsia" w:hAnsiTheme="minorEastAsia" w:eastAsia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w:t>
            </w:r>
          </w:p>
        </w:tc>
      </w:tr>
      <w:tr w14:paraId="3332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82" w:type="dxa"/>
            <w:vMerge w:val="continue"/>
            <w:tcBorders>
              <w:left w:val="single" w:color="auto" w:sz="4" w:space="0"/>
              <w:bottom w:val="single" w:color="auto" w:sz="4" w:space="0"/>
              <w:right w:val="single" w:color="auto" w:sz="4" w:space="0"/>
            </w:tcBorders>
            <w:vAlign w:val="center"/>
          </w:tcPr>
          <w:p w14:paraId="1BBCA428">
            <w:pPr>
              <w:jc w:val="center"/>
              <w:rPr>
                <w:rFonts w:hint="eastAsia" w:asciiTheme="minorEastAsia" w:hAnsiTheme="minorEastAsia" w:eastAsiaTheme="minorEastAsia" w:cstheme="minorEastAsia"/>
                <w:bCs/>
                <w:sz w:val="21"/>
                <w:szCs w:val="21"/>
              </w:rPr>
            </w:pPr>
          </w:p>
        </w:tc>
        <w:tc>
          <w:tcPr>
            <w:tcW w:w="1490" w:type="dxa"/>
            <w:vMerge w:val="continue"/>
            <w:tcBorders>
              <w:left w:val="single" w:color="auto" w:sz="4" w:space="0"/>
              <w:bottom w:val="single" w:color="auto" w:sz="4" w:space="0"/>
              <w:right w:val="single" w:color="auto" w:sz="4" w:space="0"/>
            </w:tcBorders>
            <w:vAlign w:val="center"/>
          </w:tcPr>
          <w:p w14:paraId="2EF25C56">
            <w:pPr>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22CD25DD">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以上维修每迟一天，中标人向采购人支付由于设备故障所造成的采购人实际经济损失。保修期内的设备如不能现场进行维修需要运送的，更换维修地点的所有费用包括但不限于包装、运输费用等均由中标人负责。</w:t>
            </w:r>
          </w:p>
        </w:tc>
      </w:tr>
      <w:tr w14:paraId="43FF9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782" w:type="dxa"/>
            <w:tcBorders>
              <w:top w:val="single" w:color="auto" w:sz="4" w:space="0"/>
              <w:left w:val="single" w:color="auto" w:sz="4" w:space="0"/>
              <w:bottom w:val="single" w:color="auto" w:sz="4" w:space="0"/>
              <w:right w:val="single" w:color="auto" w:sz="4" w:space="0"/>
            </w:tcBorders>
            <w:vAlign w:val="center"/>
          </w:tcPr>
          <w:p w14:paraId="2A158611">
            <w:pPr>
              <w:jc w:val="cente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2</w:t>
            </w:r>
          </w:p>
        </w:tc>
        <w:tc>
          <w:tcPr>
            <w:tcW w:w="1490" w:type="dxa"/>
            <w:tcBorders>
              <w:top w:val="single" w:color="auto" w:sz="4" w:space="0"/>
              <w:left w:val="single" w:color="auto" w:sz="4" w:space="0"/>
              <w:bottom w:val="single" w:color="auto" w:sz="4" w:space="0"/>
              <w:right w:val="single" w:color="auto" w:sz="4" w:space="0"/>
            </w:tcBorders>
            <w:vAlign w:val="center"/>
          </w:tcPr>
          <w:p w14:paraId="16C4F84B">
            <w:pPr>
              <w:jc w:val="cente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bCs/>
                <w:sz w:val="21"/>
                <w:szCs w:val="21"/>
                <w:highlight w:val="yellow"/>
              </w:rPr>
              <w:t>★</w:t>
            </w:r>
            <w:r>
              <w:rPr>
                <w:rFonts w:hint="eastAsia" w:asciiTheme="minorEastAsia" w:hAnsiTheme="minorEastAsia" w:eastAsiaTheme="minorEastAsia" w:cstheme="minorEastAsia"/>
                <w:sz w:val="21"/>
                <w:szCs w:val="21"/>
                <w:highlight w:val="yellow"/>
              </w:rPr>
              <w:t>关于免费保修期</w:t>
            </w:r>
          </w:p>
        </w:tc>
        <w:tc>
          <w:tcPr>
            <w:tcW w:w="7330" w:type="dxa"/>
            <w:tcBorders>
              <w:top w:val="single" w:color="auto" w:sz="4" w:space="0"/>
              <w:left w:val="single" w:color="auto" w:sz="4" w:space="0"/>
              <w:bottom w:val="single" w:color="auto" w:sz="4" w:space="0"/>
              <w:right w:val="single" w:color="auto" w:sz="4" w:space="0"/>
            </w:tcBorders>
          </w:tcPr>
          <w:p w14:paraId="1D761EFA">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2.1中标人提供为期</w:t>
            </w:r>
            <w:r>
              <w:rPr>
                <w:rFonts w:hint="eastAsia" w:asciiTheme="minorEastAsia" w:hAnsiTheme="minorEastAsia" w:eastAsiaTheme="minorEastAsia" w:cstheme="minorEastAsia"/>
                <w:bCs/>
                <w:sz w:val="21"/>
                <w:szCs w:val="21"/>
                <w:highlight w:val="yellow"/>
                <w:u w:val="single"/>
                <w:lang w:val="en-US" w:eastAsia="zh-CN"/>
              </w:rPr>
              <w:t>5</w:t>
            </w:r>
            <w:r>
              <w:rPr>
                <w:rFonts w:hint="eastAsia" w:asciiTheme="minorEastAsia" w:hAnsiTheme="minorEastAsia" w:eastAsiaTheme="minorEastAsia" w:cstheme="minorEastAsia"/>
                <w:bCs/>
                <w:sz w:val="21"/>
                <w:szCs w:val="21"/>
                <w:highlight w:val="yellow"/>
              </w:rPr>
              <w:t>年或以上的原厂免费保修服务，保修期自采购人签署最终验收报告之日起开始计算。</w:t>
            </w:r>
          </w:p>
          <w:p w14:paraId="578F2C78">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2.2保修期内更换零配件、软件升级、人工等服务如原厂需收费由中标人承担。</w:t>
            </w:r>
          </w:p>
          <w:p w14:paraId="2AA9D4A8">
            <w:pPr>
              <w:widowControl/>
              <w:tabs>
                <w:tab w:val="left" w:pos="3697"/>
              </w:tabs>
              <w:kinsoku w:val="0"/>
              <w:autoSpaceDE w:val="0"/>
              <w:autoSpaceDN w:val="0"/>
              <w:adjustRightInd w:val="0"/>
              <w:snapToGrid w:val="0"/>
              <w:textAlignment w:val="baseline"/>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2.3 在保修期内，中标人应确保设备安全正常运行，年开机率保证在95%以上。因设备故障导致开机率不足95%以上，将做以下处理：</w:t>
            </w:r>
          </w:p>
          <w:p w14:paraId="504FFB6F">
            <w:pPr>
              <w:widowControl/>
              <w:tabs>
                <w:tab w:val="left" w:pos="3697"/>
              </w:tabs>
              <w:kinsoku w:val="0"/>
              <w:autoSpaceDE w:val="0"/>
              <w:autoSpaceDN w:val="0"/>
              <w:adjustRightInd w:val="0"/>
              <w:snapToGrid w:val="0"/>
              <w:ind w:firstLine="420" w:firstLineChars="200"/>
              <w:textAlignment w:val="baseline"/>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a.年开机率在90%（含）～95%（不含）之间按一赔二延长保修期；</w:t>
            </w:r>
          </w:p>
          <w:p w14:paraId="276DB954">
            <w:pPr>
              <w:widowControl/>
              <w:tabs>
                <w:tab w:val="left" w:pos="3697"/>
              </w:tabs>
              <w:kinsoku w:val="0"/>
              <w:autoSpaceDE w:val="0"/>
              <w:autoSpaceDN w:val="0"/>
              <w:adjustRightInd w:val="0"/>
              <w:snapToGrid w:val="0"/>
              <w:ind w:firstLine="420" w:firstLineChars="200"/>
              <w:textAlignment w:val="baseline"/>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b.年开机率在85%（含）～90%（不含）之间按一赔五延长保修期；</w:t>
            </w:r>
          </w:p>
          <w:p w14:paraId="376B837D">
            <w:pPr>
              <w:widowControl/>
              <w:tabs>
                <w:tab w:val="left" w:pos="3697"/>
              </w:tabs>
              <w:kinsoku w:val="0"/>
              <w:autoSpaceDE w:val="0"/>
              <w:autoSpaceDN w:val="0"/>
              <w:adjustRightInd w:val="0"/>
              <w:snapToGrid w:val="0"/>
              <w:ind w:firstLine="420" w:firstLineChars="200"/>
              <w:textAlignment w:val="baseline"/>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c.年开机率低于85%（不含），中标人必须无条件更换新机，并重新计算保修期，以及赔偿采购人的直接经济损失和间接经济损失，同时，采购人还有权选择退货处理。</w:t>
            </w:r>
          </w:p>
          <w:p w14:paraId="32A02030">
            <w:pPr>
              <w:rPr>
                <w:rFonts w:hint="eastAsia" w:asciiTheme="minorEastAsia" w:hAnsiTheme="minorEastAsia" w:eastAsiaTheme="minorEastAsia" w:cstheme="minorEastAsia"/>
                <w:b/>
                <w:sz w:val="21"/>
                <w:szCs w:val="21"/>
                <w:highlight w:val="yellow"/>
              </w:rPr>
            </w:pPr>
            <w:r>
              <w:rPr>
                <w:rFonts w:hint="eastAsia" w:asciiTheme="minorEastAsia" w:hAnsiTheme="minorEastAsia" w:eastAsiaTheme="minorEastAsia" w:cstheme="minorEastAsia"/>
                <w:bCs/>
                <w:sz w:val="21"/>
                <w:szCs w:val="21"/>
                <w:highlight w:val="yellow"/>
              </w:rPr>
              <w:t>注：年开机率 =（365-停机天数）/365。</w:t>
            </w:r>
          </w:p>
        </w:tc>
      </w:tr>
      <w:tr w14:paraId="2753D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82" w:type="dxa"/>
            <w:tcBorders>
              <w:top w:val="single" w:color="auto" w:sz="4" w:space="0"/>
              <w:left w:val="single" w:color="auto" w:sz="4" w:space="0"/>
              <w:bottom w:val="single" w:color="auto" w:sz="4" w:space="0"/>
              <w:right w:val="single" w:color="auto" w:sz="4" w:space="0"/>
            </w:tcBorders>
            <w:vAlign w:val="center"/>
          </w:tcPr>
          <w:p w14:paraId="3FB9F2BA">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90" w:type="dxa"/>
            <w:tcBorders>
              <w:top w:val="single" w:color="auto" w:sz="4" w:space="0"/>
              <w:left w:val="single" w:color="auto" w:sz="4" w:space="0"/>
              <w:bottom w:val="single" w:color="auto" w:sz="4" w:space="0"/>
              <w:right w:val="single" w:color="auto" w:sz="4" w:space="0"/>
            </w:tcBorders>
            <w:vAlign w:val="center"/>
          </w:tcPr>
          <w:p w14:paraId="5BA1A834">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备品备件要求</w:t>
            </w:r>
          </w:p>
        </w:tc>
        <w:tc>
          <w:tcPr>
            <w:tcW w:w="7330" w:type="dxa"/>
            <w:tcBorders>
              <w:top w:val="single" w:color="auto" w:sz="4" w:space="0"/>
              <w:left w:val="single" w:color="auto" w:sz="4" w:space="0"/>
              <w:bottom w:val="single" w:color="auto" w:sz="4" w:space="0"/>
              <w:right w:val="single" w:color="auto" w:sz="4" w:space="0"/>
            </w:tcBorders>
          </w:tcPr>
          <w:p w14:paraId="63BEBC8A">
            <w:pPr>
              <w:tabs>
                <w:tab w:val="left" w:pos="3697"/>
              </w:tabs>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 xml:space="preserve">提供专机专用配套试剂及耗材（如有）、主要零配件报价清单。中标人负责设备的终身维修并应继续提供优质的服务，储备足够的零配件备库并保证十年以上维修配件、耗材的正常供应。  </w:t>
            </w:r>
          </w:p>
        </w:tc>
      </w:tr>
      <w:tr w14:paraId="4A1E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82" w:type="dxa"/>
            <w:tcBorders>
              <w:top w:val="single" w:color="auto" w:sz="4" w:space="0"/>
              <w:left w:val="single" w:color="auto" w:sz="4" w:space="0"/>
              <w:bottom w:val="single" w:color="auto" w:sz="4" w:space="0"/>
              <w:right w:val="single" w:color="auto" w:sz="4" w:space="0"/>
            </w:tcBorders>
            <w:vAlign w:val="center"/>
          </w:tcPr>
          <w:p w14:paraId="569E81A0">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w:t>
            </w:r>
          </w:p>
        </w:tc>
        <w:tc>
          <w:tcPr>
            <w:tcW w:w="1490" w:type="dxa"/>
            <w:tcBorders>
              <w:top w:val="single" w:color="auto" w:sz="4" w:space="0"/>
              <w:left w:val="single" w:color="auto" w:sz="4" w:space="0"/>
              <w:bottom w:val="single" w:color="auto" w:sz="4" w:space="0"/>
              <w:right w:val="single" w:color="auto" w:sz="4" w:space="0"/>
            </w:tcBorders>
            <w:vAlign w:val="center"/>
          </w:tcPr>
          <w:p w14:paraId="19DFCE0A">
            <w:pPr>
              <w:jc w:val="center"/>
              <w:rPr>
                <w:rFonts w:hint="eastAsia" w:asciiTheme="minorEastAsia" w:hAnsiTheme="minorEastAsia" w:eastAsiaTheme="minorEastAsia" w:cstheme="minorEastAsia"/>
                <w:b/>
                <w:bCs/>
                <w:color w:val="FF0000"/>
                <w:sz w:val="21"/>
                <w:szCs w:val="21"/>
              </w:rPr>
            </w:pPr>
            <w:r>
              <w:rPr>
                <w:rFonts w:hint="eastAsia" w:asciiTheme="minorEastAsia" w:hAnsiTheme="minorEastAsia" w:eastAsiaTheme="minorEastAsia" w:cstheme="minorEastAsia"/>
                <w:sz w:val="21"/>
                <w:szCs w:val="21"/>
              </w:rPr>
              <w:t>软件升级</w:t>
            </w:r>
            <w:r>
              <w:rPr>
                <w:rFonts w:hint="eastAsia" w:asciiTheme="minorEastAsia" w:hAnsiTheme="minorEastAsia" w:eastAsiaTheme="minorEastAsia" w:cstheme="minorEastAsia"/>
                <w:bCs/>
                <w:sz w:val="21"/>
                <w:szCs w:val="21"/>
              </w:rPr>
              <w:t>（如有）</w:t>
            </w:r>
          </w:p>
        </w:tc>
        <w:tc>
          <w:tcPr>
            <w:tcW w:w="7330" w:type="dxa"/>
            <w:tcBorders>
              <w:top w:val="single" w:color="auto" w:sz="4" w:space="0"/>
              <w:left w:val="single" w:color="auto" w:sz="4" w:space="0"/>
              <w:bottom w:val="single" w:color="auto" w:sz="4" w:space="0"/>
              <w:right w:val="single" w:color="auto" w:sz="4" w:space="0"/>
            </w:tcBorders>
            <w:vAlign w:val="center"/>
          </w:tcPr>
          <w:p w14:paraId="39F01339">
            <w:pPr>
              <w:pStyle w:val="18"/>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十年内提供软件升级服务</w:t>
            </w:r>
            <w:r>
              <w:rPr>
                <w:rFonts w:hint="eastAsia"/>
              </w:rPr>
              <w:t>（费用包含在投标总价中）</w:t>
            </w:r>
            <w:r>
              <w:rPr>
                <w:rFonts w:hint="eastAsia" w:asciiTheme="minorEastAsia" w:hAnsiTheme="minorEastAsia" w:eastAsiaTheme="minorEastAsia" w:cstheme="minorEastAsia"/>
                <w:bCs/>
                <w:sz w:val="21"/>
                <w:szCs w:val="21"/>
              </w:rPr>
              <w:t>。</w:t>
            </w:r>
          </w:p>
        </w:tc>
      </w:tr>
      <w:tr w14:paraId="423A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782" w:type="dxa"/>
            <w:tcBorders>
              <w:top w:val="single" w:color="auto" w:sz="4" w:space="0"/>
              <w:left w:val="single" w:color="auto" w:sz="4" w:space="0"/>
              <w:bottom w:val="single" w:color="auto" w:sz="4" w:space="0"/>
              <w:right w:val="single" w:color="auto" w:sz="4" w:space="0"/>
            </w:tcBorders>
            <w:vAlign w:val="center"/>
          </w:tcPr>
          <w:p w14:paraId="090B371A">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w:t>
            </w:r>
          </w:p>
        </w:tc>
        <w:tc>
          <w:tcPr>
            <w:tcW w:w="1490" w:type="dxa"/>
            <w:tcBorders>
              <w:top w:val="single" w:color="auto" w:sz="4" w:space="0"/>
              <w:left w:val="single" w:color="auto" w:sz="4" w:space="0"/>
              <w:bottom w:val="single" w:color="auto" w:sz="4" w:space="0"/>
              <w:right w:val="single" w:color="auto" w:sz="4" w:space="0"/>
            </w:tcBorders>
            <w:vAlign w:val="center"/>
          </w:tcPr>
          <w:p w14:paraId="0E4D9486">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信息化系统</w:t>
            </w:r>
            <w:r>
              <w:rPr>
                <w:rFonts w:hint="eastAsia" w:asciiTheme="minorEastAsia" w:hAnsiTheme="minorEastAsia" w:eastAsiaTheme="minorEastAsia" w:cstheme="minorEastAsia"/>
                <w:bCs/>
                <w:sz w:val="21"/>
                <w:szCs w:val="21"/>
              </w:rPr>
              <w:t>（如有）</w:t>
            </w:r>
          </w:p>
        </w:tc>
        <w:tc>
          <w:tcPr>
            <w:tcW w:w="7330" w:type="dxa"/>
            <w:tcBorders>
              <w:top w:val="single" w:color="auto" w:sz="4" w:space="0"/>
              <w:left w:val="single" w:color="auto" w:sz="4" w:space="0"/>
              <w:bottom w:val="single" w:color="auto" w:sz="4" w:space="0"/>
              <w:right w:val="single" w:color="auto" w:sz="4" w:space="0"/>
            </w:tcBorders>
            <w:vAlign w:val="center"/>
          </w:tcPr>
          <w:p w14:paraId="5147955F">
            <w:pPr>
              <w:widowControl/>
              <w:tabs>
                <w:tab w:val="left" w:pos="3697"/>
              </w:tabs>
              <w:kinsoku w:val="0"/>
              <w:autoSpaceDE w:val="0"/>
              <w:autoSpaceDN w:val="0"/>
              <w:adjustRightInd w:val="0"/>
              <w:snapToGrid w:val="0"/>
              <w:textAlignment w:val="baseline"/>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信息化系统要求按招投标文件中条款执行。涉及软件应用的设备，中标人和厂家应配合采购人智慧医院信息化建设。在保修期内，应将软件更新、维护并提供更新所需的硬件，</w:t>
            </w:r>
            <w:r>
              <w:rPr>
                <w:rFonts w:hint="eastAsia"/>
                <w:lang w:val="en-US" w:eastAsia="zh-CN"/>
              </w:rPr>
              <w:t>为采购人开发软件端口</w:t>
            </w:r>
            <w:r>
              <w:rPr>
                <w:rFonts w:hint="eastAsia" w:asciiTheme="minorEastAsia" w:hAnsiTheme="minorEastAsia" w:eastAsiaTheme="minorEastAsia" w:cstheme="minorEastAsia"/>
                <w:bCs/>
                <w:sz w:val="21"/>
                <w:szCs w:val="21"/>
              </w:rPr>
              <w:t>，派人配合与医院信息系统（包括但不限于HIS、PACS、LIS等系统）的连接工作，直至该设备与医院信息系统可进行完整的数据交换；当医院信息系统变更或其他情形需要与该设备连接时，</w:t>
            </w:r>
            <w:r>
              <w:rPr>
                <w:rFonts w:hint="eastAsia" w:asciiTheme="minorEastAsia" w:hAnsiTheme="minorEastAsia" w:eastAsiaTheme="minorEastAsia" w:cstheme="minorEastAsia"/>
                <w:bCs/>
                <w:sz w:val="21"/>
                <w:szCs w:val="21"/>
                <w:lang w:val="en-US" w:eastAsia="zh-CN"/>
              </w:rPr>
              <w:t>需</w:t>
            </w:r>
            <w:r>
              <w:rPr>
                <w:rFonts w:hint="eastAsia" w:asciiTheme="minorEastAsia" w:hAnsiTheme="minorEastAsia" w:eastAsiaTheme="minorEastAsia" w:cstheme="minorEastAsia"/>
                <w:bCs/>
                <w:sz w:val="21"/>
                <w:szCs w:val="21"/>
              </w:rPr>
              <w:t>派人配合，直至该设备与医院信息系统可进行完整的数据交换，确保数据安全，无外泄（</w:t>
            </w:r>
            <w:r>
              <w:rPr>
                <w:rFonts w:hint="eastAsia" w:asciiTheme="minorEastAsia" w:hAnsiTheme="minorEastAsia" w:eastAsiaTheme="minorEastAsia" w:cstheme="minorEastAsia"/>
                <w:bCs/>
                <w:sz w:val="21"/>
                <w:szCs w:val="21"/>
                <w:lang w:val="en-US" w:eastAsia="zh-CN"/>
              </w:rPr>
              <w:t>以上相关</w:t>
            </w:r>
            <w:r>
              <w:rPr>
                <w:rFonts w:hint="eastAsia" w:asciiTheme="minorEastAsia" w:hAnsiTheme="minorEastAsia" w:eastAsiaTheme="minorEastAsia" w:cstheme="minorEastAsia"/>
                <w:bCs/>
                <w:sz w:val="21"/>
                <w:szCs w:val="21"/>
              </w:rPr>
              <w:t>费用包含在投标总价中）。</w:t>
            </w:r>
          </w:p>
        </w:tc>
      </w:tr>
      <w:tr w14:paraId="5BD83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82" w:type="dxa"/>
            <w:tcBorders>
              <w:top w:val="single" w:color="auto" w:sz="4" w:space="0"/>
              <w:left w:val="single" w:color="auto" w:sz="4" w:space="0"/>
              <w:bottom w:val="single" w:color="auto" w:sz="4" w:space="0"/>
              <w:right w:val="single" w:color="auto" w:sz="4" w:space="0"/>
            </w:tcBorders>
            <w:vAlign w:val="center"/>
          </w:tcPr>
          <w:p w14:paraId="4F2800D5">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w:t>
            </w:r>
          </w:p>
        </w:tc>
        <w:tc>
          <w:tcPr>
            <w:tcW w:w="1490" w:type="dxa"/>
            <w:tcBorders>
              <w:top w:val="single" w:color="auto" w:sz="4" w:space="0"/>
              <w:left w:val="single" w:color="auto" w:sz="4" w:space="0"/>
              <w:bottom w:val="single" w:color="auto" w:sz="4" w:space="0"/>
              <w:right w:val="single" w:color="auto" w:sz="4" w:space="0"/>
            </w:tcBorders>
            <w:vAlign w:val="center"/>
          </w:tcPr>
          <w:p w14:paraId="4CB4C152">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培训要求</w:t>
            </w:r>
          </w:p>
        </w:tc>
        <w:tc>
          <w:tcPr>
            <w:tcW w:w="7330" w:type="dxa"/>
            <w:tcBorders>
              <w:top w:val="single" w:color="auto" w:sz="4" w:space="0"/>
              <w:left w:val="single" w:color="auto" w:sz="4" w:space="0"/>
              <w:bottom w:val="single" w:color="auto" w:sz="4" w:space="0"/>
              <w:right w:val="single" w:color="auto" w:sz="4" w:space="0"/>
            </w:tcBorders>
            <w:vAlign w:val="center"/>
          </w:tcPr>
          <w:p w14:paraId="4D694DBD">
            <w:pPr>
              <w:widowControl/>
              <w:tabs>
                <w:tab w:val="left" w:pos="3697"/>
              </w:tabs>
              <w:kinsoku w:val="0"/>
              <w:autoSpaceDE w:val="0"/>
              <w:autoSpaceDN w:val="0"/>
              <w:adjustRightInd w:val="0"/>
              <w:snapToGrid w:val="0"/>
              <w:textAlignment w:val="baseline"/>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投标人设备到货后有专业人员对采购人的临床操作人员进行专业的培训，并承诺在5年内对采购人的临床操作人员、维修工程师进行培训（</w:t>
            </w:r>
            <w:r>
              <w:rPr>
                <w:rFonts w:hint="eastAsia" w:asciiTheme="minorEastAsia" w:hAnsiTheme="minorEastAsia" w:eastAsiaTheme="minorEastAsia" w:cstheme="minorEastAsia"/>
                <w:bCs/>
                <w:sz w:val="21"/>
                <w:szCs w:val="21"/>
                <w:lang w:val="en-US" w:eastAsia="zh-CN"/>
              </w:rPr>
              <w:t>以上相关</w:t>
            </w:r>
            <w:r>
              <w:rPr>
                <w:rFonts w:hint="eastAsia" w:asciiTheme="minorEastAsia" w:hAnsiTheme="minorEastAsia" w:eastAsiaTheme="minorEastAsia" w:cstheme="minorEastAsia"/>
                <w:bCs/>
                <w:sz w:val="21"/>
                <w:szCs w:val="21"/>
              </w:rPr>
              <w:t>费用包含在投标总价中）。</w:t>
            </w:r>
          </w:p>
        </w:tc>
      </w:tr>
      <w:tr w14:paraId="4271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82" w:type="dxa"/>
            <w:tcBorders>
              <w:top w:val="single" w:color="auto" w:sz="4" w:space="0"/>
              <w:left w:val="single" w:color="auto" w:sz="4" w:space="0"/>
              <w:bottom w:val="single" w:color="auto" w:sz="4" w:space="0"/>
              <w:right w:val="single" w:color="auto" w:sz="4" w:space="0"/>
            </w:tcBorders>
            <w:vAlign w:val="center"/>
          </w:tcPr>
          <w:p w14:paraId="11708B27">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w:t>
            </w:r>
          </w:p>
        </w:tc>
        <w:tc>
          <w:tcPr>
            <w:tcW w:w="1490" w:type="dxa"/>
            <w:tcBorders>
              <w:top w:val="single" w:color="auto" w:sz="4" w:space="0"/>
              <w:left w:val="single" w:color="auto" w:sz="4" w:space="0"/>
              <w:bottom w:val="single" w:color="auto" w:sz="4" w:space="0"/>
              <w:right w:val="single" w:color="auto" w:sz="4" w:space="0"/>
            </w:tcBorders>
            <w:vAlign w:val="center"/>
          </w:tcPr>
          <w:p w14:paraId="25971A3B">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应急预案</w:t>
            </w:r>
          </w:p>
          <w:p w14:paraId="30D612B7">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需求</w:t>
            </w:r>
          </w:p>
        </w:tc>
        <w:tc>
          <w:tcPr>
            <w:tcW w:w="7330" w:type="dxa"/>
            <w:tcBorders>
              <w:top w:val="single" w:color="auto" w:sz="4" w:space="0"/>
              <w:left w:val="single" w:color="auto" w:sz="4" w:space="0"/>
              <w:bottom w:val="single" w:color="auto" w:sz="4" w:space="0"/>
              <w:right w:val="single" w:color="auto" w:sz="4" w:space="0"/>
            </w:tcBorders>
            <w:vAlign w:val="center"/>
          </w:tcPr>
          <w:p w14:paraId="1F98C2AF">
            <w:pPr>
              <w:widowControl/>
              <w:tabs>
                <w:tab w:val="left" w:pos="3697"/>
              </w:tabs>
              <w:kinsoku w:val="0"/>
              <w:autoSpaceDE w:val="0"/>
              <w:autoSpaceDN w:val="0"/>
              <w:adjustRightInd w:val="0"/>
              <w:snapToGrid w:val="0"/>
              <w:textAlignment w:val="baseline"/>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发生突发问题厂家需携带可使用的备用机24小时内到场，根据现场情况采用现场维修或备用机替代的方法，确保手术顺利进行。</w:t>
            </w:r>
          </w:p>
        </w:tc>
      </w:tr>
      <w:tr w14:paraId="7CDB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82" w:type="dxa"/>
            <w:tcBorders>
              <w:top w:val="single" w:color="auto" w:sz="4" w:space="0"/>
              <w:left w:val="single" w:color="auto" w:sz="4" w:space="0"/>
              <w:bottom w:val="single" w:color="auto" w:sz="4" w:space="0"/>
              <w:right w:val="single" w:color="auto" w:sz="4" w:space="0"/>
            </w:tcBorders>
            <w:vAlign w:val="center"/>
          </w:tcPr>
          <w:p w14:paraId="17BB5F29">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w:t>
            </w:r>
          </w:p>
        </w:tc>
        <w:tc>
          <w:tcPr>
            <w:tcW w:w="1490" w:type="dxa"/>
            <w:tcBorders>
              <w:top w:val="single" w:color="auto" w:sz="4" w:space="0"/>
              <w:left w:val="single" w:color="auto" w:sz="4" w:space="0"/>
              <w:bottom w:val="single" w:color="auto" w:sz="4" w:space="0"/>
              <w:right w:val="single" w:color="auto" w:sz="4" w:space="0"/>
            </w:tcBorders>
            <w:vAlign w:val="center"/>
          </w:tcPr>
          <w:p w14:paraId="0A3E584D">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定期三级保养/维护及履约评价需求</w:t>
            </w:r>
          </w:p>
        </w:tc>
        <w:tc>
          <w:tcPr>
            <w:tcW w:w="7330" w:type="dxa"/>
            <w:tcBorders>
              <w:top w:val="single" w:color="auto" w:sz="4" w:space="0"/>
              <w:left w:val="single" w:color="auto" w:sz="4" w:space="0"/>
              <w:bottom w:val="single" w:color="auto" w:sz="4" w:space="0"/>
              <w:right w:val="single" w:color="auto" w:sz="4" w:space="0"/>
            </w:tcBorders>
            <w:vAlign w:val="center"/>
          </w:tcPr>
          <w:p w14:paraId="14CE427D">
            <w:pPr>
              <w:spacing w:line="36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设备保养、维修服务应由厂家工程师或授权维修企业工程师负责，按产品说明书规定或相关行业规定进行保养，</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每半年进行三级保养，并提供三级保养报告</w:t>
            </w:r>
            <w:r>
              <w:rPr>
                <w:rFonts w:hint="eastAsia" w:asciiTheme="minorEastAsia" w:hAnsiTheme="minorEastAsia" w:eastAsiaTheme="minorEastAsia" w:cstheme="minorEastAsia"/>
                <w:bCs/>
                <w:sz w:val="21"/>
                <w:szCs w:val="21"/>
              </w:rPr>
              <w:t>。并免费提供技术咨询服务。</w:t>
            </w:r>
          </w:p>
          <w:p w14:paraId="47D977F2">
            <w:pPr>
              <w:spacing w:line="36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货物到达指定位置十日后由临床使用人与归口管理科室进行设备应用质量评价，达到使用质量评价要求后完成验收流程。</w:t>
            </w:r>
          </w:p>
        </w:tc>
      </w:tr>
      <w:tr w14:paraId="2CCA1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82" w:type="dxa"/>
            <w:tcBorders>
              <w:top w:val="single" w:color="auto" w:sz="4" w:space="0"/>
              <w:left w:val="single" w:color="auto" w:sz="4" w:space="0"/>
              <w:bottom w:val="single" w:color="auto" w:sz="4" w:space="0"/>
              <w:right w:val="single" w:color="auto" w:sz="4" w:space="0"/>
            </w:tcBorders>
            <w:vAlign w:val="center"/>
          </w:tcPr>
          <w:p w14:paraId="079DA222">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w:t>
            </w:r>
          </w:p>
        </w:tc>
        <w:tc>
          <w:tcPr>
            <w:tcW w:w="1490" w:type="dxa"/>
            <w:tcBorders>
              <w:top w:val="single" w:color="auto" w:sz="4" w:space="0"/>
              <w:left w:val="single" w:color="auto" w:sz="4" w:space="0"/>
              <w:bottom w:val="single" w:color="auto" w:sz="4" w:space="0"/>
              <w:right w:val="single" w:color="auto" w:sz="4" w:space="0"/>
            </w:tcBorders>
            <w:vAlign w:val="center"/>
          </w:tcPr>
          <w:p w14:paraId="456198F1">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其他</w:t>
            </w:r>
          </w:p>
        </w:tc>
        <w:tc>
          <w:tcPr>
            <w:tcW w:w="7330" w:type="dxa"/>
            <w:tcBorders>
              <w:top w:val="single" w:color="auto" w:sz="4" w:space="0"/>
              <w:left w:val="single" w:color="auto" w:sz="4" w:space="0"/>
              <w:bottom w:val="single" w:color="auto" w:sz="4" w:space="0"/>
              <w:right w:val="single" w:color="auto" w:sz="4" w:space="0"/>
            </w:tcBorders>
            <w:vAlign w:val="center"/>
          </w:tcPr>
          <w:p w14:paraId="4C351DEE">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Cs/>
                <w:sz w:val="21"/>
                <w:szCs w:val="21"/>
              </w:rPr>
              <w:t>投标人应按其投标文件中的承诺，进行其他售后服务工作。</w:t>
            </w:r>
          </w:p>
        </w:tc>
      </w:tr>
      <w:tr w14:paraId="1F344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602" w:type="dxa"/>
            <w:gridSpan w:val="3"/>
            <w:tcBorders>
              <w:top w:val="single" w:color="auto" w:sz="4" w:space="0"/>
              <w:left w:val="single" w:color="auto" w:sz="4" w:space="0"/>
              <w:bottom w:val="single" w:color="auto" w:sz="4" w:space="0"/>
              <w:right w:val="single" w:color="auto" w:sz="4" w:space="0"/>
            </w:tcBorders>
          </w:tcPr>
          <w:p w14:paraId="611935DD">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（二）免费保修期外售后服务要求</w:t>
            </w:r>
          </w:p>
        </w:tc>
      </w:tr>
      <w:tr w14:paraId="68A8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tcBorders>
              <w:top w:val="single" w:color="auto" w:sz="4" w:space="0"/>
              <w:left w:val="single" w:color="auto" w:sz="4" w:space="0"/>
              <w:bottom w:val="single" w:color="auto" w:sz="4" w:space="0"/>
              <w:right w:val="single" w:color="auto" w:sz="4" w:space="0"/>
            </w:tcBorders>
            <w:vAlign w:val="center"/>
          </w:tcPr>
          <w:p w14:paraId="33ED365D">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c>
          <w:tcPr>
            <w:tcW w:w="1490" w:type="dxa"/>
            <w:tcBorders>
              <w:top w:val="single" w:color="auto" w:sz="4" w:space="0"/>
              <w:left w:val="single" w:color="auto" w:sz="4" w:space="0"/>
              <w:bottom w:val="single" w:color="auto" w:sz="4" w:space="0"/>
              <w:right w:val="single" w:color="auto" w:sz="4" w:space="0"/>
            </w:tcBorders>
            <w:vAlign w:val="center"/>
          </w:tcPr>
          <w:p w14:paraId="2E4B5F62">
            <w:pPr>
              <w:spacing w:line="360" w:lineRule="exact"/>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关于免费保修期后维修服务</w:t>
            </w:r>
          </w:p>
        </w:tc>
        <w:tc>
          <w:tcPr>
            <w:tcW w:w="7330" w:type="dxa"/>
            <w:tcBorders>
              <w:top w:val="single" w:color="auto" w:sz="4" w:space="0"/>
              <w:left w:val="single" w:color="auto" w:sz="4" w:space="0"/>
              <w:bottom w:val="single" w:color="auto" w:sz="4" w:space="0"/>
              <w:right w:val="single" w:color="auto" w:sz="4" w:space="0"/>
            </w:tcBorders>
          </w:tcPr>
          <w:p w14:paraId="1C970506">
            <w:pPr>
              <w:spacing w:line="36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修期满后，以成本的优惠价供应维修零配件，以成本的优惠价供应消耗品；需维修设备经使用部门验收合格且厂家提供维修专用发票后，采购人仅支付配件费用。中标人及维修厂家不得以任何理由不按时进行设备维修。</w:t>
            </w:r>
          </w:p>
        </w:tc>
      </w:tr>
      <w:tr w14:paraId="6897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tcBorders>
              <w:top w:val="single" w:color="auto" w:sz="4" w:space="0"/>
              <w:left w:val="single" w:color="auto" w:sz="4" w:space="0"/>
              <w:bottom w:val="single" w:color="auto" w:sz="4" w:space="0"/>
              <w:right w:val="single" w:color="auto" w:sz="4" w:space="0"/>
            </w:tcBorders>
            <w:vAlign w:val="center"/>
          </w:tcPr>
          <w:p w14:paraId="24B0CB6C">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p>
        </w:tc>
        <w:tc>
          <w:tcPr>
            <w:tcW w:w="1490" w:type="dxa"/>
            <w:tcBorders>
              <w:top w:val="single" w:color="auto" w:sz="4" w:space="0"/>
              <w:left w:val="single" w:color="auto" w:sz="4" w:space="0"/>
              <w:bottom w:val="single" w:color="auto" w:sz="4" w:space="0"/>
              <w:right w:val="single" w:color="auto" w:sz="4" w:space="0"/>
            </w:tcBorders>
            <w:vAlign w:val="center"/>
          </w:tcPr>
          <w:p w14:paraId="2D78BDBC">
            <w:pPr>
              <w:spacing w:line="360" w:lineRule="exact"/>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关于培训</w:t>
            </w:r>
          </w:p>
        </w:tc>
        <w:tc>
          <w:tcPr>
            <w:tcW w:w="7330" w:type="dxa"/>
            <w:tcBorders>
              <w:top w:val="single" w:color="auto" w:sz="4" w:space="0"/>
              <w:left w:val="single" w:color="auto" w:sz="4" w:space="0"/>
              <w:bottom w:val="single" w:color="auto" w:sz="4" w:space="0"/>
              <w:right w:val="single" w:color="auto" w:sz="4" w:space="0"/>
            </w:tcBorders>
          </w:tcPr>
          <w:p w14:paraId="0C13A46D">
            <w:pPr>
              <w:spacing w:line="36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中标人有义务根据提供的要求进行每年不少于一次的培训。</w:t>
            </w:r>
          </w:p>
        </w:tc>
      </w:tr>
      <w:tr w14:paraId="199B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9602" w:type="dxa"/>
            <w:gridSpan w:val="3"/>
            <w:tcBorders>
              <w:top w:val="single" w:color="auto" w:sz="4" w:space="0"/>
              <w:left w:val="single" w:color="auto" w:sz="4" w:space="0"/>
              <w:bottom w:val="single" w:color="auto" w:sz="4" w:space="0"/>
              <w:right w:val="single" w:color="auto" w:sz="4" w:space="0"/>
            </w:tcBorders>
          </w:tcPr>
          <w:p w14:paraId="1A5DBFFE">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（三）其他商务要求</w:t>
            </w:r>
          </w:p>
        </w:tc>
      </w:tr>
      <w:tr w14:paraId="295A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82" w:type="dxa"/>
            <w:vMerge w:val="restart"/>
            <w:tcBorders>
              <w:top w:val="nil"/>
              <w:left w:val="single" w:color="auto" w:sz="4" w:space="0"/>
              <w:right w:val="single" w:color="auto" w:sz="4" w:space="0"/>
            </w:tcBorders>
            <w:vAlign w:val="center"/>
          </w:tcPr>
          <w:p w14:paraId="71E51181">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tc>
        <w:tc>
          <w:tcPr>
            <w:tcW w:w="1490" w:type="dxa"/>
            <w:vMerge w:val="restart"/>
            <w:tcBorders>
              <w:top w:val="single" w:color="auto" w:sz="4" w:space="0"/>
              <w:left w:val="single" w:color="auto" w:sz="4" w:space="0"/>
              <w:right w:val="single" w:color="auto" w:sz="4" w:space="0"/>
            </w:tcBorders>
            <w:vAlign w:val="center"/>
          </w:tcPr>
          <w:p w14:paraId="7BDD6CC8">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关于交货</w:t>
            </w:r>
          </w:p>
        </w:tc>
        <w:tc>
          <w:tcPr>
            <w:tcW w:w="7330" w:type="dxa"/>
            <w:tcBorders>
              <w:top w:val="single" w:color="auto" w:sz="4" w:space="0"/>
              <w:left w:val="single" w:color="auto" w:sz="4" w:space="0"/>
              <w:bottom w:val="single" w:color="auto" w:sz="4" w:space="0"/>
              <w:right w:val="single" w:color="auto" w:sz="4" w:space="0"/>
            </w:tcBorders>
          </w:tcPr>
          <w:p w14:paraId="78A33CA6">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1.1交货地点：深圳市福田区莲花路1120号</w:t>
            </w:r>
          </w:p>
        </w:tc>
      </w:tr>
      <w:tr w14:paraId="2445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782" w:type="dxa"/>
            <w:vMerge w:val="continue"/>
            <w:tcBorders>
              <w:left w:val="single" w:color="auto" w:sz="4" w:space="0"/>
              <w:right w:val="single" w:color="auto" w:sz="4" w:space="0"/>
            </w:tcBorders>
            <w:vAlign w:val="center"/>
          </w:tcPr>
          <w:p w14:paraId="14C15E30">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594702BF">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144132C7">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highlight w:val="yellow"/>
              </w:rPr>
              <w:t>★1.2中标人应在合同签订后</w:t>
            </w:r>
            <w:r>
              <w:rPr>
                <w:rFonts w:hint="eastAsia" w:asciiTheme="minorEastAsia" w:hAnsiTheme="minorEastAsia" w:eastAsiaTheme="minorEastAsia" w:cstheme="minorEastAsia"/>
                <w:bCs/>
                <w:sz w:val="21"/>
                <w:szCs w:val="21"/>
                <w:highlight w:val="yellow"/>
                <w:u w:val="single"/>
              </w:rPr>
              <w:t>30</w:t>
            </w:r>
            <w:r>
              <w:rPr>
                <w:rFonts w:hint="eastAsia" w:asciiTheme="minorEastAsia" w:hAnsiTheme="minorEastAsia" w:eastAsiaTheme="minorEastAsia" w:cstheme="minorEastAsia"/>
                <w:bCs/>
                <w:sz w:val="21"/>
                <w:szCs w:val="21"/>
                <w:highlight w:val="yellow"/>
              </w:rPr>
              <w:t>日</w:t>
            </w:r>
            <w:r>
              <w:rPr>
                <w:rFonts w:hint="eastAsia" w:asciiTheme="minorEastAsia" w:hAnsiTheme="minorEastAsia" w:eastAsiaTheme="minorEastAsia" w:cstheme="minorEastAsia"/>
                <w:bCs/>
                <w:sz w:val="21"/>
                <w:szCs w:val="21"/>
                <w:highlight w:val="yellow"/>
                <w:lang w:eastAsia="zh-CN"/>
              </w:rPr>
              <w:t>（</w:t>
            </w:r>
            <w:r>
              <w:rPr>
                <w:rFonts w:hint="eastAsia" w:asciiTheme="minorEastAsia" w:hAnsiTheme="minorEastAsia" w:eastAsiaTheme="minorEastAsia" w:cstheme="minorEastAsia"/>
                <w:bCs/>
                <w:sz w:val="21"/>
                <w:szCs w:val="21"/>
                <w:highlight w:val="yellow"/>
                <w:lang w:val="en-US" w:eastAsia="zh-CN"/>
              </w:rPr>
              <w:t>日历日</w:t>
            </w:r>
            <w:r>
              <w:rPr>
                <w:rFonts w:hint="eastAsia" w:asciiTheme="minorEastAsia" w:hAnsiTheme="minorEastAsia" w:eastAsiaTheme="minorEastAsia" w:cstheme="minorEastAsia"/>
                <w:bCs/>
                <w:sz w:val="21"/>
                <w:szCs w:val="21"/>
                <w:highlight w:val="yellow"/>
                <w:lang w:eastAsia="zh-CN"/>
              </w:rPr>
              <w:t>）</w:t>
            </w:r>
            <w:r>
              <w:rPr>
                <w:rFonts w:hint="eastAsia" w:asciiTheme="minorEastAsia" w:hAnsiTheme="minorEastAsia" w:eastAsiaTheme="minorEastAsia" w:cstheme="minorEastAsia"/>
                <w:bCs/>
                <w:sz w:val="21"/>
                <w:szCs w:val="21"/>
                <w:highlight w:val="yellow"/>
              </w:rPr>
              <w:t>内将现货安全无损送到采购人指定交货地点，并承担设备的包装、仓储、运输、保险、装卸、安装调试、培训（须同时提供培训视频文件，视频文件包括但不限于使用、保养、校准、质控等内容）、商检、保修期届满前备品备件等与采购设备及服务相关的所有含税费用。</w:t>
            </w:r>
          </w:p>
        </w:tc>
      </w:tr>
      <w:tr w14:paraId="585D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82" w:type="dxa"/>
            <w:vMerge w:val="continue"/>
            <w:tcBorders>
              <w:left w:val="single" w:color="auto" w:sz="4" w:space="0"/>
              <w:right w:val="single" w:color="auto" w:sz="4" w:space="0"/>
            </w:tcBorders>
            <w:vAlign w:val="center"/>
          </w:tcPr>
          <w:p w14:paraId="24771C12">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087CAA85">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31A66AD6">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1.3 中标人应指定交货人员，并在交货时一并提供交货清单以及全套、完整的纸质版或电子版技术文件，包括设备配置清单、产品说明书（操作、安装、保养等内容）、质量保证文件、服务指南等，所有外文资料须提供中文译本。如为大型设备安装需提供安装图纸，视频培训资料需一并提供。文件应随货物一并交付给采购人指定的验收人员，按照临床要求提供塑封便于悬挂的操作规程及注意事项。如涉及维修密码及更换配件密码，需提供给采购人指定的验收人员。</w:t>
            </w:r>
          </w:p>
        </w:tc>
      </w:tr>
      <w:tr w14:paraId="7A35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82" w:type="dxa"/>
            <w:vMerge w:val="continue"/>
            <w:tcBorders>
              <w:left w:val="single" w:color="auto" w:sz="4" w:space="0"/>
              <w:bottom w:val="single" w:color="auto" w:sz="4" w:space="0"/>
              <w:right w:val="single" w:color="auto" w:sz="4" w:space="0"/>
            </w:tcBorders>
            <w:vAlign w:val="center"/>
          </w:tcPr>
          <w:p w14:paraId="1275A7FC">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bottom w:val="single" w:color="auto" w:sz="4" w:space="0"/>
              <w:right w:val="single" w:color="auto" w:sz="4" w:space="0"/>
            </w:tcBorders>
            <w:vAlign w:val="center"/>
          </w:tcPr>
          <w:p w14:paraId="46BA39A0">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7141891C">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1.4中标人供货时须确保设备外观清洁，标记编号以及盘面显示等字体清晰、明确，能够准确无误地表示设备的型号、规格、制造商等，中标人须保证所提供的设备的可追溯性。</w:t>
            </w:r>
          </w:p>
        </w:tc>
      </w:tr>
      <w:tr w14:paraId="2592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82" w:type="dxa"/>
            <w:vMerge w:val="continue"/>
            <w:tcBorders>
              <w:left w:val="single" w:color="auto" w:sz="4" w:space="0"/>
              <w:bottom w:val="single" w:color="auto" w:sz="4" w:space="0"/>
              <w:right w:val="single" w:color="auto" w:sz="4" w:space="0"/>
            </w:tcBorders>
            <w:vAlign w:val="center"/>
          </w:tcPr>
          <w:p w14:paraId="043D4598">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bottom w:val="single" w:color="auto" w:sz="4" w:space="0"/>
              <w:right w:val="single" w:color="auto" w:sz="4" w:space="0"/>
            </w:tcBorders>
            <w:vAlign w:val="center"/>
          </w:tcPr>
          <w:p w14:paraId="3DA380E8">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44950FF5">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1.5中标人提供的设备包装应符合法律法规以及国家相关行业标准。中标人应确保设备安全、卫生、包装完好无损地运交采购人。非因采购人原因，对于在运输和销售过程中有破损或不符合本招标文件约定的包装，采购人有权拒收，中标人应予全部退换，否则由此造成的一切损失及费用由中标人承担。</w:t>
            </w:r>
          </w:p>
        </w:tc>
      </w:tr>
      <w:tr w14:paraId="421D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82" w:type="dxa"/>
            <w:vMerge w:val="continue"/>
            <w:tcBorders>
              <w:left w:val="single" w:color="auto" w:sz="4" w:space="0"/>
              <w:bottom w:val="single" w:color="auto" w:sz="4" w:space="0"/>
              <w:right w:val="single" w:color="auto" w:sz="4" w:space="0"/>
            </w:tcBorders>
            <w:vAlign w:val="center"/>
          </w:tcPr>
          <w:p w14:paraId="704AE8E0">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bottom w:val="single" w:color="auto" w:sz="4" w:space="0"/>
              <w:right w:val="single" w:color="auto" w:sz="4" w:space="0"/>
            </w:tcBorders>
            <w:vAlign w:val="center"/>
          </w:tcPr>
          <w:p w14:paraId="04D4D3E3">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73D15E57">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1.6货物运输过程中直至采购人签收前发生的货物灭失、损毁等一切风险均由中标人承担。</w:t>
            </w:r>
          </w:p>
        </w:tc>
      </w:tr>
      <w:tr w14:paraId="5424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restart"/>
            <w:tcBorders>
              <w:top w:val="nil"/>
              <w:left w:val="single" w:color="auto" w:sz="4" w:space="0"/>
              <w:bottom w:val="single" w:color="auto" w:sz="4" w:space="0"/>
              <w:right w:val="single" w:color="auto" w:sz="4" w:space="0"/>
            </w:tcBorders>
            <w:vAlign w:val="center"/>
          </w:tcPr>
          <w:p w14:paraId="70EBB61E">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p>
        </w:tc>
        <w:tc>
          <w:tcPr>
            <w:tcW w:w="1490" w:type="dxa"/>
            <w:vMerge w:val="restart"/>
            <w:tcBorders>
              <w:top w:val="nil"/>
              <w:left w:val="single" w:color="auto" w:sz="4" w:space="0"/>
              <w:bottom w:val="single" w:color="auto" w:sz="4" w:space="0"/>
              <w:right w:val="single" w:color="auto" w:sz="4" w:space="0"/>
            </w:tcBorders>
            <w:vAlign w:val="center"/>
          </w:tcPr>
          <w:p w14:paraId="1DB69C6E">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安装调试及验收</w:t>
            </w:r>
          </w:p>
        </w:tc>
        <w:tc>
          <w:tcPr>
            <w:tcW w:w="7330" w:type="dxa"/>
            <w:tcBorders>
              <w:top w:val="single" w:color="auto" w:sz="4" w:space="0"/>
              <w:left w:val="single" w:color="auto" w:sz="4" w:space="0"/>
              <w:bottom w:val="single" w:color="auto" w:sz="4" w:space="0"/>
              <w:right w:val="single" w:color="auto" w:sz="4" w:space="0"/>
            </w:tcBorders>
          </w:tcPr>
          <w:p w14:paraId="019BE16F">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2.1 中标人提供安装服务，设备安装服务应由厂家工程师完成，以确保安装质量。中标人和厂家应在货物运至指定地点后，按照采购人指定时间完成安装、调试（</w:t>
            </w:r>
            <w:r>
              <w:rPr>
                <w:rFonts w:hint="eastAsia" w:asciiTheme="minorEastAsia" w:hAnsiTheme="minorEastAsia" w:eastAsiaTheme="minorEastAsia" w:cstheme="minorEastAsia"/>
                <w:bCs/>
                <w:sz w:val="21"/>
                <w:szCs w:val="21"/>
                <w:lang w:val="en-US" w:eastAsia="zh-CN"/>
              </w:rPr>
              <w:t>以上相关</w:t>
            </w:r>
            <w:r>
              <w:rPr>
                <w:rFonts w:hint="eastAsia" w:asciiTheme="minorEastAsia" w:hAnsiTheme="minorEastAsia" w:eastAsiaTheme="minorEastAsia" w:cstheme="minorEastAsia"/>
                <w:bCs/>
                <w:sz w:val="21"/>
                <w:szCs w:val="21"/>
              </w:rPr>
              <w:t>费用包含在投标总价中）。</w:t>
            </w:r>
          </w:p>
        </w:tc>
      </w:tr>
      <w:tr w14:paraId="6DF6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top w:val="nil"/>
              <w:left w:val="single" w:color="auto" w:sz="4" w:space="0"/>
              <w:bottom w:val="single" w:color="auto" w:sz="4" w:space="0"/>
              <w:right w:val="single" w:color="auto" w:sz="4" w:space="0"/>
            </w:tcBorders>
            <w:vAlign w:val="center"/>
          </w:tcPr>
          <w:p w14:paraId="08C69F12">
            <w:pPr>
              <w:widowControl/>
              <w:jc w:val="left"/>
              <w:rPr>
                <w:rFonts w:hint="eastAsia" w:asciiTheme="minorEastAsia" w:hAnsiTheme="minorEastAsia" w:eastAsiaTheme="minorEastAsia" w:cstheme="minorEastAsia"/>
                <w:bCs/>
                <w:sz w:val="21"/>
                <w:szCs w:val="21"/>
              </w:rPr>
            </w:pPr>
          </w:p>
        </w:tc>
        <w:tc>
          <w:tcPr>
            <w:tcW w:w="1490" w:type="dxa"/>
            <w:vMerge w:val="continue"/>
            <w:tcBorders>
              <w:top w:val="nil"/>
              <w:left w:val="single" w:color="auto" w:sz="4" w:space="0"/>
              <w:bottom w:val="single" w:color="auto" w:sz="4" w:space="0"/>
              <w:right w:val="single" w:color="auto" w:sz="4" w:space="0"/>
            </w:tcBorders>
            <w:vAlign w:val="center"/>
          </w:tcPr>
          <w:p w14:paraId="46D12079">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5FD79EDE">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2.2 货物收到后，采购人按合同和招标、投标文件约定的要求和标准及中华人民共和国现行的验收规范和评定标准进行交货验收。采购人有权通知中标人按照规定时间到场参与共同验收，经双方检验认可后，签署验收报告。</w:t>
            </w:r>
          </w:p>
        </w:tc>
      </w:tr>
      <w:tr w14:paraId="13F6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top w:val="nil"/>
              <w:left w:val="single" w:color="auto" w:sz="4" w:space="0"/>
              <w:bottom w:val="single" w:color="auto" w:sz="4" w:space="0"/>
              <w:right w:val="single" w:color="auto" w:sz="4" w:space="0"/>
            </w:tcBorders>
            <w:vAlign w:val="center"/>
          </w:tcPr>
          <w:p w14:paraId="269E7191">
            <w:pPr>
              <w:widowControl/>
              <w:jc w:val="left"/>
              <w:rPr>
                <w:rFonts w:hint="eastAsia" w:asciiTheme="minorEastAsia" w:hAnsiTheme="minorEastAsia" w:eastAsiaTheme="minorEastAsia" w:cstheme="minorEastAsia"/>
                <w:bCs/>
                <w:sz w:val="21"/>
                <w:szCs w:val="21"/>
              </w:rPr>
            </w:pPr>
          </w:p>
        </w:tc>
        <w:tc>
          <w:tcPr>
            <w:tcW w:w="1490" w:type="dxa"/>
            <w:vMerge w:val="continue"/>
            <w:tcBorders>
              <w:top w:val="nil"/>
              <w:left w:val="single" w:color="auto" w:sz="4" w:space="0"/>
              <w:bottom w:val="single" w:color="auto" w:sz="4" w:space="0"/>
              <w:right w:val="single" w:color="auto" w:sz="4" w:space="0"/>
            </w:tcBorders>
            <w:vAlign w:val="center"/>
          </w:tcPr>
          <w:p w14:paraId="27777F0D">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2E51D21E">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2.3 中标人货物经过双方检验认可后，签署验收报告，产品保修期自最终验收合格并交付使用之日起计算，由投标人提供产品保修文件。</w:t>
            </w:r>
          </w:p>
        </w:tc>
      </w:tr>
      <w:tr w14:paraId="2A0A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top w:val="nil"/>
              <w:left w:val="single" w:color="auto" w:sz="4" w:space="0"/>
              <w:bottom w:val="single" w:color="auto" w:sz="4" w:space="0"/>
              <w:right w:val="single" w:color="auto" w:sz="4" w:space="0"/>
            </w:tcBorders>
            <w:vAlign w:val="center"/>
          </w:tcPr>
          <w:p w14:paraId="745E65E7">
            <w:pPr>
              <w:widowControl/>
              <w:jc w:val="left"/>
              <w:rPr>
                <w:rFonts w:hint="eastAsia" w:asciiTheme="minorEastAsia" w:hAnsiTheme="minorEastAsia" w:eastAsiaTheme="minorEastAsia" w:cstheme="minorEastAsia"/>
                <w:bCs/>
                <w:sz w:val="21"/>
                <w:szCs w:val="21"/>
              </w:rPr>
            </w:pPr>
          </w:p>
        </w:tc>
        <w:tc>
          <w:tcPr>
            <w:tcW w:w="1490" w:type="dxa"/>
            <w:vMerge w:val="continue"/>
            <w:tcBorders>
              <w:top w:val="nil"/>
              <w:left w:val="single" w:color="auto" w:sz="4" w:space="0"/>
              <w:bottom w:val="single" w:color="auto" w:sz="4" w:space="0"/>
              <w:right w:val="single" w:color="auto" w:sz="4" w:space="0"/>
            </w:tcBorders>
            <w:vAlign w:val="center"/>
          </w:tcPr>
          <w:p w14:paraId="647849B9">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75B13351">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2.4 验收过程中，采购人有权委托有资质的检测机构检验或测试货物，以确认货物是否符合招投标文件和合同要求，所产生的检测费用由中标人预先支付，如检测不合格的，费用由中标人承担并承担验收不合格的责任；如检测合格的，费用由采购人承担。如果发现所交货物不符合要求，存在质量、技术缺陷等问题，包括潜在的缺陷或使用不符合要求的材料的，采购人可以拒绝接收该货物，中标人应在30日</w:t>
            </w:r>
            <w:r>
              <w:rPr>
                <w:rFonts w:hint="eastAsia" w:asciiTheme="minorEastAsia" w:hAnsiTheme="minorEastAsia" w:eastAsiaTheme="minorEastAsia" w:cstheme="minorEastAsia"/>
                <w:bCs/>
                <w:sz w:val="21"/>
                <w:szCs w:val="21"/>
                <w:lang w:eastAsia="zh-CN"/>
              </w:rPr>
              <w:t>（</w:t>
            </w:r>
            <w:r>
              <w:rPr>
                <w:rFonts w:hint="eastAsia" w:asciiTheme="minorEastAsia" w:hAnsiTheme="minorEastAsia" w:eastAsiaTheme="minorEastAsia" w:cstheme="minorEastAsia"/>
                <w:bCs/>
                <w:sz w:val="21"/>
                <w:szCs w:val="21"/>
                <w:lang w:val="en-US" w:eastAsia="zh-CN"/>
              </w:rPr>
              <w:t>日历日</w:t>
            </w:r>
            <w:r>
              <w:rPr>
                <w:rFonts w:hint="eastAsia" w:asciiTheme="minorEastAsia" w:hAnsiTheme="minorEastAsia" w:eastAsiaTheme="minorEastAsia" w:cstheme="minorEastAsia"/>
                <w:bCs/>
                <w:sz w:val="21"/>
                <w:szCs w:val="21"/>
                <w:lang w:eastAsia="zh-CN"/>
              </w:rPr>
              <w:t>）</w:t>
            </w:r>
            <w:r>
              <w:rPr>
                <w:rFonts w:hint="eastAsia" w:asciiTheme="minorEastAsia" w:hAnsiTheme="minorEastAsia" w:eastAsiaTheme="minorEastAsia" w:cstheme="minorEastAsia"/>
                <w:bCs/>
                <w:sz w:val="21"/>
                <w:szCs w:val="21"/>
              </w:rPr>
              <w:t>内采取更换与合同要求相符的货物，由此发生的一切损失和费用由中标人承担，逾期未更换或更换货物仍不合格的，采购人有权做验收不合格处理。</w:t>
            </w:r>
          </w:p>
        </w:tc>
      </w:tr>
      <w:tr w14:paraId="3C25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top w:val="nil"/>
              <w:left w:val="single" w:color="auto" w:sz="4" w:space="0"/>
              <w:bottom w:val="single" w:color="auto" w:sz="4" w:space="0"/>
              <w:right w:val="single" w:color="auto" w:sz="4" w:space="0"/>
            </w:tcBorders>
            <w:vAlign w:val="center"/>
          </w:tcPr>
          <w:p w14:paraId="75B3DAA5">
            <w:pPr>
              <w:widowControl/>
              <w:jc w:val="left"/>
              <w:rPr>
                <w:rFonts w:hint="eastAsia" w:asciiTheme="minorEastAsia" w:hAnsiTheme="minorEastAsia" w:eastAsiaTheme="minorEastAsia" w:cstheme="minorEastAsia"/>
                <w:bCs/>
                <w:sz w:val="21"/>
                <w:szCs w:val="21"/>
              </w:rPr>
            </w:pPr>
          </w:p>
        </w:tc>
        <w:tc>
          <w:tcPr>
            <w:tcW w:w="1490" w:type="dxa"/>
            <w:vMerge w:val="continue"/>
            <w:tcBorders>
              <w:top w:val="nil"/>
              <w:left w:val="single" w:color="auto" w:sz="4" w:space="0"/>
              <w:bottom w:val="single" w:color="auto" w:sz="4" w:space="0"/>
              <w:right w:val="single" w:color="auto" w:sz="4" w:space="0"/>
            </w:tcBorders>
            <w:vAlign w:val="center"/>
          </w:tcPr>
          <w:p w14:paraId="0FD7DD63">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6754D2BD">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sz w:val="21"/>
                <w:szCs w:val="21"/>
              </w:rPr>
              <w:t>2.5 放射类设备须委托采购人认可的有资质的检测公司，协助采购人完成项目预控评、辐射安全许可证以及放射诊疗许可证等相关工作（完成后交钥匙工程），由此产生的费用均由中标人承担。</w:t>
            </w:r>
          </w:p>
        </w:tc>
      </w:tr>
      <w:tr w14:paraId="2CD4C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top w:val="nil"/>
              <w:left w:val="single" w:color="auto" w:sz="4" w:space="0"/>
              <w:bottom w:val="single" w:color="auto" w:sz="4" w:space="0"/>
              <w:right w:val="single" w:color="auto" w:sz="4" w:space="0"/>
            </w:tcBorders>
            <w:vAlign w:val="center"/>
          </w:tcPr>
          <w:p w14:paraId="0733DC2A">
            <w:pPr>
              <w:widowControl/>
              <w:jc w:val="left"/>
              <w:rPr>
                <w:rFonts w:hint="eastAsia" w:asciiTheme="minorEastAsia" w:hAnsiTheme="minorEastAsia" w:eastAsiaTheme="minorEastAsia" w:cstheme="minorEastAsia"/>
                <w:bCs/>
                <w:sz w:val="21"/>
                <w:szCs w:val="21"/>
              </w:rPr>
            </w:pPr>
          </w:p>
        </w:tc>
        <w:tc>
          <w:tcPr>
            <w:tcW w:w="1490" w:type="dxa"/>
            <w:vMerge w:val="continue"/>
            <w:tcBorders>
              <w:top w:val="nil"/>
              <w:left w:val="single" w:color="auto" w:sz="4" w:space="0"/>
              <w:bottom w:val="single" w:color="auto" w:sz="4" w:space="0"/>
              <w:right w:val="single" w:color="auto" w:sz="4" w:space="0"/>
            </w:tcBorders>
            <w:vAlign w:val="center"/>
          </w:tcPr>
          <w:p w14:paraId="6B91E09E">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5662F16D">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2.6 设备为特种设备的，中标人应提供相关特种检测部门出具的合格检测报告，并办理相应的特种设备使用登记证（</w:t>
            </w:r>
            <w:r>
              <w:rPr>
                <w:rFonts w:hint="eastAsia" w:asciiTheme="minorEastAsia" w:hAnsiTheme="minorEastAsia" w:eastAsiaTheme="minorEastAsia" w:cstheme="minorEastAsia"/>
                <w:bCs/>
                <w:sz w:val="21"/>
                <w:szCs w:val="21"/>
                <w:lang w:val="en-US" w:eastAsia="zh-CN"/>
              </w:rPr>
              <w:t>相关</w:t>
            </w:r>
            <w:r>
              <w:rPr>
                <w:rFonts w:hint="eastAsia" w:asciiTheme="minorEastAsia" w:hAnsiTheme="minorEastAsia" w:eastAsiaTheme="minorEastAsia" w:cstheme="minorEastAsia"/>
                <w:bCs/>
                <w:sz w:val="21"/>
                <w:szCs w:val="21"/>
              </w:rPr>
              <w:t>费用包含在投标总价中）。</w:t>
            </w:r>
          </w:p>
        </w:tc>
      </w:tr>
      <w:tr w14:paraId="6BD6F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0" w:hRule="atLeast"/>
        </w:trPr>
        <w:tc>
          <w:tcPr>
            <w:tcW w:w="782" w:type="dxa"/>
            <w:vMerge w:val="continue"/>
            <w:tcBorders>
              <w:top w:val="nil"/>
              <w:left w:val="single" w:color="auto" w:sz="4" w:space="0"/>
              <w:bottom w:val="single" w:color="auto" w:sz="4" w:space="0"/>
              <w:right w:val="single" w:color="auto" w:sz="4" w:space="0"/>
            </w:tcBorders>
            <w:vAlign w:val="center"/>
          </w:tcPr>
          <w:p w14:paraId="7B2245C4">
            <w:pPr>
              <w:widowControl/>
              <w:jc w:val="left"/>
              <w:rPr>
                <w:rFonts w:hint="eastAsia" w:asciiTheme="minorEastAsia" w:hAnsiTheme="minorEastAsia" w:eastAsiaTheme="minorEastAsia" w:cstheme="minorEastAsia"/>
                <w:bCs/>
                <w:sz w:val="21"/>
                <w:szCs w:val="21"/>
              </w:rPr>
            </w:pPr>
          </w:p>
        </w:tc>
        <w:tc>
          <w:tcPr>
            <w:tcW w:w="1490" w:type="dxa"/>
            <w:vMerge w:val="continue"/>
            <w:tcBorders>
              <w:top w:val="nil"/>
              <w:left w:val="single" w:color="auto" w:sz="4" w:space="0"/>
              <w:bottom w:val="single" w:color="auto" w:sz="4" w:space="0"/>
              <w:right w:val="single" w:color="auto" w:sz="4" w:space="0"/>
            </w:tcBorders>
            <w:vAlign w:val="center"/>
          </w:tcPr>
          <w:p w14:paraId="6CDB6D42">
            <w:pPr>
              <w:widowControl/>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38FB5CF6">
            <w:pPr>
              <w:spacing w:line="340" w:lineRule="exact"/>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bCs/>
                <w:sz w:val="21"/>
                <w:szCs w:val="21"/>
                <w:highlight w:val="yellow"/>
              </w:rPr>
              <w:t>2.7当满足以下条件时，采购人才向中标人签发货物验收报告：</w:t>
            </w:r>
          </w:p>
          <w:p w14:paraId="1E2A1712">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（1）设备全新，外观无伤痕变形或明显修饰痕迹。</w:t>
            </w:r>
          </w:p>
          <w:p w14:paraId="4FC3CEE0">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2）如有国标，需符合有关规定；如无国标，则按照行业标准；如无国标及行业标准，则按双方约定执行。投标文件提供的技术数据经实测证实是真实的。检验及免费保修期内达到的性能指标与要求一致，达到或优于相应标准。</w:t>
            </w:r>
          </w:p>
          <w:p w14:paraId="25E45034">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（3）技术文件资料、备件等已按规定数量移交完毕。</w:t>
            </w:r>
          </w:p>
          <w:p w14:paraId="42E592CA">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（4）按照招标文件要求及投标文件提供的技术要求验收合格。</w:t>
            </w:r>
          </w:p>
          <w:p w14:paraId="7C3D1630">
            <w:pPr>
              <w:spacing w:line="340" w:lineRule="exact"/>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5）投标人提供的各种文件载明的内容应保证真实，其技术数据采购人有权要求投标人提供采购人认可的第三方按照双方同意的试验方法进行检测。检测结果需证明投标人提供的技术数据是真实的，否则视为不合格。</w:t>
            </w:r>
          </w:p>
          <w:p w14:paraId="4E89223A">
            <w:pPr>
              <w:spacing w:line="340" w:lineRule="exact"/>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（6）货物具备产品合格证。</w:t>
            </w:r>
          </w:p>
          <w:p w14:paraId="7DF2EF65">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highlight w:val="yellow"/>
              </w:rPr>
              <w:t>（7）在货物安装调试合格后，所有技术指标达到技术规范书要求，经验收合格后，双方共同签署验收报告。</w:t>
            </w:r>
          </w:p>
        </w:tc>
      </w:tr>
      <w:tr w14:paraId="237E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restart"/>
            <w:tcBorders>
              <w:top w:val="nil"/>
              <w:left w:val="single" w:color="auto" w:sz="4" w:space="0"/>
              <w:right w:val="single" w:color="auto" w:sz="4" w:space="0"/>
            </w:tcBorders>
            <w:vAlign w:val="center"/>
          </w:tcPr>
          <w:p w14:paraId="31E335A9">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w:t>
            </w:r>
          </w:p>
        </w:tc>
        <w:tc>
          <w:tcPr>
            <w:tcW w:w="1490" w:type="dxa"/>
            <w:vMerge w:val="restart"/>
            <w:tcBorders>
              <w:top w:val="nil"/>
              <w:left w:val="single" w:color="auto" w:sz="4" w:space="0"/>
              <w:right w:val="single" w:color="auto" w:sz="4" w:space="0"/>
            </w:tcBorders>
            <w:vAlign w:val="center"/>
          </w:tcPr>
          <w:p w14:paraId="748E585A">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关于违约</w:t>
            </w:r>
          </w:p>
        </w:tc>
        <w:tc>
          <w:tcPr>
            <w:tcW w:w="7330" w:type="dxa"/>
            <w:tcBorders>
              <w:top w:val="single" w:color="auto" w:sz="4" w:space="0"/>
              <w:left w:val="single" w:color="auto" w:sz="4" w:space="0"/>
              <w:bottom w:val="single" w:color="auto" w:sz="4" w:space="0"/>
              <w:right w:val="single" w:color="auto" w:sz="4" w:space="0"/>
            </w:tcBorders>
          </w:tcPr>
          <w:p w14:paraId="13E06B3C">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3.1中标人提供的设备品种、型号、规格、质量、数量不符合招标文件或经采购人验收不合格的，采购人有权解除合同，中标人应向采购人支付合同总价30%的违约金，如采购人已支付货款的中标人还应立即退还，若违约金不足以弥补采购人损失的，中标人还应按实际损失对采购人予以赔偿。</w:t>
            </w:r>
          </w:p>
        </w:tc>
      </w:tr>
      <w:tr w14:paraId="060F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82" w:type="dxa"/>
            <w:vMerge w:val="continue"/>
            <w:tcBorders>
              <w:left w:val="single" w:color="auto" w:sz="4" w:space="0"/>
              <w:right w:val="single" w:color="auto" w:sz="4" w:space="0"/>
            </w:tcBorders>
            <w:vAlign w:val="center"/>
          </w:tcPr>
          <w:p w14:paraId="4B82874E">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698D9DB7">
            <w:pPr>
              <w:widowControl/>
              <w:jc w:val="left"/>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78E86246">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3.2因资金下达时间或财务审计等政府财务监管审核导致付款延迟的，采购人无需承担逾期付款的违约责任。</w:t>
            </w:r>
          </w:p>
        </w:tc>
      </w:tr>
      <w:tr w14:paraId="32C6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782" w:type="dxa"/>
            <w:vMerge w:val="continue"/>
            <w:tcBorders>
              <w:left w:val="single" w:color="auto" w:sz="4" w:space="0"/>
              <w:right w:val="single" w:color="auto" w:sz="4" w:space="0"/>
            </w:tcBorders>
            <w:vAlign w:val="center"/>
          </w:tcPr>
          <w:p w14:paraId="0A8F04AC">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2BB2FB60">
            <w:pPr>
              <w:widowControl/>
              <w:jc w:val="left"/>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0C6250E5">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3.3 中标人无正当理由不能交付设备的，采购人有权解除合同，中标人应向采购人支付合同总价30%的违约金，如违约金不足以弥补采购人损失的，中标人还应按实际损失对采购人予以赔偿。</w:t>
            </w:r>
          </w:p>
        </w:tc>
      </w:tr>
      <w:tr w14:paraId="09FA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left w:val="single" w:color="auto" w:sz="4" w:space="0"/>
              <w:right w:val="single" w:color="auto" w:sz="4" w:space="0"/>
            </w:tcBorders>
            <w:vAlign w:val="center"/>
          </w:tcPr>
          <w:p w14:paraId="72B225B2">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375D2596">
            <w:pPr>
              <w:widowControl/>
              <w:jc w:val="left"/>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0B77B227">
            <w:pPr>
              <w:spacing w:line="340" w:lineRule="exac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3.4中标人未按合同约定履行保修维修服务的，中标人向采购人每日给付违约金为合同总价的1%，逾期提供服务超过30天的，采购人有权解除合同，中标人应向采购人支付合同总价30%的违约金，如采购人已支付货款的中标人还应立即退还，若违约金不足以弥补采购人损失的，中标人还应按实际损失对采购人予以赔偿。</w:t>
            </w:r>
          </w:p>
        </w:tc>
      </w:tr>
      <w:tr w14:paraId="3EAB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left w:val="single" w:color="auto" w:sz="4" w:space="0"/>
              <w:right w:val="single" w:color="auto" w:sz="4" w:space="0"/>
            </w:tcBorders>
            <w:vAlign w:val="center"/>
          </w:tcPr>
          <w:p w14:paraId="608F599A">
            <w:pPr>
              <w:widowControl/>
              <w:jc w:val="left"/>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766D4A59">
            <w:pPr>
              <w:widowControl/>
              <w:jc w:val="left"/>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59CA3DA1">
            <w:pPr>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3.5</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bCs/>
                <w:sz w:val="21"/>
                <w:szCs w:val="21"/>
              </w:rPr>
              <w:t>中标人承诺所使用软件的合法性，因中标人使用的软件引起纠纷给采购人造成损失的，应按合同总价的30%向采购人承担违约责任，违约金不足以弥补损失的，还应赔偿相应损失。</w:t>
            </w:r>
          </w:p>
        </w:tc>
      </w:tr>
      <w:tr w14:paraId="76FF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left w:val="single" w:color="auto" w:sz="4" w:space="0"/>
              <w:right w:val="single" w:color="auto" w:sz="4" w:space="0"/>
            </w:tcBorders>
            <w:vAlign w:val="center"/>
          </w:tcPr>
          <w:p w14:paraId="474615E0">
            <w:pPr>
              <w:jc w:val="center"/>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66C215F4">
            <w:pPr>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3ED11AD7">
            <w:pPr>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bCs/>
                <w:sz w:val="21"/>
                <w:szCs w:val="21"/>
              </w:rPr>
              <w:t>3.6由于中标人的原因，未能按时供货或配合验收的，每迟一天应给付采购人的违约金为合同总额的1%，总额不超过合同总价的30%；如超过供货期30日，采购人有权解除合同，如采购人已支付货款的中标人还应立即退还，违约金不足以弥补损失的，应赔偿相应损失。</w:t>
            </w:r>
          </w:p>
        </w:tc>
      </w:tr>
      <w:tr w14:paraId="685C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left w:val="single" w:color="auto" w:sz="4" w:space="0"/>
              <w:right w:val="single" w:color="auto" w:sz="4" w:space="0"/>
            </w:tcBorders>
            <w:vAlign w:val="center"/>
          </w:tcPr>
          <w:p w14:paraId="43982B09">
            <w:pPr>
              <w:jc w:val="center"/>
              <w:rPr>
                <w:rFonts w:hint="eastAsia" w:asciiTheme="minorEastAsia" w:hAnsiTheme="minorEastAsia" w:eastAsiaTheme="minorEastAsia" w:cstheme="minorEastAsia"/>
                <w:bCs/>
                <w:sz w:val="21"/>
                <w:szCs w:val="21"/>
              </w:rPr>
            </w:pPr>
          </w:p>
        </w:tc>
        <w:tc>
          <w:tcPr>
            <w:tcW w:w="1490" w:type="dxa"/>
            <w:vMerge w:val="continue"/>
            <w:tcBorders>
              <w:left w:val="single" w:color="auto" w:sz="4" w:space="0"/>
              <w:right w:val="single" w:color="auto" w:sz="4" w:space="0"/>
            </w:tcBorders>
            <w:vAlign w:val="center"/>
          </w:tcPr>
          <w:p w14:paraId="3FB7C6B8">
            <w:pPr>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084F6181">
            <w:pPr>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bCs/>
                <w:sz w:val="21"/>
                <w:szCs w:val="21"/>
              </w:rPr>
              <w:t>3.7由于中标人的原因，在货到一周内未进行安装调试，或安装调试时间超过正常要求（30日），每超过一天应给付采购人的违约金为合同总额的1%。违约金不足以弥补采购人损失的，中标人应承担相应损失。情节严重者，采购人将依法律程序要求中标人进行索赔。</w:t>
            </w:r>
          </w:p>
        </w:tc>
      </w:tr>
      <w:tr w14:paraId="23B7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782" w:type="dxa"/>
            <w:vMerge w:val="continue"/>
            <w:tcBorders>
              <w:left w:val="single" w:color="auto" w:sz="4" w:space="0"/>
              <w:bottom w:val="single" w:color="auto" w:sz="4" w:space="0"/>
              <w:right w:val="single" w:color="auto" w:sz="4" w:space="0"/>
            </w:tcBorders>
            <w:vAlign w:val="center"/>
          </w:tcPr>
          <w:p w14:paraId="38AE9754">
            <w:pPr>
              <w:jc w:val="center"/>
              <w:rPr>
                <w:rFonts w:hint="eastAsia" w:asciiTheme="minorEastAsia" w:hAnsiTheme="minorEastAsia" w:eastAsiaTheme="minorEastAsia" w:cstheme="minorEastAsia"/>
                <w:bCs/>
                <w:sz w:val="21"/>
                <w:szCs w:val="21"/>
              </w:rPr>
            </w:pPr>
          </w:p>
        </w:tc>
        <w:tc>
          <w:tcPr>
            <w:tcW w:w="1490" w:type="dxa"/>
            <w:vMerge w:val="continue"/>
            <w:tcBorders>
              <w:left w:val="single" w:color="auto" w:sz="4" w:space="0"/>
              <w:bottom w:val="single" w:color="auto" w:sz="4" w:space="0"/>
              <w:right w:val="single" w:color="auto" w:sz="4" w:space="0"/>
            </w:tcBorders>
            <w:vAlign w:val="center"/>
          </w:tcPr>
          <w:p w14:paraId="1CF03B79">
            <w:pPr>
              <w:jc w:val="cente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47264F26">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3.8中标人提供的设备经调试验收合格后，在保修期内连续三个月内频繁（平均每月1次或1次以上）出现设备不能正常使用的情况，采购人有权要求中标人免费更换新机或者退货。</w:t>
            </w:r>
          </w:p>
        </w:tc>
      </w:tr>
      <w:tr w14:paraId="799C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782" w:type="dxa"/>
            <w:vMerge w:val="continue"/>
            <w:tcBorders>
              <w:left w:val="single" w:color="auto" w:sz="4" w:space="0"/>
              <w:bottom w:val="single" w:color="auto" w:sz="4" w:space="0"/>
              <w:right w:val="single" w:color="auto" w:sz="4" w:space="0"/>
            </w:tcBorders>
            <w:vAlign w:val="center"/>
          </w:tcPr>
          <w:p w14:paraId="468C6164">
            <w:pPr>
              <w:rPr>
                <w:rFonts w:hint="eastAsia" w:asciiTheme="minorEastAsia" w:hAnsiTheme="minorEastAsia" w:eastAsiaTheme="minorEastAsia" w:cstheme="minorEastAsia"/>
                <w:sz w:val="21"/>
                <w:szCs w:val="21"/>
              </w:rPr>
            </w:pPr>
          </w:p>
        </w:tc>
        <w:tc>
          <w:tcPr>
            <w:tcW w:w="1490" w:type="dxa"/>
            <w:vMerge w:val="continue"/>
            <w:tcBorders>
              <w:left w:val="single" w:color="auto" w:sz="4" w:space="0"/>
              <w:bottom w:val="single" w:color="auto" w:sz="4" w:space="0"/>
              <w:right w:val="single" w:color="auto" w:sz="4" w:space="0"/>
            </w:tcBorders>
            <w:vAlign w:val="center"/>
          </w:tcPr>
          <w:p w14:paraId="128116C4">
            <w:pP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7D532415">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3.9中标人保证提供的设备必须为合法渠道销售的设备，并保证采购人在使用该设备或设备的任何一部分时不会侵犯第三方的合法授权、所有权、抵押权、知识产权、 肖像权、隐私权（包括但不限于公民个人信息、隐私信息）等所有权利，否则中标人应按照中标价格总价款的30%向采购人支付违约金并承担对第三方的侵权责任产生的所有费用。采购人同时有权上报主管部门，并按相关规定处理。</w:t>
            </w:r>
          </w:p>
        </w:tc>
      </w:tr>
      <w:tr w14:paraId="18D1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782" w:type="dxa"/>
            <w:vMerge w:val="continue"/>
            <w:tcBorders>
              <w:left w:val="single" w:color="auto" w:sz="4" w:space="0"/>
              <w:bottom w:val="single" w:color="auto" w:sz="4" w:space="0"/>
              <w:right w:val="single" w:color="auto" w:sz="4" w:space="0"/>
            </w:tcBorders>
            <w:vAlign w:val="center"/>
          </w:tcPr>
          <w:p w14:paraId="786C3D3F">
            <w:pPr>
              <w:rPr>
                <w:rFonts w:hint="eastAsia" w:asciiTheme="minorEastAsia" w:hAnsiTheme="minorEastAsia" w:eastAsiaTheme="minorEastAsia" w:cstheme="minorEastAsia"/>
                <w:sz w:val="21"/>
                <w:szCs w:val="21"/>
              </w:rPr>
            </w:pPr>
          </w:p>
        </w:tc>
        <w:tc>
          <w:tcPr>
            <w:tcW w:w="1490" w:type="dxa"/>
            <w:vMerge w:val="continue"/>
            <w:tcBorders>
              <w:left w:val="single" w:color="auto" w:sz="4" w:space="0"/>
              <w:bottom w:val="single" w:color="auto" w:sz="4" w:space="0"/>
              <w:right w:val="single" w:color="auto" w:sz="4" w:space="0"/>
            </w:tcBorders>
            <w:vAlign w:val="center"/>
          </w:tcPr>
          <w:p w14:paraId="6B768375">
            <w:pP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3C9E1D29">
            <w:pPr>
              <w:spacing w:line="34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3.10中标人如擅自终止合同，或提出其不具备继续履行本合同的能力（包括不履行维保义务的），或以任何理由提出需要采购人增加资金投入方可继续履行合同的，或未经采购人书面同意擅自向第三方转包或分包合同全部或部分权利义务的，采购人有权单方解除合同，如采购人已支付货款的中标人还应立即退还，且无需向中标人支付未付的合同价款，同时中标人应向采购人支付合同总价款的30%作为违约金。</w:t>
            </w:r>
          </w:p>
        </w:tc>
      </w:tr>
      <w:tr w14:paraId="061A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782" w:type="dxa"/>
            <w:vMerge w:val="continue"/>
            <w:tcBorders>
              <w:left w:val="single" w:color="auto" w:sz="4" w:space="0"/>
              <w:bottom w:val="single" w:color="auto" w:sz="4" w:space="0"/>
              <w:right w:val="single" w:color="auto" w:sz="4" w:space="0"/>
            </w:tcBorders>
            <w:vAlign w:val="center"/>
          </w:tcPr>
          <w:p w14:paraId="3717E293">
            <w:pPr>
              <w:rPr>
                <w:rFonts w:hint="eastAsia" w:asciiTheme="minorEastAsia" w:hAnsiTheme="minorEastAsia" w:eastAsiaTheme="minorEastAsia" w:cstheme="minorEastAsia"/>
                <w:sz w:val="21"/>
                <w:szCs w:val="21"/>
              </w:rPr>
            </w:pPr>
          </w:p>
        </w:tc>
        <w:tc>
          <w:tcPr>
            <w:tcW w:w="1490" w:type="dxa"/>
            <w:vMerge w:val="continue"/>
            <w:tcBorders>
              <w:left w:val="single" w:color="auto" w:sz="4" w:space="0"/>
              <w:bottom w:val="single" w:color="auto" w:sz="4" w:space="0"/>
              <w:right w:val="single" w:color="auto" w:sz="4" w:space="0"/>
            </w:tcBorders>
            <w:vAlign w:val="center"/>
          </w:tcPr>
          <w:p w14:paraId="2A5C0522">
            <w:pP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273DBA20">
            <w:pPr>
              <w:pStyle w:val="20"/>
              <w:widowControl/>
              <w:kinsoku w:val="0"/>
              <w:autoSpaceDE w:val="0"/>
              <w:autoSpaceDN w:val="0"/>
              <w:adjustRightInd w:val="0"/>
              <w:snapToGrid w:val="0"/>
              <w:spacing w:line="340" w:lineRule="exac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sz w:val="21"/>
                <w:szCs w:val="21"/>
              </w:rPr>
              <w:t>3.11采购人及中标人均应认真履行合同，如一方不履行合同或单方解除本合同，则违约方应按合同总价的30%向对方承担违约责任，违约金不足以弥补损失的，还应赔偿相应损失，采购人违反本条约定的，还应退采购人方已经支付给中标人的货款。</w:t>
            </w:r>
          </w:p>
        </w:tc>
      </w:tr>
      <w:tr w14:paraId="70DA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782" w:type="dxa"/>
            <w:vMerge w:val="continue"/>
            <w:tcBorders>
              <w:left w:val="single" w:color="auto" w:sz="4" w:space="0"/>
              <w:bottom w:val="single" w:color="auto" w:sz="4" w:space="0"/>
              <w:right w:val="single" w:color="auto" w:sz="4" w:space="0"/>
            </w:tcBorders>
            <w:vAlign w:val="center"/>
          </w:tcPr>
          <w:p w14:paraId="35B4EE94">
            <w:pPr>
              <w:rPr>
                <w:rFonts w:hint="eastAsia" w:asciiTheme="minorEastAsia" w:hAnsiTheme="minorEastAsia" w:eastAsiaTheme="minorEastAsia" w:cstheme="minorEastAsia"/>
                <w:sz w:val="21"/>
                <w:szCs w:val="21"/>
              </w:rPr>
            </w:pPr>
          </w:p>
        </w:tc>
        <w:tc>
          <w:tcPr>
            <w:tcW w:w="1490" w:type="dxa"/>
            <w:vMerge w:val="continue"/>
            <w:tcBorders>
              <w:left w:val="single" w:color="auto" w:sz="4" w:space="0"/>
              <w:bottom w:val="single" w:color="auto" w:sz="4" w:space="0"/>
              <w:right w:val="single" w:color="auto" w:sz="4" w:space="0"/>
            </w:tcBorders>
            <w:vAlign w:val="center"/>
          </w:tcPr>
          <w:p w14:paraId="79316B05">
            <w:pPr>
              <w:rPr>
                <w:rFonts w:hint="eastAsia" w:asciiTheme="minorEastAsia" w:hAnsiTheme="minorEastAsia" w:eastAsiaTheme="minorEastAsia" w:cstheme="minorEastAsia"/>
                <w:sz w:val="21"/>
                <w:szCs w:val="21"/>
              </w:rPr>
            </w:pPr>
          </w:p>
        </w:tc>
        <w:tc>
          <w:tcPr>
            <w:tcW w:w="7330" w:type="dxa"/>
            <w:tcBorders>
              <w:top w:val="single" w:color="auto" w:sz="4" w:space="0"/>
              <w:left w:val="single" w:color="auto" w:sz="4" w:space="0"/>
              <w:bottom w:val="single" w:color="auto" w:sz="4" w:space="0"/>
              <w:right w:val="single" w:color="auto" w:sz="4" w:space="0"/>
            </w:tcBorders>
          </w:tcPr>
          <w:p w14:paraId="77E3950D">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3.12中标人违约或给采购人造成损失的，应承担采购人的维权费用（包括但不限于诉讼费，财产保全担保费，律师费，调查取证费，鉴定费，交通费，差旅费等）。在合同履行过程中，如双方发生分歧或纠纷，应首先通过友好协商方式解决，协商未果，任何一方均可向采购人所在地有管辖权的人民法院提起诉讼。</w:t>
            </w:r>
          </w:p>
        </w:tc>
      </w:tr>
      <w:tr w14:paraId="3FFA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tcBorders>
              <w:top w:val="single" w:color="auto" w:sz="4" w:space="0"/>
              <w:left w:val="single" w:color="auto" w:sz="4" w:space="0"/>
              <w:bottom w:val="single" w:color="auto" w:sz="4" w:space="0"/>
              <w:right w:val="single" w:color="auto" w:sz="4" w:space="0"/>
            </w:tcBorders>
            <w:vAlign w:val="center"/>
          </w:tcPr>
          <w:p w14:paraId="771ED528">
            <w:pPr>
              <w:jc w:val="cente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4</w:t>
            </w:r>
          </w:p>
        </w:tc>
        <w:tc>
          <w:tcPr>
            <w:tcW w:w="1490" w:type="dxa"/>
            <w:tcBorders>
              <w:top w:val="single" w:color="auto" w:sz="4" w:space="0"/>
              <w:left w:val="single" w:color="auto" w:sz="4" w:space="0"/>
              <w:bottom w:val="single" w:color="auto" w:sz="4" w:space="0"/>
              <w:right w:val="single" w:color="auto" w:sz="4" w:space="0"/>
            </w:tcBorders>
            <w:vAlign w:val="center"/>
          </w:tcPr>
          <w:p w14:paraId="74E44774">
            <w:pPr>
              <w:jc w:val="cente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★关于付款</w:t>
            </w:r>
          </w:p>
        </w:tc>
        <w:tc>
          <w:tcPr>
            <w:tcW w:w="7330" w:type="dxa"/>
            <w:tcBorders>
              <w:top w:val="single" w:color="auto" w:sz="4" w:space="0"/>
              <w:left w:val="single" w:color="auto" w:sz="4" w:space="0"/>
              <w:bottom w:val="single" w:color="auto" w:sz="4" w:space="0"/>
              <w:right w:val="single" w:color="auto" w:sz="4" w:space="0"/>
            </w:tcBorders>
          </w:tcPr>
          <w:p w14:paraId="74962AF1">
            <w:pPr>
              <w:rPr>
                <w:rFonts w:hint="eastAsia" w:asciiTheme="minorEastAsia" w:hAnsiTheme="minorEastAsia" w:eastAsiaTheme="minorEastAsia" w:cstheme="minorEastAsia"/>
                <w:b/>
                <w:sz w:val="21"/>
                <w:szCs w:val="21"/>
                <w:highlight w:val="yellow"/>
              </w:rPr>
            </w:pPr>
            <w:r>
              <w:rPr>
                <w:rFonts w:hint="eastAsia" w:asciiTheme="minorEastAsia" w:hAnsiTheme="minorEastAsia" w:eastAsiaTheme="minorEastAsia" w:cstheme="minorEastAsia"/>
                <w:bCs/>
                <w:sz w:val="21"/>
                <w:szCs w:val="21"/>
                <w:highlight w:val="yellow"/>
              </w:rPr>
              <w:t>采购人收到中标人提供的货物验收合格且完成设备使用培训后，由中标人按照合同金额开具税务发票，采购人支付货款95%；</w:t>
            </w:r>
            <w:r>
              <w:rPr>
                <w:rFonts w:hint="eastAsia" w:asciiTheme="minorEastAsia" w:hAnsiTheme="minorEastAsia" w:eastAsiaTheme="minorEastAsia" w:cstheme="minorEastAsia"/>
                <w:sz w:val="21"/>
                <w:szCs w:val="21"/>
                <w:highlight w:val="yellow"/>
              </w:rPr>
              <w:t>剩余5%尾款，于中标人提供免费维保年限一致的原厂维保承诺函及原厂维保合同，经采购人确认后不计息支付。</w:t>
            </w:r>
            <w:r>
              <w:rPr>
                <w:rFonts w:hint="eastAsia" w:asciiTheme="minorEastAsia" w:hAnsiTheme="minorEastAsia" w:eastAsiaTheme="minorEastAsia" w:cstheme="minorEastAsia"/>
                <w:bCs/>
                <w:sz w:val="21"/>
                <w:szCs w:val="21"/>
                <w:highlight w:val="yellow"/>
              </w:rPr>
              <w:t>中标人须提供正确的资金账户，因资金账户异常而导致采购人无法支付的，采购人不承担违约责任，给采购人造成实际损失的，中标人应承担相应的赔偿责任。</w:t>
            </w:r>
          </w:p>
        </w:tc>
      </w:tr>
      <w:tr w14:paraId="3CA5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tcBorders>
              <w:top w:val="single" w:color="auto" w:sz="4" w:space="0"/>
              <w:left w:val="single" w:color="auto" w:sz="4" w:space="0"/>
              <w:bottom w:val="single" w:color="auto" w:sz="4" w:space="0"/>
              <w:right w:val="single" w:color="auto" w:sz="4" w:space="0"/>
            </w:tcBorders>
            <w:vAlign w:val="center"/>
          </w:tcPr>
          <w:p w14:paraId="0315C26A">
            <w:pPr>
              <w:jc w:val="cente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5</w:t>
            </w:r>
          </w:p>
        </w:tc>
        <w:tc>
          <w:tcPr>
            <w:tcW w:w="1490" w:type="dxa"/>
            <w:tcBorders>
              <w:top w:val="single" w:color="auto" w:sz="4" w:space="0"/>
              <w:left w:val="single" w:color="auto" w:sz="4" w:space="0"/>
              <w:bottom w:val="single" w:color="auto" w:sz="4" w:space="0"/>
              <w:right w:val="single" w:color="auto" w:sz="4" w:space="0"/>
            </w:tcBorders>
            <w:vAlign w:val="center"/>
          </w:tcPr>
          <w:p w14:paraId="74D02197">
            <w:pPr>
              <w:jc w:val="cente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★报价要求</w:t>
            </w:r>
          </w:p>
        </w:tc>
        <w:tc>
          <w:tcPr>
            <w:tcW w:w="7330" w:type="dxa"/>
            <w:tcBorders>
              <w:top w:val="single" w:color="auto" w:sz="4" w:space="0"/>
              <w:left w:val="single" w:color="auto" w:sz="4" w:space="0"/>
              <w:bottom w:val="single" w:color="auto" w:sz="4" w:space="0"/>
              <w:right w:val="single" w:color="auto" w:sz="4" w:space="0"/>
            </w:tcBorders>
          </w:tcPr>
          <w:p w14:paraId="6FA589D4">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投标总价是完成该项目的一切费用总和，包括完成采购项目所需的一切费用，即：设备费、软件费、税费、运输费、装卸费、安装费、调试费、培训费、计量及技术服务费和一切不可预见等费用，项目结算时不做任何单价或费用的调整（因数量变更除外）。</w:t>
            </w:r>
          </w:p>
        </w:tc>
      </w:tr>
      <w:tr w14:paraId="3148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restart"/>
            <w:tcBorders>
              <w:top w:val="single" w:color="auto" w:sz="4" w:space="0"/>
              <w:left w:val="single" w:color="auto" w:sz="4" w:space="0"/>
              <w:right w:val="single" w:color="auto" w:sz="4" w:space="0"/>
            </w:tcBorders>
            <w:vAlign w:val="center"/>
          </w:tcPr>
          <w:p w14:paraId="31EE838C">
            <w:pPr>
              <w:jc w:val="cente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6</w:t>
            </w:r>
          </w:p>
        </w:tc>
        <w:tc>
          <w:tcPr>
            <w:tcW w:w="1490" w:type="dxa"/>
            <w:vMerge w:val="restart"/>
            <w:tcBorders>
              <w:top w:val="single" w:color="auto" w:sz="4" w:space="0"/>
              <w:left w:val="single" w:color="auto" w:sz="4" w:space="0"/>
              <w:right w:val="single" w:color="auto" w:sz="4" w:space="0"/>
            </w:tcBorders>
            <w:vAlign w:val="center"/>
          </w:tcPr>
          <w:p w14:paraId="26394F74">
            <w:pPr>
              <w:jc w:val="cente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★质量要求及安全责任</w:t>
            </w:r>
          </w:p>
        </w:tc>
        <w:tc>
          <w:tcPr>
            <w:tcW w:w="7330" w:type="dxa"/>
            <w:tcBorders>
              <w:top w:val="single" w:color="auto" w:sz="4" w:space="0"/>
              <w:left w:val="single" w:color="auto" w:sz="4" w:space="0"/>
              <w:bottom w:val="single" w:color="auto" w:sz="4" w:space="0"/>
              <w:right w:val="single" w:color="auto" w:sz="4" w:space="0"/>
            </w:tcBorders>
          </w:tcPr>
          <w:p w14:paraId="7FA9D474">
            <w:pP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6.1</w:t>
            </w:r>
            <w:r>
              <w:rPr>
                <w:rFonts w:hint="eastAsia" w:asciiTheme="minorEastAsia" w:hAnsiTheme="minorEastAsia" w:eastAsiaTheme="minorEastAsia" w:cstheme="minorEastAsia"/>
                <w:bCs/>
                <w:sz w:val="21"/>
                <w:szCs w:val="21"/>
                <w:highlight w:val="yellow"/>
              </w:rPr>
              <w:t>投标人保证所提供的产品必须是生产日期在一年内未使用过的原厂全新产品（包括零部件），符合国家或省级行业质量标准。确保产品投入使用前，按照国家规定办理好产品所有启用所需的资质证件，相关鉴定报告</w:t>
            </w:r>
            <w:r>
              <w:rPr>
                <w:rFonts w:hint="eastAsia" w:asciiTheme="minorEastAsia" w:hAnsiTheme="minorEastAsia" w:eastAsiaTheme="minorEastAsia" w:cstheme="minorEastAsia"/>
                <w:bCs/>
                <w:sz w:val="21"/>
                <w:szCs w:val="21"/>
                <w:highlight w:val="yellow"/>
                <w:lang w:eastAsia="zh-CN"/>
              </w:rPr>
              <w:t>（</w:t>
            </w:r>
            <w:r>
              <w:rPr>
                <w:rFonts w:hint="eastAsia" w:asciiTheme="minorEastAsia" w:hAnsiTheme="minorEastAsia" w:eastAsiaTheme="minorEastAsia" w:cstheme="minorEastAsia"/>
                <w:bCs/>
                <w:sz w:val="21"/>
                <w:szCs w:val="21"/>
                <w:highlight w:val="yellow"/>
                <w:lang w:val="en-US" w:eastAsia="zh-CN"/>
              </w:rPr>
              <w:t>如有</w:t>
            </w:r>
            <w:r>
              <w:rPr>
                <w:rFonts w:hint="eastAsia" w:asciiTheme="minorEastAsia" w:hAnsiTheme="minorEastAsia" w:eastAsiaTheme="minorEastAsia" w:cstheme="minorEastAsia"/>
                <w:bCs/>
                <w:sz w:val="21"/>
                <w:szCs w:val="21"/>
                <w:highlight w:val="yellow"/>
                <w:lang w:eastAsia="zh-CN"/>
              </w:rPr>
              <w:t>）</w:t>
            </w:r>
            <w:r>
              <w:rPr>
                <w:rFonts w:hint="eastAsia" w:asciiTheme="minorEastAsia" w:hAnsiTheme="minorEastAsia" w:eastAsiaTheme="minorEastAsia" w:cstheme="minorEastAsia"/>
                <w:bCs/>
                <w:sz w:val="21"/>
                <w:szCs w:val="21"/>
                <w:highlight w:val="yellow"/>
              </w:rPr>
              <w:t>、证明文件在货物交接时一并提供。</w:t>
            </w:r>
          </w:p>
        </w:tc>
      </w:tr>
      <w:tr w14:paraId="65600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left w:val="single" w:color="auto" w:sz="4" w:space="0"/>
              <w:right w:val="single" w:color="auto" w:sz="4" w:space="0"/>
            </w:tcBorders>
            <w:vAlign w:val="center"/>
          </w:tcPr>
          <w:p w14:paraId="3E9711A7">
            <w:pPr>
              <w:jc w:val="center"/>
              <w:rPr>
                <w:rFonts w:hint="eastAsia" w:asciiTheme="minorEastAsia" w:hAnsiTheme="minorEastAsia" w:eastAsiaTheme="minorEastAsia" w:cstheme="minorEastAsia"/>
                <w:bCs/>
                <w:sz w:val="21"/>
                <w:szCs w:val="21"/>
                <w:highlight w:val="yellow"/>
              </w:rPr>
            </w:pPr>
          </w:p>
        </w:tc>
        <w:tc>
          <w:tcPr>
            <w:tcW w:w="1490" w:type="dxa"/>
            <w:vMerge w:val="continue"/>
            <w:tcBorders>
              <w:left w:val="single" w:color="auto" w:sz="4" w:space="0"/>
              <w:right w:val="single" w:color="auto" w:sz="4" w:space="0"/>
            </w:tcBorders>
            <w:vAlign w:val="center"/>
          </w:tcPr>
          <w:p w14:paraId="448D16B9">
            <w:pPr>
              <w:jc w:val="center"/>
              <w:rPr>
                <w:rFonts w:hint="eastAsia" w:asciiTheme="minorEastAsia" w:hAnsiTheme="minorEastAsia" w:eastAsiaTheme="minorEastAsia" w:cstheme="minorEastAsia"/>
                <w:sz w:val="21"/>
                <w:szCs w:val="21"/>
                <w:highlight w:val="yellow"/>
              </w:rPr>
            </w:pPr>
          </w:p>
        </w:tc>
        <w:tc>
          <w:tcPr>
            <w:tcW w:w="7330" w:type="dxa"/>
            <w:tcBorders>
              <w:top w:val="single" w:color="auto" w:sz="4" w:space="0"/>
              <w:left w:val="single" w:color="auto" w:sz="4" w:space="0"/>
              <w:bottom w:val="single" w:color="auto" w:sz="4" w:space="0"/>
              <w:right w:val="single" w:color="auto" w:sz="4" w:space="0"/>
            </w:tcBorders>
          </w:tcPr>
          <w:p w14:paraId="73AD95FD">
            <w:pP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6.2因产品质量引起患者伤害、造成医院经济损失由中标人出面协商、赔偿。采购人可协助解决，若造成采购人损失的，中标人需向采购人赔偿全部损失。</w:t>
            </w:r>
          </w:p>
        </w:tc>
      </w:tr>
      <w:tr w14:paraId="3815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left w:val="single" w:color="auto" w:sz="4" w:space="0"/>
              <w:bottom w:val="single" w:color="auto" w:sz="4" w:space="0"/>
              <w:right w:val="single" w:color="auto" w:sz="4" w:space="0"/>
            </w:tcBorders>
            <w:vAlign w:val="center"/>
          </w:tcPr>
          <w:p w14:paraId="2F4C9815">
            <w:pPr>
              <w:jc w:val="center"/>
              <w:rPr>
                <w:rFonts w:hint="eastAsia" w:asciiTheme="minorEastAsia" w:hAnsiTheme="minorEastAsia" w:eastAsiaTheme="minorEastAsia" w:cstheme="minorEastAsia"/>
                <w:bCs/>
                <w:sz w:val="21"/>
                <w:szCs w:val="21"/>
                <w:highlight w:val="yellow"/>
              </w:rPr>
            </w:pPr>
          </w:p>
        </w:tc>
        <w:tc>
          <w:tcPr>
            <w:tcW w:w="1490" w:type="dxa"/>
            <w:vMerge w:val="continue"/>
            <w:tcBorders>
              <w:left w:val="single" w:color="auto" w:sz="4" w:space="0"/>
              <w:bottom w:val="single" w:color="auto" w:sz="4" w:space="0"/>
              <w:right w:val="single" w:color="auto" w:sz="4" w:space="0"/>
            </w:tcBorders>
            <w:vAlign w:val="center"/>
          </w:tcPr>
          <w:p w14:paraId="28731E38">
            <w:pPr>
              <w:jc w:val="center"/>
              <w:rPr>
                <w:rFonts w:hint="eastAsia" w:asciiTheme="minorEastAsia" w:hAnsiTheme="minorEastAsia" w:eastAsiaTheme="minorEastAsia" w:cstheme="minorEastAsia"/>
                <w:sz w:val="21"/>
                <w:szCs w:val="21"/>
                <w:highlight w:val="yellow"/>
              </w:rPr>
            </w:pPr>
          </w:p>
        </w:tc>
        <w:tc>
          <w:tcPr>
            <w:tcW w:w="7330" w:type="dxa"/>
            <w:tcBorders>
              <w:top w:val="single" w:color="auto" w:sz="4" w:space="0"/>
              <w:left w:val="single" w:color="auto" w:sz="4" w:space="0"/>
              <w:bottom w:val="single" w:color="auto" w:sz="4" w:space="0"/>
              <w:right w:val="single" w:color="auto" w:sz="4" w:space="0"/>
            </w:tcBorders>
          </w:tcPr>
          <w:p w14:paraId="635B13D9">
            <w:pPr>
              <w:rPr>
                <w:rFonts w:hint="eastAsia" w:asciiTheme="minorEastAsia" w:hAnsiTheme="minorEastAsia" w:eastAsiaTheme="minorEastAsia" w:cstheme="minorEastAsia"/>
                <w:color w:val="FF0000"/>
                <w:sz w:val="21"/>
                <w:szCs w:val="21"/>
                <w:highlight w:val="yellow"/>
              </w:rPr>
            </w:pPr>
            <w:r>
              <w:rPr>
                <w:rFonts w:hint="eastAsia" w:asciiTheme="minorEastAsia" w:hAnsiTheme="minorEastAsia" w:eastAsiaTheme="minorEastAsia" w:cstheme="minorEastAsia"/>
                <w:sz w:val="21"/>
                <w:szCs w:val="21"/>
                <w:highlight w:val="yellow"/>
              </w:rPr>
              <w:t>6.3中标人的服务人员必须持有与履行本招标文件服务相匹配的国家和有关部门规定的相应资质，包括有效的岗位证书及资格证书等。如涉及水、电、气产品安装及调试、室外高空作业等特殊项目，中标人承诺使用具有国家认可资质的操作人员，且资质证书仍在本合同有效期内。如因资质不符所造成的后果，中标人应承担全部责任。</w:t>
            </w:r>
          </w:p>
        </w:tc>
      </w:tr>
      <w:tr w14:paraId="272BF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tcBorders>
              <w:top w:val="single" w:color="auto" w:sz="4" w:space="0"/>
              <w:left w:val="single" w:color="auto" w:sz="4" w:space="0"/>
              <w:bottom w:val="single" w:color="auto" w:sz="4" w:space="0"/>
              <w:right w:val="single" w:color="auto" w:sz="4" w:space="0"/>
            </w:tcBorders>
            <w:vAlign w:val="center"/>
          </w:tcPr>
          <w:p w14:paraId="24357C9D">
            <w:pPr>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w:t>
            </w:r>
          </w:p>
        </w:tc>
        <w:tc>
          <w:tcPr>
            <w:tcW w:w="1490" w:type="dxa"/>
            <w:tcBorders>
              <w:top w:val="single" w:color="auto" w:sz="4" w:space="0"/>
              <w:left w:val="single" w:color="auto" w:sz="4" w:space="0"/>
              <w:bottom w:val="single" w:color="auto" w:sz="4" w:space="0"/>
              <w:right w:val="single" w:color="auto" w:sz="4" w:space="0"/>
            </w:tcBorders>
            <w:vAlign w:val="center"/>
          </w:tcPr>
          <w:p w14:paraId="32FA5C51">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知识产权</w:t>
            </w:r>
          </w:p>
        </w:tc>
        <w:tc>
          <w:tcPr>
            <w:tcW w:w="7330" w:type="dxa"/>
            <w:tcBorders>
              <w:top w:val="single" w:color="auto" w:sz="4" w:space="0"/>
              <w:left w:val="single" w:color="auto" w:sz="4" w:space="0"/>
              <w:bottom w:val="single" w:color="auto" w:sz="4" w:space="0"/>
              <w:right w:val="single" w:color="auto" w:sz="4" w:space="0"/>
            </w:tcBorders>
          </w:tcPr>
          <w:p w14:paraId="49B45BA1">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rPr>
              <w:t>中标人应保证采购人在使用该货物或其任何一部分时，终身免受第三方提出的侵犯其专利权、商标权、著作权或其他知识产权的起诉。中标人保证所提供软件的合法性，所发生的任何知识产权纠纷与采购人无关。若因知识产权纠纷造成的一切损害赔偿及损失由中标人承担，包括但不限于实际损失、预期损失和对方要求赔偿损失及支出的诉讼费、律师费、交通费和差旅费等。</w:t>
            </w:r>
          </w:p>
        </w:tc>
      </w:tr>
      <w:tr w14:paraId="6E33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restart"/>
            <w:tcBorders>
              <w:top w:val="single" w:color="auto" w:sz="4" w:space="0"/>
              <w:left w:val="single" w:color="auto" w:sz="4" w:space="0"/>
              <w:bottom w:val="single" w:color="auto" w:sz="4" w:space="0"/>
              <w:right w:val="single" w:color="auto" w:sz="4" w:space="0"/>
            </w:tcBorders>
            <w:vAlign w:val="center"/>
          </w:tcPr>
          <w:p w14:paraId="5DDF1F2A">
            <w:pPr>
              <w:jc w:val="center"/>
              <w:rPr>
                <w:rFonts w:hint="eastAsia" w:asciiTheme="minorEastAsia" w:hAnsiTheme="minorEastAsia" w:eastAsiaTheme="minorEastAsia" w:cstheme="minorEastAsia"/>
                <w:b/>
                <w:bCs w:val="0"/>
                <w:color w:val="FF0000"/>
                <w:sz w:val="21"/>
                <w:szCs w:val="21"/>
                <w:highlight w:val="yellow"/>
              </w:rPr>
            </w:pPr>
            <w:r>
              <w:rPr>
                <w:rFonts w:hint="eastAsia" w:asciiTheme="minorEastAsia" w:hAnsiTheme="minorEastAsia" w:eastAsiaTheme="minorEastAsia" w:cstheme="minorEastAsia"/>
                <w:b/>
                <w:bCs w:val="0"/>
                <w:color w:val="FF0000"/>
                <w:sz w:val="21"/>
                <w:szCs w:val="21"/>
                <w:highlight w:val="yellow"/>
              </w:rPr>
              <w:t>8</w:t>
            </w:r>
          </w:p>
        </w:tc>
        <w:tc>
          <w:tcPr>
            <w:tcW w:w="1490" w:type="dxa"/>
            <w:vMerge w:val="restart"/>
            <w:tcBorders>
              <w:top w:val="single" w:color="auto" w:sz="4" w:space="0"/>
              <w:left w:val="single" w:color="auto" w:sz="4" w:space="0"/>
              <w:bottom w:val="single" w:color="auto" w:sz="4" w:space="0"/>
              <w:right w:val="single" w:color="auto" w:sz="4" w:space="0"/>
            </w:tcBorders>
            <w:vAlign w:val="center"/>
          </w:tcPr>
          <w:p w14:paraId="53BB6506">
            <w:pPr>
              <w:jc w:val="center"/>
              <w:rPr>
                <w:rFonts w:hint="eastAsia" w:asciiTheme="minorEastAsia" w:hAnsiTheme="minorEastAsia" w:eastAsiaTheme="minorEastAsia" w:cstheme="minorEastAsia"/>
                <w:b/>
                <w:bCs w:val="0"/>
                <w:color w:val="FF0000"/>
                <w:sz w:val="21"/>
                <w:szCs w:val="21"/>
                <w:highlight w:val="yellow"/>
              </w:rPr>
            </w:pPr>
            <w:r>
              <w:rPr>
                <w:rFonts w:hint="eastAsia" w:asciiTheme="minorEastAsia" w:hAnsiTheme="minorEastAsia" w:eastAsiaTheme="minorEastAsia" w:cstheme="minorEastAsia"/>
                <w:b/>
                <w:bCs w:val="0"/>
                <w:color w:val="FF0000"/>
                <w:sz w:val="21"/>
                <w:szCs w:val="21"/>
                <w:highlight w:val="yellow"/>
              </w:rPr>
              <w:t>项目（产品）</w:t>
            </w:r>
            <w:r>
              <w:rPr>
                <w:rFonts w:hint="eastAsia" w:asciiTheme="minorEastAsia" w:hAnsiTheme="minorEastAsia" w:eastAsiaTheme="minorEastAsia" w:cstheme="minorEastAsia"/>
                <w:b/>
                <w:bCs w:val="0"/>
                <w:color w:val="FF0000"/>
                <w:sz w:val="21"/>
                <w:szCs w:val="21"/>
                <w:highlight w:val="yellow"/>
              </w:rPr>
              <w:br w:type="textWrapping"/>
            </w:r>
            <w:r>
              <w:rPr>
                <w:rFonts w:hint="eastAsia" w:asciiTheme="minorEastAsia" w:hAnsiTheme="minorEastAsia" w:eastAsiaTheme="minorEastAsia" w:cstheme="minorEastAsia"/>
                <w:b/>
                <w:bCs w:val="0"/>
                <w:color w:val="FF0000"/>
                <w:sz w:val="21"/>
                <w:szCs w:val="21"/>
                <w:highlight w:val="yellow"/>
              </w:rPr>
              <w:t>要求</w:t>
            </w:r>
          </w:p>
        </w:tc>
        <w:tc>
          <w:tcPr>
            <w:tcW w:w="7330" w:type="dxa"/>
            <w:tcBorders>
              <w:top w:val="single" w:color="auto" w:sz="4" w:space="0"/>
              <w:left w:val="single" w:color="auto" w:sz="4" w:space="0"/>
              <w:bottom w:val="single" w:color="auto" w:sz="4" w:space="0"/>
              <w:right w:val="single" w:color="auto" w:sz="4" w:space="0"/>
            </w:tcBorders>
          </w:tcPr>
          <w:p w14:paraId="7B95919B">
            <w:pPr>
              <w:rPr>
                <w:rFonts w:hint="eastAsia" w:asciiTheme="minorEastAsia" w:hAnsiTheme="minorEastAsia" w:eastAsiaTheme="minorEastAsia" w:cstheme="minorEastAsia"/>
                <w:b/>
                <w:color w:val="FF0000"/>
                <w:sz w:val="21"/>
                <w:szCs w:val="21"/>
                <w:highlight w:val="yellow"/>
              </w:rPr>
            </w:pPr>
            <w:r>
              <w:rPr>
                <w:rFonts w:hint="eastAsia" w:asciiTheme="minorEastAsia" w:hAnsiTheme="minorEastAsia" w:eastAsiaTheme="minorEastAsia" w:cstheme="minorEastAsia"/>
                <w:b/>
                <w:color w:val="FF0000"/>
                <w:sz w:val="21"/>
                <w:szCs w:val="21"/>
                <w:highlight w:val="yellow"/>
                <w:lang w:val="en-US" w:eastAsia="zh-CN"/>
              </w:rPr>
              <w:t>★8.1若投标人为所投产品的生产企业，须根据所投医疗器械类别提供《医疗器械生产许可证》（或备案凭证），具有相应生产范围；若投标人为所投产品的代理商或授权供应商，须根据所投医疗器械类别提供《医疗器械经营许可证》（或备案凭证），具有相应经营范围，并提供所投产品生产企业的《医疗器械生产许可证》（或备案凭证）；当所投产品属于第一类医疗器械时无须提供《医疗器械经营许可证》（或备案凭证），但投标人应在投标文件中对其所属类别进行书面说明，以上证明材料均提供复印件或扫描件。</w:t>
            </w:r>
          </w:p>
        </w:tc>
      </w:tr>
      <w:tr w14:paraId="56A52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tcBorders>
              <w:top w:val="single" w:color="auto" w:sz="4" w:space="0"/>
              <w:left w:val="single" w:color="auto" w:sz="4" w:space="0"/>
              <w:bottom w:val="single" w:color="auto" w:sz="4" w:space="0"/>
              <w:right w:val="single" w:color="auto" w:sz="4" w:space="0"/>
            </w:tcBorders>
            <w:vAlign w:val="center"/>
          </w:tcPr>
          <w:p w14:paraId="538BF3C6">
            <w:pPr>
              <w:widowControl/>
              <w:jc w:val="left"/>
              <w:rPr>
                <w:rFonts w:hint="eastAsia" w:asciiTheme="minorEastAsia" w:hAnsiTheme="minorEastAsia" w:eastAsiaTheme="minorEastAsia" w:cstheme="minorEastAsia"/>
                <w:bCs/>
                <w:sz w:val="21"/>
                <w:szCs w:val="21"/>
                <w:highlight w:val="yellow"/>
              </w:rPr>
            </w:pPr>
          </w:p>
        </w:tc>
        <w:tc>
          <w:tcPr>
            <w:tcW w:w="1490" w:type="dxa"/>
            <w:vMerge w:val="continue"/>
            <w:tcBorders>
              <w:top w:val="single" w:color="auto" w:sz="4" w:space="0"/>
              <w:left w:val="single" w:color="auto" w:sz="4" w:space="0"/>
              <w:bottom w:val="single" w:color="auto" w:sz="4" w:space="0"/>
              <w:right w:val="single" w:color="auto" w:sz="4" w:space="0"/>
            </w:tcBorders>
            <w:vAlign w:val="center"/>
          </w:tcPr>
          <w:p w14:paraId="3B13DC0E">
            <w:pPr>
              <w:widowControl/>
              <w:jc w:val="left"/>
              <w:rPr>
                <w:rFonts w:hint="eastAsia" w:asciiTheme="minorEastAsia" w:hAnsiTheme="minorEastAsia" w:eastAsiaTheme="minorEastAsia" w:cstheme="minorEastAsia"/>
                <w:sz w:val="21"/>
                <w:szCs w:val="21"/>
                <w:highlight w:val="yellow"/>
              </w:rPr>
            </w:pPr>
          </w:p>
        </w:tc>
        <w:tc>
          <w:tcPr>
            <w:tcW w:w="7330" w:type="dxa"/>
            <w:tcBorders>
              <w:top w:val="single" w:color="auto" w:sz="4" w:space="0"/>
              <w:left w:val="single" w:color="auto" w:sz="4" w:space="0"/>
              <w:bottom w:val="single" w:color="auto" w:sz="4" w:space="0"/>
              <w:right w:val="single" w:color="auto" w:sz="4" w:space="0"/>
            </w:tcBorders>
          </w:tcPr>
          <w:p w14:paraId="718AC90C">
            <w:pPr>
              <w:rPr>
                <w:rFonts w:hint="eastAsia" w:asciiTheme="minorEastAsia" w:hAnsiTheme="minorEastAsia" w:eastAsiaTheme="minorEastAsia" w:cstheme="minorEastAsia"/>
                <w:b/>
                <w:color w:val="FF0000"/>
                <w:sz w:val="21"/>
                <w:szCs w:val="21"/>
                <w:highlight w:val="yellow"/>
              </w:rPr>
            </w:pPr>
            <w:r>
              <w:rPr>
                <w:rFonts w:hint="eastAsia" w:asciiTheme="minorEastAsia" w:hAnsiTheme="minorEastAsia" w:eastAsiaTheme="minorEastAsia" w:cstheme="minorEastAsia"/>
                <w:b/>
                <w:color w:val="FF0000"/>
                <w:sz w:val="21"/>
                <w:szCs w:val="21"/>
                <w:highlight w:val="yellow"/>
                <w:lang w:val="en-US" w:eastAsia="zh-CN"/>
              </w:rPr>
              <w:t>★8.2投标人所投产品为第一类医疗器械的，须提供医疗器械备案证明；所投产品为第二、三类医疗器械的，须提供《医疗器械注册证》【医疗器械注册证（或备案证明）中的产品型号（如有）应与投标产品型号相同；投标截止时，医疗器械注册证（或备案证明）应在有效期内，若不在有效期内，则需同时提供由主管部门出具的所投产品在医疗器械注册证（或备案证明）有效期内生产的证明文件，或在医疗器械注册证（或备案证明）有效期内出厂的证明文件】。以上证明材料均提供复印件或扫描件。</w:t>
            </w:r>
          </w:p>
        </w:tc>
      </w:tr>
      <w:tr w14:paraId="692E4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1CB2D696">
            <w:pPr>
              <w:widowControl/>
              <w:jc w:val="left"/>
              <w:rPr>
                <w:rFonts w:hint="eastAsia" w:asciiTheme="minorEastAsia" w:hAnsiTheme="minorEastAsia" w:eastAsiaTheme="minorEastAsia" w:cstheme="minorEastAsia"/>
                <w:bCs/>
                <w:kern w:val="2"/>
                <w:sz w:val="21"/>
                <w:szCs w:val="21"/>
                <w:highlight w:val="yellow"/>
                <w:lang w:val="en-US" w:eastAsia="zh-CN" w:bidi="ar-SA"/>
              </w:rPr>
            </w:pPr>
            <w:r>
              <w:rPr>
                <w:rFonts w:hint="eastAsia" w:asciiTheme="minorEastAsia" w:hAnsiTheme="minorEastAsia" w:eastAsiaTheme="minorEastAsia" w:cstheme="minorEastAsia"/>
                <w:bCs/>
                <w:sz w:val="21"/>
                <w:szCs w:val="21"/>
                <w:highlight w:val="yellow"/>
                <w:lang w:val="en-US" w:eastAsia="zh-CN"/>
              </w:rPr>
              <w:t>9</w:t>
            </w:r>
          </w:p>
        </w:tc>
        <w:tc>
          <w:tcPr>
            <w:tcW w:w="1490" w:type="dxa"/>
            <w:tcBorders>
              <w:top w:val="single" w:color="auto" w:sz="4" w:space="0"/>
              <w:left w:val="single" w:color="auto" w:sz="4" w:space="0"/>
              <w:bottom w:val="single" w:color="auto" w:sz="4" w:space="0"/>
              <w:right w:val="single" w:color="auto" w:sz="4" w:space="0"/>
            </w:tcBorders>
            <w:shd w:val="clear" w:color="auto" w:fill="auto"/>
            <w:vAlign w:val="center"/>
          </w:tcPr>
          <w:p w14:paraId="48CA2276">
            <w:pPr>
              <w:keepNext w:val="0"/>
              <w:keepLines w:val="0"/>
              <w:pageBreakBefore w:val="0"/>
              <w:widowControl/>
              <w:wordWrap/>
              <w:overflowPunct/>
              <w:topLinePunct w:val="0"/>
              <w:bidi w:val="0"/>
              <w:spacing w:line="380" w:lineRule="exact"/>
              <w:jc w:val="left"/>
              <w:rPr>
                <w:rFonts w:hint="eastAsia" w:ascii="宋体" w:hAnsi="宋体" w:eastAsia="宋体" w:cs="宋体"/>
                <w:b/>
                <w:bCs w:val="0"/>
                <w:color w:val="FF0000"/>
                <w:kern w:val="2"/>
                <w:sz w:val="21"/>
                <w:szCs w:val="21"/>
                <w:highlight w:val="yellow"/>
                <w:lang w:val="en-US" w:eastAsia="zh-CN" w:bidi="ar-SA"/>
              </w:rPr>
            </w:pPr>
            <w:r>
              <w:rPr>
                <w:rFonts w:hint="default" w:ascii="宋体" w:hAnsi="宋体" w:eastAsia="宋体" w:cs="宋体"/>
                <w:b/>
                <w:bCs w:val="0"/>
                <w:color w:val="FF0000"/>
                <w:sz w:val="21"/>
                <w:szCs w:val="21"/>
                <w:highlight w:val="yellow"/>
                <w:lang w:val="en-US" w:eastAsia="zh-CN"/>
              </w:rPr>
              <w:t>★项目人员</w:t>
            </w:r>
          </w:p>
        </w:tc>
        <w:tc>
          <w:tcPr>
            <w:tcW w:w="7330" w:type="dxa"/>
            <w:tcBorders>
              <w:top w:val="single" w:color="auto" w:sz="4" w:space="0"/>
              <w:left w:val="single" w:color="auto" w:sz="4" w:space="0"/>
              <w:bottom w:val="single" w:color="auto" w:sz="4" w:space="0"/>
              <w:right w:val="single" w:color="auto" w:sz="4" w:space="0"/>
            </w:tcBorders>
            <w:shd w:val="clear" w:color="auto" w:fill="auto"/>
            <w:vAlign w:val="top"/>
          </w:tcPr>
          <w:p w14:paraId="1FBABED8">
            <w:pPr>
              <w:keepNext w:val="0"/>
              <w:keepLines w:val="0"/>
              <w:pageBreakBefore w:val="0"/>
              <w:wordWrap/>
              <w:overflowPunct/>
              <w:topLinePunct w:val="0"/>
              <w:bidi w:val="0"/>
              <w:spacing w:line="380" w:lineRule="exact"/>
              <w:rPr>
                <w:rFonts w:hint="eastAsia" w:ascii="宋体" w:hAnsi="宋体" w:eastAsia="宋体" w:cs="宋体"/>
                <w:b/>
                <w:bCs w:val="0"/>
                <w:color w:val="FF0000"/>
                <w:kern w:val="2"/>
                <w:sz w:val="21"/>
                <w:szCs w:val="21"/>
                <w:highlight w:val="yellow"/>
                <w:lang w:val="en-US" w:eastAsia="zh-CN" w:bidi="ar-SA"/>
              </w:rPr>
            </w:pPr>
            <w:r>
              <w:rPr>
                <w:rFonts w:hint="default" w:ascii="宋体" w:hAnsi="宋体" w:eastAsia="宋体" w:cs="宋体"/>
                <w:b/>
                <w:bCs w:val="0"/>
                <w:color w:val="FF0000"/>
                <w:sz w:val="21"/>
                <w:szCs w:val="21"/>
                <w:highlight w:val="yellow"/>
                <w:lang w:val="en-US" w:eastAsia="zh-CN"/>
              </w:rPr>
              <w:t>投标人需为本项目提供1 名项目负责人负责对接工作(要求提供拟安排的项目负责人通过投标人缴纳的近三个月的任意一个月的社保证明作为本单位员工的证明依据。若供应商成立不足 1 个月的，需提供成立情况说明函(格式自拟)，无需提供相关人员社保;若为退休返聘人员，需提供说明函(格式自拟),无需提供相关人员社保。)</w:t>
            </w:r>
            <w:r>
              <w:rPr>
                <w:rFonts w:hint="eastAsia" w:ascii="宋体" w:hAnsi="宋体" w:eastAsia="宋体" w:cs="宋体"/>
                <w:b/>
                <w:color w:val="FF0000"/>
                <w:sz w:val="21"/>
                <w:szCs w:val="21"/>
                <w:highlight w:val="yellow"/>
                <w:lang w:eastAsia="zh-CN"/>
              </w:rPr>
              <w:t>（</w:t>
            </w:r>
            <w:r>
              <w:rPr>
                <w:rFonts w:hint="eastAsia" w:ascii="宋体" w:hAnsi="宋体" w:eastAsia="宋体" w:cs="宋体"/>
                <w:b/>
                <w:color w:val="FF0000"/>
                <w:sz w:val="21"/>
                <w:szCs w:val="21"/>
                <w:highlight w:val="yellow"/>
                <w:lang w:val="en-US" w:eastAsia="zh-CN"/>
              </w:rPr>
              <w:t>投标</w:t>
            </w:r>
            <w:r>
              <w:rPr>
                <w:rFonts w:hint="eastAsia" w:ascii="宋体" w:hAnsi="宋体" w:cs="宋体"/>
                <w:b/>
                <w:color w:val="FF0000"/>
                <w:sz w:val="21"/>
                <w:szCs w:val="21"/>
                <w:highlight w:val="yellow"/>
                <w:lang w:val="en-US" w:eastAsia="zh-CN"/>
              </w:rPr>
              <w:t>文件</w:t>
            </w:r>
            <w:r>
              <w:rPr>
                <w:rFonts w:hint="eastAsia" w:ascii="宋体" w:hAnsi="宋体" w:eastAsia="宋体" w:cs="宋体"/>
                <w:b/>
                <w:color w:val="FF0000"/>
                <w:sz w:val="21"/>
                <w:szCs w:val="21"/>
                <w:highlight w:val="yellow"/>
                <w:lang w:val="en-US" w:eastAsia="zh-CN"/>
              </w:rPr>
              <w:t>提供</w:t>
            </w:r>
            <w:r>
              <w:rPr>
                <w:rFonts w:hint="eastAsia" w:ascii="宋体" w:hAnsi="宋体" w:cs="宋体"/>
                <w:b/>
                <w:color w:val="FF0000"/>
                <w:sz w:val="21"/>
                <w:szCs w:val="21"/>
                <w:highlight w:val="yellow"/>
                <w:lang w:val="en-US" w:eastAsia="zh-CN"/>
              </w:rPr>
              <w:t>以上</w:t>
            </w:r>
            <w:r>
              <w:rPr>
                <w:rFonts w:hint="eastAsia" w:ascii="宋体" w:hAnsi="宋体" w:eastAsia="宋体" w:cs="宋体"/>
                <w:b/>
                <w:color w:val="FF0000"/>
                <w:sz w:val="21"/>
                <w:szCs w:val="21"/>
                <w:highlight w:val="yellow"/>
                <w:lang w:val="en-US" w:eastAsia="zh-CN"/>
              </w:rPr>
              <w:t>对应证明材料</w:t>
            </w:r>
            <w:r>
              <w:rPr>
                <w:rFonts w:hint="eastAsia" w:ascii="宋体" w:hAnsi="宋体" w:eastAsia="宋体" w:cs="宋体"/>
                <w:b/>
                <w:color w:val="FF0000"/>
                <w:sz w:val="21"/>
                <w:szCs w:val="21"/>
                <w:highlight w:val="yellow"/>
                <w:lang w:eastAsia="zh-CN"/>
              </w:rPr>
              <w:t>）</w:t>
            </w:r>
          </w:p>
        </w:tc>
      </w:tr>
      <w:tr w14:paraId="2647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restart"/>
            <w:shd w:val="clear" w:color="auto" w:fill="auto"/>
            <w:vAlign w:val="top"/>
          </w:tcPr>
          <w:p w14:paraId="63820EE1">
            <w:pPr>
              <w:widowControl/>
              <w:jc w:val="left"/>
              <w:rPr>
                <w:rFonts w:hint="eastAsia" w:asciiTheme="minorEastAsia" w:hAnsiTheme="minorEastAsia" w:eastAsiaTheme="minorEastAsia" w:cstheme="minorEastAsia"/>
                <w:bCs/>
                <w:sz w:val="21"/>
                <w:szCs w:val="21"/>
                <w:highlight w:val="yellow"/>
                <w:lang w:val="en-US" w:eastAsia="zh-CN"/>
              </w:rPr>
            </w:pPr>
          </w:p>
          <w:p w14:paraId="552B173C">
            <w:pPr>
              <w:widowControl/>
              <w:jc w:val="left"/>
              <w:rPr>
                <w:rFonts w:hint="eastAsia" w:asciiTheme="minorEastAsia" w:hAnsiTheme="minorEastAsia" w:eastAsiaTheme="minorEastAsia" w:cstheme="minorEastAsia"/>
                <w:bCs/>
                <w:sz w:val="21"/>
                <w:szCs w:val="21"/>
                <w:highlight w:val="yellow"/>
                <w:lang w:val="en-US" w:eastAsia="zh-CN"/>
              </w:rPr>
            </w:pPr>
          </w:p>
          <w:p w14:paraId="38DEEFBF">
            <w:pPr>
              <w:widowControl/>
              <w:jc w:val="left"/>
              <w:rPr>
                <w:rFonts w:hint="eastAsia" w:asciiTheme="minorEastAsia" w:hAnsiTheme="minorEastAsia" w:eastAsiaTheme="minorEastAsia" w:cstheme="minorEastAsia"/>
                <w:bCs/>
                <w:kern w:val="2"/>
                <w:sz w:val="21"/>
                <w:szCs w:val="21"/>
                <w:highlight w:val="yellow"/>
                <w:lang w:val="en-US" w:eastAsia="zh-CN" w:bidi="ar-SA"/>
              </w:rPr>
            </w:pPr>
            <w:r>
              <w:rPr>
                <w:rFonts w:hint="eastAsia" w:asciiTheme="minorEastAsia" w:hAnsiTheme="minorEastAsia" w:eastAsiaTheme="minorEastAsia" w:cstheme="minorEastAsia"/>
                <w:bCs/>
                <w:sz w:val="21"/>
                <w:szCs w:val="21"/>
                <w:highlight w:val="yellow"/>
                <w:lang w:val="en-US" w:eastAsia="zh-CN"/>
              </w:rPr>
              <w:t>10</w:t>
            </w:r>
          </w:p>
        </w:tc>
        <w:tc>
          <w:tcPr>
            <w:tcW w:w="1490" w:type="dxa"/>
            <w:vMerge w:val="restart"/>
            <w:shd w:val="clear" w:color="auto" w:fill="auto"/>
            <w:vAlign w:val="center"/>
          </w:tcPr>
          <w:p w14:paraId="316FFFB9">
            <w:pPr>
              <w:keepNext w:val="0"/>
              <w:keepLines w:val="0"/>
              <w:pageBreakBefore w:val="0"/>
              <w:wordWrap/>
              <w:overflowPunct/>
              <w:topLinePunct w:val="0"/>
              <w:bidi w:val="0"/>
              <w:spacing w:line="380" w:lineRule="exact"/>
              <w:rPr>
                <w:rFonts w:hint="eastAsia" w:ascii="宋体" w:hAnsi="宋体" w:eastAsia="宋体" w:cs="宋体"/>
                <w:b/>
                <w:bCs w:val="0"/>
                <w:color w:val="FF0000"/>
                <w:kern w:val="2"/>
                <w:sz w:val="21"/>
                <w:szCs w:val="21"/>
                <w:highlight w:val="yellow"/>
                <w:lang w:val="en-US" w:eastAsia="zh-CN" w:bidi="ar-SA"/>
              </w:rPr>
            </w:pPr>
            <w:r>
              <w:rPr>
                <w:rFonts w:hint="eastAsia" w:ascii="宋体" w:hAnsi="宋体" w:eastAsia="宋体" w:cs="宋体"/>
                <w:b/>
                <w:bCs w:val="0"/>
                <w:color w:val="FF0000"/>
                <w:sz w:val="21"/>
                <w:szCs w:val="21"/>
                <w:highlight w:val="yellow"/>
                <w:lang w:val="en-US" w:eastAsia="zh-CN"/>
              </w:rPr>
              <w:t>★</w:t>
            </w:r>
            <w:r>
              <w:rPr>
                <w:rFonts w:hint="default" w:ascii="宋体" w:hAnsi="宋体" w:eastAsia="宋体" w:cs="宋体"/>
                <w:b/>
                <w:bCs w:val="0"/>
                <w:color w:val="FF0000"/>
                <w:sz w:val="21"/>
                <w:szCs w:val="21"/>
                <w:highlight w:val="yellow"/>
                <w:lang w:val="en-US" w:eastAsia="zh-CN"/>
              </w:rPr>
              <w:t>其他要求</w:t>
            </w:r>
            <w:r>
              <w:rPr>
                <w:rFonts w:hint="eastAsia" w:ascii="宋体" w:hAnsi="宋体" w:eastAsia="宋体" w:cs="宋体"/>
                <w:b/>
                <w:bCs w:val="0"/>
                <w:color w:val="FF0000"/>
                <w:sz w:val="21"/>
                <w:szCs w:val="21"/>
                <w:highlight w:val="yellow"/>
                <w:lang w:val="en-US" w:eastAsia="zh-CN"/>
              </w:rPr>
              <w:br w:type="textWrapping"/>
            </w:r>
          </w:p>
        </w:tc>
        <w:tc>
          <w:tcPr>
            <w:tcW w:w="0" w:type="auto"/>
            <w:shd w:val="clear" w:color="auto" w:fill="auto"/>
            <w:vAlign w:val="top"/>
          </w:tcPr>
          <w:p w14:paraId="18CDA18F">
            <w:pPr>
              <w:keepNext w:val="0"/>
              <w:keepLines w:val="0"/>
              <w:pageBreakBefore w:val="0"/>
              <w:wordWrap/>
              <w:overflowPunct/>
              <w:topLinePunct w:val="0"/>
              <w:bidi w:val="0"/>
              <w:spacing w:line="380" w:lineRule="exact"/>
              <w:rPr>
                <w:rFonts w:hint="eastAsia" w:ascii="宋体" w:hAnsi="宋体" w:eastAsia="宋体" w:cs="宋体"/>
                <w:b/>
                <w:bCs w:val="0"/>
                <w:color w:val="FF0000"/>
                <w:kern w:val="2"/>
                <w:sz w:val="21"/>
                <w:szCs w:val="21"/>
                <w:highlight w:val="yellow"/>
                <w:lang w:val="en-US" w:eastAsia="zh-CN" w:bidi="ar-SA"/>
              </w:rPr>
            </w:pPr>
            <w:r>
              <w:rPr>
                <w:rFonts w:hint="eastAsia" w:ascii="宋体" w:hAnsi="宋体" w:eastAsia="宋体" w:cs="宋体"/>
                <w:b/>
                <w:bCs w:val="0"/>
                <w:color w:val="FF0000"/>
                <w:sz w:val="21"/>
                <w:szCs w:val="21"/>
                <w:highlight w:val="yellow"/>
                <w:lang w:val="en-US" w:eastAsia="zh-CN"/>
              </w:rPr>
              <w:t>10.</w:t>
            </w:r>
            <w:r>
              <w:rPr>
                <w:rFonts w:hint="default" w:ascii="宋体" w:hAnsi="宋体" w:eastAsia="宋体" w:cs="宋体"/>
                <w:b/>
                <w:bCs w:val="0"/>
                <w:color w:val="FF0000"/>
                <w:sz w:val="21"/>
                <w:szCs w:val="21"/>
                <w:highlight w:val="yellow"/>
                <w:lang w:val="en-US" w:eastAsia="zh-CN"/>
              </w:rPr>
              <w:t>1 若投标人所供专机专用配套试剂/耗材在深圳医用耗材阳光交易和监管平台的，投标人承诺所有试剂耗材均需严格执行平台采购相关政策执行，并全部线上采购，价格不得高于深圳医用耗材阳光交易和监管平台三色九段线最低价。</w:t>
            </w:r>
          </w:p>
        </w:tc>
      </w:tr>
      <w:tr w14:paraId="628B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82" w:type="dxa"/>
            <w:vMerge w:val="continue"/>
            <w:shd w:val="clear" w:color="auto" w:fill="auto"/>
            <w:vAlign w:val="top"/>
          </w:tcPr>
          <w:p w14:paraId="65BDBA1C">
            <w:pPr>
              <w:widowControl/>
              <w:jc w:val="left"/>
              <w:rPr>
                <w:rFonts w:hint="eastAsia" w:asciiTheme="minorEastAsia" w:hAnsiTheme="minorEastAsia" w:eastAsiaTheme="minorEastAsia" w:cstheme="minorEastAsia"/>
                <w:bCs/>
                <w:kern w:val="2"/>
                <w:sz w:val="21"/>
                <w:szCs w:val="21"/>
                <w:highlight w:val="yellow"/>
                <w:lang w:val="en-US" w:eastAsia="zh-CN" w:bidi="ar-SA"/>
              </w:rPr>
            </w:pPr>
          </w:p>
        </w:tc>
        <w:tc>
          <w:tcPr>
            <w:tcW w:w="1490" w:type="dxa"/>
            <w:vMerge w:val="continue"/>
            <w:shd w:val="clear" w:color="auto" w:fill="auto"/>
            <w:vAlign w:val="top"/>
          </w:tcPr>
          <w:p w14:paraId="45DF762C">
            <w:pPr>
              <w:widowControl/>
              <w:jc w:val="left"/>
              <w:rPr>
                <w:rFonts w:hint="eastAsia" w:asciiTheme="minorEastAsia" w:hAnsiTheme="minorEastAsia" w:eastAsiaTheme="minorEastAsia" w:cstheme="minorEastAsia"/>
                <w:kern w:val="2"/>
                <w:sz w:val="21"/>
                <w:szCs w:val="21"/>
                <w:highlight w:val="yellow"/>
                <w:lang w:val="en-US" w:eastAsia="zh-CN" w:bidi="ar-SA"/>
              </w:rPr>
            </w:pPr>
          </w:p>
        </w:tc>
        <w:tc>
          <w:tcPr>
            <w:tcW w:w="0" w:type="auto"/>
            <w:shd w:val="clear" w:color="auto" w:fill="auto"/>
            <w:vAlign w:val="top"/>
          </w:tcPr>
          <w:p w14:paraId="6EBDC056">
            <w:pPr>
              <w:keepNext w:val="0"/>
              <w:keepLines w:val="0"/>
              <w:pageBreakBefore w:val="0"/>
              <w:wordWrap/>
              <w:overflowPunct/>
              <w:topLinePunct w:val="0"/>
              <w:bidi w:val="0"/>
              <w:spacing w:line="380" w:lineRule="exact"/>
              <w:rPr>
                <w:rFonts w:hint="eastAsia" w:ascii="宋体" w:hAnsi="宋体" w:eastAsia="宋体" w:cs="宋体"/>
                <w:b/>
                <w:bCs w:val="0"/>
                <w:color w:val="FF0000"/>
                <w:kern w:val="2"/>
                <w:sz w:val="21"/>
                <w:szCs w:val="21"/>
                <w:highlight w:val="yellow"/>
                <w:lang w:val="en-US" w:eastAsia="zh-CN" w:bidi="ar-SA"/>
              </w:rPr>
            </w:pPr>
            <w:r>
              <w:rPr>
                <w:rFonts w:hint="eastAsia" w:ascii="宋体" w:hAnsi="宋体" w:eastAsia="宋体" w:cs="宋体"/>
                <w:b/>
                <w:bCs w:val="0"/>
                <w:color w:val="FF0000"/>
                <w:sz w:val="21"/>
                <w:szCs w:val="21"/>
                <w:highlight w:val="yellow"/>
                <w:lang w:val="en-US" w:eastAsia="zh-CN"/>
              </w:rPr>
              <w:t>10</w:t>
            </w:r>
            <w:r>
              <w:rPr>
                <w:rFonts w:hint="default" w:ascii="宋体" w:hAnsi="宋体" w:eastAsia="宋体" w:cs="宋体"/>
                <w:b/>
                <w:bCs w:val="0"/>
                <w:color w:val="FF0000"/>
                <w:sz w:val="21"/>
                <w:szCs w:val="21"/>
                <w:highlight w:val="yellow"/>
                <w:lang w:val="en-US" w:eastAsia="zh-CN"/>
              </w:rPr>
              <w:t>.2 若投标人所供专机专用配套试剂/耗材不在深圳医用耗材阳光交易和监管平台的，投标人承诺供货价格不高于该产品在深圳地区最低供货价。</w:t>
            </w:r>
          </w:p>
        </w:tc>
      </w:tr>
    </w:tbl>
    <w:p w14:paraId="759BF610">
      <w:pPr>
        <w:widowControl/>
        <w:jc w:val="left"/>
      </w:pPr>
    </w:p>
    <w:p w14:paraId="7F842591">
      <w:pPr>
        <w:rPr>
          <w:rFonts w:hint="eastAsia"/>
        </w:rPr>
      </w:pPr>
      <w:r>
        <w:br w:type="page"/>
      </w:r>
      <w:bookmarkStart w:id="3" w:name="_Toc135293322"/>
    </w:p>
    <w:p w14:paraId="1FB01B7F">
      <w:pPr>
        <w:pStyle w:val="2"/>
      </w:pPr>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06D8F270"/>
    <w:p w14:paraId="4BE47D73"/>
    <w:p w14:paraId="0C7AE374">
      <w:pPr>
        <w:pStyle w:val="4"/>
      </w:pPr>
    </w:p>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135293324"/>
      <w:bookmarkStart w:id="6" w:name="_Toc44690429"/>
      <w:bookmarkStart w:id="7" w:name="_Toc44691393"/>
      <w:bookmarkStart w:id="8" w:name="_Toc44690702"/>
      <w:bookmarkStart w:id="9" w:name="_Toc44691161"/>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7194488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C88A0B2">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786CA3B3">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16801C61">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0E7D0BBD">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3D1CA943">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BB34902">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26D15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3E47720C">
            <w:pPr>
              <w:autoSpaceDE w:val="0"/>
              <w:autoSpaceDN w:val="0"/>
              <w:adjustRightInd w:val="0"/>
              <w:spacing w:line="360" w:lineRule="exact"/>
              <w:jc w:val="center"/>
              <w:rPr>
                <w:rFonts w:hint="eastAsia" w:ascii="宋体" w:hAnsi="宋体" w:eastAsia="宋体" w:cs="仿宋"/>
                <w:b/>
                <w:szCs w:val="21"/>
                <w:lang w:eastAsia="zh-CN"/>
              </w:rPr>
            </w:pPr>
            <w:r>
              <w:rPr>
                <w:rFonts w:hint="eastAsia" w:ascii="宋体" w:hAnsi="宋体" w:cs="仿宋"/>
                <w:b/>
                <w:szCs w:val="21"/>
              </w:rPr>
              <w:t>5</w:t>
            </w:r>
            <w:r>
              <w:rPr>
                <w:rFonts w:hint="eastAsia" w:ascii="宋体" w:hAnsi="宋体" w:cs="仿宋"/>
                <w:b/>
                <w:szCs w:val="21"/>
                <w:lang w:val="en-US" w:eastAsia="zh-CN"/>
              </w:rPr>
              <w:t>6</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14:paraId="36307AFA">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14:paraId="0AF4C1E6">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14:paraId="4BCF69C3">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4FBC3E8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67" w:hRule="atLeast"/>
          <w:jc w:val="center"/>
        </w:trPr>
        <w:tc>
          <w:tcPr>
            <w:tcW w:w="754" w:type="dxa"/>
            <w:vAlign w:val="center"/>
          </w:tcPr>
          <w:p w14:paraId="42BEF13E">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14:paraId="2CAD9D31">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14:paraId="7C05B46F">
            <w:pPr>
              <w:widowControl/>
              <w:spacing w:line="360" w:lineRule="exact"/>
              <w:jc w:val="center"/>
              <w:rPr>
                <w:rFonts w:hint="default" w:ascii="宋体" w:hAnsi="宋体" w:eastAsia="宋体" w:cs="仿宋"/>
                <w:kern w:val="0"/>
                <w:szCs w:val="21"/>
                <w:lang w:val="en-US" w:eastAsia="zh-CN"/>
              </w:rPr>
            </w:pPr>
            <w:r>
              <w:rPr>
                <w:rFonts w:hint="eastAsia" w:ascii="宋体" w:hAnsi="宋体" w:cs="仿宋"/>
                <w:kern w:val="0"/>
                <w:szCs w:val="21"/>
                <w:lang w:val="en-US" w:eastAsia="zh-CN"/>
              </w:rPr>
              <w:t>48</w:t>
            </w:r>
          </w:p>
        </w:tc>
        <w:tc>
          <w:tcPr>
            <w:tcW w:w="5953" w:type="dxa"/>
            <w:vAlign w:val="center"/>
          </w:tcPr>
          <w:p w14:paraId="1C5AFA3A">
            <w:pPr>
              <w:pStyle w:val="94"/>
              <w:spacing w:line="360" w:lineRule="exact"/>
              <w:ind w:firstLine="0" w:firstLineChars="0"/>
              <w:rPr>
                <w:rFonts w:ascii="宋体" w:hAnsi="宋体"/>
                <w:szCs w:val="21"/>
              </w:rPr>
            </w:pPr>
            <w:r>
              <w:rPr>
                <w:rFonts w:hint="eastAsia" w:ascii="宋体" w:hAnsi="宋体"/>
                <w:szCs w:val="21"/>
              </w:rPr>
              <w:t>（一）评分内容：</w:t>
            </w:r>
          </w:p>
          <w:p w14:paraId="2A33A600">
            <w:pPr>
              <w:spacing w:line="360" w:lineRule="exact"/>
              <w:jc w:val="left"/>
              <w:rPr>
                <w:rFonts w:hint="eastAsia" w:ascii="宋体" w:hAnsi="宋体"/>
                <w:szCs w:val="21"/>
              </w:rPr>
            </w:pPr>
            <w:r>
              <w:rPr>
                <w:rFonts w:hint="eastAsia" w:ascii="宋体" w:hAnsi="宋体" w:cs="仿宋"/>
                <w:szCs w:val="21"/>
              </w:rPr>
              <w:t>投标人应如实填写《技术规格偏离表》，各项非实质性技术参数指标及要求全部满足的得 4</w:t>
            </w:r>
            <w:r>
              <w:rPr>
                <w:rFonts w:hint="eastAsia" w:ascii="宋体" w:hAnsi="宋体" w:cs="仿宋"/>
                <w:szCs w:val="21"/>
                <w:lang w:val="en-US" w:eastAsia="zh-CN"/>
              </w:rPr>
              <w:t>8</w:t>
            </w:r>
            <w:r>
              <w:rPr>
                <w:rFonts w:hint="eastAsia" w:ascii="宋体" w:hAnsi="宋体" w:cs="仿宋"/>
                <w:szCs w:val="21"/>
              </w:rPr>
              <w:t>分；其中“▲”参数为重要指标，每负偏离一项扣</w:t>
            </w:r>
            <w:r>
              <w:rPr>
                <w:rFonts w:hint="eastAsia" w:ascii="宋体" w:hAnsi="宋体" w:cs="仿宋"/>
                <w:szCs w:val="21"/>
                <w:lang w:val="en-US" w:eastAsia="zh-CN"/>
              </w:rPr>
              <w:t>6</w:t>
            </w:r>
            <w:r>
              <w:rPr>
                <w:rFonts w:hint="eastAsia" w:ascii="宋体" w:hAnsi="宋体" w:cs="仿宋"/>
                <w:szCs w:val="21"/>
              </w:rPr>
              <w:t>分；其余指标每负偏离一项扣</w:t>
            </w:r>
            <w:r>
              <w:rPr>
                <w:rFonts w:hint="eastAsia" w:ascii="宋体" w:hAnsi="宋体" w:cs="仿宋"/>
                <w:szCs w:val="21"/>
                <w:lang w:val="en-US" w:eastAsia="zh-CN"/>
              </w:rPr>
              <w:t>1.5</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7CC08926">
            <w:pPr>
              <w:spacing w:line="360" w:lineRule="exact"/>
              <w:jc w:val="left"/>
              <w:rPr>
                <w:rFonts w:hint="eastAsia" w:ascii="宋体" w:hAnsi="宋体" w:cs="仿宋"/>
                <w:szCs w:val="21"/>
              </w:rPr>
            </w:pPr>
            <w:r>
              <w:rPr>
                <w:rFonts w:hint="eastAsia" w:ascii="宋体" w:hAnsi="宋体" w:cs="仿宋"/>
                <w:szCs w:val="21"/>
              </w:rPr>
              <w:t>（二）评分依据：</w:t>
            </w:r>
          </w:p>
          <w:p w14:paraId="7E962F15">
            <w:pPr>
              <w:spacing w:line="360" w:lineRule="exact"/>
              <w:jc w:val="left"/>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716FE923">
            <w:pPr>
              <w:spacing w:line="360" w:lineRule="exact"/>
              <w:jc w:val="left"/>
              <w:rPr>
                <w:rFonts w:asciiTheme="minorEastAsia" w:hAnsiTheme="minorEastAsia" w:eastAsiaTheme="minorEastAsia" w:cstheme="minorBidi"/>
                <w:b/>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27AFFA20">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4F125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64" w:hRule="atLeast"/>
          <w:jc w:val="center"/>
        </w:trPr>
        <w:tc>
          <w:tcPr>
            <w:tcW w:w="754" w:type="dxa"/>
            <w:vAlign w:val="center"/>
          </w:tcPr>
          <w:p w14:paraId="7AC7B54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14:paraId="521CD5CF">
            <w:pPr>
              <w:spacing w:line="360" w:lineRule="exact"/>
              <w:jc w:val="center"/>
              <w:rPr>
                <w:rFonts w:ascii="宋体" w:hAnsi="宋体" w:cs="仿宋"/>
                <w:szCs w:val="21"/>
              </w:rPr>
            </w:pPr>
            <w:r>
              <w:rPr>
                <w:rFonts w:hint="eastAsia" w:ascii="宋体" w:hAnsi="宋体" w:cs="宋体"/>
                <w:kern w:val="0"/>
                <w:szCs w:val="21"/>
              </w:rPr>
              <w:t>技术保障措施</w:t>
            </w:r>
          </w:p>
        </w:tc>
        <w:tc>
          <w:tcPr>
            <w:tcW w:w="709" w:type="dxa"/>
            <w:vAlign w:val="center"/>
          </w:tcPr>
          <w:p w14:paraId="4ED36909">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8</w:t>
            </w:r>
          </w:p>
        </w:tc>
        <w:tc>
          <w:tcPr>
            <w:tcW w:w="5953" w:type="dxa"/>
            <w:vAlign w:val="center"/>
          </w:tcPr>
          <w:p w14:paraId="709B3AA1">
            <w:pPr>
              <w:spacing w:line="360" w:lineRule="exact"/>
              <w:jc w:val="left"/>
              <w:rPr>
                <w:rFonts w:hint="eastAsia" w:ascii="宋体" w:hAnsi="宋体" w:cs="仿宋"/>
                <w:szCs w:val="21"/>
              </w:rPr>
            </w:pPr>
            <w:r>
              <w:rPr>
                <w:rFonts w:hint="eastAsia" w:ascii="宋体" w:hAnsi="宋体" w:cs="仿宋"/>
                <w:szCs w:val="21"/>
              </w:rPr>
              <w:t>（一）评分内容：</w:t>
            </w:r>
          </w:p>
          <w:p w14:paraId="4ACF1795">
            <w:pPr>
              <w:spacing w:line="360" w:lineRule="exact"/>
              <w:jc w:val="left"/>
              <w:rPr>
                <w:rFonts w:hint="eastAsia" w:ascii="宋体" w:hAnsi="宋体" w:cs="仿宋"/>
                <w:szCs w:val="21"/>
              </w:rPr>
            </w:pPr>
            <w:r>
              <w:rPr>
                <w:rFonts w:hint="eastAsia" w:ascii="宋体" w:hAnsi="宋体" w:cs="仿宋"/>
                <w:szCs w:val="21"/>
              </w:rPr>
              <w:t>根据投标人对本项目需求制定技术保障措施，内容包括：</w:t>
            </w:r>
          </w:p>
          <w:p w14:paraId="63D7D469">
            <w:pPr>
              <w:spacing w:line="360" w:lineRule="exact"/>
              <w:jc w:val="left"/>
              <w:rPr>
                <w:rFonts w:hint="eastAsia" w:ascii="宋体" w:hAnsi="宋体" w:eastAsia="宋体" w:cs="仿宋"/>
                <w:szCs w:val="21"/>
                <w:lang w:eastAsia="zh-CN"/>
              </w:rPr>
            </w:pPr>
            <w:r>
              <w:rPr>
                <w:rFonts w:hint="eastAsia" w:ascii="宋体" w:hAnsi="宋体" w:cs="仿宋"/>
                <w:szCs w:val="21"/>
              </w:rPr>
              <w:t>1.供货进度安排</w:t>
            </w:r>
            <w:r>
              <w:rPr>
                <w:rFonts w:hint="eastAsia" w:ascii="宋体" w:hAnsi="宋体" w:cs="仿宋"/>
                <w:szCs w:val="21"/>
                <w:lang w:eastAsia="zh-CN"/>
              </w:rPr>
              <w:t>；</w:t>
            </w:r>
          </w:p>
          <w:p w14:paraId="0B0DD3D3">
            <w:pPr>
              <w:spacing w:line="360" w:lineRule="exact"/>
              <w:jc w:val="left"/>
              <w:rPr>
                <w:rFonts w:hint="eastAsia" w:ascii="宋体" w:hAnsi="宋体" w:eastAsia="宋体" w:cs="仿宋"/>
                <w:szCs w:val="21"/>
                <w:lang w:eastAsia="zh-CN"/>
              </w:rPr>
            </w:pPr>
            <w:r>
              <w:rPr>
                <w:rFonts w:hint="eastAsia" w:ascii="宋体" w:hAnsi="宋体" w:cs="仿宋"/>
                <w:szCs w:val="21"/>
              </w:rPr>
              <w:t>2.安装调试方案</w:t>
            </w:r>
            <w:r>
              <w:rPr>
                <w:rFonts w:hint="eastAsia" w:ascii="宋体" w:hAnsi="宋体" w:cs="仿宋"/>
                <w:szCs w:val="21"/>
                <w:lang w:eastAsia="zh-CN"/>
              </w:rPr>
              <w:t>；</w:t>
            </w:r>
          </w:p>
          <w:p w14:paraId="5F3A76BB">
            <w:pPr>
              <w:spacing w:line="360" w:lineRule="exact"/>
              <w:jc w:val="left"/>
              <w:rPr>
                <w:rFonts w:hint="eastAsia" w:ascii="宋体" w:hAnsi="宋体" w:eastAsia="宋体" w:cs="仿宋"/>
                <w:szCs w:val="21"/>
                <w:lang w:eastAsia="zh-CN"/>
              </w:rPr>
            </w:pPr>
            <w:r>
              <w:rPr>
                <w:rFonts w:hint="eastAsia" w:ascii="宋体" w:hAnsi="宋体" w:cs="仿宋"/>
                <w:szCs w:val="21"/>
              </w:rPr>
              <w:t>3.质量控制措施</w:t>
            </w:r>
            <w:r>
              <w:rPr>
                <w:rFonts w:hint="eastAsia" w:ascii="宋体" w:hAnsi="宋体" w:cs="仿宋"/>
                <w:szCs w:val="21"/>
                <w:lang w:eastAsia="zh-CN"/>
              </w:rPr>
              <w:t>；</w:t>
            </w:r>
          </w:p>
          <w:p w14:paraId="031B741C">
            <w:pPr>
              <w:spacing w:line="360" w:lineRule="exact"/>
              <w:jc w:val="left"/>
              <w:rPr>
                <w:rFonts w:hint="eastAsia" w:ascii="宋体" w:hAnsi="宋体" w:eastAsia="宋体" w:cs="仿宋"/>
                <w:szCs w:val="21"/>
                <w:lang w:eastAsia="zh-CN"/>
              </w:rPr>
            </w:pPr>
            <w:r>
              <w:rPr>
                <w:rFonts w:hint="eastAsia" w:ascii="宋体" w:hAnsi="宋体" w:cs="仿宋"/>
                <w:szCs w:val="21"/>
              </w:rPr>
              <w:t>4.安全保障措施</w:t>
            </w:r>
            <w:r>
              <w:rPr>
                <w:rFonts w:hint="eastAsia" w:ascii="宋体" w:hAnsi="宋体" w:cs="仿宋"/>
                <w:szCs w:val="21"/>
                <w:lang w:eastAsia="zh-CN"/>
              </w:rPr>
              <w:t>；</w:t>
            </w:r>
          </w:p>
          <w:p w14:paraId="2F963454">
            <w:pPr>
              <w:spacing w:line="360" w:lineRule="exact"/>
              <w:jc w:val="left"/>
              <w:rPr>
                <w:rFonts w:hint="eastAsia" w:ascii="宋体" w:hAnsi="宋体" w:eastAsia="宋体" w:cs="仿宋"/>
                <w:szCs w:val="21"/>
                <w:lang w:eastAsia="zh-CN"/>
              </w:rPr>
            </w:pPr>
            <w:r>
              <w:rPr>
                <w:rFonts w:hint="eastAsia" w:ascii="宋体" w:hAnsi="宋体" w:cs="仿宋"/>
                <w:szCs w:val="21"/>
              </w:rPr>
              <w:t>5.技术团队情况</w:t>
            </w:r>
            <w:r>
              <w:rPr>
                <w:rFonts w:hint="eastAsia" w:ascii="宋体" w:hAnsi="宋体" w:cs="仿宋"/>
                <w:szCs w:val="21"/>
                <w:lang w:eastAsia="zh-CN"/>
              </w:rPr>
              <w:t>。</w:t>
            </w:r>
          </w:p>
          <w:p w14:paraId="2B4F526B">
            <w:pPr>
              <w:spacing w:line="360" w:lineRule="exact"/>
              <w:jc w:val="left"/>
              <w:rPr>
                <w:rFonts w:hint="eastAsia" w:ascii="宋体" w:hAnsi="宋体" w:cs="仿宋"/>
                <w:szCs w:val="21"/>
              </w:rPr>
            </w:pPr>
            <w:r>
              <w:rPr>
                <w:rFonts w:hint="eastAsia" w:ascii="宋体" w:hAnsi="宋体" w:cs="仿宋"/>
                <w:szCs w:val="21"/>
              </w:rPr>
              <w:t>（二）评分标准</w:t>
            </w:r>
          </w:p>
          <w:p w14:paraId="2B2BCB72">
            <w:pPr>
              <w:spacing w:line="360" w:lineRule="exact"/>
              <w:jc w:val="left"/>
              <w:rPr>
                <w:rFonts w:hint="eastAsia" w:ascii="宋体" w:hAnsi="宋体" w:cs="仿宋"/>
                <w:szCs w:val="21"/>
              </w:rPr>
            </w:pPr>
            <w:r>
              <w:rPr>
                <w:rFonts w:hint="eastAsia" w:ascii="宋体" w:hAnsi="宋体" w:cs="仿宋"/>
                <w:szCs w:val="21"/>
              </w:rPr>
              <w:t>1.方案包含以上任意一项内容得</w:t>
            </w:r>
            <w:r>
              <w:rPr>
                <w:rFonts w:hint="eastAsia" w:ascii="宋体" w:hAnsi="宋体" w:cs="仿宋"/>
                <w:szCs w:val="21"/>
                <w:lang w:val="en-US" w:eastAsia="zh-CN"/>
              </w:rPr>
              <w:t>4</w:t>
            </w:r>
            <w:r>
              <w:rPr>
                <w:rFonts w:hint="eastAsia" w:ascii="宋体" w:hAnsi="宋体" w:cs="仿宋"/>
                <w:szCs w:val="21"/>
              </w:rPr>
              <w:t>分，本小项最高0.</w:t>
            </w:r>
            <w:r>
              <w:rPr>
                <w:rFonts w:hint="eastAsia" w:ascii="宋体" w:hAnsi="宋体" w:cs="仿宋"/>
                <w:szCs w:val="21"/>
                <w:lang w:val="en-US" w:eastAsia="zh-CN"/>
              </w:rPr>
              <w:t>8</w:t>
            </w:r>
            <w:r>
              <w:rPr>
                <w:rFonts w:hint="eastAsia" w:ascii="宋体" w:hAnsi="宋体" w:cs="仿宋"/>
                <w:szCs w:val="21"/>
              </w:rPr>
              <w:t>分。</w:t>
            </w:r>
          </w:p>
          <w:p w14:paraId="7730E0F8">
            <w:pPr>
              <w:spacing w:line="360" w:lineRule="exact"/>
              <w:jc w:val="left"/>
              <w:rPr>
                <w:rFonts w:hint="eastAsia" w:ascii="宋体" w:hAnsi="宋体" w:cs="仿宋"/>
                <w:szCs w:val="21"/>
              </w:rPr>
            </w:pPr>
            <w:r>
              <w:rPr>
                <w:rFonts w:hint="eastAsia" w:ascii="宋体" w:hAnsi="宋体" w:cs="仿宋"/>
                <w:szCs w:val="21"/>
              </w:rPr>
              <w:t>2.在此基础上，根据方案响应情况进一步评审：</w:t>
            </w:r>
          </w:p>
          <w:p w14:paraId="5F642F69">
            <w:pPr>
              <w:spacing w:line="360" w:lineRule="exact"/>
              <w:jc w:val="left"/>
              <w:rPr>
                <w:rFonts w:hint="eastAsia" w:ascii="宋体" w:hAnsi="宋体" w:cs="仿宋"/>
                <w:szCs w:val="21"/>
              </w:rPr>
            </w:pPr>
            <w:r>
              <w:rPr>
                <w:rFonts w:hint="eastAsia" w:ascii="宋体" w:hAnsi="宋体" w:cs="仿宋"/>
                <w:szCs w:val="21"/>
              </w:rPr>
              <w:t>（1）项目技术保障措施全面具体、针对性强、可操作性强</w:t>
            </w:r>
            <w:r>
              <w:rPr>
                <w:rFonts w:hint="eastAsia" w:ascii="宋体" w:hAnsi="宋体" w:cs="仿宋"/>
                <w:szCs w:val="21"/>
                <w:lang w:eastAsia="zh-CN"/>
              </w:rPr>
              <w:t>，</w:t>
            </w:r>
            <w:r>
              <w:rPr>
                <w:rFonts w:hint="eastAsia" w:ascii="宋体" w:hAnsi="宋体" w:cs="仿宋"/>
                <w:szCs w:val="21"/>
              </w:rPr>
              <w:t>质量控制措施</w:t>
            </w:r>
            <w:r>
              <w:rPr>
                <w:rFonts w:hint="eastAsia" w:ascii="宋体" w:hAnsi="宋体" w:cs="仿宋"/>
                <w:szCs w:val="21"/>
                <w:lang w:val="en-US" w:eastAsia="zh-CN"/>
              </w:rPr>
              <w:t>具体内容不少于4项</w:t>
            </w:r>
            <w:r>
              <w:rPr>
                <w:rFonts w:hint="eastAsia" w:ascii="宋体" w:hAnsi="宋体" w:cs="仿宋"/>
                <w:szCs w:val="21"/>
              </w:rPr>
              <w:t>，评价为优，加</w:t>
            </w:r>
            <w:r>
              <w:rPr>
                <w:rFonts w:hint="eastAsia" w:ascii="宋体" w:hAnsi="宋体" w:cs="仿宋"/>
                <w:szCs w:val="21"/>
                <w:lang w:val="en-US" w:eastAsia="zh-CN"/>
              </w:rPr>
              <w:t>4</w:t>
            </w:r>
            <w:r>
              <w:rPr>
                <w:rFonts w:hint="eastAsia" w:ascii="宋体" w:hAnsi="宋体" w:cs="仿宋"/>
                <w:szCs w:val="21"/>
              </w:rPr>
              <w:t>分；</w:t>
            </w:r>
          </w:p>
          <w:p w14:paraId="558E05B3">
            <w:pPr>
              <w:spacing w:line="360" w:lineRule="exact"/>
              <w:jc w:val="left"/>
              <w:rPr>
                <w:rFonts w:hint="eastAsia" w:ascii="宋体" w:hAnsi="宋体" w:cs="仿宋"/>
                <w:szCs w:val="21"/>
              </w:rPr>
            </w:pPr>
            <w:r>
              <w:rPr>
                <w:rFonts w:hint="eastAsia" w:ascii="宋体" w:hAnsi="宋体" w:cs="仿宋"/>
                <w:szCs w:val="21"/>
              </w:rPr>
              <w:t>（2）项目技术保障措施比较全面具体、针对性、可操作性较好</w:t>
            </w:r>
            <w:r>
              <w:rPr>
                <w:rFonts w:hint="eastAsia" w:ascii="宋体" w:hAnsi="宋体" w:cs="仿宋"/>
                <w:szCs w:val="21"/>
                <w:lang w:eastAsia="zh-CN"/>
              </w:rPr>
              <w:t>，</w:t>
            </w:r>
            <w:r>
              <w:rPr>
                <w:rFonts w:hint="eastAsia" w:ascii="宋体" w:hAnsi="宋体" w:cs="仿宋"/>
                <w:szCs w:val="21"/>
              </w:rPr>
              <w:t>质量控制措施</w:t>
            </w:r>
            <w:r>
              <w:rPr>
                <w:rFonts w:hint="eastAsia" w:ascii="宋体" w:hAnsi="宋体" w:cs="仿宋"/>
                <w:szCs w:val="21"/>
                <w:lang w:val="en-US" w:eastAsia="zh-CN"/>
              </w:rPr>
              <w:t>具体内容不少于3项</w:t>
            </w:r>
            <w:r>
              <w:rPr>
                <w:rFonts w:hint="eastAsia" w:ascii="宋体" w:hAnsi="宋体" w:cs="仿宋"/>
                <w:szCs w:val="21"/>
              </w:rPr>
              <w:t>，评价为良，加</w:t>
            </w:r>
            <w:r>
              <w:rPr>
                <w:rFonts w:hint="eastAsia" w:ascii="宋体" w:hAnsi="宋体" w:cs="仿宋"/>
                <w:szCs w:val="21"/>
                <w:lang w:val="en-US" w:eastAsia="zh-CN"/>
              </w:rPr>
              <w:t>2</w:t>
            </w:r>
            <w:r>
              <w:rPr>
                <w:rFonts w:hint="eastAsia" w:ascii="宋体" w:hAnsi="宋体" w:cs="仿宋"/>
                <w:szCs w:val="21"/>
              </w:rPr>
              <w:t>分；</w:t>
            </w:r>
          </w:p>
          <w:p w14:paraId="12BD3F2D">
            <w:pPr>
              <w:spacing w:line="360" w:lineRule="exact"/>
              <w:jc w:val="left"/>
              <w:rPr>
                <w:rFonts w:hint="eastAsia" w:ascii="宋体" w:hAnsi="宋体" w:cs="仿宋"/>
                <w:szCs w:val="21"/>
              </w:rPr>
            </w:pPr>
            <w:r>
              <w:rPr>
                <w:rFonts w:hint="eastAsia" w:ascii="宋体" w:hAnsi="宋体" w:cs="仿宋"/>
                <w:szCs w:val="21"/>
              </w:rPr>
              <w:t>（3）项目技术保障措施基本全面具体，针对性、可操作性一般</w:t>
            </w:r>
            <w:r>
              <w:rPr>
                <w:rFonts w:hint="eastAsia" w:ascii="宋体" w:hAnsi="宋体" w:cs="仿宋"/>
                <w:szCs w:val="21"/>
                <w:lang w:eastAsia="zh-CN"/>
              </w:rPr>
              <w:t>，</w:t>
            </w:r>
            <w:r>
              <w:rPr>
                <w:rFonts w:hint="eastAsia" w:ascii="宋体" w:hAnsi="宋体" w:cs="仿宋"/>
                <w:szCs w:val="21"/>
              </w:rPr>
              <w:t>质量控制措施</w:t>
            </w:r>
            <w:r>
              <w:rPr>
                <w:rFonts w:hint="eastAsia" w:ascii="宋体" w:hAnsi="宋体" w:cs="仿宋"/>
                <w:szCs w:val="21"/>
                <w:lang w:val="en-US" w:eastAsia="zh-CN"/>
              </w:rPr>
              <w:t>具体内容不少于2项</w:t>
            </w:r>
            <w:r>
              <w:rPr>
                <w:rFonts w:hint="eastAsia" w:ascii="宋体" w:hAnsi="宋体" w:cs="仿宋"/>
                <w:szCs w:val="21"/>
              </w:rPr>
              <w:t>。评价为中，加</w:t>
            </w:r>
            <w:r>
              <w:rPr>
                <w:rFonts w:hint="eastAsia" w:ascii="宋体" w:hAnsi="宋体" w:cs="仿宋"/>
                <w:szCs w:val="21"/>
                <w:lang w:val="en-US" w:eastAsia="zh-CN"/>
              </w:rPr>
              <w:t>1</w:t>
            </w:r>
            <w:r>
              <w:rPr>
                <w:rFonts w:hint="eastAsia" w:ascii="宋体" w:hAnsi="宋体" w:cs="仿宋"/>
                <w:szCs w:val="21"/>
              </w:rPr>
              <w:t>分；</w:t>
            </w:r>
          </w:p>
          <w:p w14:paraId="2DC09718">
            <w:pPr>
              <w:pStyle w:val="18"/>
              <w:rPr>
                <w:rFonts w:ascii="宋体" w:hAnsi="宋体" w:cs="仿宋"/>
                <w:szCs w:val="21"/>
              </w:rPr>
            </w:pPr>
            <w:r>
              <w:rPr>
                <w:rFonts w:hint="eastAsia" w:ascii="宋体" w:hAnsi="宋体" w:cs="仿宋"/>
                <w:szCs w:val="21"/>
              </w:rPr>
              <w:t>（4）项目技术保障措施不全不具体、无针对性、无可操作性，或未按采购文件要求提供实施方案</w:t>
            </w:r>
            <w:r>
              <w:rPr>
                <w:rFonts w:hint="eastAsia"/>
                <w:lang w:val="en-US" w:eastAsia="zh-CN"/>
              </w:rPr>
              <w:t>或</w:t>
            </w:r>
            <w:r>
              <w:rPr>
                <w:rFonts w:hint="eastAsia" w:ascii="宋体" w:hAnsi="宋体" w:cs="仿宋"/>
                <w:szCs w:val="21"/>
              </w:rPr>
              <w:t>质量控制措施</w:t>
            </w:r>
            <w:r>
              <w:rPr>
                <w:rFonts w:hint="eastAsia" w:ascii="宋体" w:hAnsi="宋体" w:cs="仿宋"/>
                <w:szCs w:val="21"/>
                <w:lang w:val="en-US" w:eastAsia="zh-CN"/>
              </w:rPr>
              <w:t>具体内容少于2项</w:t>
            </w:r>
            <w:r>
              <w:rPr>
                <w:rFonts w:hint="eastAsia" w:ascii="宋体" w:hAnsi="宋体" w:cs="仿宋"/>
                <w:szCs w:val="21"/>
              </w:rPr>
              <w:t>的。评价为差，不</w:t>
            </w:r>
            <w:r>
              <w:rPr>
                <w:rFonts w:hint="eastAsia" w:ascii="宋体" w:hAnsi="宋体" w:cs="仿宋"/>
                <w:szCs w:val="21"/>
                <w:lang w:val="en-US" w:eastAsia="zh-CN"/>
              </w:rPr>
              <w:t>加</w:t>
            </w:r>
            <w:r>
              <w:rPr>
                <w:rFonts w:hint="eastAsia" w:ascii="宋体" w:hAnsi="宋体" w:cs="仿宋"/>
                <w:szCs w:val="21"/>
              </w:rPr>
              <w:t>分。</w:t>
            </w:r>
          </w:p>
        </w:tc>
        <w:tc>
          <w:tcPr>
            <w:tcW w:w="1187" w:type="dxa"/>
            <w:vAlign w:val="center"/>
          </w:tcPr>
          <w:p w14:paraId="4CBE210C">
            <w:pPr>
              <w:spacing w:line="360" w:lineRule="exact"/>
              <w:jc w:val="center"/>
              <w:rPr>
                <w:rFonts w:ascii="宋体" w:hAnsi="宋体" w:cs="仿宋"/>
                <w:szCs w:val="21"/>
                <w:lang w:val="zh-CN"/>
              </w:rPr>
            </w:pPr>
            <w:r>
              <w:rPr>
                <w:rFonts w:hint="eastAsia" w:ascii="宋体" w:hAnsi="宋体" w:cs="仿宋"/>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4188CA65">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14</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14:paraId="17372B8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14:paraId="11CF2D4B">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14:paraId="3BA6908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340CB73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35BAC7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96" w:hRule="atLeast"/>
          <w:jc w:val="center"/>
        </w:trPr>
        <w:tc>
          <w:tcPr>
            <w:tcW w:w="754" w:type="dxa"/>
            <w:vAlign w:val="center"/>
          </w:tcPr>
          <w:p w14:paraId="5C83240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14:paraId="66998310">
            <w:pPr>
              <w:widowControl/>
              <w:spacing w:line="360" w:lineRule="exact"/>
              <w:jc w:val="center"/>
              <w:rPr>
                <w:rFonts w:ascii="宋体" w:hAnsi="宋体" w:cs="仿宋"/>
                <w:kern w:val="0"/>
                <w:szCs w:val="21"/>
              </w:rPr>
            </w:pPr>
            <w:r>
              <w:rPr>
                <w:rFonts w:hint="eastAsia" w:ascii="宋体" w:hAnsi="宋体" w:cs="仿宋"/>
                <w:kern w:val="0"/>
                <w:szCs w:val="21"/>
              </w:rPr>
              <w:t>商务条款偏离情况</w:t>
            </w:r>
          </w:p>
        </w:tc>
        <w:tc>
          <w:tcPr>
            <w:tcW w:w="709" w:type="dxa"/>
            <w:vAlign w:val="center"/>
          </w:tcPr>
          <w:p w14:paraId="704CD572">
            <w:pPr>
              <w:widowControl/>
              <w:spacing w:line="360" w:lineRule="exact"/>
              <w:jc w:val="center"/>
              <w:rPr>
                <w:rFonts w:hint="eastAsia" w:ascii="宋体" w:hAnsi="宋体" w:eastAsia="宋体" w:cs="仿宋"/>
                <w:kern w:val="0"/>
                <w:szCs w:val="21"/>
                <w:lang w:eastAsia="zh-CN"/>
              </w:rPr>
            </w:pPr>
            <w:r>
              <w:rPr>
                <w:rFonts w:hint="eastAsia" w:ascii="宋体" w:hAnsi="宋体" w:cs="仿宋"/>
                <w:kern w:val="0"/>
                <w:szCs w:val="21"/>
                <w:lang w:val="en-US" w:eastAsia="zh-CN"/>
              </w:rPr>
              <w:t>3</w:t>
            </w:r>
          </w:p>
        </w:tc>
        <w:tc>
          <w:tcPr>
            <w:tcW w:w="5953" w:type="dxa"/>
            <w:vAlign w:val="center"/>
          </w:tcPr>
          <w:p w14:paraId="65C777E9">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投标人应如实填写《商务条款偏离表》，评审委员会根据其中免费保修期外售后服务条款响应情况进行评审</w:t>
            </w:r>
            <w:r>
              <w:rPr>
                <w:rFonts w:hint="eastAsia" w:ascii="宋体" w:hAnsi="宋体" w:cs="仿宋"/>
                <w:szCs w:val="21"/>
              </w:rPr>
              <w:t>：</w:t>
            </w:r>
          </w:p>
          <w:p w14:paraId="2C75A1FC">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非实质性要求全部满足的得3分，</w:t>
            </w:r>
            <w:r>
              <w:rPr>
                <w:rFonts w:hint="eastAsia" w:ascii="宋体" w:hAnsi="宋体" w:cs="宋体"/>
                <w:szCs w:val="21"/>
              </w:rPr>
              <w:t>每1小项负偏离</w:t>
            </w:r>
            <w:r>
              <w:rPr>
                <w:rFonts w:hint="eastAsia" w:ascii="宋体" w:hAnsi="宋体" w:cs="宋体"/>
                <w:kern w:val="0"/>
                <w:szCs w:val="21"/>
              </w:rPr>
              <w:t>扣</w:t>
            </w:r>
            <w:r>
              <w:rPr>
                <w:rFonts w:hint="eastAsia" w:ascii="宋体" w:hAnsi="宋体" w:cs="宋体"/>
                <w:kern w:val="0"/>
                <w:szCs w:val="21"/>
                <w:lang w:val="en-US" w:eastAsia="zh-CN"/>
              </w:rPr>
              <w:t>0.084</w:t>
            </w:r>
            <w:r>
              <w:rPr>
                <w:rFonts w:hint="eastAsia" w:ascii="宋体" w:hAnsi="宋体" w:cs="宋体"/>
                <w:kern w:val="0"/>
                <w:szCs w:val="21"/>
              </w:rPr>
              <w:t>分，</w:t>
            </w:r>
            <w:r>
              <w:rPr>
                <w:rFonts w:hint="eastAsia" w:ascii="宋体" w:hAnsi="宋体" w:cs="仿宋"/>
                <w:szCs w:val="21"/>
              </w:rPr>
              <w:t>最低得0分</w:t>
            </w:r>
            <w:r>
              <w:rPr>
                <w:rFonts w:hint="eastAsia" w:ascii="宋体" w:hAnsi="宋体" w:cs="宋体"/>
                <w:kern w:val="0"/>
                <w:szCs w:val="21"/>
              </w:rPr>
              <w:t>。</w:t>
            </w:r>
          </w:p>
          <w:p w14:paraId="56257358">
            <w:pPr>
              <w:pStyle w:val="18"/>
              <w:rPr>
                <w:rFonts w:ascii="宋体" w:hAnsi="宋体" w:cs="仿宋"/>
                <w:szCs w:val="21"/>
              </w:rPr>
            </w:pP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w:t>
            </w:r>
            <w:r>
              <w:rPr>
                <w:rFonts w:hint="eastAsia" w:ascii="宋体" w:hAnsi="宋体"/>
                <w:szCs w:val="21"/>
                <w:lang w:eastAsia="zh-CN"/>
              </w:rPr>
              <w:t>商务条款</w:t>
            </w:r>
            <w:r>
              <w:rPr>
                <w:rFonts w:hint="eastAsia" w:ascii="宋体" w:hAnsi="宋体"/>
                <w:szCs w:val="21"/>
              </w:rPr>
              <w:t>（以</w:t>
            </w:r>
            <w:r>
              <w:rPr>
                <w:rFonts w:hint="eastAsia" w:ascii="宋体" w:hAnsi="宋体"/>
                <w:szCs w:val="21"/>
                <w:lang w:eastAsia="zh-CN"/>
              </w:rPr>
              <w:t>招标文件商务要求中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tc>
        <w:tc>
          <w:tcPr>
            <w:tcW w:w="1187" w:type="dxa"/>
            <w:vAlign w:val="center"/>
          </w:tcPr>
          <w:p w14:paraId="724A8567">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5E054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76" w:hRule="atLeast"/>
          <w:jc w:val="center"/>
        </w:trPr>
        <w:tc>
          <w:tcPr>
            <w:tcW w:w="754" w:type="dxa"/>
            <w:vAlign w:val="center"/>
          </w:tcPr>
          <w:p w14:paraId="2B679FF2">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2</w:t>
            </w:r>
          </w:p>
        </w:tc>
        <w:tc>
          <w:tcPr>
            <w:tcW w:w="1143" w:type="dxa"/>
            <w:vAlign w:val="center"/>
          </w:tcPr>
          <w:p w14:paraId="323F6061">
            <w:pPr>
              <w:spacing w:line="360" w:lineRule="exact"/>
              <w:jc w:val="center"/>
              <w:rPr>
                <w:rFonts w:ascii="宋体" w:hAnsi="宋体" w:cs="仿宋"/>
                <w:szCs w:val="21"/>
              </w:rPr>
            </w:pPr>
            <w:r>
              <w:rPr>
                <w:rFonts w:hint="eastAsia" w:ascii="宋体" w:hAnsi="宋体" w:cs="仿宋"/>
                <w:szCs w:val="21"/>
              </w:rPr>
              <w:t>投标人同类业绩</w:t>
            </w:r>
          </w:p>
        </w:tc>
        <w:tc>
          <w:tcPr>
            <w:tcW w:w="709" w:type="dxa"/>
            <w:vAlign w:val="center"/>
          </w:tcPr>
          <w:p w14:paraId="356FE10A">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6</w:t>
            </w:r>
          </w:p>
        </w:tc>
        <w:tc>
          <w:tcPr>
            <w:tcW w:w="5953" w:type="dxa"/>
            <w:vAlign w:val="center"/>
          </w:tcPr>
          <w:p w14:paraId="26B60DB9">
            <w:pPr>
              <w:widowControl/>
              <w:snapToGrid w:val="0"/>
              <w:spacing w:line="380" w:lineRule="exact"/>
              <w:jc w:val="left"/>
              <w:textAlignment w:val="center"/>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 xml:space="preserve">（一）评分内容 </w:t>
            </w:r>
          </w:p>
          <w:p w14:paraId="5D9C31AB">
            <w:pPr>
              <w:spacing w:line="380" w:lineRule="exact"/>
              <w:jc w:val="left"/>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自2023年1月1日至本项目投标截止日（以合同签订时间为准），具有已完成的同类</w:t>
            </w:r>
            <w:r>
              <w:rPr>
                <w:rFonts w:hint="eastAsia" w:ascii="宋体" w:hAnsi="宋体" w:eastAsia="宋体" w:cs="宋体"/>
                <w:bCs/>
                <w:szCs w:val="21"/>
              </w:rPr>
              <w:t>射频消融治疗仪</w:t>
            </w:r>
            <w:r>
              <w:rPr>
                <w:rFonts w:hint="eastAsia" w:cs="Times New Roman" w:asciiTheme="minorEastAsia" w:hAnsiTheme="minorEastAsia" w:eastAsiaTheme="minorEastAsia"/>
                <w:kern w:val="2"/>
                <w:sz w:val="21"/>
                <w:szCs w:val="21"/>
                <w:lang w:val="en-US" w:eastAsia="zh-CN" w:bidi="ar-SA"/>
              </w:rPr>
              <w:t>业绩（</w:t>
            </w:r>
            <w:r>
              <w:rPr>
                <w:rFonts w:hint="eastAsia" w:asciiTheme="minorEastAsia" w:hAnsiTheme="minorEastAsia" w:eastAsiaTheme="minorEastAsia"/>
                <w:szCs w:val="21"/>
                <w:lang w:eastAsia="zh-CN"/>
              </w:rPr>
              <w:t>验收或履约评价结果为合格或以上</w:t>
            </w:r>
            <w:r>
              <w:rPr>
                <w:rFonts w:hint="eastAsia" w:cs="Times New Roman" w:asciiTheme="minorEastAsia" w:hAnsiTheme="minorEastAsia" w:eastAsiaTheme="minorEastAsia"/>
                <w:kern w:val="2"/>
                <w:sz w:val="21"/>
                <w:szCs w:val="21"/>
                <w:lang w:val="en-US" w:eastAsia="zh-CN" w:bidi="ar-SA"/>
              </w:rPr>
              <w:t>），每提供1个有效业绩得2分，满分6分</w:t>
            </w:r>
            <w:r>
              <w:rPr>
                <w:rFonts w:hint="eastAsia" w:cs="宋体" w:asciiTheme="minorEastAsia" w:hAnsiTheme="minorEastAsia" w:eastAsiaTheme="minorEastAsia"/>
                <w:szCs w:val="21"/>
              </w:rPr>
              <w:t>。</w:t>
            </w:r>
          </w:p>
          <w:p w14:paraId="7B0F92F8">
            <w:pPr>
              <w:widowControl/>
              <w:snapToGrid w:val="0"/>
              <w:spacing w:line="380" w:lineRule="exact"/>
              <w:jc w:val="left"/>
              <w:textAlignment w:val="center"/>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（二）证明材料</w:t>
            </w:r>
          </w:p>
          <w:p w14:paraId="6326307B">
            <w:pPr>
              <w:pStyle w:val="18"/>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1.同时提供合同关键页复印件（含签订合同双方的单位名称、主要服务内容、合同项目名称与含签订合同双方的落款盖章、签订日期的关键页）和</w:t>
            </w:r>
            <w:r>
              <w:rPr>
                <w:rFonts w:hint="eastAsia" w:asciiTheme="minorEastAsia" w:hAnsiTheme="minorEastAsia" w:eastAsiaTheme="minorEastAsia"/>
                <w:szCs w:val="21"/>
              </w:rPr>
              <w:t>加盖合同甲方公章（或甲方业务章）的项目履约（或验收）合格（或以上）评价证明文件扫描件</w:t>
            </w:r>
            <w:r>
              <w:rPr>
                <w:rFonts w:hint="eastAsia" w:cs="Times New Roman" w:asciiTheme="minorEastAsia" w:hAnsiTheme="minorEastAsia" w:eastAsiaTheme="minorEastAsia"/>
                <w:kern w:val="2"/>
                <w:sz w:val="21"/>
                <w:szCs w:val="21"/>
                <w:lang w:val="en-US" w:eastAsia="zh-CN" w:bidi="ar-SA"/>
              </w:rPr>
              <w:t>。</w:t>
            </w:r>
          </w:p>
          <w:p w14:paraId="2EF7A510">
            <w:pPr>
              <w:widowControl/>
              <w:snapToGrid w:val="0"/>
              <w:spacing w:line="380" w:lineRule="exact"/>
              <w:jc w:val="left"/>
              <w:textAlignment w:val="center"/>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2.</w:t>
            </w:r>
            <w:r>
              <w:rPr>
                <w:rFonts w:hint="eastAsia" w:asciiTheme="minorEastAsia" w:hAnsiTheme="minorEastAsia" w:eastAsiaTheme="minorEastAsia"/>
                <w:szCs w:val="21"/>
              </w:rPr>
              <w:t>通过合同关键信息</w:t>
            </w:r>
            <w:r>
              <w:rPr>
                <w:rFonts w:hint="eastAsia" w:asciiTheme="minorEastAsia" w:hAnsiTheme="minorEastAsia" w:eastAsiaTheme="minorEastAsia"/>
                <w:szCs w:val="21"/>
                <w:lang w:val="en-US" w:eastAsia="zh-CN"/>
              </w:rPr>
              <w:t>或验收（履约评价）报告</w:t>
            </w:r>
            <w:r>
              <w:rPr>
                <w:rFonts w:hint="eastAsia" w:asciiTheme="minorEastAsia" w:hAnsiTheme="minorEastAsia" w:eastAsiaTheme="minorEastAsia"/>
                <w:szCs w:val="21"/>
              </w:rPr>
              <w:t>无法判断是否得分的，还需提供能证明得分的其它证明资料，如项目报告或合同甲方出具的证明文件；</w:t>
            </w:r>
          </w:p>
          <w:p w14:paraId="1695F746">
            <w:pPr>
              <w:adjustRightInd w:val="0"/>
              <w:snapToGrid w:val="0"/>
              <w:spacing w:line="360" w:lineRule="exact"/>
              <w:rPr>
                <w:rFonts w:asciiTheme="minorEastAsia" w:hAnsiTheme="minorEastAsia" w:eastAsiaTheme="minorEastAsia"/>
                <w:szCs w:val="21"/>
              </w:rPr>
            </w:pPr>
            <w:r>
              <w:rPr>
                <w:rFonts w:hint="eastAsia" w:cs="Times New Roman" w:asciiTheme="minorEastAsia" w:hAnsiTheme="minorEastAsia" w:eastAsiaTheme="minorEastAsia"/>
                <w:kern w:val="2"/>
                <w:sz w:val="21"/>
                <w:szCs w:val="21"/>
                <w:lang w:val="en-US" w:eastAsia="zh-CN" w:bidi="ar-SA"/>
              </w:rPr>
              <w:t>3.</w:t>
            </w:r>
            <w:r>
              <w:rPr>
                <w:rFonts w:hint="eastAsia" w:asciiTheme="minorEastAsia" w:hAnsiTheme="minorEastAsia" w:eastAsiaTheme="minorEastAsia"/>
                <w:szCs w:val="21"/>
              </w:rPr>
              <w:t>提供以上证明文件复印件或扫描件，均要求加盖投标人公章。未按要求提供有效证明材料或提供不清晰导致评委无法识别的不计得分。</w:t>
            </w:r>
          </w:p>
          <w:p w14:paraId="7139D5CA">
            <w:pPr>
              <w:pStyle w:val="18"/>
              <w:rPr>
                <w:rFonts w:ascii="宋体" w:hAnsi="宋体" w:cs="仿宋"/>
                <w:szCs w:val="21"/>
              </w:rPr>
            </w:pPr>
            <w:r>
              <w:rPr>
                <w:rFonts w:hint="eastAsia" w:cs="宋体" w:asciiTheme="minorEastAsia" w:hAnsiTheme="minorEastAsia" w:eastAsiaTheme="minorEastAsia"/>
                <w:szCs w:val="21"/>
              </w:rPr>
              <w:t>注：为便于评委评审，</w:t>
            </w:r>
            <w:r>
              <w:rPr>
                <w:rFonts w:hint="eastAsia" w:cs="宋体" w:asciiTheme="minorEastAsia" w:hAnsiTheme="minorEastAsia" w:eastAsiaTheme="minorEastAsia"/>
                <w:szCs w:val="21"/>
                <w:lang w:val="en-US" w:eastAsia="zh-CN"/>
              </w:rPr>
              <w:t>验收（</w:t>
            </w:r>
            <w:r>
              <w:rPr>
                <w:rFonts w:hint="eastAsia" w:cs="宋体" w:asciiTheme="minorEastAsia" w:hAnsiTheme="minorEastAsia" w:eastAsiaTheme="minorEastAsia"/>
                <w:szCs w:val="21"/>
              </w:rPr>
              <w:t>履约评价</w:t>
            </w:r>
            <w:r>
              <w:rPr>
                <w:rFonts w:hint="eastAsia" w:cs="宋体" w:asciiTheme="minorEastAsia" w:hAnsiTheme="minorEastAsia" w:eastAsiaTheme="minorEastAsia"/>
                <w:szCs w:val="21"/>
                <w:lang w:val="en-US" w:eastAsia="zh-CN"/>
              </w:rPr>
              <w:t>）</w:t>
            </w:r>
            <w:r>
              <w:rPr>
                <w:rFonts w:hint="eastAsia" w:cs="宋体" w:asciiTheme="minorEastAsia" w:hAnsiTheme="minorEastAsia" w:eastAsiaTheme="minorEastAsia"/>
                <w:szCs w:val="21"/>
              </w:rPr>
              <w:t>证明文件应附在同类项目业绩证明文件后，每个项目对应一份</w:t>
            </w:r>
            <w:r>
              <w:rPr>
                <w:rFonts w:hint="eastAsia" w:cs="宋体" w:asciiTheme="minorEastAsia" w:hAnsiTheme="minorEastAsia" w:eastAsiaTheme="minorEastAsia"/>
                <w:szCs w:val="21"/>
                <w:lang w:val="en-US" w:eastAsia="zh-CN"/>
              </w:rPr>
              <w:t>验收（</w:t>
            </w:r>
            <w:r>
              <w:rPr>
                <w:rFonts w:hint="eastAsia" w:cs="宋体" w:asciiTheme="minorEastAsia" w:hAnsiTheme="minorEastAsia" w:eastAsiaTheme="minorEastAsia"/>
                <w:szCs w:val="21"/>
              </w:rPr>
              <w:t>履约评价</w:t>
            </w:r>
            <w:r>
              <w:rPr>
                <w:rFonts w:hint="eastAsia" w:cs="宋体" w:asciiTheme="minorEastAsia" w:hAnsiTheme="minorEastAsia" w:eastAsiaTheme="minorEastAsia"/>
                <w:szCs w:val="21"/>
                <w:lang w:val="en-US" w:eastAsia="zh-CN"/>
              </w:rPr>
              <w:t>）</w:t>
            </w:r>
            <w:r>
              <w:rPr>
                <w:rFonts w:hint="eastAsia" w:cs="宋体" w:asciiTheme="minorEastAsia" w:hAnsiTheme="minorEastAsia" w:eastAsiaTheme="minorEastAsia"/>
                <w:szCs w:val="21"/>
              </w:rPr>
              <w:t>证明。</w:t>
            </w:r>
          </w:p>
        </w:tc>
        <w:tc>
          <w:tcPr>
            <w:tcW w:w="1187" w:type="dxa"/>
            <w:vAlign w:val="center"/>
          </w:tcPr>
          <w:p w14:paraId="5648DFC7">
            <w:pPr>
              <w:spacing w:line="360" w:lineRule="exact"/>
              <w:jc w:val="center"/>
              <w:rPr>
                <w:rFonts w:ascii="宋体" w:hAnsi="宋体" w:cs="仿宋"/>
                <w:szCs w:val="21"/>
                <w:lang w:val="zh-CN"/>
              </w:rPr>
            </w:pPr>
            <w:r>
              <w:rPr>
                <w:rFonts w:hint="eastAsia" w:ascii="宋体" w:hAnsi="宋体" w:cs="仿宋"/>
                <w:szCs w:val="21"/>
              </w:rPr>
              <w:t>评委打分</w:t>
            </w:r>
          </w:p>
        </w:tc>
      </w:tr>
      <w:tr w14:paraId="13A1F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1" w:hRule="atLeast"/>
          <w:jc w:val="center"/>
        </w:trPr>
        <w:tc>
          <w:tcPr>
            <w:tcW w:w="754" w:type="dxa"/>
            <w:vAlign w:val="center"/>
          </w:tcPr>
          <w:p w14:paraId="403AC690">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3</w:t>
            </w:r>
          </w:p>
        </w:tc>
        <w:tc>
          <w:tcPr>
            <w:tcW w:w="1143" w:type="dxa"/>
            <w:vAlign w:val="center"/>
          </w:tcPr>
          <w:p w14:paraId="494B7C60">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14:paraId="66F95B30">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953" w:type="dxa"/>
            <w:vAlign w:val="center"/>
          </w:tcPr>
          <w:p w14:paraId="5F18D315">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A57DB65">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54109F">
            <w:pPr>
              <w:spacing w:line="360" w:lineRule="exact"/>
              <w:jc w:val="center"/>
              <w:rPr>
                <w:rFonts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asciiTheme="minorEastAsia" w:hAnsiTheme="minorEastAsia"/>
          <w:bCs w:val="0"/>
          <w:sz w:val="21"/>
          <w:szCs w:val="21"/>
        </w:rPr>
      </w:pPr>
      <w:bookmarkStart w:id="11" w:name="_Toc135293326"/>
      <w:bookmarkStart w:id="12" w:name="_Toc44690703"/>
      <w:bookmarkStart w:id="13" w:name="_Toc44690430"/>
      <w:bookmarkStart w:id="14" w:name="_Toc44691162"/>
      <w:bookmarkStart w:id="15" w:name="_Toc44691394"/>
      <w:r>
        <w:rPr>
          <w:rFonts w:hint="eastAsia" w:asciiTheme="minorEastAsia" w:hAnsiTheme="minorEastAsia"/>
          <w:bCs w:val="0"/>
          <w:sz w:val="21"/>
          <w:szCs w:val="21"/>
        </w:rPr>
        <w:t>备注：</w:t>
      </w:r>
      <w:bookmarkEnd w:id="11"/>
      <w:bookmarkEnd w:id="12"/>
      <w:bookmarkEnd w:id="13"/>
      <w:bookmarkEnd w:id="14"/>
      <w:bookmarkEnd w:id="1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31C0A1">
      <w:pPr>
        <w:pStyle w:val="3"/>
        <w:spacing w:before="0" w:after="0"/>
      </w:pPr>
      <w:bookmarkStart w:id="16" w:name="_Toc135293327"/>
      <w:r>
        <w:rPr>
          <w:rFonts w:hint="eastAsia"/>
        </w:rPr>
        <w:t>1、资质证书有效期</w:t>
      </w:r>
      <w:bookmarkEnd w:id="16"/>
    </w:p>
    <w:p w14:paraId="53E0DA15">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asciiTheme="minorEastAsia" w:hAnsiTheme="minorEastAsia" w:eastAsiaTheme="minorEastAsia"/>
          <w:b/>
        </w:rPr>
      </w:pPr>
    </w:p>
    <w:p w14:paraId="6E468CD0">
      <w:pPr>
        <w:pStyle w:val="3"/>
        <w:spacing w:before="0" w:after="0"/>
        <w:rPr>
          <w:rFonts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F79819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04E7FEFE">
      <w:pPr>
        <w:spacing w:line="240" w:lineRule="exact"/>
        <w:ind w:firstLine="424" w:firstLineChars="202"/>
        <w:jc w:val="left"/>
        <w:rPr>
          <w:rFonts w:asciiTheme="minorEastAsia" w:hAnsiTheme="minorEastAsia" w:eastAsiaTheme="minorEastAsia"/>
          <w:szCs w:val="21"/>
        </w:rPr>
      </w:pPr>
    </w:p>
    <w:p w14:paraId="1C559AA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6"/>
              <w:spacing w:line="360" w:lineRule="auto"/>
              <w:jc w:val="center"/>
              <w:rPr>
                <w:rFonts w:hAnsi="宋体"/>
              </w:rPr>
            </w:pPr>
            <w:r>
              <w:rPr>
                <w:rFonts w:hint="eastAsia" w:hAnsi="宋体"/>
              </w:rPr>
              <w:t>项号</w:t>
            </w:r>
          </w:p>
        </w:tc>
        <w:tc>
          <w:tcPr>
            <w:tcW w:w="1038" w:type="dxa"/>
            <w:vAlign w:val="center"/>
          </w:tcPr>
          <w:p w14:paraId="1A021A33">
            <w:pPr>
              <w:pStyle w:val="26"/>
              <w:spacing w:line="360" w:lineRule="auto"/>
              <w:jc w:val="center"/>
              <w:rPr>
                <w:rFonts w:hAnsi="宋体"/>
              </w:rPr>
            </w:pPr>
            <w:r>
              <w:rPr>
                <w:rFonts w:hint="eastAsia" w:hAnsi="宋体"/>
              </w:rPr>
              <w:t>条款号</w:t>
            </w:r>
          </w:p>
        </w:tc>
        <w:tc>
          <w:tcPr>
            <w:tcW w:w="1843" w:type="dxa"/>
            <w:vAlign w:val="center"/>
          </w:tcPr>
          <w:p w14:paraId="6C99B8DD">
            <w:pPr>
              <w:pStyle w:val="26"/>
              <w:spacing w:line="360" w:lineRule="auto"/>
              <w:jc w:val="center"/>
              <w:rPr>
                <w:rFonts w:hAnsi="宋体"/>
              </w:rPr>
            </w:pPr>
            <w:r>
              <w:rPr>
                <w:rFonts w:hint="eastAsia" w:hAnsi="宋体"/>
              </w:rPr>
              <w:t>内容</w:t>
            </w:r>
          </w:p>
        </w:tc>
        <w:tc>
          <w:tcPr>
            <w:tcW w:w="6520" w:type="dxa"/>
          </w:tcPr>
          <w:p w14:paraId="79032F6D">
            <w:pPr>
              <w:pStyle w:val="26"/>
              <w:spacing w:line="360" w:lineRule="auto"/>
              <w:jc w:val="center"/>
              <w:rPr>
                <w:rFonts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6"/>
              <w:spacing w:line="360" w:lineRule="auto"/>
              <w:jc w:val="center"/>
              <w:rPr>
                <w:rFonts w:hAnsi="宋体"/>
              </w:rPr>
            </w:pPr>
            <w:r>
              <w:rPr>
                <w:rFonts w:hAnsi="宋体"/>
              </w:rPr>
              <w:t>1</w:t>
            </w:r>
          </w:p>
        </w:tc>
        <w:tc>
          <w:tcPr>
            <w:tcW w:w="1038" w:type="dxa"/>
            <w:vAlign w:val="center"/>
          </w:tcPr>
          <w:p w14:paraId="08DCF3BC">
            <w:pPr>
              <w:pStyle w:val="26"/>
              <w:spacing w:line="360" w:lineRule="auto"/>
              <w:jc w:val="center"/>
              <w:rPr>
                <w:rFonts w:hAnsi="宋体"/>
              </w:rPr>
            </w:pPr>
            <w:r>
              <w:rPr>
                <w:rFonts w:hAnsi="宋体"/>
              </w:rPr>
              <w:t>1.1</w:t>
            </w:r>
          </w:p>
        </w:tc>
        <w:tc>
          <w:tcPr>
            <w:tcW w:w="1843" w:type="dxa"/>
            <w:vAlign w:val="center"/>
          </w:tcPr>
          <w:p w14:paraId="5DB3C0C3">
            <w:pPr>
              <w:pStyle w:val="26"/>
              <w:spacing w:line="360" w:lineRule="exact"/>
              <w:jc w:val="center"/>
              <w:rPr>
                <w:rFonts w:hAnsi="宋体"/>
              </w:rPr>
            </w:pPr>
            <w:r>
              <w:rPr>
                <w:rFonts w:hint="eastAsia" w:hAnsi="宋体"/>
              </w:rPr>
              <w:t>项目名称</w:t>
            </w:r>
          </w:p>
        </w:tc>
        <w:tc>
          <w:tcPr>
            <w:tcW w:w="6520" w:type="dxa"/>
            <w:vAlign w:val="center"/>
          </w:tcPr>
          <w:p w14:paraId="4CD063BC">
            <w:pPr>
              <w:pStyle w:val="26"/>
              <w:spacing w:line="360" w:lineRule="exact"/>
              <w:rPr>
                <w:rFonts w:hint="eastAsia" w:eastAsia="宋体"/>
                <w:lang w:eastAsia="zh-CN"/>
              </w:rPr>
            </w:pPr>
            <w:r>
              <w:rPr>
                <w:rFonts w:hint="eastAsia" w:asciiTheme="minorEastAsia" w:hAnsiTheme="minorEastAsia" w:eastAsiaTheme="minorEastAsia"/>
                <w:lang w:eastAsia="zh-CN"/>
              </w:rPr>
              <w:t>射频消融治疗仪</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6"/>
              <w:spacing w:line="360" w:lineRule="auto"/>
              <w:jc w:val="center"/>
              <w:rPr>
                <w:rFonts w:hAnsi="宋体"/>
              </w:rPr>
            </w:pPr>
            <w:r>
              <w:rPr>
                <w:rFonts w:hint="eastAsia" w:hAnsi="宋体"/>
              </w:rPr>
              <w:t>2</w:t>
            </w:r>
          </w:p>
        </w:tc>
        <w:tc>
          <w:tcPr>
            <w:tcW w:w="1038" w:type="dxa"/>
            <w:vAlign w:val="center"/>
          </w:tcPr>
          <w:p w14:paraId="75EDB50D">
            <w:pPr>
              <w:pStyle w:val="26"/>
              <w:spacing w:line="360" w:lineRule="auto"/>
              <w:jc w:val="center"/>
              <w:rPr>
                <w:rFonts w:hAnsi="宋体"/>
              </w:rPr>
            </w:pPr>
            <w:r>
              <w:rPr>
                <w:rFonts w:hAnsi="宋体"/>
              </w:rPr>
              <w:t>2.1</w:t>
            </w:r>
          </w:p>
        </w:tc>
        <w:tc>
          <w:tcPr>
            <w:tcW w:w="1843" w:type="dxa"/>
            <w:vAlign w:val="center"/>
          </w:tcPr>
          <w:p w14:paraId="0DD45AF4">
            <w:pPr>
              <w:pStyle w:val="26"/>
              <w:spacing w:line="360" w:lineRule="exact"/>
              <w:jc w:val="center"/>
              <w:rPr>
                <w:rFonts w:hAnsi="宋体"/>
              </w:rPr>
            </w:pPr>
            <w:r>
              <w:rPr>
                <w:rFonts w:hint="eastAsia" w:hAnsi="宋体"/>
              </w:rPr>
              <w:t>采购人</w:t>
            </w:r>
          </w:p>
        </w:tc>
        <w:tc>
          <w:tcPr>
            <w:tcW w:w="6520" w:type="dxa"/>
            <w:vAlign w:val="center"/>
          </w:tcPr>
          <w:p w14:paraId="522BEA8D">
            <w:pPr>
              <w:pStyle w:val="26"/>
              <w:spacing w:line="360" w:lineRule="exact"/>
              <w:rPr>
                <w:rFonts w:hAnsi="宋体"/>
                <w:szCs w:val="24"/>
              </w:rPr>
            </w:pPr>
            <w:r>
              <w:rPr>
                <w:rFonts w:hint="eastAsia" w:hAnsi="宋体"/>
                <w:szCs w:val="24"/>
                <w:lang w:val="en-US" w:eastAsia="zh-CN"/>
              </w:rPr>
              <w:t>北京大学深圳</w:t>
            </w:r>
            <w:r>
              <w:rPr>
                <w:rFonts w:hint="eastAsia" w:hAnsi="宋体"/>
                <w:szCs w:val="24"/>
              </w:rPr>
              <w:t>医院</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6"/>
              <w:spacing w:line="360" w:lineRule="auto"/>
              <w:jc w:val="center"/>
              <w:rPr>
                <w:rFonts w:hAnsi="宋体"/>
              </w:rPr>
            </w:pPr>
            <w:r>
              <w:rPr>
                <w:rFonts w:hint="eastAsia" w:hAnsi="宋体"/>
              </w:rPr>
              <w:t>3</w:t>
            </w:r>
          </w:p>
        </w:tc>
        <w:tc>
          <w:tcPr>
            <w:tcW w:w="1038" w:type="dxa"/>
            <w:vAlign w:val="center"/>
          </w:tcPr>
          <w:p w14:paraId="13B91ECC">
            <w:pPr>
              <w:pStyle w:val="26"/>
              <w:spacing w:line="360" w:lineRule="auto"/>
              <w:jc w:val="center"/>
              <w:rPr>
                <w:rFonts w:hAnsi="宋体"/>
              </w:rPr>
            </w:pPr>
            <w:r>
              <w:rPr>
                <w:rFonts w:hAnsi="宋体"/>
              </w:rPr>
              <w:t>2.2</w:t>
            </w:r>
          </w:p>
        </w:tc>
        <w:tc>
          <w:tcPr>
            <w:tcW w:w="1843" w:type="dxa"/>
            <w:vAlign w:val="center"/>
          </w:tcPr>
          <w:p w14:paraId="132E9C30">
            <w:pPr>
              <w:pStyle w:val="26"/>
              <w:spacing w:line="360" w:lineRule="exact"/>
              <w:jc w:val="center"/>
              <w:rPr>
                <w:rFonts w:hAnsi="宋体"/>
              </w:rPr>
            </w:pPr>
            <w:r>
              <w:rPr>
                <w:rFonts w:hint="eastAsia" w:hAnsi="宋体"/>
              </w:rPr>
              <w:t>采购代理机构</w:t>
            </w:r>
          </w:p>
        </w:tc>
        <w:tc>
          <w:tcPr>
            <w:tcW w:w="6520" w:type="dxa"/>
            <w:vAlign w:val="center"/>
          </w:tcPr>
          <w:p w14:paraId="5B81D321">
            <w:pPr>
              <w:pStyle w:val="26"/>
              <w:spacing w:line="360" w:lineRule="exact"/>
              <w:rPr>
                <w:rFonts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6"/>
              <w:spacing w:line="360" w:lineRule="auto"/>
              <w:jc w:val="center"/>
              <w:rPr>
                <w:rFonts w:hAnsi="宋体"/>
              </w:rPr>
            </w:pPr>
            <w:r>
              <w:rPr>
                <w:rFonts w:hint="eastAsia" w:hAnsi="宋体"/>
              </w:rPr>
              <w:t>4</w:t>
            </w:r>
          </w:p>
        </w:tc>
        <w:tc>
          <w:tcPr>
            <w:tcW w:w="1038" w:type="dxa"/>
            <w:vAlign w:val="center"/>
          </w:tcPr>
          <w:p w14:paraId="31572A4E">
            <w:pPr>
              <w:pStyle w:val="26"/>
              <w:spacing w:line="360" w:lineRule="auto"/>
              <w:jc w:val="center"/>
              <w:rPr>
                <w:rFonts w:hAnsi="宋体"/>
              </w:rPr>
            </w:pPr>
            <w:r>
              <w:rPr>
                <w:rFonts w:hint="eastAsia" w:hAnsi="宋体"/>
              </w:rPr>
              <w:t>3.1</w:t>
            </w:r>
          </w:p>
        </w:tc>
        <w:tc>
          <w:tcPr>
            <w:tcW w:w="1843" w:type="dxa"/>
            <w:vAlign w:val="center"/>
          </w:tcPr>
          <w:p w14:paraId="0405CD55">
            <w:pPr>
              <w:pStyle w:val="26"/>
              <w:spacing w:line="360" w:lineRule="exact"/>
              <w:jc w:val="center"/>
              <w:rPr>
                <w:rFonts w:hAnsi="宋体"/>
              </w:rPr>
            </w:pPr>
            <w:r>
              <w:rPr>
                <w:rFonts w:hint="eastAsia" w:hAnsi="宋体"/>
              </w:rPr>
              <w:t>资金来源</w:t>
            </w:r>
          </w:p>
        </w:tc>
        <w:tc>
          <w:tcPr>
            <w:tcW w:w="6520" w:type="dxa"/>
            <w:vAlign w:val="center"/>
          </w:tcPr>
          <w:p w14:paraId="5817DB0B">
            <w:pPr>
              <w:pStyle w:val="26"/>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6"/>
              <w:spacing w:line="360" w:lineRule="auto"/>
              <w:jc w:val="center"/>
              <w:rPr>
                <w:rFonts w:hAnsi="宋体"/>
              </w:rPr>
            </w:pPr>
            <w:r>
              <w:rPr>
                <w:rFonts w:hint="eastAsia" w:hAnsi="宋体"/>
              </w:rPr>
              <w:t>5</w:t>
            </w:r>
          </w:p>
        </w:tc>
        <w:tc>
          <w:tcPr>
            <w:tcW w:w="1038" w:type="dxa"/>
            <w:vAlign w:val="center"/>
          </w:tcPr>
          <w:p w14:paraId="37A4AD37">
            <w:pPr>
              <w:pStyle w:val="26"/>
              <w:spacing w:line="360" w:lineRule="auto"/>
              <w:jc w:val="center"/>
              <w:rPr>
                <w:rFonts w:hAnsi="宋体"/>
              </w:rPr>
            </w:pPr>
            <w:r>
              <w:rPr>
                <w:rFonts w:hint="eastAsia" w:hAnsi="宋体"/>
              </w:rPr>
              <w:t>4.7</w:t>
            </w:r>
          </w:p>
        </w:tc>
        <w:tc>
          <w:tcPr>
            <w:tcW w:w="1843" w:type="dxa"/>
            <w:vAlign w:val="center"/>
          </w:tcPr>
          <w:p w14:paraId="5CB3B1B9">
            <w:pPr>
              <w:pStyle w:val="26"/>
              <w:spacing w:line="360" w:lineRule="auto"/>
              <w:jc w:val="center"/>
              <w:rPr>
                <w:rFonts w:hAnsi="宋体"/>
              </w:rPr>
            </w:pPr>
            <w:r>
              <w:rPr>
                <w:rFonts w:hint="eastAsia" w:hAnsi="宋体"/>
              </w:rPr>
              <w:t>投标人资格要求</w:t>
            </w:r>
          </w:p>
        </w:tc>
        <w:tc>
          <w:tcPr>
            <w:tcW w:w="6520" w:type="dxa"/>
            <w:vAlign w:val="center"/>
          </w:tcPr>
          <w:p w14:paraId="3AB9BA9D">
            <w:pPr>
              <w:pStyle w:val="26"/>
              <w:spacing w:line="360" w:lineRule="auto"/>
              <w:rPr>
                <w:rFonts w:hAnsi="宋体"/>
                <w:szCs w:val="21"/>
              </w:rPr>
            </w:pPr>
            <w:r>
              <w:rPr>
                <w:rFonts w:hint="eastAsia" w:hAnsi="宋体"/>
                <w:szCs w:val="21"/>
              </w:rPr>
              <w:t>详见《第一章 投标邀请》“申请人的资格要求”</w:t>
            </w:r>
          </w:p>
          <w:p w14:paraId="2D25F91C">
            <w:pPr>
              <w:pStyle w:val="26"/>
              <w:spacing w:line="360" w:lineRule="auto"/>
              <w:rPr>
                <w:rFonts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6"/>
              <w:spacing w:line="360" w:lineRule="auto"/>
              <w:jc w:val="center"/>
              <w:rPr>
                <w:rFonts w:hAnsi="宋体"/>
              </w:rPr>
            </w:pPr>
            <w:r>
              <w:rPr>
                <w:rFonts w:hint="eastAsia" w:hAnsi="宋体"/>
              </w:rPr>
              <w:t>6</w:t>
            </w:r>
          </w:p>
        </w:tc>
        <w:tc>
          <w:tcPr>
            <w:tcW w:w="1038" w:type="dxa"/>
            <w:vAlign w:val="center"/>
          </w:tcPr>
          <w:p w14:paraId="02413314">
            <w:pPr>
              <w:pStyle w:val="26"/>
              <w:spacing w:line="360" w:lineRule="auto"/>
              <w:jc w:val="center"/>
              <w:rPr>
                <w:rFonts w:hAnsi="宋体"/>
              </w:rPr>
            </w:pPr>
            <w:r>
              <w:rPr>
                <w:rFonts w:hint="eastAsia" w:hAnsi="宋体"/>
              </w:rPr>
              <w:t>4.8</w:t>
            </w:r>
          </w:p>
        </w:tc>
        <w:tc>
          <w:tcPr>
            <w:tcW w:w="1843" w:type="dxa"/>
            <w:vAlign w:val="center"/>
          </w:tcPr>
          <w:p w14:paraId="4781E7FE">
            <w:pPr>
              <w:pStyle w:val="26"/>
              <w:spacing w:line="360" w:lineRule="auto"/>
              <w:jc w:val="center"/>
              <w:rPr>
                <w:rFonts w:hAnsi="宋体"/>
              </w:rPr>
            </w:pPr>
            <w:r>
              <w:rPr>
                <w:rFonts w:hint="eastAsia" w:hAnsi="宋体"/>
              </w:rPr>
              <w:t>联合体投标</w:t>
            </w:r>
          </w:p>
        </w:tc>
        <w:tc>
          <w:tcPr>
            <w:tcW w:w="6520" w:type="dxa"/>
          </w:tcPr>
          <w:p w14:paraId="1F87C69D">
            <w:pPr>
              <w:pStyle w:val="26"/>
              <w:spacing w:line="360" w:lineRule="auto"/>
              <w:rPr>
                <w:rFonts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6"/>
              <w:spacing w:line="360" w:lineRule="auto"/>
              <w:jc w:val="center"/>
              <w:rPr>
                <w:rFonts w:hAnsi="宋体"/>
              </w:rPr>
            </w:pPr>
            <w:r>
              <w:rPr>
                <w:rFonts w:hint="eastAsia" w:hAnsi="宋体"/>
              </w:rPr>
              <w:t>7</w:t>
            </w:r>
          </w:p>
        </w:tc>
        <w:tc>
          <w:tcPr>
            <w:tcW w:w="1038" w:type="dxa"/>
            <w:vAlign w:val="center"/>
          </w:tcPr>
          <w:p w14:paraId="01F73E4B">
            <w:pPr>
              <w:pStyle w:val="26"/>
              <w:spacing w:line="360" w:lineRule="auto"/>
              <w:jc w:val="center"/>
              <w:rPr>
                <w:rFonts w:hAnsi="宋体"/>
              </w:rPr>
            </w:pPr>
            <w:r>
              <w:rPr>
                <w:rFonts w:hint="eastAsia" w:hAnsi="宋体"/>
              </w:rPr>
              <w:t>6.1</w:t>
            </w:r>
          </w:p>
        </w:tc>
        <w:tc>
          <w:tcPr>
            <w:tcW w:w="1843" w:type="dxa"/>
            <w:vAlign w:val="center"/>
          </w:tcPr>
          <w:p w14:paraId="3F0E5C38">
            <w:pPr>
              <w:pStyle w:val="26"/>
              <w:spacing w:line="360" w:lineRule="auto"/>
              <w:jc w:val="center"/>
              <w:rPr>
                <w:rFonts w:hAnsi="宋体"/>
              </w:rPr>
            </w:pPr>
            <w:r>
              <w:rPr>
                <w:rFonts w:hint="eastAsia" w:hAnsi="宋体"/>
              </w:rPr>
              <w:t>踏勘现场</w:t>
            </w:r>
          </w:p>
        </w:tc>
        <w:tc>
          <w:tcPr>
            <w:tcW w:w="6520" w:type="dxa"/>
          </w:tcPr>
          <w:p w14:paraId="79B31CEC">
            <w:pPr>
              <w:pStyle w:val="26"/>
              <w:spacing w:line="360" w:lineRule="auto"/>
              <w:rPr>
                <w:rFonts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6"/>
              <w:spacing w:line="360" w:lineRule="auto"/>
              <w:jc w:val="center"/>
              <w:rPr>
                <w:rFonts w:hAnsi="宋体"/>
              </w:rPr>
            </w:pPr>
            <w:r>
              <w:rPr>
                <w:rFonts w:hint="eastAsia" w:hAnsi="宋体"/>
              </w:rPr>
              <w:t>8</w:t>
            </w:r>
          </w:p>
        </w:tc>
        <w:tc>
          <w:tcPr>
            <w:tcW w:w="1038" w:type="dxa"/>
            <w:vAlign w:val="center"/>
          </w:tcPr>
          <w:p w14:paraId="18D0FD2A">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12B07507">
            <w:pPr>
              <w:pStyle w:val="26"/>
              <w:spacing w:line="360" w:lineRule="auto"/>
              <w:jc w:val="center"/>
              <w:rPr>
                <w:rFonts w:hAnsi="宋体"/>
              </w:rPr>
            </w:pPr>
            <w:r>
              <w:rPr>
                <w:rFonts w:hint="eastAsia" w:hAnsi="宋体"/>
              </w:rPr>
              <w:t>投标有效期</w:t>
            </w:r>
          </w:p>
        </w:tc>
        <w:tc>
          <w:tcPr>
            <w:tcW w:w="6520" w:type="dxa"/>
          </w:tcPr>
          <w:p w14:paraId="76D6D6FA">
            <w:pPr>
              <w:pStyle w:val="26"/>
              <w:spacing w:line="360" w:lineRule="auto"/>
              <w:rPr>
                <w:rFonts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6"/>
              <w:spacing w:line="360" w:lineRule="auto"/>
              <w:jc w:val="center"/>
              <w:rPr>
                <w:rFonts w:hAnsi="宋体"/>
              </w:rPr>
            </w:pPr>
            <w:r>
              <w:rPr>
                <w:rFonts w:hint="eastAsia" w:hAnsi="宋体"/>
              </w:rPr>
              <w:t>9</w:t>
            </w:r>
          </w:p>
        </w:tc>
        <w:tc>
          <w:tcPr>
            <w:tcW w:w="1038" w:type="dxa"/>
            <w:vAlign w:val="center"/>
          </w:tcPr>
          <w:p w14:paraId="5033C374">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6"/>
              <w:spacing w:line="360" w:lineRule="auto"/>
              <w:jc w:val="center"/>
              <w:rPr>
                <w:rFonts w:hAnsi="宋体"/>
              </w:rPr>
            </w:pPr>
            <w:r>
              <w:rPr>
                <w:rFonts w:hint="eastAsia" w:hAnsi="宋体"/>
              </w:rPr>
              <w:t>投标保证金</w:t>
            </w:r>
          </w:p>
        </w:tc>
        <w:tc>
          <w:tcPr>
            <w:tcW w:w="6520" w:type="dxa"/>
            <w:vAlign w:val="center"/>
          </w:tcPr>
          <w:p w14:paraId="14E4C0AF">
            <w:pPr>
              <w:tabs>
                <w:tab w:val="left" w:pos="915"/>
              </w:tabs>
              <w:spacing w:line="360" w:lineRule="exact"/>
              <w:rPr>
                <w:rFonts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6"/>
              <w:spacing w:line="360" w:lineRule="auto"/>
              <w:jc w:val="center"/>
              <w:rPr>
                <w:rFonts w:hAnsi="宋体"/>
              </w:rPr>
            </w:pPr>
            <w:r>
              <w:rPr>
                <w:rFonts w:hint="eastAsia" w:hAnsi="宋体"/>
              </w:rPr>
              <w:t>10</w:t>
            </w:r>
          </w:p>
        </w:tc>
        <w:tc>
          <w:tcPr>
            <w:tcW w:w="1038" w:type="dxa"/>
            <w:vAlign w:val="center"/>
          </w:tcPr>
          <w:p w14:paraId="7DBEC1C9">
            <w:pPr>
              <w:pStyle w:val="26"/>
              <w:spacing w:line="360" w:lineRule="auto"/>
              <w:jc w:val="center"/>
              <w:rPr>
                <w:rFonts w:hAnsi="宋体"/>
              </w:rPr>
            </w:pPr>
            <w:r>
              <w:rPr>
                <w:rFonts w:hint="eastAsia" w:hAnsi="宋体"/>
              </w:rPr>
              <w:t>16.1</w:t>
            </w:r>
          </w:p>
        </w:tc>
        <w:tc>
          <w:tcPr>
            <w:tcW w:w="1843" w:type="dxa"/>
            <w:vAlign w:val="center"/>
          </w:tcPr>
          <w:p w14:paraId="097D75BC">
            <w:pPr>
              <w:pStyle w:val="26"/>
              <w:spacing w:line="360" w:lineRule="auto"/>
              <w:jc w:val="center"/>
              <w:rPr>
                <w:rFonts w:hAnsi="宋体"/>
              </w:rPr>
            </w:pPr>
            <w:r>
              <w:rPr>
                <w:rFonts w:hint="eastAsia" w:hAnsi="宋体"/>
              </w:rPr>
              <w:t>投标预备会</w:t>
            </w:r>
          </w:p>
          <w:p w14:paraId="46F7F572">
            <w:pPr>
              <w:pStyle w:val="26"/>
              <w:spacing w:line="360" w:lineRule="auto"/>
              <w:jc w:val="center"/>
              <w:rPr>
                <w:rFonts w:hAnsi="宋体"/>
              </w:rPr>
            </w:pPr>
            <w:r>
              <w:rPr>
                <w:rFonts w:hint="eastAsia" w:hAnsi="宋体"/>
              </w:rPr>
              <w:t>（答疑会）</w:t>
            </w:r>
          </w:p>
        </w:tc>
        <w:tc>
          <w:tcPr>
            <w:tcW w:w="6520" w:type="dxa"/>
            <w:vAlign w:val="center"/>
          </w:tcPr>
          <w:p w14:paraId="4F9A2586">
            <w:pPr>
              <w:pStyle w:val="26"/>
              <w:spacing w:line="360" w:lineRule="auto"/>
              <w:rPr>
                <w:rFonts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6"/>
              <w:spacing w:line="360" w:lineRule="auto"/>
              <w:jc w:val="center"/>
              <w:rPr>
                <w:rFonts w:hAnsi="宋体"/>
              </w:rPr>
            </w:pPr>
            <w:r>
              <w:rPr>
                <w:rFonts w:hint="eastAsia" w:hAnsi="宋体"/>
              </w:rPr>
              <w:t>11</w:t>
            </w:r>
          </w:p>
        </w:tc>
        <w:tc>
          <w:tcPr>
            <w:tcW w:w="1038" w:type="dxa"/>
            <w:vAlign w:val="center"/>
          </w:tcPr>
          <w:p w14:paraId="2D0122F2">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7EF19815">
            <w:pPr>
              <w:pStyle w:val="26"/>
              <w:spacing w:line="360" w:lineRule="auto"/>
              <w:jc w:val="center"/>
              <w:rPr>
                <w:rFonts w:hAnsi="宋体"/>
              </w:rPr>
            </w:pPr>
            <w:r>
              <w:rPr>
                <w:rFonts w:hint="eastAsia" w:hAnsi="宋体"/>
              </w:rPr>
              <w:t>投标文件数量</w:t>
            </w:r>
          </w:p>
        </w:tc>
        <w:tc>
          <w:tcPr>
            <w:tcW w:w="6520" w:type="dxa"/>
          </w:tcPr>
          <w:p w14:paraId="69A1C2D8">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6"/>
              <w:spacing w:line="360" w:lineRule="auto"/>
              <w:jc w:val="center"/>
              <w:rPr>
                <w:rFonts w:hAnsi="宋体"/>
              </w:rPr>
            </w:pPr>
            <w:r>
              <w:rPr>
                <w:rFonts w:hint="eastAsia" w:hAnsi="宋体"/>
              </w:rPr>
              <w:t>12</w:t>
            </w:r>
          </w:p>
        </w:tc>
        <w:tc>
          <w:tcPr>
            <w:tcW w:w="1038" w:type="dxa"/>
            <w:vAlign w:val="center"/>
          </w:tcPr>
          <w:p w14:paraId="4E188869">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6"/>
              <w:spacing w:line="360" w:lineRule="auto"/>
              <w:jc w:val="center"/>
              <w:rPr>
                <w:rFonts w:hAnsi="宋体"/>
              </w:rPr>
            </w:pPr>
            <w:r>
              <w:rPr>
                <w:rFonts w:hint="eastAsia" w:hAnsi="宋体"/>
              </w:rPr>
              <w:t>开标</w:t>
            </w:r>
          </w:p>
        </w:tc>
        <w:tc>
          <w:tcPr>
            <w:tcW w:w="6520" w:type="dxa"/>
          </w:tcPr>
          <w:p w14:paraId="6D3C1C2E">
            <w:pPr>
              <w:pStyle w:val="26"/>
              <w:spacing w:line="360" w:lineRule="auto"/>
              <w:rPr>
                <w:rFonts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6"/>
              <w:spacing w:line="360" w:lineRule="auto"/>
              <w:jc w:val="center"/>
              <w:rPr>
                <w:rFonts w:hAnsi="宋体"/>
              </w:rPr>
            </w:pPr>
            <w:r>
              <w:rPr>
                <w:rFonts w:hint="eastAsia" w:hAnsi="宋体"/>
              </w:rPr>
              <w:t>13</w:t>
            </w:r>
          </w:p>
        </w:tc>
        <w:tc>
          <w:tcPr>
            <w:tcW w:w="1038" w:type="dxa"/>
            <w:vAlign w:val="center"/>
          </w:tcPr>
          <w:p w14:paraId="74C80F39">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6"/>
              <w:spacing w:line="360" w:lineRule="auto"/>
              <w:jc w:val="center"/>
              <w:rPr>
                <w:rFonts w:hAnsi="宋体"/>
              </w:rPr>
            </w:pPr>
            <w:r>
              <w:rPr>
                <w:rFonts w:hint="eastAsia" w:hAnsi="宋体"/>
              </w:rPr>
              <w:t>投标截止时间</w:t>
            </w:r>
          </w:p>
        </w:tc>
        <w:tc>
          <w:tcPr>
            <w:tcW w:w="6520" w:type="dxa"/>
          </w:tcPr>
          <w:p w14:paraId="11514B42">
            <w:pPr>
              <w:pStyle w:val="26"/>
              <w:spacing w:line="360" w:lineRule="auto"/>
              <w:rPr>
                <w:rFonts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6"/>
              <w:spacing w:line="360" w:lineRule="auto"/>
              <w:jc w:val="center"/>
              <w:rPr>
                <w:rFonts w:hAnsi="宋体"/>
              </w:rPr>
            </w:pPr>
            <w:r>
              <w:rPr>
                <w:rFonts w:hint="eastAsia" w:hAnsi="宋体"/>
              </w:rPr>
              <w:t>14</w:t>
            </w:r>
          </w:p>
        </w:tc>
        <w:tc>
          <w:tcPr>
            <w:tcW w:w="1038" w:type="dxa"/>
            <w:vAlign w:val="center"/>
          </w:tcPr>
          <w:p w14:paraId="61DC3D01">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6"/>
              <w:spacing w:line="360" w:lineRule="auto"/>
              <w:jc w:val="center"/>
              <w:rPr>
                <w:rFonts w:hAnsi="宋体"/>
              </w:rPr>
            </w:pPr>
            <w:r>
              <w:rPr>
                <w:rFonts w:hint="eastAsia" w:hAnsi="宋体"/>
              </w:rPr>
              <w:t>评标办法</w:t>
            </w:r>
          </w:p>
        </w:tc>
        <w:tc>
          <w:tcPr>
            <w:tcW w:w="6520" w:type="dxa"/>
          </w:tcPr>
          <w:p w14:paraId="3F44DD43">
            <w:pPr>
              <w:pStyle w:val="26"/>
              <w:spacing w:line="360" w:lineRule="auto"/>
              <w:rPr>
                <w:rFonts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6"/>
              <w:spacing w:line="360" w:lineRule="auto"/>
              <w:jc w:val="center"/>
              <w:rPr>
                <w:rFonts w:hAnsi="宋体"/>
              </w:rPr>
            </w:pPr>
            <w:r>
              <w:rPr>
                <w:rFonts w:hint="eastAsia" w:hAnsi="宋体"/>
              </w:rPr>
              <w:t>15</w:t>
            </w:r>
          </w:p>
        </w:tc>
        <w:tc>
          <w:tcPr>
            <w:tcW w:w="1038" w:type="dxa"/>
            <w:vAlign w:val="center"/>
          </w:tcPr>
          <w:p w14:paraId="557E05EA">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4AA9E670">
            <w:pPr>
              <w:pStyle w:val="26"/>
              <w:spacing w:line="360" w:lineRule="auto"/>
              <w:jc w:val="center"/>
              <w:rPr>
                <w:snapToGrid w:val="0"/>
                <w:kern w:val="0"/>
              </w:rPr>
            </w:pPr>
            <w:r>
              <w:rPr>
                <w:rFonts w:hint="eastAsia"/>
                <w:snapToGrid w:val="0"/>
                <w:kern w:val="0"/>
              </w:rPr>
              <w:t>履约保证金</w:t>
            </w:r>
          </w:p>
        </w:tc>
        <w:tc>
          <w:tcPr>
            <w:tcW w:w="6520" w:type="dxa"/>
          </w:tcPr>
          <w:p w14:paraId="21CAE2A1">
            <w:pPr>
              <w:pStyle w:val="26"/>
              <w:spacing w:line="360" w:lineRule="auto"/>
              <w:rPr>
                <w:rFonts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6"/>
              <w:spacing w:line="360" w:lineRule="auto"/>
              <w:jc w:val="center"/>
              <w:rPr>
                <w:rFonts w:hAnsi="宋体"/>
              </w:rPr>
            </w:pPr>
            <w:r>
              <w:rPr>
                <w:rFonts w:hint="eastAsia" w:hAnsi="宋体"/>
              </w:rPr>
              <w:t>16</w:t>
            </w:r>
          </w:p>
        </w:tc>
        <w:tc>
          <w:tcPr>
            <w:tcW w:w="1038" w:type="dxa"/>
            <w:vAlign w:val="center"/>
          </w:tcPr>
          <w:p w14:paraId="065D8B83">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6"/>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7E9BAEC">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4792F84">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20</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36</w:t>
            </w:r>
            <w:r>
              <w:rPr>
                <w:rFonts w:hint="eastAsia" w:asciiTheme="minorEastAsia" w:hAnsiTheme="minorEastAsia" w:eastAsiaTheme="minorEastAsia"/>
              </w:rPr>
              <w:t>00元。</w:t>
            </w:r>
          </w:p>
          <w:p w14:paraId="3C81C024">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rPr>
          <w:rFonts w:hint="eastAsia"/>
        </w:rPr>
      </w:pPr>
      <w:bookmarkStart w:id="19" w:name="_Toc135293330"/>
    </w:p>
    <w:p w14:paraId="2A13B36B">
      <w:pPr>
        <w:pStyle w:val="2"/>
      </w:pPr>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84FDAD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3BEA38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49163F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482825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2BE88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投标文件数量按前附表第11项所述，须在每一份投标文件上明确注明“正本”或“副本”字样。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 xml:space="preserve">，以正本为准。 </w:t>
      </w:r>
    </w:p>
    <w:p w14:paraId="09D812E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08CCE66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1804E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45E96D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19.4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8912A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w:t>
      </w:r>
      <w:r>
        <w:rPr>
          <w:rFonts w:hint="eastAsia" w:asciiTheme="minorEastAsia" w:hAnsiTheme="minorEastAsia" w:eastAsiaTheme="minorEastAsia"/>
          <w:b/>
          <w:snapToGrid w:val="0"/>
          <w:kern w:val="0"/>
          <w:lang w:val="en-US" w:eastAsia="zh-CN"/>
        </w:rPr>
        <w:t>0</w:t>
      </w:r>
      <w:r>
        <w:rPr>
          <w:rFonts w:hint="eastAsia" w:asciiTheme="minorEastAsia" w:hAnsiTheme="minorEastAsia" w:eastAsiaTheme="minorEastAsia"/>
          <w:b/>
          <w:snapToGrid w:val="0"/>
          <w:kern w:val="0"/>
        </w:rPr>
        <w:t>. 投标文件的修改和撤销</w:t>
      </w:r>
    </w:p>
    <w:p w14:paraId="4B799DF8">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hint="eastAsia" w:asciiTheme="minorEastAsia" w:hAnsiTheme="minorEastAsia" w:eastAsiaTheme="minorEastAsia"/>
          <w:snapToGrid w:val="0"/>
          <w:kern w:val="0"/>
        </w:rPr>
        <w:t>.1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079722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187CDC8E">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 xml:space="preserve">  投标截止时间以后不得修改投标文件。</w:t>
      </w:r>
    </w:p>
    <w:p w14:paraId="4BBDBD0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 xml:space="preserve">  投标人不得在开标时间起到投标文件有效期满前撤销投标文件。</w:t>
      </w:r>
    </w:p>
    <w:p w14:paraId="55FD98DB">
      <w:pPr>
        <w:adjustRightInd w:val="0"/>
        <w:spacing w:line="360" w:lineRule="auto"/>
        <w:rPr>
          <w:rFonts w:hint="default" w:asciiTheme="minorEastAsia" w:hAnsiTheme="minorEastAsia" w:eastAsiaTheme="minorEastAsia"/>
          <w:b/>
          <w:snapToGrid w:val="0"/>
          <w:kern w:val="0"/>
          <w:lang w:val="en-US" w:eastAsia="zh-CN"/>
        </w:rPr>
      </w:pPr>
      <w:r>
        <w:rPr>
          <w:rFonts w:hint="eastAsia" w:asciiTheme="minorEastAsia" w:hAnsiTheme="minorEastAsia" w:eastAsiaTheme="minorEastAsia"/>
          <w:b/>
          <w:snapToGrid w:val="0"/>
          <w:kern w:val="0"/>
        </w:rPr>
        <w:t>2</w:t>
      </w:r>
      <w:r>
        <w:rPr>
          <w:rFonts w:hint="eastAsia" w:asciiTheme="minorEastAsia" w:hAnsiTheme="minorEastAsia"/>
          <w:b/>
          <w:snapToGrid w:val="0"/>
          <w:kern w:val="0"/>
          <w:lang w:val="en-US" w:eastAsia="zh-CN"/>
        </w:rPr>
        <w:t>1</w:t>
      </w:r>
      <w:r>
        <w:rPr>
          <w:rFonts w:hint="eastAsia" w:asciiTheme="minorEastAsia" w:hAnsiTheme="minorEastAsia" w:eastAsiaTheme="minorEastAsia"/>
          <w:b/>
          <w:snapToGrid w:val="0"/>
          <w:kern w:val="0"/>
        </w:rPr>
        <w:t>. 投标文件</w:t>
      </w:r>
      <w:r>
        <w:rPr>
          <w:rFonts w:hint="eastAsia" w:asciiTheme="minorEastAsia" w:hAnsiTheme="minorEastAsia"/>
          <w:b/>
          <w:snapToGrid w:val="0"/>
          <w:kern w:val="0"/>
          <w:lang w:val="en-US" w:eastAsia="zh-CN"/>
        </w:rPr>
        <w:t>递交方式</w:t>
      </w:r>
    </w:p>
    <w:p w14:paraId="753B3E35">
      <w:pPr>
        <w:tabs>
          <w:tab w:val="left" w:pos="0"/>
        </w:tabs>
        <w:adjustRightInd w:val="0"/>
        <w:spacing w:line="360" w:lineRule="auto"/>
        <w:rPr>
          <w:rFonts w:hint="eastAsia" w:ascii="宋体" w:hAnsi="宋体" w:eastAsia="宋体" w:cs="宋体"/>
          <w:snapToGrid w:val="0"/>
          <w:kern w:val="0"/>
        </w:rPr>
      </w:pPr>
      <w:r>
        <w:rPr>
          <w:rFonts w:hint="eastAsia" w:ascii="宋体" w:hAnsi="宋体" w:eastAsia="宋体" w:cs="宋体"/>
          <w:lang w:val="en-US" w:eastAsia="zh-CN"/>
        </w:rPr>
        <w:t>21</w:t>
      </w:r>
      <w:r>
        <w:rPr>
          <w:rFonts w:hint="eastAsia" w:ascii="宋体" w:hAnsi="宋体" w:eastAsia="宋体" w:cs="宋体"/>
          <w:snapToGrid w:val="0"/>
          <w:kern w:val="0"/>
        </w:rPr>
        <w:t>.1 投标文件可采用现场递交或邮寄方式递交。</w:t>
      </w:r>
    </w:p>
    <w:p w14:paraId="425128D7">
      <w:pPr>
        <w:tabs>
          <w:tab w:val="left" w:pos="0"/>
        </w:tabs>
        <w:adjustRightInd w:val="0"/>
        <w:spacing w:line="360" w:lineRule="auto"/>
        <w:rPr>
          <w:rFonts w:hint="default" w:cs="Times New Roman" w:asciiTheme="minorEastAsia" w:hAnsiTheme="minorEastAsia"/>
          <w:b/>
          <w:bCs/>
          <w:snapToGrid w:val="0"/>
          <w:kern w:val="0"/>
          <w:lang w:val="en-US" w:eastAsia="zh-CN"/>
        </w:rPr>
      </w:pPr>
      <w:r>
        <w:rPr>
          <w:rFonts w:hint="eastAsia" w:cs="Times New Roman" w:asciiTheme="minorEastAsia" w:hAnsiTheme="minorEastAsia"/>
          <w:b/>
          <w:bCs/>
          <w:snapToGrid w:val="0"/>
          <w:kern w:val="0"/>
          <w:lang w:val="en-US" w:eastAsia="zh-CN"/>
        </w:rPr>
        <w:t>21</w:t>
      </w:r>
      <w:r>
        <w:rPr>
          <w:rFonts w:hint="eastAsia" w:cs="Times New Roman" w:asciiTheme="minorEastAsia" w:hAnsiTheme="minorEastAsia" w:eastAsiaTheme="minorEastAsia"/>
          <w:b/>
          <w:bCs/>
          <w:snapToGrid w:val="0"/>
          <w:kern w:val="0"/>
        </w:rPr>
        <w:t>.2 采用邮寄方式递交的，</w:t>
      </w:r>
      <w:r>
        <w:rPr>
          <w:rFonts w:hint="eastAsia" w:cs="Times New Roman" w:asciiTheme="minorEastAsia" w:hAnsiTheme="minorEastAsia"/>
          <w:b/>
          <w:bCs/>
          <w:snapToGrid w:val="0"/>
          <w:kern w:val="0"/>
          <w:lang w:val="en-US" w:eastAsia="zh-CN"/>
        </w:rPr>
        <w:t>投标人应按招标公告中的项目负责人信息填写收件人，并要求快递公司送件时经由收件人当面签收。未经项目负责人签收的后果由投标人自行承担。</w:t>
      </w:r>
    </w:p>
    <w:p w14:paraId="73CB691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3</w:t>
      </w:r>
      <w:r>
        <w:rPr>
          <w:rFonts w:hint="eastAsia" w:cs="Times New Roman" w:asciiTheme="minorEastAsia" w:hAnsiTheme="minorEastAsia" w:eastAsiaTheme="minorEastAsia"/>
          <w:snapToGrid w:val="0"/>
          <w:kern w:val="0"/>
        </w:rPr>
        <w:t xml:space="preserve"> 投标人应自行估算邮寄在途时间，确保投标文件在投标截止时间前送达指定地点。送达时间以采购代理机构</w:t>
      </w:r>
      <w:r>
        <w:rPr>
          <w:rFonts w:hint="eastAsia" w:cs="Times New Roman" w:asciiTheme="minorEastAsia" w:hAnsiTheme="minorEastAsia"/>
          <w:snapToGrid w:val="0"/>
          <w:kern w:val="0"/>
          <w:lang w:val="en-US" w:eastAsia="zh-CN"/>
        </w:rPr>
        <w:t>项目负责人</w:t>
      </w:r>
      <w:r>
        <w:rPr>
          <w:rFonts w:hint="eastAsia" w:cs="Times New Roman" w:asciiTheme="minorEastAsia" w:hAnsiTheme="minorEastAsia" w:eastAsiaTheme="minorEastAsia"/>
          <w:snapToGrid w:val="0"/>
          <w:kern w:val="0"/>
        </w:rPr>
        <w:t>签收时间为准，其</w:t>
      </w:r>
      <w:r>
        <w:rPr>
          <w:rFonts w:hint="eastAsia" w:cs="Times New Roman" w:asciiTheme="minorEastAsia" w:hAnsiTheme="minorEastAsia"/>
          <w:snapToGrid w:val="0"/>
          <w:kern w:val="0"/>
          <w:lang w:val="en-US" w:eastAsia="zh-CN"/>
        </w:rPr>
        <w:t>他</w:t>
      </w:r>
      <w:r>
        <w:rPr>
          <w:rFonts w:hint="eastAsia" w:cs="Times New Roman" w:asciiTheme="minorEastAsia" w:hAnsiTheme="minorEastAsia" w:eastAsiaTheme="minorEastAsia"/>
          <w:snapToGrid w:val="0"/>
          <w:kern w:val="0"/>
        </w:rPr>
        <w:t>关于送达的信息均不能作为有效签收的依据。</w:t>
      </w:r>
    </w:p>
    <w:p w14:paraId="2E693CE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4</w:t>
      </w:r>
      <w:r>
        <w:rPr>
          <w:rFonts w:hint="eastAsia" w:cs="Times New Roman" w:asciiTheme="minorEastAsia" w:hAnsiTheme="minorEastAsia" w:eastAsiaTheme="minorEastAsia"/>
          <w:snapToGrid w:val="0"/>
          <w:kern w:val="0"/>
        </w:rPr>
        <w:t xml:space="preserve"> 采购代理机构拒绝签收“平邮”、“邮政包裹”及“到付”方式的邮寄投标文件。</w:t>
      </w:r>
    </w:p>
    <w:p w14:paraId="0BC33353">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5</w:t>
      </w:r>
      <w:r>
        <w:rPr>
          <w:rFonts w:hint="eastAsia" w:cs="Times New Roman" w:asciiTheme="minorEastAsia" w:hAnsiTheme="minorEastAsia" w:eastAsiaTheme="minorEastAsia"/>
          <w:snapToGrid w:val="0"/>
          <w:kern w:val="0"/>
        </w:rPr>
        <w:t xml:space="preserve"> 投标截止时间后送达的投标文件，采购代理机构将拒绝签收，原封退回。</w:t>
      </w:r>
    </w:p>
    <w:p w14:paraId="225290B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6</w:t>
      </w:r>
      <w:r>
        <w:rPr>
          <w:rFonts w:hint="eastAsia" w:cs="Times New Roman" w:asciiTheme="minorEastAsia" w:hAnsiTheme="minorEastAsia" w:eastAsiaTheme="minorEastAsia"/>
          <w:snapToGrid w:val="0"/>
          <w:kern w:val="0"/>
        </w:rPr>
        <w:t xml:space="preserve"> 投标人采用邮寄方式递交投标文件的，应将投标文件按招标文件要求完成密封后，再使用不透明、防水的邮寄袋（或箱）进行第二次包装。</w:t>
      </w:r>
    </w:p>
    <w:p w14:paraId="256229A8">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7</w:t>
      </w:r>
      <w:r>
        <w:rPr>
          <w:rFonts w:hint="eastAsia" w:cs="Times New Roman" w:asciiTheme="minorEastAsia" w:hAnsiTheme="minorEastAsia" w:eastAsiaTheme="minorEastAsia"/>
          <w:snapToGrid w:val="0"/>
          <w:kern w:val="0"/>
        </w:rPr>
        <w:t xml:space="preserve"> 内层密封袋的封装与标记应符合本招标文件“投标文件的密封和标记”章节的规定。</w:t>
      </w:r>
    </w:p>
    <w:p w14:paraId="42A3203C">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21.8</w:t>
      </w:r>
      <w:r>
        <w:rPr>
          <w:rFonts w:hint="eastAsia" w:cs="Times New Roman" w:asciiTheme="minorEastAsia" w:hAnsiTheme="minorEastAsia" w:eastAsiaTheme="minorEastAsia"/>
          <w:snapToGrid w:val="0"/>
          <w:kern w:val="0"/>
        </w:rPr>
        <w:t xml:space="preserve"> 外层邮寄包装上应清晰注明以下信息：</w:t>
      </w:r>
    </w:p>
    <w:p w14:paraId="7785393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（1）项目名称：_____________</w:t>
      </w:r>
    </w:p>
    <w:p w14:paraId="1A8304C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（2）项目编号：_____________</w:t>
      </w:r>
    </w:p>
    <w:p w14:paraId="62088F6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（3）采购代理机构名称：_____________</w:t>
      </w:r>
    </w:p>
    <w:p w14:paraId="3CC5D3D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（4）收件人地址：_____________</w:t>
      </w:r>
    </w:p>
    <w:p w14:paraId="0F4DF112">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（5）收件人联系电话：_____________</w:t>
      </w:r>
    </w:p>
    <w:p w14:paraId="14E315C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（6）投标人名称：_____________</w:t>
      </w:r>
    </w:p>
    <w:p w14:paraId="5ECEBF9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21.9</w:t>
      </w:r>
      <w:r>
        <w:rPr>
          <w:rFonts w:hint="eastAsia" w:cs="Times New Roman" w:asciiTheme="minorEastAsia" w:hAnsiTheme="minorEastAsia" w:eastAsiaTheme="minorEastAsia"/>
          <w:snapToGrid w:val="0"/>
          <w:kern w:val="0"/>
        </w:rPr>
        <w:t xml:space="preserve"> 投标人应确保投标文件的密封包装在邮寄过程中保持完好。因邮寄运输造成的密封破损，导致不符合招标文件密封要求的，采购代理机构将予以拒收。</w:t>
      </w:r>
    </w:p>
    <w:p w14:paraId="5CE32206">
      <w:pPr>
        <w:tabs>
          <w:tab w:val="left" w:pos="0"/>
        </w:tabs>
        <w:adjustRightInd w:val="0"/>
        <w:spacing w:line="360" w:lineRule="auto"/>
        <w:rPr>
          <w:rFonts w:hint="eastAsia" w:cs="Times New Roman" w:asciiTheme="minorEastAsia" w:hAnsiTheme="minorEastAsia" w:eastAsiaTheme="minorEastAsia"/>
          <w:b/>
          <w:bCs/>
          <w:snapToGrid w:val="0"/>
          <w:kern w:val="0"/>
        </w:rPr>
      </w:pPr>
      <w:r>
        <w:rPr>
          <w:rFonts w:hint="eastAsia" w:cs="Times New Roman" w:asciiTheme="minorEastAsia" w:hAnsiTheme="minorEastAsia"/>
          <w:b/>
          <w:bCs/>
          <w:snapToGrid w:val="0"/>
          <w:kern w:val="0"/>
          <w:lang w:val="en-US" w:eastAsia="zh-CN"/>
        </w:rPr>
        <w:t>21.10</w:t>
      </w:r>
      <w:r>
        <w:rPr>
          <w:rFonts w:hint="eastAsia" w:cs="Times New Roman" w:asciiTheme="minorEastAsia" w:hAnsiTheme="minorEastAsia" w:eastAsiaTheme="minorEastAsia"/>
          <w:b/>
          <w:bCs/>
          <w:snapToGrid w:val="0"/>
          <w:kern w:val="0"/>
        </w:rPr>
        <w:t xml:space="preserve"> 投标人应在邮寄后及时与采购代理机构确认签收情况。因投标人未及时确认而导致投标文件未被签收或延误的，后果由投标人自行承担。</w:t>
      </w:r>
    </w:p>
    <w:p w14:paraId="0117D8DF">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1</w:t>
      </w:r>
      <w:r>
        <w:rPr>
          <w:rFonts w:hint="eastAsia" w:cs="Times New Roman" w:asciiTheme="minorEastAsia" w:hAnsiTheme="minorEastAsia" w:eastAsiaTheme="minorEastAsia"/>
          <w:snapToGrid w:val="0"/>
          <w:kern w:val="0"/>
        </w:rPr>
        <w:t xml:space="preserve"> 采用邮寄方式递交投标文件的投标人，自行承担以下风险及后果：</w:t>
      </w:r>
    </w:p>
    <w:p w14:paraId="4CFCA63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（1）因邮寄延误导致投标文件未在投标截止时间前送达的；</w:t>
      </w:r>
    </w:p>
    <w:p w14:paraId="6FF0F3E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（2）因邮寄地址错误、收件人信息不准确导致投标文件未能送达或延误送达的；</w:t>
      </w:r>
    </w:p>
    <w:p w14:paraId="43C5C51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（3）因邮寄运输过程中导致投标文件密封破损、文件损毁或丢失的；</w:t>
      </w:r>
    </w:p>
    <w:p w14:paraId="379F20EE">
      <w:pPr>
        <w:tabs>
          <w:tab w:val="left" w:pos="0"/>
        </w:tabs>
        <w:adjustRightInd w:val="0"/>
        <w:spacing w:line="360" w:lineRule="auto"/>
        <w:rPr>
          <w:rFonts w:hint="eastAsia" w:cs="Times New Roman" w:asciiTheme="minorEastAsia" w:hAnsiTheme="minorEastAsia"/>
          <w:snapToGrid w:val="0"/>
          <w:kern w:val="0"/>
          <w:lang w:val="en-US" w:eastAsia="zh-CN"/>
        </w:rPr>
      </w:pPr>
      <w:r>
        <w:rPr>
          <w:rFonts w:hint="eastAsia" w:cs="Times New Roman" w:asciiTheme="minorEastAsia" w:hAnsiTheme="minorEastAsia" w:eastAsiaTheme="minorEastAsia"/>
          <w:snapToGrid w:val="0"/>
          <w:kern w:val="0"/>
        </w:rPr>
        <w:t>（4）因快递公司原因导致的其他一切延误、丢失或损毁情形</w:t>
      </w:r>
      <w:r>
        <w:rPr>
          <w:rFonts w:hint="eastAsia" w:cs="Times New Roman" w:asciiTheme="minorEastAsia" w:hAnsiTheme="minorEastAsia"/>
          <w:snapToGrid w:val="0"/>
          <w:kern w:val="0"/>
          <w:lang w:val="en-US" w:eastAsia="zh-CN"/>
        </w:rPr>
        <w:t>；</w:t>
      </w:r>
    </w:p>
    <w:p w14:paraId="0EA4BA5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（5）未经收件人当面签收或未确认被签收而导致的投标延误</w:t>
      </w:r>
      <w:r>
        <w:rPr>
          <w:rFonts w:hint="eastAsia" w:cs="Times New Roman" w:asciiTheme="minorEastAsia" w:hAnsiTheme="minorEastAsia" w:eastAsiaTheme="minorEastAsia"/>
          <w:snapToGrid w:val="0"/>
          <w:kern w:val="0"/>
        </w:rPr>
        <w:t>。</w:t>
      </w:r>
    </w:p>
    <w:p w14:paraId="2AC490F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上述情形一经发生，由此产生的一切后果由投标人自行承担，采购代理机构不承担任何责任。</w:t>
      </w:r>
    </w:p>
    <w:p w14:paraId="6D3BC18F">
      <w:pPr>
        <w:tabs>
          <w:tab w:val="left" w:pos="0"/>
        </w:tabs>
        <w:adjustRightInd w:val="0"/>
        <w:spacing w:line="360" w:lineRule="auto"/>
        <w:rPr>
          <w:rFonts w:hint="eastAsia" w:cs="Times New Roman" w:asciiTheme="minorEastAsia" w:hAnsiTheme="minorEastAsia" w:eastAsiaTheme="minorEastAsia"/>
          <w:snapToGrid w:val="0"/>
          <w:kern w:val="0"/>
          <w:lang w:val="en-US" w:eastAsia="zh-CN"/>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2</w:t>
      </w:r>
      <w:r>
        <w:rPr>
          <w:rFonts w:hint="eastAsia" w:cs="Times New Roman" w:asciiTheme="minorEastAsia" w:hAnsiTheme="minorEastAsia" w:eastAsiaTheme="minorEastAsia"/>
          <w:snapToGrid w:val="0"/>
          <w:kern w:val="0"/>
        </w:rPr>
        <w:t xml:space="preserve"> </w:t>
      </w:r>
      <w:r>
        <w:rPr>
          <w:rFonts w:hint="eastAsia" w:cs="Times New Roman" w:asciiTheme="minorEastAsia" w:hAnsiTheme="minorEastAsia"/>
          <w:snapToGrid w:val="0"/>
          <w:kern w:val="0"/>
          <w:lang w:val="en-US" w:eastAsia="zh-CN"/>
        </w:rPr>
        <w:t>投标人未派代表参加开标会的，视同认可开标结果，</w:t>
      </w:r>
      <w:r>
        <w:rPr>
          <w:rFonts w:hint="eastAsia"/>
        </w:rPr>
        <w:t>对开标过程及结果无异议</w:t>
      </w:r>
      <w:r>
        <w:rPr>
          <w:rFonts w:hint="eastAsia"/>
          <w:lang w:eastAsia="zh-CN"/>
        </w:rPr>
        <w:t>。</w:t>
      </w:r>
    </w:p>
    <w:p w14:paraId="43FBC1C4">
      <w:pPr>
        <w:tabs>
          <w:tab w:val="left" w:pos="0"/>
        </w:tabs>
        <w:adjustRightInd w:val="0"/>
        <w:spacing w:line="360" w:lineRule="auto"/>
      </w:pPr>
      <w:r>
        <w:rPr>
          <w:rFonts w:hint="eastAsia" w:cs="Times New Roman" w:asciiTheme="minorEastAsia" w:hAnsiTheme="minorEastAsia"/>
          <w:snapToGrid w:val="0"/>
          <w:kern w:val="0"/>
          <w:lang w:val="en-US" w:eastAsia="zh-CN"/>
        </w:rPr>
        <w:t xml:space="preserve">21.13 </w:t>
      </w:r>
      <w:r>
        <w:rPr>
          <w:rFonts w:hint="eastAsia" w:cs="Times New Roman" w:asciiTheme="minorEastAsia" w:hAnsiTheme="minorEastAsia" w:eastAsiaTheme="minorEastAsia"/>
          <w:snapToGrid w:val="0"/>
          <w:kern w:val="0"/>
        </w:rPr>
        <w:t>投标人选择邮寄方式递交投标文件，即视为已充分理解并接受本条款的全部内容。</w:t>
      </w:r>
    </w:p>
    <w:p w14:paraId="4BDE7DF4">
      <w:pPr>
        <w:tabs>
          <w:tab w:val="left" w:pos="0"/>
        </w:tabs>
        <w:adjustRightInd w:val="0"/>
        <w:spacing w:line="360" w:lineRule="auto"/>
        <w:rPr>
          <w:rFonts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在前附表第12项规定的时间和地点公开开标。投标人不足3家的，不得开标</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w:t>
      </w:r>
    </w:p>
    <w:p w14:paraId="4E336E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w:t>
      </w:r>
    </w:p>
    <w:p w14:paraId="5C5CB9C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w:t>
      </w:r>
    </w:p>
    <w:p w14:paraId="02EC1A94">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p>
    <w:p w14:paraId="56E277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448CE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7</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宋体" w:hAnsi="宋体" w:cs="仿宋_GB2312"/>
          <w:kern w:val="0"/>
          <w:szCs w:val="21"/>
        </w:rPr>
        <w:t>。</w:t>
      </w:r>
    </w:p>
    <w:p w14:paraId="65F269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r>
        <w:rPr>
          <w:rFonts w:hint="eastAsia" w:ascii="宋体" w:hAnsi="宋体"/>
          <w:snapToGrid w:val="0"/>
          <w:kern w:val="0"/>
          <w:lang w:val="en-US" w:eastAsia="zh-CN"/>
        </w:rPr>
        <w:t>资格审查阶段的澄清发起主体为采购代理机构。</w:t>
      </w:r>
    </w:p>
    <w:p w14:paraId="6F8901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w:t>
      </w:r>
      <w:r>
        <w:rPr>
          <w:rFonts w:hint="eastAsia" w:asciiTheme="majorEastAsia" w:hAnsiTheme="majorEastAsia" w:eastAsiaTheme="majorEastAsia"/>
          <w:szCs w:val="21"/>
          <w:lang w:eastAsia="zh-CN"/>
        </w:rPr>
        <w:t>。</w:t>
      </w:r>
      <w:r>
        <w:rPr>
          <w:rFonts w:hint="eastAsia" w:asciiTheme="majorEastAsia" w:hAnsiTheme="majorEastAsia" w:eastAsiaTheme="majorEastAsia"/>
          <w:szCs w:val="21"/>
          <w:lang w:val="en-US" w:eastAsia="zh-CN"/>
        </w:rPr>
        <w:t>告知投标人的评审总得分及总排序（</w:t>
      </w:r>
      <w:r>
        <w:rPr>
          <w:rFonts w:hint="eastAsia" w:cs="宋体" w:asciiTheme="minorEastAsia" w:hAnsiTheme="minorEastAsia" w:eastAsiaTheme="minorEastAsia"/>
          <w:kern w:val="0"/>
          <w:szCs w:val="21"/>
          <w:lang w:eastAsia="zh-CN"/>
        </w:rPr>
        <w:t>不包括各细项明细得分</w:t>
      </w:r>
      <w:r>
        <w:rPr>
          <w:rFonts w:hint="eastAsia" w:asciiTheme="majorEastAsia" w:hAnsiTheme="majorEastAsia" w:eastAsiaTheme="majorEastAsia"/>
          <w:szCs w:val="21"/>
          <w:lang w:val="en-US" w:eastAsia="zh-CN"/>
        </w:rPr>
        <w:t>）</w:t>
      </w:r>
      <w:r>
        <w:rPr>
          <w:rFonts w:hint="eastAsia" w:asciiTheme="minorEastAsia" w:hAnsiTheme="minorEastAsia" w:eastAsiaTheme="minorEastAsia"/>
          <w:snapToGrid w:val="0"/>
          <w:kern w:val="0"/>
        </w:rPr>
        <w:t>。中标结果公示期满无异议或者异议不成立的，招标机构将发出《中标通知书》。《中标通知书》一经发出即发生法律效力。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2945A0A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205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EBCFD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9"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Ft5hC7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10"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BMBAiG+wEAAAM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8"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CmyZSL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ascii="宋体" w:hAnsi="宋体"/>
                <w:b/>
                <w:szCs w:val="21"/>
              </w:rPr>
            </w:pPr>
            <w:r>
              <w:rPr>
                <w:rFonts w:hint="eastAsia" w:ascii="宋体" w:hAnsi="宋体"/>
                <w:b/>
                <w:szCs w:val="21"/>
              </w:rPr>
              <w:t>费率　　　　　</w:t>
            </w:r>
          </w:p>
          <w:p w14:paraId="1A7241D6">
            <w:pPr>
              <w:ind w:firstLine="1054"/>
              <w:rPr>
                <w:rFonts w:ascii="宋体" w:hAnsi="宋体"/>
                <w:b/>
                <w:szCs w:val="21"/>
              </w:rPr>
            </w:pPr>
            <w:r>
              <w:rPr>
                <w:rFonts w:hint="eastAsia" w:ascii="宋体" w:hAnsi="宋体"/>
                <w:b/>
                <w:szCs w:val="21"/>
              </w:rPr>
              <w:t>　　　</w:t>
            </w:r>
          </w:p>
          <w:p w14:paraId="2EF34B87">
            <w:pPr>
              <w:rPr>
                <w:rFonts w:ascii="宋体" w:hAnsi="宋体"/>
                <w:b/>
                <w:szCs w:val="21"/>
              </w:rPr>
            </w:pPr>
            <w:r>
              <w:rPr>
                <w:rFonts w:hint="eastAsia" w:ascii="宋体" w:hAnsi="宋体"/>
                <w:b/>
                <w:szCs w:val="21"/>
              </w:rPr>
              <w:t>中标金额</w:t>
            </w:r>
          </w:p>
        </w:tc>
        <w:tc>
          <w:tcPr>
            <w:tcW w:w="2056" w:type="dxa"/>
            <w:vAlign w:val="center"/>
          </w:tcPr>
          <w:p w14:paraId="2CA6D235">
            <w:pPr>
              <w:jc w:val="center"/>
              <w:rPr>
                <w:rFonts w:ascii="宋体" w:hAnsi="宋体"/>
                <w:b/>
                <w:szCs w:val="21"/>
              </w:rPr>
            </w:pPr>
            <w:r>
              <w:rPr>
                <w:rFonts w:hint="eastAsia" w:ascii="宋体" w:hAnsi="宋体"/>
                <w:b/>
                <w:szCs w:val="21"/>
              </w:rPr>
              <w:t>货物采购</w:t>
            </w:r>
          </w:p>
        </w:tc>
        <w:tc>
          <w:tcPr>
            <w:tcW w:w="2056" w:type="dxa"/>
            <w:vAlign w:val="center"/>
          </w:tcPr>
          <w:p w14:paraId="47C96420">
            <w:pPr>
              <w:jc w:val="center"/>
              <w:rPr>
                <w:rFonts w:ascii="宋体" w:hAnsi="宋体"/>
                <w:b/>
                <w:szCs w:val="21"/>
              </w:rPr>
            </w:pPr>
            <w:r>
              <w:rPr>
                <w:rFonts w:hint="eastAsia" w:ascii="宋体" w:hAnsi="宋体"/>
                <w:b/>
                <w:szCs w:val="21"/>
              </w:rPr>
              <w:t>服务采购</w:t>
            </w:r>
          </w:p>
        </w:tc>
        <w:tc>
          <w:tcPr>
            <w:tcW w:w="2057" w:type="dxa"/>
            <w:vAlign w:val="center"/>
          </w:tcPr>
          <w:p w14:paraId="6B18D154">
            <w:pPr>
              <w:jc w:val="center"/>
              <w:rPr>
                <w:rFonts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按差额定率累进法计算。例如：某货物类项目中标金额为1000万元，计算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4D1D508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4F1A24A">
      <w:pPr>
        <w:widowControl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rPr>
        <w:t>供应商应认真、全面核查公告及附件内容，审慎研判相关事项，依法规范行使质疑权利。若项目发布更正公告的，对更正公告及附件中更正、修改的内容提出质疑，以更正公告时间计算质疑期限；对未作修改的原公告及附件内容提出质疑的，仍以原公告时间计算质疑期限</w:t>
      </w:r>
      <w:r>
        <w:rPr>
          <w:rFonts w:hint="eastAsia" w:ascii="宋体" w:hAnsi="宋体" w:eastAsia="宋体" w:cs="宋体"/>
          <w:kern w:val="2"/>
          <w:sz w:val="21"/>
          <w:szCs w:val="21"/>
          <w:lang w:eastAsia="zh-CN"/>
        </w:rPr>
        <w:t>。</w:t>
      </w:r>
    </w:p>
    <w:p w14:paraId="31A038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ascii="仿宋" w:hAnsi="仿宋" w:eastAsia="仿宋"/>
        </w:rPr>
      </w:pPr>
      <w:bookmarkStart w:id="36" w:name="_Toc11772"/>
      <w:bookmarkStart w:id="37" w:name="_Toc44690704"/>
      <w:bookmarkStart w:id="38" w:name="_Toc44691395"/>
      <w:bookmarkStart w:id="39" w:name="_Toc14934"/>
      <w:bookmarkStart w:id="40" w:name="_Toc31468"/>
      <w:bookmarkStart w:id="41" w:name="_Toc135293339"/>
      <w:bookmarkStart w:id="42" w:name="_Toc44690431"/>
      <w:bookmarkStart w:id="43" w:name="_Toc44691163"/>
      <w:bookmarkStart w:id="44" w:name="_Toc25194"/>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asciiTheme="minorEastAsia" w:hAnsiTheme="minorEastAsia" w:eastAsiaTheme="minorEastAsia"/>
        </w:rPr>
      </w:pPr>
    </w:p>
    <w:p w14:paraId="5F8C1F8E">
      <w:pPr>
        <w:spacing w:line="360" w:lineRule="auto"/>
        <w:ind w:firstLine="420" w:firstLineChars="200"/>
        <w:rPr>
          <w:rFonts w:asciiTheme="minorEastAsia" w:hAnsiTheme="minorEastAsia" w:eastAsiaTheme="minorEastAsia"/>
        </w:rPr>
      </w:pPr>
    </w:p>
    <w:p w14:paraId="4824A01B">
      <w:pPr>
        <w:jc w:val="center"/>
        <w:rPr>
          <w:b/>
          <w:sz w:val="52"/>
          <w:szCs w:val="52"/>
        </w:rPr>
      </w:pPr>
    </w:p>
    <w:p w14:paraId="25DF1456"/>
    <w:p w14:paraId="5078A67C"/>
    <w:p w14:paraId="0715BD6D"/>
    <w:p w14:paraId="73393E35">
      <w:pPr>
        <w:pStyle w:val="4"/>
        <w:spacing w:line="400" w:lineRule="exact"/>
        <w:jc w:val="center"/>
        <w:rPr>
          <w:rFonts w:ascii="仿宋" w:hAnsi="仿宋" w:eastAsia="仿宋"/>
          <w:sz w:val="32"/>
          <w:szCs w:val="32"/>
        </w:rPr>
      </w:pPr>
      <w:r>
        <w:rPr>
          <w:rFonts w:hint="eastAsia" w:ascii="仿宋" w:hAnsi="仿宋" w:eastAsia="仿宋"/>
          <w:sz w:val="32"/>
          <w:szCs w:val="32"/>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02A1A1F3">
      <w:pPr>
        <w:rPr>
          <w:rFonts w:hint="eastAsia"/>
          <w:b/>
          <w:bCs/>
          <w:sz w:val="52"/>
        </w:rPr>
      </w:pPr>
      <w:r>
        <w:rPr>
          <w:rFonts w:hint="eastAsia"/>
          <w:b/>
          <w:bCs/>
          <w:sz w:val="52"/>
        </w:rPr>
        <w:br w:type="page"/>
      </w:r>
    </w:p>
    <w:p w14:paraId="6C977D7B">
      <w:pPr>
        <w:jc w:val="center"/>
        <w:rPr>
          <w:rFonts w:hint="eastAsia"/>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ascii="仿宋" w:hAnsi="仿宋" w:eastAsia="仿宋"/>
        </w:rPr>
      </w:pPr>
      <w:bookmarkStart w:id="45" w:name="_投标文件格式（第一册）"/>
      <w:bookmarkEnd w:id="45"/>
      <w:bookmarkStart w:id="46" w:name="q0"/>
    </w:p>
    <w:p w14:paraId="453EBD81">
      <w:pPr>
        <w:spacing w:line="400" w:lineRule="exact"/>
        <w:rPr>
          <w:rFonts w:ascii="仿宋" w:hAnsi="仿宋" w:eastAsia="仿宋"/>
        </w:rPr>
      </w:pPr>
    </w:p>
    <w:p w14:paraId="7C1E14FD">
      <w:pPr>
        <w:spacing w:line="400" w:lineRule="exact"/>
        <w:rPr>
          <w:rFonts w:ascii="仿宋" w:hAnsi="仿宋" w:eastAsia="仿宋"/>
        </w:rPr>
      </w:pPr>
    </w:p>
    <w:p w14:paraId="39055038">
      <w:pPr>
        <w:pStyle w:val="4"/>
        <w:spacing w:line="400" w:lineRule="exact"/>
        <w:rPr>
          <w:rFonts w:hint="eastAsia" w:ascii="仿宋" w:hAnsi="仿宋" w:eastAsia="仿宋"/>
        </w:rPr>
      </w:pPr>
      <w:bookmarkStart w:id="47" w:name="_Toc135293340"/>
    </w:p>
    <w:p w14:paraId="0A4CF92C">
      <w:pPr>
        <w:pStyle w:val="4"/>
        <w:spacing w:line="400" w:lineRule="exact"/>
        <w:rPr>
          <w:rFonts w:ascii="仿宋" w:hAnsi="仿宋" w:eastAsia="仿宋"/>
        </w:rPr>
      </w:pPr>
      <w:r>
        <w:rPr>
          <w:rFonts w:hint="eastAsia" w:ascii="仿宋" w:hAnsi="仿宋" w:eastAsia="仿宋"/>
        </w:rPr>
        <w:t>投标文件格式</w:t>
      </w:r>
      <w:bookmarkEnd w:id="47"/>
    </w:p>
    <w:bookmarkEnd w:id="46"/>
    <w:p w14:paraId="22EAC92A">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F880319">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ascii="宋体" w:hAnsi="宋体"/>
          <w:snapToGrid w:val="0"/>
          <w:kern w:val="0"/>
          <w:szCs w:val="21"/>
        </w:rPr>
      </w:pPr>
    </w:p>
    <w:p w14:paraId="47B36E85">
      <w:pPr>
        <w:adjustRightInd w:val="0"/>
        <w:spacing w:line="300" w:lineRule="auto"/>
        <w:ind w:left="-2"/>
        <w:rPr>
          <w:rFonts w:ascii="宋体" w:hAnsi="宋体"/>
          <w:snapToGrid w:val="0"/>
          <w:kern w:val="0"/>
          <w:szCs w:val="21"/>
        </w:rPr>
      </w:pPr>
    </w:p>
    <w:p w14:paraId="27F27AA4">
      <w:pPr>
        <w:adjustRightInd w:val="0"/>
        <w:spacing w:line="300" w:lineRule="auto"/>
        <w:ind w:left="-2"/>
        <w:rPr>
          <w:rFonts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9C36EE6">
      <w:pPr>
        <w:widowControl/>
        <w:jc w:val="left"/>
        <w:rPr>
          <w:rFonts w:ascii="宋体" w:hAnsi="宋体"/>
          <w:szCs w:val="21"/>
        </w:rPr>
      </w:pPr>
    </w:p>
    <w:p w14:paraId="5FCF51C9">
      <w:pPr>
        <w:widowControl/>
        <w:jc w:val="left"/>
        <w:rPr>
          <w:rFonts w:ascii="宋体" w:hAnsi="宋体"/>
          <w:szCs w:val="21"/>
        </w:rPr>
      </w:pPr>
    </w:p>
    <w:p w14:paraId="63FE1597">
      <w:pPr>
        <w:widowControl/>
        <w:jc w:val="left"/>
        <w:rPr>
          <w:rFonts w:ascii="宋体" w:hAnsi="宋体"/>
          <w:szCs w:val="21"/>
        </w:rPr>
      </w:pPr>
    </w:p>
    <w:p w14:paraId="56BC61E7">
      <w:pPr>
        <w:widowControl/>
        <w:jc w:val="left"/>
        <w:rPr>
          <w:rFonts w:ascii="宋体" w:hAnsi="宋体"/>
          <w:szCs w:val="21"/>
        </w:rPr>
      </w:pPr>
    </w:p>
    <w:p w14:paraId="43B2BE76">
      <w:pPr>
        <w:widowControl/>
        <w:jc w:val="left"/>
        <w:rPr>
          <w:rFonts w:ascii="宋体" w:hAnsi="宋体"/>
          <w:szCs w:val="21"/>
        </w:rPr>
      </w:pPr>
    </w:p>
    <w:p w14:paraId="59B38C34">
      <w:pPr>
        <w:widowControl/>
        <w:jc w:val="left"/>
        <w:rPr>
          <w:rFonts w:ascii="宋体" w:hAnsi="宋体"/>
          <w:szCs w:val="21"/>
        </w:rPr>
      </w:pPr>
    </w:p>
    <w:p w14:paraId="21724F82">
      <w:pPr>
        <w:widowControl/>
        <w:jc w:val="left"/>
        <w:rPr>
          <w:rFonts w:ascii="宋体" w:hAnsi="宋体"/>
          <w:szCs w:val="21"/>
        </w:rPr>
      </w:pPr>
    </w:p>
    <w:p w14:paraId="55F96348">
      <w:pPr>
        <w:widowControl/>
        <w:jc w:val="left"/>
        <w:rPr>
          <w:rFonts w:ascii="宋体" w:hAnsi="宋体"/>
          <w:szCs w:val="21"/>
        </w:rPr>
      </w:pPr>
    </w:p>
    <w:p w14:paraId="792BAA18">
      <w:pPr>
        <w:widowControl/>
        <w:jc w:val="left"/>
        <w:rPr>
          <w:rFonts w:ascii="宋体" w:hAnsi="宋体"/>
          <w:szCs w:val="21"/>
        </w:rPr>
      </w:pPr>
    </w:p>
    <w:p w14:paraId="73B495A8">
      <w:pPr>
        <w:widowControl/>
        <w:jc w:val="left"/>
        <w:rPr>
          <w:rFonts w:ascii="宋体" w:hAnsi="宋体"/>
          <w:szCs w:val="21"/>
        </w:rPr>
      </w:pPr>
    </w:p>
    <w:p w14:paraId="41EAF637">
      <w:pPr>
        <w:widowControl/>
        <w:jc w:val="left"/>
        <w:rPr>
          <w:rFonts w:ascii="宋体" w:hAnsi="宋体"/>
          <w:szCs w:val="21"/>
        </w:rPr>
      </w:pPr>
    </w:p>
    <w:p w14:paraId="5AC54C77">
      <w:pPr>
        <w:widowControl/>
        <w:jc w:val="left"/>
        <w:rPr>
          <w:rFonts w:ascii="宋体" w:hAnsi="宋体"/>
          <w:szCs w:val="21"/>
        </w:rPr>
      </w:pPr>
    </w:p>
    <w:p w14:paraId="64C8DCEA">
      <w:pPr>
        <w:widowControl/>
        <w:jc w:val="left"/>
        <w:rPr>
          <w:rFonts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Pr>
        <w:rPr>
          <w:rFonts w:hint="eastAsia"/>
        </w:rPr>
      </w:pPr>
    </w:p>
    <w:p w14:paraId="199B2533">
      <w:pPr>
        <w:pStyle w:val="4"/>
        <w:spacing w:line="400" w:lineRule="exact"/>
        <w:rPr>
          <w:rFonts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F379FA7">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ascii="宋体" w:hAnsi="宋体"/>
                <w:b/>
                <w:szCs w:val="21"/>
              </w:rPr>
            </w:pPr>
          </w:p>
        </w:tc>
        <w:tc>
          <w:tcPr>
            <w:tcW w:w="1472" w:type="dxa"/>
            <w:vAlign w:val="center"/>
          </w:tcPr>
          <w:p w14:paraId="425C69E0">
            <w:pPr>
              <w:spacing w:line="360" w:lineRule="exact"/>
              <w:jc w:val="center"/>
              <w:rPr>
                <w:rFonts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ascii="宋体" w:hAnsi="宋体"/>
                <w:szCs w:val="21"/>
              </w:rPr>
            </w:pPr>
            <w:r>
              <w:rPr>
                <w:rFonts w:hint="eastAsia" w:ascii="宋体" w:hAnsi="宋体"/>
                <w:szCs w:val="21"/>
              </w:rPr>
              <w:t>技术部分</w:t>
            </w:r>
          </w:p>
        </w:tc>
        <w:tc>
          <w:tcPr>
            <w:tcW w:w="4854" w:type="dxa"/>
          </w:tcPr>
          <w:p w14:paraId="671FE989">
            <w:pPr>
              <w:spacing w:line="360" w:lineRule="exact"/>
              <w:jc w:val="center"/>
              <w:rPr>
                <w:rFonts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ascii="宋体" w:hAnsi="宋体"/>
                <w:b/>
                <w:szCs w:val="21"/>
              </w:rPr>
            </w:pPr>
          </w:p>
        </w:tc>
        <w:tc>
          <w:tcPr>
            <w:tcW w:w="1472" w:type="dxa"/>
            <w:vAlign w:val="center"/>
          </w:tcPr>
          <w:p w14:paraId="1B4AB4BD">
            <w:pPr>
              <w:spacing w:line="360" w:lineRule="exact"/>
              <w:jc w:val="center"/>
              <w:rPr>
                <w:rFonts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ascii="宋体" w:hAnsi="宋体"/>
                <w:szCs w:val="21"/>
              </w:rPr>
            </w:pPr>
          </w:p>
        </w:tc>
        <w:tc>
          <w:tcPr>
            <w:tcW w:w="4854" w:type="dxa"/>
          </w:tcPr>
          <w:p w14:paraId="3BD7E3A0">
            <w:pPr>
              <w:spacing w:line="360" w:lineRule="exact"/>
              <w:jc w:val="center"/>
              <w:rPr>
                <w:rFonts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ascii="宋体" w:hAnsi="宋体"/>
                <w:b/>
                <w:szCs w:val="21"/>
              </w:rPr>
            </w:pPr>
          </w:p>
        </w:tc>
        <w:tc>
          <w:tcPr>
            <w:tcW w:w="1472" w:type="dxa"/>
            <w:vAlign w:val="center"/>
          </w:tcPr>
          <w:p w14:paraId="1BAA25F4">
            <w:pPr>
              <w:spacing w:line="360" w:lineRule="exact"/>
              <w:jc w:val="center"/>
              <w:rPr>
                <w:rFonts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ascii="宋体" w:hAnsi="宋体"/>
                <w:szCs w:val="21"/>
              </w:rPr>
            </w:pPr>
          </w:p>
        </w:tc>
        <w:tc>
          <w:tcPr>
            <w:tcW w:w="4854" w:type="dxa"/>
          </w:tcPr>
          <w:p w14:paraId="725494B8">
            <w:pPr>
              <w:spacing w:line="360" w:lineRule="exact"/>
              <w:jc w:val="center"/>
              <w:rPr>
                <w:rFonts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ascii="宋体" w:hAnsi="宋体"/>
                <w:b/>
                <w:szCs w:val="21"/>
              </w:rPr>
            </w:pPr>
          </w:p>
        </w:tc>
        <w:tc>
          <w:tcPr>
            <w:tcW w:w="1472" w:type="dxa"/>
            <w:vAlign w:val="center"/>
          </w:tcPr>
          <w:p w14:paraId="06B26574">
            <w:pPr>
              <w:spacing w:line="360" w:lineRule="exact"/>
              <w:jc w:val="center"/>
              <w:rPr>
                <w:rFonts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6" w:hRule="atLeast"/>
          <w:jc w:val="center"/>
        </w:trPr>
        <w:tc>
          <w:tcPr>
            <w:tcW w:w="1057" w:type="dxa"/>
            <w:vMerge w:val="restart"/>
            <w:vAlign w:val="center"/>
          </w:tcPr>
          <w:p w14:paraId="1BAB819D">
            <w:pPr>
              <w:spacing w:line="360" w:lineRule="exact"/>
              <w:jc w:val="center"/>
              <w:rPr>
                <w:rFonts w:ascii="宋体" w:hAnsi="宋体"/>
                <w:szCs w:val="21"/>
              </w:rPr>
            </w:pPr>
            <w:r>
              <w:rPr>
                <w:rFonts w:hint="eastAsia" w:ascii="宋体" w:hAnsi="宋体"/>
                <w:szCs w:val="21"/>
              </w:rPr>
              <w:t>商务部分</w:t>
            </w:r>
          </w:p>
        </w:tc>
        <w:tc>
          <w:tcPr>
            <w:tcW w:w="4854" w:type="dxa"/>
          </w:tcPr>
          <w:p w14:paraId="06A84E2A">
            <w:pPr>
              <w:spacing w:line="360" w:lineRule="exact"/>
              <w:jc w:val="center"/>
              <w:rPr>
                <w:rFonts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ascii="宋体" w:hAnsi="宋体"/>
                <w:b/>
                <w:szCs w:val="21"/>
              </w:rPr>
            </w:pPr>
          </w:p>
        </w:tc>
        <w:tc>
          <w:tcPr>
            <w:tcW w:w="1472" w:type="dxa"/>
            <w:vAlign w:val="center"/>
          </w:tcPr>
          <w:p w14:paraId="3E98152C">
            <w:pPr>
              <w:spacing w:line="360" w:lineRule="exact"/>
              <w:jc w:val="center"/>
              <w:rPr>
                <w:rFonts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ascii="宋体" w:hAnsi="宋体"/>
                <w:szCs w:val="21"/>
              </w:rPr>
            </w:pPr>
          </w:p>
        </w:tc>
        <w:tc>
          <w:tcPr>
            <w:tcW w:w="4854" w:type="dxa"/>
          </w:tcPr>
          <w:p w14:paraId="5447E61B">
            <w:pPr>
              <w:spacing w:line="360" w:lineRule="exact"/>
              <w:jc w:val="center"/>
              <w:rPr>
                <w:rFonts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ascii="宋体" w:hAnsi="宋体"/>
                <w:b/>
                <w:szCs w:val="21"/>
              </w:rPr>
            </w:pPr>
          </w:p>
        </w:tc>
        <w:tc>
          <w:tcPr>
            <w:tcW w:w="1472" w:type="dxa"/>
            <w:vAlign w:val="center"/>
          </w:tcPr>
          <w:p w14:paraId="706428B5">
            <w:pPr>
              <w:spacing w:line="360" w:lineRule="exact"/>
              <w:jc w:val="center"/>
              <w:rPr>
                <w:rFonts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ascii="宋体" w:hAnsi="宋体"/>
                <w:szCs w:val="21"/>
              </w:rPr>
            </w:pPr>
          </w:p>
        </w:tc>
        <w:tc>
          <w:tcPr>
            <w:tcW w:w="4854" w:type="dxa"/>
          </w:tcPr>
          <w:p w14:paraId="35BDCB13">
            <w:pPr>
              <w:spacing w:line="360" w:lineRule="exact"/>
              <w:jc w:val="center"/>
              <w:rPr>
                <w:rFonts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ascii="宋体" w:hAnsi="宋体"/>
                <w:b/>
                <w:szCs w:val="21"/>
              </w:rPr>
            </w:pPr>
          </w:p>
        </w:tc>
        <w:tc>
          <w:tcPr>
            <w:tcW w:w="1472" w:type="dxa"/>
            <w:vAlign w:val="center"/>
          </w:tcPr>
          <w:p w14:paraId="0B5570BD">
            <w:pPr>
              <w:spacing w:line="360" w:lineRule="exact"/>
              <w:jc w:val="center"/>
              <w:rPr>
                <w:rFonts w:ascii="宋体" w:hAnsi="宋体"/>
                <w:b/>
                <w:szCs w:val="21"/>
              </w:rPr>
            </w:pPr>
          </w:p>
        </w:tc>
      </w:tr>
    </w:tbl>
    <w:p w14:paraId="404FE65E">
      <w:pPr>
        <w:pStyle w:val="26"/>
        <w:spacing w:line="360" w:lineRule="auto"/>
        <w:ind w:firstLine="424" w:firstLineChars="201"/>
        <w:rPr>
          <w:rFonts w:hAnsi="宋体"/>
          <w:b/>
          <w:szCs w:val="21"/>
        </w:rPr>
      </w:pPr>
    </w:p>
    <w:p w14:paraId="277537BF">
      <w:pPr>
        <w:pStyle w:val="26"/>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lang w:eastAsia="zh-CN"/>
        </w:rPr>
      </w:pPr>
    </w:p>
    <w:p w14:paraId="76DD2DBC">
      <w:pPr>
        <w:pStyle w:val="4"/>
        <w:spacing w:line="400" w:lineRule="exact"/>
        <w:rPr>
          <w:rFonts w:hint="eastAsia" w:ascii="仿宋" w:hAnsi="仿宋" w:eastAsia="仿宋"/>
          <w:lang w:eastAsia="zh-CN"/>
        </w:rPr>
      </w:pPr>
    </w:p>
    <w:p w14:paraId="00FC759D">
      <w:pPr>
        <w:pStyle w:val="4"/>
        <w:spacing w:line="400" w:lineRule="exact"/>
        <w:rPr>
          <w:rFonts w:hint="eastAsia" w:ascii="仿宋" w:hAnsi="仿宋" w:eastAsia="仿宋"/>
          <w:lang w:eastAsia="zh-CN"/>
        </w:rPr>
      </w:pPr>
    </w:p>
    <w:p w14:paraId="0C99DDD7">
      <w:pPr>
        <w:rPr>
          <w:rFonts w:hint="eastAsia" w:ascii="仿宋" w:hAnsi="仿宋" w:eastAsia="仿宋"/>
          <w:lang w:eastAsia="zh-CN"/>
        </w:rPr>
      </w:pPr>
      <w:r>
        <w:rPr>
          <w:rFonts w:hint="eastAsia" w:ascii="仿宋" w:hAnsi="仿宋" w:eastAsia="仿宋"/>
          <w:lang w:eastAsia="zh-CN"/>
        </w:rPr>
        <w:br w:type="page"/>
      </w:r>
    </w:p>
    <w:p w14:paraId="36479E5D">
      <w:pPr>
        <w:rPr>
          <w:rFonts w:hint="eastAsia"/>
          <w:lang w:eastAsia="zh-CN"/>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BF80CB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418C8EA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C6958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78DA2809">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3024764">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74A52BE9">
            <w:pPr>
              <w:spacing w:line="360" w:lineRule="exact"/>
              <w:jc w:val="center"/>
              <w:rPr>
                <w:rFonts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6B7B9041">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667A880">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E6615B">
            <w:pPr>
              <w:spacing w:line="360" w:lineRule="exact"/>
              <w:jc w:val="center"/>
              <w:rPr>
                <w:rFonts w:ascii="宋体" w:hAnsi="宋体"/>
                <w:b/>
                <w:szCs w:val="21"/>
              </w:rPr>
            </w:pPr>
          </w:p>
        </w:tc>
        <w:tc>
          <w:tcPr>
            <w:tcW w:w="924" w:type="dxa"/>
            <w:noWrap w:val="0"/>
            <w:vAlign w:val="center"/>
          </w:tcPr>
          <w:p w14:paraId="7E9C4910">
            <w:pPr>
              <w:spacing w:line="360" w:lineRule="exact"/>
              <w:jc w:val="center"/>
              <w:rPr>
                <w:rFonts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2712DCD">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6D67B9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C3EE268">
            <w:pPr>
              <w:spacing w:line="360" w:lineRule="exact"/>
              <w:jc w:val="center"/>
              <w:rPr>
                <w:rFonts w:ascii="宋体" w:hAnsi="宋体"/>
                <w:b/>
                <w:szCs w:val="21"/>
              </w:rPr>
            </w:pPr>
          </w:p>
        </w:tc>
        <w:tc>
          <w:tcPr>
            <w:tcW w:w="924" w:type="dxa"/>
            <w:noWrap w:val="0"/>
            <w:vAlign w:val="center"/>
          </w:tcPr>
          <w:p w14:paraId="7A7B9C89">
            <w:pPr>
              <w:spacing w:line="360" w:lineRule="exact"/>
              <w:jc w:val="center"/>
              <w:rPr>
                <w:rFonts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70E7F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105874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EB1D211">
            <w:pPr>
              <w:spacing w:line="360" w:lineRule="exact"/>
              <w:jc w:val="center"/>
              <w:rPr>
                <w:rFonts w:ascii="宋体" w:hAnsi="宋体"/>
                <w:b/>
                <w:szCs w:val="21"/>
              </w:rPr>
            </w:pPr>
          </w:p>
        </w:tc>
        <w:tc>
          <w:tcPr>
            <w:tcW w:w="924" w:type="dxa"/>
            <w:noWrap w:val="0"/>
            <w:vAlign w:val="center"/>
          </w:tcPr>
          <w:p w14:paraId="484A05F2">
            <w:pPr>
              <w:spacing w:line="360" w:lineRule="exact"/>
              <w:jc w:val="center"/>
              <w:rPr>
                <w:rFonts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381671D">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24920A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01DD313">
            <w:pPr>
              <w:spacing w:line="360" w:lineRule="exact"/>
              <w:jc w:val="center"/>
              <w:rPr>
                <w:rFonts w:ascii="宋体" w:hAnsi="宋体"/>
                <w:b/>
                <w:szCs w:val="21"/>
              </w:rPr>
            </w:pPr>
          </w:p>
        </w:tc>
        <w:tc>
          <w:tcPr>
            <w:tcW w:w="924" w:type="dxa"/>
            <w:noWrap w:val="0"/>
            <w:vAlign w:val="center"/>
          </w:tcPr>
          <w:p w14:paraId="3891C72D">
            <w:pPr>
              <w:spacing w:line="360" w:lineRule="exact"/>
              <w:jc w:val="center"/>
              <w:rPr>
                <w:rFonts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17443AF">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3AC4C571">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3E8A2A08">
            <w:pPr>
              <w:spacing w:line="360" w:lineRule="exact"/>
              <w:jc w:val="center"/>
              <w:rPr>
                <w:rFonts w:ascii="宋体" w:hAnsi="宋体"/>
                <w:b/>
                <w:szCs w:val="21"/>
              </w:rPr>
            </w:pPr>
          </w:p>
        </w:tc>
        <w:tc>
          <w:tcPr>
            <w:tcW w:w="924" w:type="dxa"/>
            <w:noWrap w:val="0"/>
            <w:vAlign w:val="center"/>
          </w:tcPr>
          <w:p w14:paraId="7FC5F57D">
            <w:pPr>
              <w:spacing w:line="360" w:lineRule="exact"/>
              <w:jc w:val="center"/>
              <w:rPr>
                <w:rFonts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4421F43C">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E57210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8D63C7A">
            <w:pPr>
              <w:spacing w:line="360" w:lineRule="exact"/>
              <w:jc w:val="center"/>
              <w:rPr>
                <w:rFonts w:ascii="宋体" w:hAnsi="宋体"/>
                <w:b/>
                <w:szCs w:val="21"/>
              </w:rPr>
            </w:pPr>
          </w:p>
        </w:tc>
        <w:tc>
          <w:tcPr>
            <w:tcW w:w="924" w:type="dxa"/>
            <w:noWrap w:val="0"/>
            <w:vAlign w:val="center"/>
          </w:tcPr>
          <w:p w14:paraId="7DD71C9F">
            <w:pPr>
              <w:spacing w:line="360" w:lineRule="exact"/>
              <w:jc w:val="center"/>
              <w:rPr>
                <w:rFonts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0CD09C">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C15577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35A33FD4">
            <w:pPr>
              <w:spacing w:line="360" w:lineRule="exact"/>
              <w:jc w:val="center"/>
              <w:rPr>
                <w:rFonts w:ascii="宋体" w:hAnsi="宋体"/>
                <w:b/>
                <w:szCs w:val="21"/>
              </w:rPr>
            </w:pPr>
          </w:p>
        </w:tc>
        <w:tc>
          <w:tcPr>
            <w:tcW w:w="924" w:type="dxa"/>
            <w:noWrap w:val="0"/>
            <w:vAlign w:val="center"/>
          </w:tcPr>
          <w:p w14:paraId="3379E380">
            <w:pPr>
              <w:spacing w:line="360" w:lineRule="exact"/>
              <w:jc w:val="center"/>
              <w:rPr>
                <w:rFonts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2C94E96">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81B847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707A6E76">
            <w:pPr>
              <w:spacing w:line="360" w:lineRule="exact"/>
              <w:jc w:val="center"/>
              <w:rPr>
                <w:rFonts w:ascii="宋体" w:hAnsi="宋体"/>
                <w:b/>
                <w:szCs w:val="21"/>
              </w:rPr>
            </w:pPr>
          </w:p>
        </w:tc>
        <w:tc>
          <w:tcPr>
            <w:tcW w:w="924" w:type="dxa"/>
            <w:noWrap w:val="0"/>
            <w:vAlign w:val="center"/>
          </w:tcPr>
          <w:p w14:paraId="3E807BB8">
            <w:pPr>
              <w:spacing w:line="360" w:lineRule="exact"/>
              <w:jc w:val="center"/>
              <w:rPr>
                <w:rFonts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80212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037728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033C636">
            <w:pPr>
              <w:spacing w:line="360" w:lineRule="exact"/>
              <w:jc w:val="center"/>
              <w:rPr>
                <w:rFonts w:ascii="宋体" w:hAnsi="宋体"/>
                <w:b/>
                <w:szCs w:val="21"/>
              </w:rPr>
            </w:pPr>
          </w:p>
        </w:tc>
        <w:tc>
          <w:tcPr>
            <w:tcW w:w="924" w:type="dxa"/>
            <w:noWrap w:val="0"/>
            <w:vAlign w:val="center"/>
          </w:tcPr>
          <w:p w14:paraId="58A8E83D">
            <w:pPr>
              <w:spacing w:line="360" w:lineRule="exact"/>
              <w:jc w:val="center"/>
              <w:rPr>
                <w:rFonts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0198D5">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3AF15D6">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852750">
            <w:pPr>
              <w:spacing w:line="360" w:lineRule="exact"/>
              <w:jc w:val="center"/>
              <w:rPr>
                <w:rFonts w:ascii="宋体" w:hAnsi="宋体"/>
                <w:b/>
                <w:szCs w:val="21"/>
              </w:rPr>
            </w:pPr>
          </w:p>
        </w:tc>
        <w:tc>
          <w:tcPr>
            <w:tcW w:w="924" w:type="dxa"/>
            <w:noWrap w:val="0"/>
            <w:vAlign w:val="center"/>
          </w:tcPr>
          <w:p w14:paraId="2F60F8CC">
            <w:pPr>
              <w:spacing w:line="360" w:lineRule="exact"/>
              <w:jc w:val="center"/>
              <w:rPr>
                <w:rFonts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8A05C9">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4AB95301">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5F21B8A">
            <w:pPr>
              <w:spacing w:line="360" w:lineRule="exact"/>
              <w:jc w:val="center"/>
              <w:rPr>
                <w:rFonts w:ascii="宋体" w:hAnsi="宋体"/>
                <w:b/>
                <w:szCs w:val="21"/>
              </w:rPr>
            </w:pPr>
          </w:p>
        </w:tc>
        <w:tc>
          <w:tcPr>
            <w:tcW w:w="924" w:type="dxa"/>
            <w:noWrap w:val="0"/>
            <w:vAlign w:val="center"/>
          </w:tcPr>
          <w:p w14:paraId="315F7CDF">
            <w:pPr>
              <w:spacing w:line="360" w:lineRule="exact"/>
              <w:jc w:val="center"/>
              <w:rPr>
                <w:rFonts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5B72648">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814DD9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FF52C88">
            <w:pPr>
              <w:spacing w:line="360" w:lineRule="exact"/>
              <w:jc w:val="center"/>
              <w:rPr>
                <w:rFonts w:ascii="宋体" w:hAnsi="宋体"/>
                <w:b/>
                <w:szCs w:val="21"/>
              </w:rPr>
            </w:pPr>
          </w:p>
        </w:tc>
        <w:tc>
          <w:tcPr>
            <w:tcW w:w="924" w:type="dxa"/>
            <w:noWrap w:val="0"/>
            <w:vAlign w:val="center"/>
          </w:tcPr>
          <w:p w14:paraId="76452562">
            <w:pPr>
              <w:spacing w:line="360" w:lineRule="exact"/>
              <w:jc w:val="center"/>
              <w:rPr>
                <w:rFonts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C78A4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B58001E">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4C6C681">
            <w:pPr>
              <w:spacing w:line="360" w:lineRule="exact"/>
              <w:jc w:val="center"/>
              <w:rPr>
                <w:rFonts w:ascii="宋体" w:hAnsi="宋体"/>
                <w:b/>
                <w:szCs w:val="21"/>
              </w:rPr>
            </w:pPr>
          </w:p>
        </w:tc>
        <w:tc>
          <w:tcPr>
            <w:tcW w:w="924" w:type="dxa"/>
            <w:noWrap w:val="0"/>
            <w:vAlign w:val="center"/>
          </w:tcPr>
          <w:p w14:paraId="0C4DBA5E">
            <w:pPr>
              <w:spacing w:line="360" w:lineRule="exact"/>
              <w:jc w:val="center"/>
              <w:rPr>
                <w:rFonts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DA0C7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697AF84E">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6831005">
            <w:pPr>
              <w:spacing w:line="360" w:lineRule="exact"/>
              <w:jc w:val="center"/>
              <w:rPr>
                <w:rFonts w:ascii="宋体" w:hAnsi="宋体"/>
                <w:b/>
                <w:szCs w:val="21"/>
              </w:rPr>
            </w:pPr>
          </w:p>
        </w:tc>
        <w:tc>
          <w:tcPr>
            <w:tcW w:w="924" w:type="dxa"/>
            <w:noWrap w:val="0"/>
            <w:vAlign w:val="center"/>
          </w:tcPr>
          <w:p w14:paraId="1E8CCD25">
            <w:pPr>
              <w:spacing w:line="360" w:lineRule="exact"/>
              <w:jc w:val="center"/>
              <w:rPr>
                <w:rFonts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94087C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BD5E4D2">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8FDEA10">
            <w:pPr>
              <w:spacing w:line="360" w:lineRule="exact"/>
              <w:jc w:val="center"/>
              <w:rPr>
                <w:rFonts w:ascii="宋体" w:hAnsi="宋体"/>
                <w:b/>
                <w:szCs w:val="21"/>
              </w:rPr>
            </w:pPr>
          </w:p>
        </w:tc>
        <w:tc>
          <w:tcPr>
            <w:tcW w:w="924" w:type="dxa"/>
            <w:noWrap w:val="0"/>
            <w:vAlign w:val="center"/>
          </w:tcPr>
          <w:p w14:paraId="37220197">
            <w:pPr>
              <w:spacing w:line="360" w:lineRule="exact"/>
              <w:jc w:val="center"/>
              <w:rPr>
                <w:rFonts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0E6471">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1B981B9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1CBF51DD">
            <w:pPr>
              <w:spacing w:line="360" w:lineRule="exact"/>
              <w:jc w:val="center"/>
              <w:rPr>
                <w:rFonts w:ascii="宋体" w:hAnsi="宋体"/>
                <w:b/>
                <w:szCs w:val="21"/>
              </w:rPr>
            </w:pPr>
          </w:p>
        </w:tc>
        <w:tc>
          <w:tcPr>
            <w:tcW w:w="924" w:type="dxa"/>
            <w:noWrap w:val="0"/>
            <w:vAlign w:val="center"/>
          </w:tcPr>
          <w:p w14:paraId="21C0B802">
            <w:pPr>
              <w:spacing w:line="360" w:lineRule="exact"/>
              <w:jc w:val="center"/>
              <w:rPr>
                <w:rFonts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3D8A984">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6E38D6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E7FB6E9">
            <w:pPr>
              <w:spacing w:line="360" w:lineRule="exact"/>
              <w:jc w:val="center"/>
              <w:rPr>
                <w:rFonts w:ascii="宋体" w:hAnsi="宋体"/>
                <w:b/>
                <w:szCs w:val="21"/>
              </w:rPr>
            </w:pPr>
          </w:p>
        </w:tc>
        <w:tc>
          <w:tcPr>
            <w:tcW w:w="924" w:type="dxa"/>
            <w:noWrap w:val="0"/>
            <w:vAlign w:val="center"/>
          </w:tcPr>
          <w:p w14:paraId="02FCB6DC">
            <w:pPr>
              <w:spacing w:line="360" w:lineRule="exact"/>
              <w:jc w:val="center"/>
              <w:rPr>
                <w:rFonts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9D7A6A8">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D834E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DB023AD">
            <w:pPr>
              <w:spacing w:line="360" w:lineRule="exact"/>
              <w:jc w:val="center"/>
              <w:rPr>
                <w:rFonts w:ascii="宋体" w:hAnsi="宋体"/>
                <w:b/>
                <w:szCs w:val="21"/>
              </w:rPr>
            </w:pPr>
          </w:p>
        </w:tc>
        <w:tc>
          <w:tcPr>
            <w:tcW w:w="924" w:type="dxa"/>
            <w:noWrap w:val="0"/>
            <w:vAlign w:val="center"/>
          </w:tcPr>
          <w:p w14:paraId="71463F8F">
            <w:pPr>
              <w:spacing w:line="360" w:lineRule="exact"/>
              <w:jc w:val="center"/>
              <w:rPr>
                <w:rFonts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665057CA">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765FC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FEE1352">
            <w:pPr>
              <w:spacing w:line="360" w:lineRule="exact"/>
              <w:jc w:val="center"/>
              <w:rPr>
                <w:rFonts w:ascii="宋体" w:hAnsi="宋体"/>
                <w:b/>
                <w:szCs w:val="21"/>
              </w:rPr>
            </w:pPr>
          </w:p>
        </w:tc>
        <w:tc>
          <w:tcPr>
            <w:tcW w:w="924" w:type="dxa"/>
            <w:noWrap w:val="0"/>
            <w:vAlign w:val="center"/>
          </w:tcPr>
          <w:p w14:paraId="65B01E6B">
            <w:pPr>
              <w:spacing w:line="360" w:lineRule="exact"/>
              <w:jc w:val="center"/>
              <w:rPr>
                <w:rFonts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25BE0EA">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A7230BC">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FA24524">
            <w:pPr>
              <w:spacing w:line="360" w:lineRule="exact"/>
              <w:jc w:val="center"/>
              <w:rPr>
                <w:rFonts w:ascii="宋体" w:hAnsi="宋体"/>
                <w:b/>
                <w:szCs w:val="21"/>
              </w:rPr>
            </w:pPr>
          </w:p>
        </w:tc>
        <w:tc>
          <w:tcPr>
            <w:tcW w:w="924" w:type="dxa"/>
            <w:noWrap w:val="0"/>
            <w:vAlign w:val="center"/>
          </w:tcPr>
          <w:p w14:paraId="77891AE9">
            <w:pPr>
              <w:spacing w:line="360" w:lineRule="exact"/>
              <w:jc w:val="center"/>
              <w:rPr>
                <w:rFonts w:ascii="宋体" w:hAnsi="宋体"/>
                <w:b/>
                <w:szCs w:val="21"/>
              </w:rPr>
            </w:pPr>
          </w:p>
        </w:tc>
      </w:tr>
    </w:tbl>
    <w:p w14:paraId="174AD5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1A9EE9B5">
      <w:pPr>
        <w:pStyle w:val="4"/>
        <w:spacing w:line="400" w:lineRule="exact"/>
        <w:jc w:val="center"/>
        <w:rPr>
          <w:rFonts w:hint="eastAsia" w:ascii="仿宋" w:hAnsi="仿宋" w:eastAsia="仿宋"/>
          <w:lang w:eastAsia="zh-CN"/>
        </w:rPr>
      </w:pPr>
    </w:p>
    <w:p w14:paraId="3481F4F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5665F8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A5619EA">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D2557B8">
      <w:pPr>
        <w:spacing w:line="360" w:lineRule="auto"/>
        <w:rPr>
          <w:rFonts w:ascii="宋体" w:hAnsi="宋体" w:cs="宋体"/>
          <w:b/>
          <w:bCs/>
        </w:rPr>
      </w:pPr>
      <w:r>
        <w:rPr>
          <w:rFonts w:hint="eastAsia" w:ascii="宋体" w:hAnsi="宋体" w:cs="宋体"/>
          <w:b/>
          <w:bCs/>
        </w:rPr>
        <w:t>填报要求：</w:t>
      </w:r>
    </w:p>
    <w:p w14:paraId="3C86DA2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22650FF">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6688A97B">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4E1D1747">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6C074DA8">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6635A9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ED96AD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489087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8"/>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3"/>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72BA463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6163C9A"/>
    <w:p w14:paraId="563DB24F">
      <w:pPr>
        <w:rPr>
          <w:rFonts w:hint="eastAsia" w:asciiTheme="minorEastAsia" w:hAnsiTheme="minorEastAsia" w:eastAsiaTheme="minorEastAsia"/>
        </w:rPr>
      </w:pPr>
      <w:bookmarkStart w:id="52" w:name="_Toc44690705"/>
      <w:bookmarkStart w:id="53" w:name="_Toc44691396"/>
      <w:bookmarkStart w:id="54" w:name="_Toc44691164"/>
      <w:bookmarkStart w:id="55" w:name="_Toc135293343"/>
      <w:bookmarkStart w:id="56" w:name="_Toc44690432"/>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68C2ECFD">
      <w:pPr>
        <w:spacing w:line="400" w:lineRule="exact"/>
        <w:ind w:firstLine="420" w:firstLineChars="200"/>
        <w:rPr>
          <w:rFonts w:hint="eastAsia" w:asciiTheme="minorEastAsia" w:hAnsiTheme="minorEastAsia" w:eastAsiaTheme="minorEastAsia"/>
          <w:snapToGrid w:val="0"/>
          <w:color w:val="auto"/>
          <w:sz w:val="21"/>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7B33052A">
      <w:pPr>
        <w:spacing w:line="40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北京大学深圳医院</w:t>
      </w:r>
    </w:p>
    <w:p w14:paraId="3201F6F9">
      <w:pPr>
        <w:spacing w:line="400" w:lineRule="exact"/>
        <w:ind w:firstLine="420" w:firstLineChars="200"/>
        <w:rPr>
          <w:rFonts w:ascii="宋体" w:hAnsi="宋体" w:cs="宋体"/>
          <w:bCs/>
          <w:szCs w:val="21"/>
        </w:rPr>
      </w:pPr>
      <w:r>
        <w:rPr>
          <w:rFonts w:hint="eastAsia" w:ascii="宋体" w:hAnsi="宋体" w:cs="宋体"/>
          <w:bCs/>
          <w:szCs w:val="21"/>
        </w:rPr>
        <w:t>我单位承诺：</w:t>
      </w:r>
    </w:p>
    <w:p w14:paraId="59BA22C3">
      <w:pPr>
        <w:spacing w:line="400" w:lineRule="exact"/>
        <w:ind w:firstLine="420" w:firstLineChars="200"/>
        <w:rPr>
          <w:rFonts w:ascii="宋体" w:hAnsi="宋体" w:cs="宋体"/>
          <w:bCs/>
          <w:szCs w:val="21"/>
        </w:rPr>
      </w:pPr>
      <w:r>
        <w:rPr>
          <w:rFonts w:hint="eastAsia" w:ascii="宋体" w:hAnsi="宋体" w:cs="宋体"/>
          <w:bCs/>
          <w:szCs w:val="21"/>
        </w:rPr>
        <w:t>1.我单位参与本项目所投标（响应）的货物、工程或服务，不存在侵犯知识产权的情况；已知悉并同意中标（成交）结果信息公示（公开）的内容。</w:t>
      </w:r>
    </w:p>
    <w:p w14:paraId="7156551C">
      <w:pPr>
        <w:spacing w:line="400" w:lineRule="exact"/>
        <w:ind w:firstLine="420" w:firstLineChars="200"/>
        <w:rPr>
          <w:rFonts w:ascii="宋体" w:hAnsi="宋体" w:cs="宋体"/>
          <w:bCs/>
          <w:szCs w:val="21"/>
        </w:rPr>
      </w:pPr>
      <w:r>
        <w:rPr>
          <w:rFonts w:hint="eastAsia" w:ascii="宋体" w:hAnsi="宋体" w:cs="宋体"/>
          <w:bCs/>
          <w:szCs w:val="21"/>
        </w:rPr>
        <w:t>2.我单位参与该项目投标，符合招标文件关于联合体及进口产品的相关资格要求。</w:t>
      </w:r>
    </w:p>
    <w:p w14:paraId="153CDC68">
      <w:pPr>
        <w:spacing w:line="400" w:lineRule="exact"/>
        <w:ind w:firstLine="420" w:firstLineChars="200"/>
        <w:rPr>
          <w:rFonts w:ascii="宋体" w:hAnsi="宋体" w:cs="宋体"/>
          <w:bCs/>
          <w:szCs w:val="21"/>
        </w:rPr>
      </w:pPr>
      <w:r>
        <w:rPr>
          <w:rFonts w:hint="eastAsia" w:ascii="宋体" w:hAnsi="宋体" w:cs="宋体"/>
          <w:bCs/>
          <w:szCs w:val="21"/>
        </w:rPr>
        <w:t>3.我单位参与本项目投标前三年内，在经营活动中没有重大违法记录。</w:t>
      </w:r>
    </w:p>
    <w:p w14:paraId="5E43C654">
      <w:pPr>
        <w:spacing w:line="400" w:lineRule="exact"/>
        <w:ind w:firstLine="420" w:firstLineChars="200"/>
        <w:rPr>
          <w:rFonts w:ascii="宋体" w:hAnsi="宋体" w:cs="宋体"/>
          <w:bCs/>
          <w:szCs w:val="21"/>
        </w:rPr>
      </w:pPr>
      <w:r>
        <w:rPr>
          <w:rFonts w:hint="eastAsia" w:ascii="宋体" w:hAnsi="宋体" w:cs="宋体"/>
          <w:bCs/>
          <w:szCs w:val="21"/>
        </w:rPr>
        <w:t>4.我单位参与本项目政府采购活动时不存在被有关部门禁止参与政府采购活动且在有效期内的情况。</w:t>
      </w:r>
    </w:p>
    <w:p w14:paraId="54341A60">
      <w:pPr>
        <w:spacing w:line="400" w:lineRule="exact"/>
        <w:ind w:firstLine="420" w:firstLineChars="200"/>
        <w:rPr>
          <w:rFonts w:ascii="宋体" w:hAnsi="宋体" w:cs="宋体"/>
          <w:bCs/>
          <w:szCs w:val="21"/>
        </w:rPr>
      </w:pPr>
      <w:r>
        <w:rPr>
          <w:rFonts w:hint="eastAsia" w:ascii="宋体" w:hAnsi="宋体" w:cs="宋体"/>
          <w:bCs/>
          <w:szCs w:val="21"/>
        </w:rPr>
        <w:t>5.我单位具备《中华人民共和国政府采购法》第二十二条的条件。</w:t>
      </w:r>
    </w:p>
    <w:p w14:paraId="05AC70C3">
      <w:pPr>
        <w:spacing w:line="400" w:lineRule="exact"/>
        <w:ind w:firstLine="420" w:firstLineChars="200"/>
        <w:rPr>
          <w:rFonts w:ascii="宋体" w:hAnsi="宋体" w:cs="宋体"/>
          <w:bCs/>
          <w:szCs w:val="21"/>
        </w:rPr>
      </w:pPr>
      <w:r>
        <w:rPr>
          <w:rFonts w:hint="eastAsia" w:ascii="宋体" w:hAnsi="宋体" w:cs="宋体"/>
          <w:bCs/>
          <w:szCs w:val="21"/>
        </w:rPr>
        <w:t>6.我单位未被列入失信被执行人、重大税收违法案件当事人名单（即税收违法黑名单)、政府采购严重违法失信行为记录名单，不存在《深圳市财政局政府采购供应商信用信息管理办法》（深财规〔2023〕3号）列明的严重违法失信行为。</w:t>
      </w:r>
    </w:p>
    <w:p w14:paraId="4017A468">
      <w:pPr>
        <w:spacing w:line="400" w:lineRule="exact"/>
        <w:ind w:firstLine="420" w:firstLineChars="200"/>
        <w:rPr>
          <w:rFonts w:ascii="宋体" w:hAnsi="宋体" w:cs="宋体"/>
          <w:bCs/>
          <w:szCs w:val="21"/>
        </w:rPr>
      </w:pPr>
      <w:r>
        <w:rPr>
          <w:rFonts w:hint="eastAsia" w:ascii="宋体" w:hAnsi="宋体" w:cs="宋体"/>
          <w:bCs/>
          <w:szCs w:val="21"/>
        </w:rPr>
        <w:t>7.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55920B7">
      <w:pPr>
        <w:spacing w:line="400" w:lineRule="exact"/>
        <w:ind w:firstLine="420" w:firstLineChars="200"/>
        <w:rPr>
          <w:rFonts w:ascii="宋体" w:hAnsi="宋体" w:cs="宋体"/>
          <w:bCs/>
          <w:szCs w:val="21"/>
        </w:rPr>
      </w:pPr>
      <w:r>
        <w:rPr>
          <w:rFonts w:hint="eastAsia" w:ascii="宋体" w:hAnsi="宋体" w:cs="宋体"/>
          <w:bCs/>
          <w:szCs w:val="21"/>
        </w:rPr>
        <w:t>8.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6D49E7DD">
      <w:pPr>
        <w:spacing w:line="400" w:lineRule="exact"/>
        <w:ind w:firstLine="420" w:firstLineChars="200"/>
        <w:rPr>
          <w:rFonts w:ascii="宋体" w:hAnsi="宋体" w:cs="宋体"/>
          <w:bCs/>
          <w:szCs w:val="21"/>
        </w:rPr>
      </w:pPr>
      <w:r>
        <w:rPr>
          <w:rFonts w:hint="eastAsia" w:ascii="宋体" w:hAnsi="宋体" w:cs="宋体"/>
          <w:bCs/>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9FB188F">
      <w:pPr>
        <w:spacing w:line="400" w:lineRule="exact"/>
        <w:ind w:firstLine="420" w:firstLineChars="200"/>
        <w:rPr>
          <w:rFonts w:ascii="宋体" w:hAnsi="宋体" w:cs="宋体"/>
          <w:bCs/>
          <w:szCs w:val="21"/>
        </w:rPr>
      </w:pPr>
      <w:r>
        <w:rPr>
          <w:rFonts w:hint="eastAsia" w:ascii="宋体" w:hAnsi="宋体" w:cs="宋体"/>
          <w:bCs/>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8B20143">
      <w:pPr>
        <w:spacing w:line="400" w:lineRule="exact"/>
        <w:ind w:firstLine="420" w:firstLineChars="200"/>
        <w:rPr>
          <w:rFonts w:ascii="宋体" w:hAnsi="宋体" w:cs="宋体"/>
          <w:bCs/>
          <w:szCs w:val="21"/>
        </w:rPr>
      </w:pPr>
      <w:r>
        <w:rPr>
          <w:rFonts w:hint="eastAsia" w:ascii="宋体" w:hAnsi="宋体" w:cs="宋体"/>
          <w:bCs/>
          <w:szCs w:val="21"/>
        </w:rPr>
        <w:t>10.我单位承诺中标后项目不转包，未经采购人同意不进行分包。</w:t>
      </w:r>
    </w:p>
    <w:p w14:paraId="44158050">
      <w:pPr>
        <w:spacing w:line="400" w:lineRule="exact"/>
        <w:ind w:firstLine="420" w:firstLineChars="200"/>
        <w:rPr>
          <w:rFonts w:ascii="宋体" w:hAnsi="宋体" w:cs="宋体"/>
          <w:bCs/>
          <w:szCs w:val="21"/>
        </w:rPr>
      </w:pPr>
      <w:r>
        <w:rPr>
          <w:rFonts w:hint="eastAsia" w:ascii="宋体" w:hAnsi="宋体" w:cs="宋体"/>
          <w:bCs/>
          <w:szCs w:val="21"/>
        </w:rPr>
        <w:t>11.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5D9C6DE9">
      <w:pPr>
        <w:spacing w:line="400" w:lineRule="exact"/>
        <w:ind w:firstLine="420" w:firstLineChars="200"/>
        <w:rPr>
          <w:rFonts w:ascii="宋体" w:hAnsi="宋体" w:cs="宋体"/>
          <w:bCs/>
          <w:szCs w:val="21"/>
        </w:rPr>
      </w:pPr>
      <w:r>
        <w:rPr>
          <w:rFonts w:hint="eastAsia" w:ascii="宋体" w:hAnsi="宋体" w:cs="宋体"/>
          <w:bCs/>
          <w:szCs w:val="21"/>
        </w:rPr>
        <w:t>12.我单位保证，若所投货物涉及《财政部生态环境部关于印发节能产品政府采购品目清单的通知》（财库〔2019〕19号）列明的政府采购强制产品，则所投该产品符合节能产品的认证要求。</w:t>
      </w:r>
    </w:p>
    <w:p w14:paraId="1A18BADA">
      <w:pPr>
        <w:spacing w:line="400" w:lineRule="exact"/>
        <w:ind w:firstLine="420" w:firstLineChars="200"/>
        <w:rPr>
          <w:rFonts w:ascii="宋体" w:hAnsi="宋体" w:cs="宋体"/>
          <w:bCs/>
          <w:szCs w:val="21"/>
        </w:rPr>
      </w:pPr>
      <w:r>
        <w:rPr>
          <w:rFonts w:hint="eastAsia" w:ascii="宋体" w:hAnsi="宋体" w:cs="宋体"/>
          <w:bCs/>
          <w:szCs w:val="21"/>
        </w:rPr>
        <w:t>13. 我单位保证，不存在“单位负责人为同一人或者存在直接控股、管理关系的不同供应商，不得参加同一合同项下的政府采购活动；为采购项目提供整体设计、规范编制或者项目管理、监理、检测等服务的供应商，不得再参加该采购项目的其他采购活动”的情形。</w:t>
      </w:r>
    </w:p>
    <w:p w14:paraId="428FBDC8">
      <w:pPr>
        <w:spacing w:line="400" w:lineRule="exact"/>
        <w:ind w:firstLine="420" w:firstLineChars="200"/>
        <w:rPr>
          <w:rFonts w:ascii="宋体" w:hAnsi="宋体" w:cs="宋体"/>
          <w:bCs/>
          <w:color w:val="0000FF"/>
          <w:szCs w:val="21"/>
        </w:rPr>
      </w:pPr>
      <w:r>
        <w:rPr>
          <w:rFonts w:hint="eastAsia" w:ascii="宋体" w:hAnsi="宋体" w:cs="宋体"/>
          <w:bCs/>
          <w:color w:val="0000FF"/>
          <w:szCs w:val="21"/>
        </w:rPr>
        <w:t>14.我单位保证，开标前应承诺所提供的一切资料真实有效，不存在串通投标和其他违法违纪行为等，如有不实，将取消投标资格，并列入医院招采不良行为黑名单，视其情节轻重，一至三年内不得参与医院招标活动。</w:t>
      </w:r>
    </w:p>
    <w:p w14:paraId="3F9552D8">
      <w:pPr>
        <w:spacing w:line="400" w:lineRule="exact"/>
        <w:ind w:firstLine="420" w:firstLineChars="200"/>
        <w:rPr>
          <w:rFonts w:ascii="宋体" w:hAnsi="宋体" w:cs="宋体"/>
          <w:bCs/>
          <w:szCs w:val="21"/>
        </w:rPr>
      </w:pPr>
      <w:r>
        <w:rPr>
          <w:rFonts w:hint="eastAsia" w:ascii="宋体" w:hAnsi="宋体" w:cs="宋体"/>
          <w:bCs/>
          <w:szCs w:val="21"/>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68B1FED1">
      <w:pPr>
        <w:spacing w:line="400" w:lineRule="exact"/>
        <w:ind w:firstLine="422" w:firstLineChars="200"/>
        <w:rPr>
          <w:rFonts w:ascii="宋体" w:hAnsi="宋体" w:cs="宋体"/>
          <w:bCs/>
          <w:szCs w:val="21"/>
        </w:rPr>
      </w:pPr>
      <w:r>
        <w:rPr>
          <w:rFonts w:hint="eastAsia" w:ascii="宋体" w:hAnsi="宋体" w:cs="宋体"/>
          <w:b/>
          <w:color w:val="FF0000"/>
          <w:szCs w:val="21"/>
        </w:rPr>
        <w:t>16.我单位清楚，如存在违反投标承诺行为情节严重的，将根据《深圳市财政局关于印发&lt;深圳市财政局政府采购供应商信用信息管理办法&gt;的通知》，依法被列入失信信息。</w:t>
      </w:r>
    </w:p>
    <w:p w14:paraId="05BB75BC">
      <w:pPr>
        <w:spacing w:line="400" w:lineRule="exact"/>
        <w:ind w:firstLine="420" w:firstLineChars="200"/>
        <w:rPr>
          <w:rFonts w:ascii="宋体" w:hAnsi="宋体" w:cs="宋体"/>
          <w:bCs/>
          <w:szCs w:val="21"/>
        </w:rPr>
      </w:pPr>
      <w:r>
        <w:rPr>
          <w:rFonts w:hint="eastAsia" w:ascii="宋体" w:hAnsi="宋体" w:cs="宋体"/>
          <w:bCs/>
          <w:szCs w:val="21"/>
        </w:rPr>
        <w:t>以上承诺，如有违反，愿依照国家相关法律法规处理，并承担由此给采购人带来的损失。</w:t>
      </w:r>
    </w:p>
    <w:p w14:paraId="0303A401">
      <w:pPr>
        <w:spacing w:line="360" w:lineRule="auto"/>
        <w:ind w:firstLine="600"/>
        <w:rPr>
          <w:rFonts w:cs="Courier New"/>
          <w:snapToGrid w:val="0"/>
          <w:szCs w:val="18"/>
        </w:rPr>
      </w:pPr>
    </w:p>
    <w:p w14:paraId="40DB583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2F60365">
      <w:pPr>
        <w:adjustRightInd w:val="0"/>
        <w:snapToGrid w:val="0"/>
        <w:spacing w:line="300" w:lineRule="auto"/>
        <w:rPr>
          <w:snapToGrid w:val="0"/>
          <w:kern w:val="0"/>
        </w:rPr>
      </w:pPr>
    </w:p>
    <w:p w14:paraId="717CA43C">
      <w:pPr>
        <w:adjustRightInd w:val="0"/>
        <w:snapToGrid w:val="0"/>
        <w:spacing w:line="360" w:lineRule="auto"/>
        <w:ind w:firstLine="600"/>
        <w:jc w:val="right"/>
        <w:rPr>
          <w:rFonts w:hint="eastAsia"/>
        </w:rPr>
      </w:pPr>
      <w:r>
        <w:rPr>
          <w:rFonts w:hint="eastAsia"/>
        </w:rPr>
        <w:t>年     月    日</w:t>
      </w:r>
    </w:p>
    <w:p w14:paraId="30C6A4D9">
      <w:pPr>
        <w:adjustRightInd w:val="0"/>
        <w:snapToGrid w:val="0"/>
        <w:spacing w:line="360" w:lineRule="auto"/>
        <w:ind w:firstLine="600"/>
        <w:jc w:val="right"/>
        <w:rPr>
          <w:rFonts w:hint="eastAsia"/>
        </w:rPr>
      </w:pPr>
    </w:p>
    <w:p w14:paraId="4C38B3C9">
      <w:pPr>
        <w:adjustRightInd w:val="0"/>
        <w:snapToGrid w:val="0"/>
        <w:spacing w:line="360" w:lineRule="auto"/>
        <w:ind w:firstLine="600"/>
        <w:jc w:val="right"/>
        <w:rPr>
          <w:rFonts w:hint="eastAsia"/>
        </w:rPr>
      </w:pPr>
    </w:p>
    <w:p w14:paraId="225B9916">
      <w:pPr>
        <w:adjustRightInd w:val="0"/>
        <w:snapToGrid w:val="0"/>
        <w:spacing w:line="360" w:lineRule="auto"/>
        <w:ind w:firstLine="600"/>
        <w:jc w:val="right"/>
        <w:rPr>
          <w:rFonts w:hint="eastAsia"/>
        </w:rPr>
      </w:pPr>
    </w:p>
    <w:p w14:paraId="3C923492">
      <w:pPr>
        <w:adjustRightInd w:val="0"/>
        <w:snapToGrid w:val="0"/>
        <w:spacing w:line="360" w:lineRule="auto"/>
        <w:ind w:firstLine="600"/>
        <w:jc w:val="right"/>
        <w:rPr>
          <w:rFonts w:hint="eastAsia"/>
        </w:rPr>
      </w:pPr>
    </w:p>
    <w:p w14:paraId="15CDA113">
      <w:pPr>
        <w:adjustRightInd w:val="0"/>
        <w:snapToGrid w:val="0"/>
        <w:spacing w:line="360" w:lineRule="auto"/>
        <w:ind w:firstLine="600"/>
        <w:jc w:val="right"/>
        <w:rPr>
          <w:rFonts w:hint="eastAsia"/>
        </w:rPr>
      </w:pPr>
    </w:p>
    <w:p w14:paraId="13E64665">
      <w:pPr>
        <w:adjustRightInd w:val="0"/>
        <w:snapToGrid w:val="0"/>
        <w:spacing w:line="360" w:lineRule="auto"/>
        <w:ind w:firstLine="600"/>
        <w:jc w:val="right"/>
        <w:rPr>
          <w:rFonts w:hint="eastAsia"/>
        </w:rPr>
      </w:pPr>
    </w:p>
    <w:p w14:paraId="46B8CFF6">
      <w:pPr>
        <w:adjustRightInd w:val="0"/>
        <w:snapToGrid w:val="0"/>
        <w:spacing w:line="360" w:lineRule="auto"/>
        <w:ind w:firstLine="600"/>
        <w:jc w:val="right"/>
        <w:rPr>
          <w:rFonts w:hint="eastAsia"/>
        </w:rPr>
      </w:pPr>
    </w:p>
    <w:p w14:paraId="0A503557">
      <w:pPr>
        <w:adjustRightInd w:val="0"/>
        <w:snapToGrid w:val="0"/>
        <w:spacing w:line="360" w:lineRule="auto"/>
        <w:ind w:firstLine="600"/>
        <w:jc w:val="right"/>
      </w:pPr>
    </w:p>
    <w:p w14:paraId="6ED21CED">
      <w:pPr>
        <w:jc w:val="center"/>
        <w:rPr>
          <w:rFonts w:ascii="宋体" w:hAnsi="宋体" w:cs="宋体"/>
          <w:szCs w:val="21"/>
        </w:rPr>
      </w:pPr>
      <w:r>
        <w:rPr>
          <w:rFonts w:hint="eastAsia" w:ascii="宋体" w:hAnsi="宋体" w:cs="宋体"/>
          <w:b/>
          <w:bCs/>
          <w:sz w:val="32"/>
          <w:szCs w:val="32"/>
        </w:rPr>
        <w:t>北京大学深圳医院供应商廉洁购销承诺书</w:t>
      </w:r>
    </w:p>
    <w:p w14:paraId="55254606">
      <w:pPr>
        <w:spacing w:line="560" w:lineRule="exact"/>
        <w:ind w:firstLine="420" w:firstLineChars="200"/>
        <w:rPr>
          <w:rFonts w:ascii="宋体" w:hAnsi="宋体" w:cs="宋体"/>
          <w:szCs w:val="21"/>
        </w:rPr>
      </w:pPr>
    </w:p>
    <w:p w14:paraId="16207E0F">
      <w:pPr>
        <w:spacing w:line="560" w:lineRule="exact"/>
        <w:ind w:firstLine="420" w:firstLineChars="200"/>
        <w:rPr>
          <w:rFonts w:ascii="宋体" w:hAnsi="宋体" w:cs="宋体"/>
          <w:szCs w:val="21"/>
        </w:rPr>
      </w:pPr>
      <w:r>
        <w:rPr>
          <w:rFonts w:hint="eastAsia" w:ascii="宋体" w:hAnsi="宋体" w:cs="宋体"/>
          <w:szCs w:val="21"/>
        </w:rPr>
        <w:t>本公司自愿参与北京大学深圳医院（以下简称“贵院”）的招投标工作，愿意与贵院一起，为营造良好的营商环境，确保采购活动的公开、公正、公平，有利双方履行合约，从源头上预防和遏制商品购销领域的违纪违法问题，本公司做出如下承诺：</w:t>
      </w:r>
    </w:p>
    <w:p w14:paraId="6FF9DC5E">
      <w:pPr>
        <w:spacing w:line="560" w:lineRule="exact"/>
        <w:ind w:firstLine="420" w:firstLineChars="200"/>
        <w:rPr>
          <w:rFonts w:ascii="宋体" w:hAnsi="宋体" w:cs="宋体"/>
          <w:szCs w:val="21"/>
        </w:rPr>
      </w:pPr>
      <w:r>
        <w:rPr>
          <w:rFonts w:hint="eastAsia" w:ascii="宋体" w:hAnsi="宋体" w:cs="宋体"/>
          <w:szCs w:val="21"/>
        </w:rPr>
        <w:t>一、在与贵院业务往来合作过程中，严格遵守国家法律法规要求，遵守医院相关制度流程，坚持公平、公正、公开、诚实和信用的原则，参与竞标，开展合作。</w:t>
      </w:r>
    </w:p>
    <w:p w14:paraId="1CCBE243">
      <w:pPr>
        <w:spacing w:line="560" w:lineRule="exact"/>
        <w:ind w:firstLine="420" w:firstLineChars="200"/>
        <w:rPr>
          <w:rFonts w:ascii="宋体" w:hAnsi="宋体" w:cs="宋体"/>
          <w:szCs w:val="21"/>
        </w:rPr>
      </w:pPr>
      <w:r>
        <w:rPr>
          <w:rFonts w:hint="eastAsia" w:ascii="宋体" w:hAnsi="宋体" w:cs="宋体"/>
          <w:szCs w:val="21"/>
        </w:rPr>
        <w:t>二、在与贵院合作期间，不以任何理由向贵公司人员及其亲属行贿，包括但不限于赠送钱、物、购物卡、有价证券、免费提供劳务、支付应由个人支付的各种费用。</w:t>
      </w:r>
    </w:p>
    <w:p w14:paraId="690CB1C1">
      <w:pPr>
        <w:spacing w:line="560" w:lineRule="exact"/>
        <w:ind w:firstLine="420" w:firstLineChars="200"/>
        <w:rPr>
          <w:rFonts w:ascii="宋体" w:hAnsi="宋体" w:cs="宋体"/>
          <w:szCs w:val="21"/>
        </w:rPr>
      </w:pPr>
      <w:r>
        <w:rPr>
          <w:rFonts w:hint="eastAsia" w:ascii="宋体" w:hAnsi="宋体" w:cs="宋体"/>
          <w:szCs w:val="21"/>
        </w:rPr>
        <w:t>三、承诺本公司法人及重要出资人非贵院工作人员及其亲属。</w:t>
      </w:r>
    </w:p>
    <w:p w14:paraId="77D67117">
      <w:pPr>
        <w:spacing w:line="560" w:lineRule="exact"/>
        <w:ind w:firstLine="420" w:firstLineChars="200"/>
        <w:rPr>
          <w:rFonts w:ascii="宋体" w:hAnsi="宋体" w:cs="宋体"/>
          <w:szCs w:val="21"/>
        </w:rPr>
      </w:pPr>
      <w:r>
        <w:rPr>
          <w:rFonts w:hint="eastAsia" w:ascii="宋体" w:hAnsi="宋体" w:cs="宋体"/>
          <w:szCs w:val="21"/>
        </w:rPr>
        <w:t>四、不同贵院工作人员及其亲属从事与竞标项目、合作项目相关的物资买卖或中介活动。</w:t>
      </w:r>
    </w:p>
    <w:p w14:paraId="7B0E2193">
      <w:pPr>
        <w:spacing w:line="560" w:lineRule="exact"/>
        <w:ind w:firstLine="420" w:firstLineChars="200"/>
        <w:rPr>
          <w:rFonts w:ascii="宋体" w:hAnsi="宋体" w:cs="宋体"/>
          <w:szCs w:val="21"/>
        </w:rPr>
      </w:pPr>
      <w:r>
        <w:rPr>
          <w:rFonts w:hint="eastAsia" w:ascii="宋体" w:hAnsi="宋体" w:cs="宋体"/>
          <w:szCs w:val="21"/>
        </w:rPr>
        <w:t>五、不组织或参与围标、串标，弄虚作假等违反招标规定的行为，不采取任何手段排挤其他竞标人参与公平竞争，或实施其它损害贵院利益的竞标行为。</w:t>
      </w:r>
    </w:p>
    <w:p w14:paraId="579D4C76">
      <w:pPr>
        <w:spacing w:line="560" w:lineRule="exact"/>
        <w:ind w:firstLine="420" w:firstLineChars="200"/>
        <w:rPr>
          <w:rFonts w:ascii="宋体" w:hAnsi="宋体" w:cs="宋体"/>
          <w:szCs w:val="21"/>
        </w:rPr>
      </w:pPr>
      <w:r>
        <w:rPr>
          <w:rFonts w:hint="eastAsia" w:ascii="宋体" w:hAnsi="宋体" w:cs="宋体"/>
          <w:szCs w:val="21"/>
        </w:rPr>
        <w:t>六、积极配合贵院进行审计调查、检查、调研等工作，及时、如实提供相关资料和客观信息。</w:t>
      </w:r>
    </w:p>
    <w:p w14:paraId="3DDA4965">
      <w:pPr>
        <w:spacing w:line="560" w:lineRule="exact"/>
        <w:ind w:firstLine="420" w:firstLineChars="200"/>
        <w:rPr>
          <w:rFonts w:ascii="宋体" w:hAnsi="宋体" w:cs="宋体"/>
          <w:szCs w:val="21"/>
        </w:rPr>
      </w:pPr>
      <w:r>
        <w:rPr>
          <w:rFonts w:hint="eastAsia" w:ascii="宋体" w:hAnsi="宋体" w:cs="宋体"/>
          <w:szCs w:val="21"/>
        </w:rPr>
        <w:t>七、若有贵院人员提出涉嫌违纪的要求，或实施其它明显不合理，将损害招标公平性的行为时，及时向贵院纪检监察部门或者上级有关部门进行举报。</w:t>
      </w:r>
    </w:p>
    <w:p w14:paraId="0690E152">
      <w:pPr>
        <w:spacing w:line="560" w:lineRule="exact"/>
        <w:ind w:firstLine="420" w:firstLineChars="200"/>
        <w:rPr>
          <w:rFonts w:ascii="宋体" w:hAnsi="宋体" w:cs="宋体"/>
          <w:szCs w:val="21"/>
        </w:rPr>
      </w:pPr>
      <w:r>
        <w:rPr>
          <w:rFonts w:hint="eastAsia" w:ascii="宋体" w:hAnsi="宋体" w:cs="宋体"/>
          <w:szCs w:val="21"/>
        </w:rPr>
        <w:t>八、若违反上述条款，贵院有权立即终止与我司合作，并列入贵院的黑名单，永久取消供应商资格。</w:t>
      </w:r>
    </w:p>
    <w:p w14:paraId="31A7A9A4">
      <w:pPr>
        <w:spacing w:line="560" w:lineRule="exact"/>
        <w:ind w:firstLine="420" w:firstLineChars="200"/>
        <w:rPr>
          <w:rFonts w:ascii="宋体" w:hAnsi="宋体" w:cs="宋体"/>
          <w:szCs w:val="21"/>
        </w:rPr>
      </w:pPr>
      <w:r>
        <w:rPr>
          <w:rFonts w:hint="eastAsia" w:ascii="宋体" w:hAnsi="宋体" w:cs="宋体"/>
          <w:szCs w:val="21"/>
        </w:rPr>
        <w:t>备注：上述承诺中所指的亲属包括：（1）夫妻关系；（2）直系血亲（祖父母、外祖父母、父母、子女、孙子女、外孙子女）；（3）三代以内旁系血亲（叔伯姑姨舅、兄弟姐妹、堂/表兄弟姐妹、侄/甥子女）；（4）近姻亲关系（配偶的父母、配偶的兄弟姐妹及其配偶、子女的配偶及子女配偶的父母、三代以内旁系血亲的配偶）。</w:t>
      </w:r>
    </w:p>
    <w:p w14:paraId="208E40D9">
      <w:pPr>
        <w:spacing w:line="560" w:lineRule="exact"/>
        <w:ind w:firstLine="420" w:firstLineChars="200"/>
        <w:rPr>
          <w:rFonts w:ascii="宋体" w:hAnsi="宋体" w:cs="宋体"/>
          <w:szCs w:val="21"/>
        </w:rPr>
      </w:pPr>
      <w:r>
        <w:rPr>
          <w:rFonts w:hint="eastAsia" w:ascii="宋体" w:hAnsi="宋体" w:cs="宋体"/>
          <w:szCs w:val="21"/>
        </w:rPr>
        <w:t>此承诺书一式两份，供应商一份，北京大学深圳医院一份留存。</w:t>
      </w:r>
    </w:p>
    <w:p w14:paraId="5A4A7B29">
      <w:pPr>
        <w:spacing w:line="500" w:lineRule="exact"/>
        <w:jc w:val="center"/>
        <w:rPr>
          <w:rFonts w:ascii="宋体" w:hAnsi="宋体" w:cs="宋体"/>
          <w:szCs w:val="21"/>
        </w:rPr>
      </w:pPr>
    </w:p>
    <w:p w14:paraId="51318BA0">
      <w:pPr>
        <w:spacing w:line="360" w:lineRule="auto"/>
        <w:jc w:val="center"/>
        <w:rPr>
          <w:rFonts w:ascii="宋体" w:hAnsi="宋体" w:cs="宋体"/>
          <w:szCs w:val="21"/>
        </w:rPr>
      </w:pPr>
      <w:r>
        <w:rPr>
          <w:rFonts w:hint="eastAsia" w:ascii="宋体" w:hAnsi="宋体" w:cs="宋体"/>
          <w:szCs w:val="21"/>
        </w:rPr>
        <w:t xml:space="preserve">           供应商代表签名：</w:t>
      </w:r>
    </w:p>
    <w:p w14:paraId="0CE1B474">
      <w:pPr>
        <w:spacing w:line="360" w:lineRule="auto"/>
        <w:jc w:val="center"/>
        <w:rPr>
          <w:rFonts w:ascii="宋体" w:hAnsi="宋体" w:cs="宋体"/>
          <w:szCs w:val="21"/>
        </w:rPr>
      </w:pPr>
      <w:r>
        <w:rPr>
          <w:rFonts w:hint="eastAsia" w:ascii="宋体" w:hAnsi="宋体" w:cs="宋体"/>
          <w:szCs w:val="21"/>
        </w:rPr>
        <w:t xml:space="preserve">                         单位（盖章） </w:t>
      </w:r>
    </w:p>
    <w:p w14:paraId="42950779">
      <w:pPr>
        <w:spacing w:line="360" w:lineRule="auto"/>
        <w:jc w:val="center"/>
        <w:rPr>
          <w:rFonts w:ascii="宋体" w:hAnsi="宋体" w:cs="宋体"/>
          <w:szCs w:val="21"/>
        </w:rPr>
      </w:pPr>
      <w:r>
        <w:rPr>
          <w:rFonts w:hint="eastAsia" w:ascii="宋体" w:hAnsi="宋体" w:cs="宋体"/>
          <w:szCs w:val="21"/>
        </w:rPr>
        <w:t xml:space="preserve">                      2026年  月   日</w:t>
      </w:r>
    </w:p>
    <w:p w14:paraId="5676E10B">
      <w:pPr>
        <w:adjustRightInd w:val="0"/>
        <w:snapToGrid w:val="0"/>
        <w:spacing w:line="360" w:lineRule="auto"/>
        <w:ind w:firstLine="600"/>
        <w:jc w:val="right"/>
      </w:pPr>
    </w:p>
    <w:p w14:paraId="45C8307B">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hint="eastAsia"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30A7E9D3">
      <w:pPr>
        <w:adjustRightInd w:val="0"/>
        <w:snapToGrid w:val="0"/>
        <w:spacing w:line="360" w:lineRule="auto"/>
        <w:ind w:firstLine="487" w:firstLineChars="202"/>
        <w:rPr>
          <w:rFonts w:hint="eastAsia" w:ascii="楷体_GB2312" w:eastAsia="楷体_GB2312"/>
          <w:b/>
          <w:bCs/>
          <w:snapToGrid w:val="0"/>
          <w:kern w:val="0"/>
          <w:sz w:val="24"/>
          <w:szCs w:val="24"/>
        </w:rPr>
      </w:pPr>
    </w:p>
    <w:p w14:paraId="05BEC2C9">
      <w:pPr>
        <w:adjustRightInd w:val="0"/>
        <w:snapToGrid w:val="0"/>
        <w:spacing w:line="360" w:lineRule="auto"/>
        <w:ind w:firstLine="487" w:firstLineChars="202"/>
        <w:rPr>
          <w:rFonts w:hint="eastAsia" w:ascii="楷体_GB2312" w:eastAsia="楷体_GB2312"/>
          <w:b/>
          <w:bCs/>
          <w:snapToGrid w:val="0"/>
          <w:kern w:val="0"/>
          <w:sz w:val="24"/>
          <w:szCs w:val="24"/>
        </w:rPr>
      </w:pPr>
    </w:p>
    <w:p w14:paraId="0A060DFA">
      <w:pPr>
        <w:adjustRightInd w:val="0"/>
        <w:snapToGrid w:val="0"/>
        <w:spacing w:line="360" w:lineRule="auto"/>
        <w:ind w:firstLine="487" w:firstLineChars="202"/>
        <w:rPr>
          <w:rFonts w:hint="eastAsia" w:ascii="楷体_GB2312" w:eastAsia="楷体_GB2312"/>
          <w:b/>
          <w:bCs/>
          <w:snapToGrid w:val="0"/>
          <w:kern w:val="0"/>
          <w:sz w:val="24"/>
          <w:szCs w:val="24"/>
        </w:rPr>
      </w:pPr>
    </w:p>
    <w:p w14:paraId="0291139D">
      <w:pPr>
        <w:adjustRightInd w:val="0"/>
        <w:snapToGrid w:val="0"/>
        <w:spacing w:line="360" w:lineRule="auto"/>
        <w:ind w:firstLine="487" w:firstLineChars="202"/>
        <w:rPr>
          <w:rFonts w:hint="eastAsia" w:ascii="楷体_GB2312" w:eastAsia="楷体_GB2312"/>
          <w:b/>
          <w:bCs/>
          <w:snapToGrid w:val="0"/>
          <w:kern w:val="0"/>
          <w:sz w:val="24"/>
          <w:szCs w:val="24"/>
        </w:rPr>
      </w:pPr>
    </w:p>
    <w:p w14:paraId="15D4CA8A">
      <w:pPr>
        <w:adjustRightInd w:val="0"/>
        <w:snapToGrid w:val="0"/>
        <w:spacing w:line="360" w:lineRule="auto"/>
        <w:ind w:firstLine="487" w:firstLineChars="202"/>
        <w:rPr>
          <w:rFonts w:hint="eastAsia" w:ascii="楷体_GB2312" w:eastAsia="楷体_GB2312"/>
          <w:b/>
          <w:bCs/>
          <w:snapToGrid w:val="0"/>
          <w:kern w:val="0"/>
          <w:sz w:val="24"/>
          <w:szCs w:val="24"/>
        </w:rPr>
      </w:pPr>
    </w:p>
    <w:p w14:paraId="3ADE714D">
      <w:pPr>
        <w:adjustRightInd w:val="0"/>
        <w:snapToGrid w:val="0"/>
        <w:spacing w:line="360" w:lineRule="auto"/>
        <w:ind w:firstLine="487" w:firstLineChars="202"/>
        <w:rPr>
          <w:rFonts w:hint="eastAsia" w:ascii="楷体_GB2312" w:eastAsia="楷体_GB2312"/>
          <w:b/>
          <w:bCs/>
          <w:snapToGrid w:val="0"/>
          <w:kern w:val="0"/>
          <w:sz w:val="24"/>
          <w:szCs w:val="24"/>
        </w:rPr>
      </w:pPr>
    </w:p>
    <w:p w14:paraId="1DDCAB00">
      <w:pPr>
        <w:adjustRightInd w:val="0"/>
        <w:snapToGrid w:val="0"/>
        <w:spacing w:line="360" w:lineRule="auto"/>
        <w:ind w:firstLine="487" w:firstLineChars="202"/>
        <w:rPr>
          <w:rFonts w:hint="eastAsia" w:ascii="楷体_GB2312" w:eastAsia="楷体_GB2312"/>
          <w:b/>
          <w:bCs/>
          <w:snapToGrid w:val="0"/>
          <w:kern w:val="0"/>
          <w:sz w:val="24"/>
          <w:szCs w:val="24"/>
        </w:rPr>
      </w:pPr>
    </w:p>
    <w:p w14:paraId="55F826FF">
      <w:pPr>
        <w:adjustRightInd w:val="0"/>
        <w:snapToGrid w:val="0"/>
        <w:spacing w:line="360" w:lineRule="auto"/>
        <w:ind w:firstLine="487" w:firstLineChars="202"/>
        <w:rPr>
          <w:rFonts w:hint="eastAsia" w:ascii="楷体_GB2312" w:eastAsia="楷体_GB2312"/>
          <w:b/>
          <w:bCs/>
          <w:snapToGrid w:val="0"/>
          <w:kern w:val="0"/>
          <w:sz w:val="24"/>
          <w:szCs w:val="24"/>
        </w:rPr>
      </w:pPr>
    </w:p>
    <w:p w14:paraId="5F4F5264">
      <w:pPr>
        <w:adjustRightInd w:val="0"/>
        <w:snapToGrid w:val="0"/>
        <w:spacing w:line="360" w:lineRule="auto"/>
        <w:ind w:firstLine="487" w:firstLineChars="202"/>
        <w:rPr>
          <w:rFonts w:hint="eastAsia" w:ascii="楷体_GB2312" w:eastAsia="楷体_GB2312"/>
          <w:b/>
          <w:bCs/>
          <w:snapToGrid w:val="0"/>
          <w:kern w:val="0"/>
          <w:sz w:val="24"/>
          <w:szCs w:val="24"/>
        </w:rPr>
      </w:pPr>
    </w:p>
    <w:p w14:paraId="3FF84845">
      <w:pPr>
        <w:adjustRightInd w:val="0"/>
        <w:snapToGrid w:val="0"/>
        <w:spacing w:line="360" w:lineRule="auto"/>
        <w:ind w:firstLine="487" w:firstLineChars="202"/>
        <w:rPr>
          <w:rFonts w:hint="eastAsia" w:ascii="楷体_GB2312" w:eastAsia="楷体_GB2312"/>
          <w:b/>
          <w:bCs/>
          <w:snapToGrid w:val="0"/>
          <w:kern w:val="0"/>
          <w:sz w:val="24"/>
          <w:szCs w:val="24"/>
        </w:rPr>
      </w:pPr>
    </w:p>
    <w:p w14:paraId="6F3FEA1F">
      <w:pPr>
        <w:adjustRightInd w:val="0"/>
        <w:snapToGrid w:val="0"/>
        <w:spacing w:line="360" w:lineRule="auto"/>
        <w:ind w:firstLine="487" w:firstLineChars="202"/>
        <w:rPr>
          <w:rFonts w:hint="eastAsia" w:ascii="楷体_GB2312" w:eastAsia="楷体_GB2312"/>
          <w:b/>
          <w:bCs/>
          <w:snapToGrid w:val="0"/>
          <w:kern w:val="0"/>
          <w:sz w:val="24"/>
          <w:szCs w:val="24"/>
        </w:rPr>
      </w:pPr>
    </w:p>
    <w:p w14:paraId="5913FA01">
      <w:pPr>
        <w:adjustRightInd w:val="0"/>
        <w:snapToGrid w:val="0"/>
        <w:spacing w:line="360" w:lineRule="auto"/>
        <w:ind w:firstLine="487" w:firstLineChars="202"/>
        <w:rPr>
          <w:rFonts w:hint="eastAsia" w:ascii="楷体_GB2312" w:eastAsia="楷体_GB2312"/>
          <w:b/>
          <w:bCs/>
          <w:snapToGrid w:val="0"/>
          <w:kern w:val="0"/>
          <w:sz w:val="24"/>
          <w:szCs w:val="24"/>
        </w:rPr>
      </w:pPr>
    </w:p>
    <w:p w14:paraId="23BA9C05">
      <w:pPr>
        <w:adjustRightInd w:val="0"/>
        <w:snapToGrid w:val="0"/>
        <w:spacing w:line="360" w:lineRule="auto"/>
        <w:ind w:firstLine="487" w:firstLineChars="202"/>
        <w:rPr>
          <w:rFonts w:hint="eastAsia" w:ascii="楷体_GB2312" w:eastAsia="楷体_GB2312"/>
          <w:b/>
          <w:bCs/>
          <w:snapToGrid w:val="0"/>
          <w:kern w:val="0"/>
          <w:sz w:val="24"/>
          <w:szCs w:val="24"/>
        </w:rPr>
      </w:pPr>
    </w:p>
    <w:p w14:paraId="03E03BFB">
      <w:pPr>
        <w:adjustRightInd w:val="0"/>
        <w:snapToGrid w:val="0"/>
        <w:spacing w:line="360" w:lineRule="auto"/>
        <w:ind w:firstLine="487" w:firstLineChars="202"/>
        <w:rPr>
          <w:rFonts w:hint="eastAsia" w:ascii="楷体_GB2312" w:eastAsia="楷体_GB2312"/>
          <w:b/>
          <w:bCs/>
          <w:snapToGrid w:val="0"/>
          <w:kern w:val="0"/>
          <w:sz w:val="24"/>
          <w:szCs w:val="24"/>
        </w:rPr>
      </w:pPr>
    </w:p>
    <w:p w14:paraId="289516B2">
      <w:pPr>
        <w:adjustRightInd w:val="0"/>
        <w:snapToGrid w:val="0"/>
        <w:spacing w:line="360" w:lineRule="auto"/>
        <w:ind w:firstLine="487" w:firstLineChars="202"/>
        <w:rPr>
          <w:rFonts w:hint="eastAsia" w:ascii="楷体_GB2312" w:eastAsia="楷体_GB2312"/>
          <w:b/>
          <w:bCs/>
          <w:snapToGrid w:val="0"/>
          <w:kern w:val="0"/>
          <w:sz w:val="24"/>
          <w:szCs w:val="24"/>
        </w:rPr>
      </w:pPr>
    </w:p>
    <w:p w14:paraId="20F30218">
      <w:pPr>
        <w:adjustRightInd w:val="0"/>
        <w:snapToGrid w:val="0"/>
        <w:spacing w:line="360" w:lineRule="auto"/>
        <w:ind w:firstLine="487" w:firstLineChars="202"/>
        <w:rPr>
          <w:rFonts w:hint="eastAsia" w:ascii="楷体_GB2312" w:eastAsia="楷体_GB2312"/>
          <w:b/>
          <w:bCs/>
          <w:snapToGrid w:val="0"/>
          <w:kern w:val="0"/>
          <w:sz w:val="24"/>
          <w:szCs w:val="24"/>
        </w:rPr>
      </w:pPr>
    </w:p>
    <w:p w14:paraId="6D930D20">
      <w:pPr>
        <w:adjustRightInd w:val="0"/>
        <w:snapToGrid w:val="0"/>
        <w:spacing w:line="360" w:lineRule="auto"/>
        <w:ind w:firstLine="487" w:firstLineChars="202"/>
        <w:rPr>
          <w:rFonts w:hint="eastAsia" w:ascii="楷体_GB2312" w:eastAsia="楷体_GB2312"/>
          <w:b/>
          <w:bCs/>
          <w:snapToGrid w:val="0"/>
          <w:kern w:val="0"/>
          <w:sz w:val="24"/>
          <w:szCs w:val="24"/>
        </w:rPr>
      </w:pPr>
    </w:p>
    <w:p w14:paraId="645479BE">
      <w:pPr>
        <w:adjustRightInd w:val="0"/>
        <w:snapToGrid w:val="0"/>
        <w:spacing w:line="360" w:lineRule="auto"/>
        <w:ind w:firstLine="487" w:firstLineChars="202"/>
        <w:rPr>
          <w:rFonts w:hint="eastAsia" w:ascii="楷体_GB2312" w:eastAsia="楷体_GB2312"/>
          <w:b/>
          <w:bCs/>
          <w:snapToGrid w:val="0"/>
          <w:kern w:val="0"/>
          <w:sz w:val="24"/>
          <w:szCs w:val="24"/>
        </w:rPr>
      </w:pPr>
    </w:p>
    <w:p w14:paraId="29A35657">
      <w:pPr>
        <w:adjustRightInd w:val="0"/>
        <w:snapToGrid w:val="0"/>
        <w:spacing w:line="360" w:lineRule="auto"/>
        <w:ind w:firstLine="487" w:firstLineChars="202"/>
        <w:rPr>
          <w:rFonts w:hint="eastAsia" w:ascii="楷体_GB2312" w:eastAsia="楷体_GB2312"/>
          <w:b/>
          <w:bCs/>
          <w:snapToGrid w:val="0"/>
          <w:kern w:val="0"/>
          <w:sz w:val="24"/>
          <w:szCs w:val="24"/>
        </w:rPr>
      </w:pPr>
    </w:p>
    <w:p w14:paraId="11C729F9">
      <w:pPr>
        <w:adjustRightInd w:val="0"/>
        <w:snapToGrid w:val="0"/>
        <w:spacing w:line="360" w:lineRule="auto"/>
        <w:ind w:firstLine="487" w:firstLineChars="202"/>
        <w:rPr>
          <w:rFonts w:hint="eastAsia" w:ascii="楷体_GB2312" w:eastAsia="楷体_GB2312"/>
          <w:b/>
          <w:bCs/>
          <w:snapToGrid w:val="0"/>
          <w:kern w:val="0"/>
          <w:sz w:val="24"/>
          <w:szCs w:val="24"/>
        </w:rPr>
      </w:pPr>
    </w:p>
    <w:p w14:paraId="5F895413">
      <w:pPr>
        <w:adjustRightInd w:val="0"/>
        <w:snapToGrid w:val="0"/>
        <w:spacing w:line="360" w:lineRule="auto"/>
        <w:ind w:firstLine="487" w:firstLineChars="202"/>
        <w:rPr>
          <w:rFonts w:hint="eastAsia" w:ascii="楷体_GB2312" w:eastAsia="楷体_GB2312"/>
          <w:b/>
          <w:bCs/>
          <w:snapToGrid w:val="0"/>
          <w:kern w:val="0"/>
          <w:sz w:val="24"/>
          <w:szCs w:val="24"/>
        </w:rPr>
      </w:pPr>
    </w:p>
    <w:p w14:paraId="3C3A3F58">
      <w:pPr>
        <w:adjustRightInd w:val="0"/>
        <w:snapToGrid w:val="0"/>
        <w:spacing w:line="360" w:lineRule="auto"/>
        <w:ind w:firstLine="487" w:firstLineChars="202"/>
        <w:rPr>
          <w:rFonts w:hint="eastAsia" w:ascii="楷体_GB2312" w:eastAsia="楷体_GB2312"/>
          <w:b/>
          <w:bCs/>
          <w:snapToGrid w:val="0"/>
          <w:kern w:val="0"/>
          <w:sz w:val="24"/>
          <w:szCs w:val="24"/>
        </w:rPr>
      </w:pP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Pr>
        <w:rPr>
          <w:rFonts w:hint="eastAsia"/>
          <w:lang w:eastAsia="zh-CN"/>
        </w:rPr>
      </w:pPr>
    </w:p>
    <w:p w14:paraId="01D4BC50">
      <w:r>
        <w:br w:type="page"/>
      </w:r>
    </w:p>
    <w:p w14:paraId="7922857B"/>
    <w:p w14:paraId="4D9D8BB5">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9DE288">
      <w:pPr>
        <w:spacing w:line="400" w:lineRule="exact"/>
        <w:rPr>
          <w:rFonts w:ascii="宋体" w:hAnsi="宋体"/>
          <w:bCs/>
          <w:sz w:val="28"/>
        </w:rPr>
      </w:pPr>
    </w:p>
    <w:p w14:paraId="7EA9E7D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398CAEC">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59DC47">
      <w:pPr>
        <w:spacing w:line="480" w:lineRule="auto"/>
        <w:ind w:firstLine="420" w:firstLineChars="200"/>
        <w:rPr>
          <w:rFonts w:ascii="宋体" w:hAnsi="宋体"/>
        </w:rPr>
      </w:pPr>
      <w:r>
        <w:rPr>
          <w:rFonts w:hint="eastAsia" w:ascii="宋体" w:hAnsi="宋体"/>
        </w:rPr>
        <w:t>附：</w:t>
      </w:r>
    </w:p>
    <w:p w14:paraId="20072EBA">
      <w:pPr>
        <w:spacing w:line="480" w:lineRule="auto"/>
        <w:ind w:firstLine="840" w:firstLineChars="400"/>
        <w:rPr>
          <w:rFonts w:ascii="宋体" w:hAnsi="宋体"/>
        </w:rPr>
      </w:pPr>
      <w:r>
        <w:rPr>
          <w:rFonts w:hint="eastAsia" w:ascii="宋体" w:hAnsi="宋体"/>
        </w:rPr>
        <w:t xml:space="preserve">营业执照（注册号）：                       </w:t>
      </w:r>
    </w:p>
    <w:p w14:paraId="36DEEA81">
      <w:pPr>
        <w:spacing w:line="480" w:lineRule="auto"/>
        <w:ind w:firstLine="840" w:firstLineChars="400"/>
        <w:rPr>
          <w:rFonts w:ascii="宋体" w:hAnsi="宋体"/>
        </w:rPr>
      </w:pPr>
      <w:r>
        <w:rPr>
          <w:rFonts w:hint="eastAsia" w:ascii="宋体" w:hAnsi="宋体"/>
        </w:rPr>
        <w:t>经济性质：</w:t>
      </w:r>
    </w:p>
    <w:p w14:paraId="632D1DE9">
      <w:pPr>
        <w:spacing w:line="480" w:lineRule="auto"/>
        <w:ind w:firstLine="840" w:firstLineChars="400"/>
        <w:rPr>
          <w:rFonts w:ascii="宋体" w:hAnsi="宋体"/>
        </w:rPr>
      </w:pPr>
      <w:r>
        <w:rPr>
          <w:rFonts w:hint="eastAsia" w:ascii="宋体" w:hAnsi="宋体"/>
        </w:rPr>
        <w:t>主营（产）：</w:t>
      </w:r>
    </w:p>
    <w:p w14:paraId="25CE70AC">
      <w:pPr>
        <w:spacing w:line="480" w:lineRule="auto"/>
        <w:ind w:firstLine="840" w:firstLineChars="400"/>
        <w:rPr>
          <w:rFonts w:ascii="宋体" w:hAnsi="宋体"/>
        </w:rPr>
      </w:pPr>
      <w:r>
        <w:rPr>
          <w:rFonts w:hint="eastAsia" w:ascii="宋体" w:hAnsi="宋体"/>
        </w:rPr>
        <w:t>兼营（产）：</w:t>
      </w:r>
    </w:p>
    <w:p w14:paraId="2B0D061C">
      <w:pPr>
        <w:spacing w:line="480" w:lineRule="auto"/>
        <w:ind w:firstLine="960" w:firstLineChars="400"/>
        <w:rPr>
          <w:rFonts w:ascii="宋体" w:hAnsi="宋体"/>
          <w:sz w:val="24"/>
        </w:rPr>
      </w:pPr>
    </w:p>
    <w:p w14:paraId="6A5BF2CB">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7"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RjZh/cBAAAtBAAADgAAAGRycy9lMm9Eb2MueG1srVPL&#10;jtswDLwX6D8Iuje2U2S7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NvwT5wZ0NTwnyQamF4hWyV5Rhdq&#10;inp0D/7sBTIT16nzOv2JBZuypKeLpDhFJmjzY3l7U5WktqCz6u62ohFIqMXzdedD/IpWs2Q03FP6&#10;LCUcv4U4h/4JSdmCVbLdSaWy4/v9Z+XZEai/u/yd0V+FKcPGht+tlisqBGhoOxoWMrUj4sH0Od+r&#10;G+ElcJm/fwGnwrYQhrmAjJDCoNYyos/WgNB+MS2LJ0fiGnpTPBWjseVMIT3BZOXICFJdE0naKUMS&#10;ps7MvUhWnPYTwSRzb9sTdfXgvOw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RjZh/cBAAAtBAAADgAAAAAAAAABACAAAAAnAQAAZHJzL2Uyb0RvYy54&#10;bWxQSwUGAAAAAAYABgBZAQAAkAUAAAAA&#10;">
                <v:fill on="t" focussize="0,0"/>
                <v:stroke color="#000000" joinstyle="miter"/>
                <v:imagedata o:title=""/>
                <o:lock v:ext="edit" aspectratio="f"/>
                <v:textbo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6"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Fm2GoD3AQAALQQAAA4AAAAAAAAAAQAgAAAAKAEAAGRycy9lMm9Eb2Mu&#10;eG1sUEsFBgAAAAAGAAYAWQEAAJEFAAAAAA==&#10;">
                <v:fill on="t" focussize="0,0"/>
                <v:stroke color="#000000" joinstyle="miter"/>
                <v:imagedata o:title=""/>
                <o:lock v:ext="edit" aspectratio="f"/>
                <v:textbo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v:textbox>
              </v:rect>
            </w:pict>
          </mc:Fallback>
        </mc:AlternateContent>
      </w:r>
    </w:p>
    <w:p w14:paraId="42F33933">
      <w:pPr>
        <w:spacing w:line="500" w:lineRule="exact"/>
        <w:rPr>
          <w:rFonts w:ascii="宋体"/>
          <w:b/>
          <w:bCs/>
        </w:rPr>
      </w:pPr>
    </w:p>
    <w:p w14:paraId="21BC58CD">
      <w:pPr>
        <w:spacing w:line="500" w:lineRule="exact"/>
        <w:rPr>
          <w:rFonts w:ascii="宋体"/>
          <w:b/>
          <w:bCs/>
        </w:rPr>
      </w:pPr>
    </w:p>
    <w:p w14:paraId="43F92AA0">
      <w:pPr>
        <w:spacing w:line="500" w:lineRule="exact"/>
        <w:rPr>
          <w:rFonts w:ascii="宋体"/>
          <w:b/>
          <w:bCs/>
        </w:rPr>
      </w:pPr>
    </w:p>
    <w:p w14:paraId="5F0CA4F0">
      <w:pPr>
        <w:spacing w:line="500" w:lineRule="exact"/>
        <w:rPr>
          <w:rFonts w:ascii="宋体"/>
          <w:b/>
          <w:bCs/>
        </w:rPr>
      </w:pPr>
    </w:p>
    <w:p w14:paraId="656007A1">
      <w:pPr>
        <w:spacing w:line="500" w:lineRule="exact"/>
        <w:rPr>
          <w:rFonts w:ascii="宋体"/>
          <w:b/>
          <w:bCs/>
        </w:rPr>
      </w:pPr>
    </w:p>
    <w:p w14:paraId="0208CE98">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0BD3FC15">
      <w:pPr>
        <w:spacing w:line="360" w:lineRule="auto"/>
        <w:ind w:firstLine="539" w:firstLineChars="257"/>
      </w:pPr>
    </w:p>
    <w:p w14:paraId="744FCE1F">
      <w:pPr>
        <w:spacing w:line="360" w:lineRule="auto"/>
        <w:ind w:firstLine="539" w:firstLineChars="257"/>
      </w:pPr>
      <w:r>
        <w:rPr>
          <w:rFonts w:hint="eastAsia"/>
        </w:rPr>
        <w:t>单位名称：（公章）</w:t>
      </w:r>
      <w:r>
        <w:rPr>
          <w:rFonts w:hint="eastAsia"/>
          <w:u w:val="single"/>
        </w:rPr>
        <w:t xml:space="preserve">                                         </w:t>
      </w:r>
    </w:p>
    <w:p w14:paraId="3EC9FA9E">
      <w:pPr>
        <w:spacing w:line="360" w:lineRule="auto"/>
        <w:ind w:firstLine="539" w:firstLineChars="257"/>
      </w:pPr>
    </w:p>
    <w:p w14:paraId="6101B23C">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2F5A652">
      <w:pPr>
        <w:ind w:firstLine="2249" w:firstLineChars="800"/>
        <w:rPr>
          <w:b/>
          <w:bCs/>
          <w:sz w:val="28"/>
        </w:rPr>
      </w:pPr>
    </w:p>
    <w:p w14:paraId="02103D56">
      <w:pPr>
        <w:ind w:firstLine="2249" w:firstLineChars="800"/>
        <w:rPr>
          <w:b/>
          <w:bCs/>
          <w:sz w:val="28"/>
        </w:rPr>
      </w:pPr>
    </w:p>
    <w:p w14:paraId="46AE048B">
      <w:pPr>
        <w:jc w:val="center"/>
        <w:rPr>
          <w:rFonts w:hint="eastAsia"/>
          <w:b/>
          <w:bCs/>
          <w:sz w:val="28"/>
        </w:rPr>
      </w:pPr>
    </w:p>
    <w:p w14:paraId="595965DC">
      <w:pPr>
        <w:jc w:val="center"/>
        <w:rPr>
          <w:rFonts w:hint="eastAsia"/>
          <w:b/>
          <w:bCs/>
          <w:sz w:val="28"/>
        </w:rPr>
      </w:pPr>
    </w:p>
    <w:p w14:paraId="59B46C61">
      <w:pPr>
        <w:jc w:val="center"/>
        <w:rPr>
          <w:b/>
          <w:bCs/>
          <w:sz w:val="28"/>
        </w:rPr>
      </w:pPr>
      <w:r>
        <w:rPr>
          <w:rFonts w:hint="eastAsia"/>
          <w:b/>
          <w:bCs/>
          <w:sz w:val="28"/>
        </w:rPr>
        <w:t>法定代表人（负责人）授权委托书（参考）</w:t>
      </w:r>
    </w:p>
    <w:p w14:paraId="58E0AE07"/>
    <w:p w14:paraId="3A9424C1">
      <w:pPr>
        <w:rPr>
          <w:b/>
          <w:bCs/>
        </w:rPr>
      </w:pPr>
      <w:r>
        <w:rPr>
          <w:rFonts w:hint="eastAsia"/>
        </w:rPr>
        <w:t>深圳市中正招标有限公司</w:t>
      </w:r>
      <w:r>
        <w:rPr>
          <w:rFonts w:hint="eastAsia"/>
          <w:b/>
          <w:bCs/>
        </w:rPr>
        <w:t>：</w:t>
      </w:r>
    </w:p>
    <w:p w14:paraId="613DC782">
      <w:pPr>
        <w:ind w:firstLine="630"/>
      </w:pPr>
    </w:p>
    <w:p w14:paraId="55882E75">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0CFA75C">
      <w:pPr>
        <w:adjustRightInd w:val="0"/>
        <w:snapToGrid w:val="0"/>
        <w:spacing w:line="360" w:lineRule="auto"/>
        <w:ind w:firstLine="629"/>
      </w:pPr>
    </w:p>
    <w:p w14:paraId="260C9624">
      <w:pPr>
        <w:adjustRightInd w:val="0"/>
        <w:snapToGrid w:val="0"/>
        <w:spacing w:line="360" w:lineRule="auto"/>
        <w:ind w:firstLine="629"/>
        <w:rPr>
          <w:b/>
          <w:bCs/>
        </w:rPr>
      </w:pPr>
      <w:r>
        <w:rPr>
          <w:rFonts w:hint="eastAsia"/>
          <w:b/>
          <w:bCs/>
        </w:rPr>
        <w:t>附授权代表情况：</w:t>
      </w:r>
    </w:p>
    <w:p w14:paraId="63A590F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2B834D">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1AC08BFC">
      <w:pPr>
        <w:adjustRightInd w:val="0"/>
        <w:snapToGrid w:val="0"/>
        <w:spacing w:line="360" w:lineRule="auto"/>
        <w:ind w:firstLine="629"/>
      </w:pPr>
      <w:r>
        <w:rPr>
          <w:rFonts w:hint="eastAsia"/>
        </w:rPr>
        <w:t>职务：</w:t>
      </w:r>
    </w:p>
    <w:p w14:paraId="281CC1B4">
      <w:pPr>
        <w:adjustRightInd w:val="0"/>
        <w:snapToGrid w:val="0"/>
        <w:spacing w:line="360" w:lineRule="auto"/>
        <w:ind w:firstLine="629"/>
      </w:pPr>
      <w:r>
        <w:rPr>
          <w:rFonts w:hint="eastAsia"/>
        </w:rPr>
        <w:t>身份证号码：</w:t>
      </w:r>
    </w:p>
    <w:p w14:paraId="47906E0D">
      <w:pPr>
        <w:adjustRightInd w:val="0"/>
        <w:snapToGrid w:val="0"/>
        <w:spacing w:line="360" w:lineRule="auto"/>
        <w:ind w:firstLine="629"/>
        <w:rPr>
          <w:b/>
          <w:bCs/>
        </w:rPr>
      </w:pPr>
      <w:r>
        <w:rPr>
          <w:rFonts w:hint="eastAsia"/>
        </w:rPr>
        <w:t>邮编：</w:t>
      </w:r>
      <w:r>
        <w:rPr>
          <w:rFonts w:hint="eastAsia"/>
          <w:b/>
          <w:bCs/>
        </w:rPr>
        <w:t xml:space="preserve"> </w:t>
      </w:r>
    </w:p>
    <w:p w14:paraId="322AB556">
      <w:pPr>
        <w:adjustRightInd w:val="0"/>
        <w:snapToGrid w:val="0"/>
        <w:spacing w:line="360" w:lineRule="auto"/>
        <w:ind w:firstLine="629"/>
      </w:pPr>
      <w:r>
        <w:rPr>
          <w:rFonts w:hint="eastAsia"/>
        </w:rPr>
        <w:t>通讯地址：</w:t>
      </w:r>
      <w:r>
        <w:rPr>
          <w:rFonts w:hint="eastAsia"/>
          <w:b/>
          <w:bCs/>
        </w:rPr>
        <w:t xml:space="preserve"> </w:t>
      </w:r>
    </w:p>
    <w:p w14:paraId="63D27DE0">
      <w:pPr>
        <w:adjustRightInd w:val="0"/>
        <w:snapToGrid w:val="0"/>
        <w:spacing w:line="360" w:lineRule="auto"/>
        <w:ind w:firstLine="629"/>
      </w:pPr>
      <w:r>
        <w:rPr>
          <w:rFonts w:hint="eastAsia"/>
          <w:lang w:val="en-US" w:eastAsia="zh-CN"/>
        </w:rPr>
        <w:t>手机号码</w:t>
      </w:r>
      <w:r>
        <w:rPr>
          <w:rFonts w:hint="eastAsia"/>
        </w:rPr>
        <w:t>：</w:t>
      </w:r>
    </w:p>
    <w:p w14:paraId="43402825">
      <w:pPr>
        <w:adjustRightInd w:val="0"/>
        <w:snapToGrid w:val="0"/>
        <w:spacing w:line="360" w:lineRule="auto"/>
        <w:ind w:firstLine="629"/>
      </w:pPr>
      <w:r>
        <w:rPr>
          <w:rFonts w:hint="eastAsia"/>
        </w:rPr>
        <w:t xml:space="preserve"> </w:t>
      </w:r>
    </w:p>
    <w:p w14:paraId="3942FBA5">
      <w:pPr>
        <w:ind w:firstLine="630"/>
      </w:pPr>
      <w:r>
        <w:rPr>
          <w:rFonts w:hint="eastAsia"/>
        </w:rPr>
        <w:t>单位名称：（公章）</w:t>
      </w:r>
    </w:p>
    <w:p w14:paraId="3861A1F4">
      <w:pPr>
        <w:ind w:firstLine="630"/>
      </w:pPr>
    </w:p>
    <w:p w14:paraId="0D8840D1">
      <w:pPr>
        <w:ind w:firstLine="630"/>
      </w:pPr>
      <w:r>
        <w:rPr>
          <w:rFonts w:hint="eastAsia"/>
        </w:rPr>
        <w:t>法定代表人（</w:t>
      </w:r>
      <w:r>
        <w:rPr>
          <w:rFonts w:hint="eastAsia"/>
          <w:lang w:eastAsia="zh-CN"/>
        </w:rPr>
        <w:t>单位</w:t>
      </w:r>
      <w:r>
        <w:rPr>
          <w:rFonts w:hint="eastAsia"/>
        </w:rPr>
        <w:t>负责人）：（签字）</w:t>
      </w:r>
    </w:p>
    <w:p w14:paraId="27068FBA">
      <w:pPr>
        <w:ind w:firstLine="630"/>
      </w:pPr>
    </w:p>
    <w:p w14:paraId="43F63AC5">
      <w:pPr>
        <w:ind w:firstLine="630"/>
      </w:pPr>
      <w:r>
        <w:rPr>
          <w:rFonts w:hint="eastAsia"/>
        </w:rPr>
        <w:t>授权代表：（</w:t>
      </w:r>
      <w:r>
        <w:rPr>
          <w:snapToGrid w:val="0"/>
          <w:kern w:val="0"/>
        </w:rPr>
        <w:t>签字</w:t>
      </w:r>
      <w:r>
        <w:rPr>
          <w:rFonts w:hint="eastAsia"/>
        </w:rPr>
        <w:t>）</w:t>
      </w:r>
    </w:p>
    <w:p w14:paraId="64CD4DC3">
      <w:pPr>
        <w:ind w:firstLine="630"/>
      </w:pPr>
    </w:p>
    <w:p w14:paraId="6FC1C4A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F889B1F">
      <w:pPr>
        <w:spacing w:line="440" w:lineRule="exact"/>
        <w:rPr>
          <w:rFonts w:ascii="黑体" w:eastAsia="黑体"/>
        </w:rPr>
      </w:pPr>
      <w:bookmarkStart w:id="58"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4"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wpy6F2AAAAAoBAAAPAAAAAAAAAAEAIAAAACIAAABkcnMvZG93bnJldi54bWxQ&#10;SwECFAAUAAAACACHTuJAPYIKWfcBAAAtBAAADgAAAAAAAAABACAAAAAnAQAAZHJzL2Uyb0RvYy54&#10;bWxQSwUGAAAAAAYABgBZAQAAkAUAAAAA&#10;">
                <v:fill on="t" focussize="0,0"/>
                <v:stroke color="#000000" joinstyle="miter"/>
                <v:imagedata o:title=""/>
                <o:lock v:ext="edit" aspectratio="f"/>
                <v:textbo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5"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HZv67YAAAACgEAAA8AAAAAAAAAAQAgAAAAIgAAAGRycy9kb3ducmV2LnhtbFBL&#10;AQIUABQAAAAIAIdO4kBNLMle9gEAAC0EAAAOAAAAAAAAAAEAIAAAACcBAABkcnMvZTJvRG9jLnht&#10;bFBLBQYAAAAABgAGAFkBAACPBQAAAAA=&#10;">
                <v:fill on="t" focussize="0,0"/>
                <v:stroke color="#000000" joinstyle="miter"/>
                <v:imagedata o:title=""/>
                <o:lock v:ext="edit" aspectratio="f"/>
                <v:textbo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v:textbox>
              </v:rect>
            </w:pict>
          </mc:Fallback>
        </mc:AlternateContent>
      </w:r>
      <w:bookmarkEnd w:id="58"/>
    </w:p>
    <w:p w14:paraId="195D160B">
      <w:pPr>
        <w:spacing w:line="440" w:lineRule="exact"/>
        <w:rPr>
          <w:rFonts w:ascii="黑体" w:eastAsia="黑体"/>
        </w:rPr>
      </w:pPr>
    </w:p>
    <w:p w14:paraId="2695BFC5">
      <w:pPr>
        <w:spacing w:line="440" w:lineRule="exact"/>
        <w:rPr>
          <w:rFonts w:ascii="黑体" w:eastAsia="黑体"/>
        </w:rPr>
      </w:pPr>
    </w:p>
    <w:p w14:paraId="6CB6D873">
      <w:pPr>
        <w:spacing w:line="440" w:lineRule="exact"/>
        <w:rPr>
          <w:rFonts w:ascii="黑体" w:eastAsia="黑体"/>
        </w:rPr>
      </w:pPr>
    </w:p>
    <w:p w14:paraId="2242E3A8">
      <w:pPr>
        <w:spacing w:line="440" w:lineRule="exact"/>
        <w:rPr>
          <w:rFonts w:ascii="黑体" w:eastAsia="黑体"/>
        </w:rPr>
      </w:pPr>
    </w:p>
    <w:p w14:paraId="40F859C9">
      <w:pPr>
        <w:tabs>
          <w:tab w:val="left" w:pos="5115"/>
        </w:tabs>
        <w:spacing w:line="440" w:lineRule="exact"/>
        <w:rPr>
          <w:rFonts w:ascii="黑体" w:eastAsia="黑体"/>
        </w:rPr>
      </w:pPr>
      <w:r>
        <w:rPr>
          <w:rFonts w:ascii="黑体" w:eastAsia="黑体"/>
        </w:rPr>
        <w:tab/>
      </w:r>
    </w:p>
    <w:p w14:paraId="4040CB36">
      <w:pPr>
        <w:spacing w:line="440" w:lineRule="exact"/>
        <w:rPr>
          <w:rFonts w:ascii="黑体" w:eastAsia="黑体"/>
        </w:rPr>
      </w:pPr>
    </w:p>
    <w:p w14:paraId="12E914B7">
      <w:pPr>
        <w:adjustRightInd w:val="0"/>
        <w:snapToGrid w:val="0"/>
        <w:spacing w:line="300" w:lineRule="auto"/>
        <w:ind w:firstLine="5008" w:firstLineChars="2385"/>
      </w:pPr>
    </w:p>
    <w:p w14:paraId="641AA352">
      <w:pPr>
        <w:spacing w:line="360" w:lineRule="auto"/>
        <w:ind w:firstLine="539" w:firstLineChars="257"/>
      </w:pPr>
      <w:r>
        <w:rPr>
          <w:rFonts w:hint="eastAsia"/>
          <w:highlight w:val="yellow"/>
          <w:lang w:eastAsia="zh-CN"/>
        </w:rPr>
        <w:t>注：投标人必须提供有效的身份证件（有效期限未过期）。</w:t>
      </w:r>
    </w:p>
    <w:p w14:paraId="4B4C76A4">
      <w:pPr>
        <w:adjustRightInd w:val="0"/>
        <w:snapToGrid w:val="0"/>
        <w:spacing w:line="300" w:lineRule="auto"/>
      </w:pPr>
    </w:p>
    <w:p w14:paraId="31A85E3A">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D67C9F7">
      <w:pPr>
        <w:widowControl/>
        <w:snapToGrid w:val="0"/>
        <w:spacing w:line="360" w:lineRule="auto"/>
        <w:jc w:val="left"/>
      </w:pPr>
    </w:p>
    <w:p w14:paraId="0457CDD9">
      <w:pPr>
        <w:widowControl/>
        <w:snapToGrid w:val="0"/>
        <w:spacing w:line="360" w:lineRule="auto"/>
        <w:jc w:val="left"/>
        <w:rPr>
          <w:rFonts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asciiTheme="minorEastAsia" w:hAnsiTheme="minorEastAsia" w:eastAsiaTheme="minorEastAsia"/>
        </w:rPr>
      </w:pPr>
      <w:bookmarkStart w:id="59"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9"/>
    </w:p>
    <w:p w14:paraId="524D4C9C">
      <w:pPr>
        <w:adjustRightInd w:val="0"/>
        <w:snapToGrid w:val="0"/>
        <w:spacing w:line="312" w:lineRule="auto"/>
      </w:pPr>
    </w:p>
    <w:p w14:paraId="2A3F685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lang w:eastAsia="zh-CN"/>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0" w:name="_Toc135293346"/>
      <w:r>
        <w:rPr>
          <w:rFonts w:hint="eastAsia" w:asciiTheme="minorEastAsia" w:hAnsiTheme="minorEastAsia" w:eastAsiaTheme="minorEastAsia"/>
        </w:rPr>
        <w:t xml:space="preserve">格式4  </w:t>
      </w:r>
      <w:bookmarkEnd w:id="60"/>
      <w:r>
        <w:rPr>
          <w:rFonts w:hint="eastAsia" w:asciiTheme="minorEastAsia" w:hAnsiTheme="minorEastAsia" w:eastAsiaTheme="minorEastAsia"/>
          <w:lang w:eastAsia="zh-CN"/>
        </w:rPr>
        <w:t>符合政府采购扶持政策的证明材料</w:t>
      </w:r>
    </w:p>
    <w:p w14:paraId="7EF8CB39">
      <w:pPr>
        <w:widowControl/>
        <w:snapToGrid w:val="0"/>
        <w:spacing w:line="360" w:lineRule="auto"/>
        <w:jc w:val="left"/>
        <w:rPr>
          <w:rFonts w:ascii="仿宋" w:hAnsi="仿宋" w:eastAsia="仿宋"/>
          <w:b/>
          <w:bCs/>
          <w:kern w:val="0"/>
          <w:sz w:val="25"/>
          <w:szCs w:val="25"/>
        </w:rPr>
      </w:pPr>
    </w:p>
    <w:p w14:paraId="2EBD4CE0">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1" w:name="_Hlk71925120"/>
      <w:r>
        <w:rPr>
          <w:rFonts w:hint="eastAsia" w:asciiTheme="minorEastAsia" w:hAnsiTheme="minorEastAsia" w:eastAsiaTheme="minorEastAsia"/>
          <w:kern w:val="0"/>
          <w:szCs w:val="21"/>
        </w:rPr>
        <w:t>《关于印发中小企业划型标准规定的通知》（工信部联企业〔2011〕300 号</w:t>
      </w:r>
      <w:bookmarkEnd w:id="61"/>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5FF3B82F">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根据《政府采购促进中小企业发展管理办法》（财库〔2020〕46号）第四条规定，在货物采购项目中，由中小企业生产且使用该中小企业商号或者注册商标的中小企业制造商方可享受扶持政策。如货物属于委托代工生产情形的（即货物使用的商号或者注册商标的所属企业与实际生产企业不一致的），不享受中小企业扶持政策，不宜出具中小企业声明。</w:t>
      </w:r>
    </w:p>
    <w:p w14:paraId="775DB129">
      <w:pPr>
        <w:pStyle w:val="5"/>
        <w:tabs>
          <w:tab w:val="left" w:pos="0"/>
        </w:tabs>
        <w:jc w:val="center"/>
        <w:rPr>
          <w:rFonts w:ascii="宋体" w:hAnsi="宋体" w:eastAsia="宋体"/>
        </w:rPr>
      </w:pPr>
      <w:r>
        <w:rPr>
          <w:rFonts w:hint="eastAsia" w:ascii="宋体" w:hAnsi="宋体" w:eastAsia="宋体"/>
        </w:rPr>
        <w:t>中小企业声明函</w:t>
      </w:r>
    </w:p>
    <w:p w14:paraId="793EBC5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ascii="宋体" w:hAnsi="宋体"/>
          <w:szCs w:val="21"/>
        </w:rPr>
      </w:pPr>
      <w:r>
        <w:rPr>
          <w:rFonts w:hint="eastAsia" w:ascii="宋体" w:hAnsi="宋体"/>
          <w:szCs w:val="21"/>
        </w:rPr>
        <w:t>备注：</w:t>
      </w:r>
    </w:p>
    <w:p w14:paraId="7D0D63F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ascii="宋体" w:hAnsi="宋体" w:eastAsia="宋体"/>
        </w:rPr>
      </w:pPr>
      <w:r>
        <w:rPr>
          <w:rFonts w:hint="eastAsia" w:ascii="宋体" w:hAnsi="宋体" w:eastAsia="宋体"/>
        </w:rPr>
        <w:t>监狱企业声明函</w:t>
      </w:r>
    </w:p>
    <w:p w14:paraId="62C04AA3">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ascii="宋体" w:hAnsi="宋体"/>
          <w:szCs w:val="21"/>
        </w:rPr>
      </w:pPr>
    </w:p>
    <w:p w14:paraId="594CF30F">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w:t>
      </w:r>
      <w:r>
        <w:rPr>
          <w:rFonts w:hint="eastAsia" w:ascii="宋体" w:hAnsi="宋体"/>
          <w:szCs w:val="21"/>
          <w:lang w:eastAsia="zh-CN"/>
        </w:rPr>
        <w:t>分项报价表</w:t>
      </w:r>
      <w:r>
        <w:rPr>
          <w:rFonts w:hint="eastAsia" w:ascii="宋体" w:hAnsi="宋体"/>
          <w:szCs w:val="21"/>
        </w:rPr>
        <w:t>”一致，如不一致，以“</w:t>
      </w:r>
      <w:r>
        <w:rPr>
          <w:rFonts w:hint="eastAsia" w:ascii="宋体" w:hAnsi="宋体"/>
          <w:szCs w:val="21"/>
          <w:lang w:eastAsia="zh-CN"/>
        </w:rPr>
        <w:t>分项报价表</w:t>
      </w:r>
      <w:r>
        <w:rPr>
          <w:rFonts w:hint="eastAsia" w:ascii="宋体" w:hAnsi="宋体"/>
          <w:szCs w:val="21"/>
        </w:rPr>
        <w:t>”为准。</w:t>
      </w:r>
    </w:p>
    <w:p w14:paraId="6CF72B24">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3478AB0E">
      <w:pPr>
        <w:pStyle w:val="94"/>
        <w:spacing w:line="360" w:lineRule="exact"/>
        <w:ind w:firstLine="0" w:firstLineChars="0"/>
        <w:rPr>
          <w:rFonts w:hint="eastAsia" w:asciiTheme="majorEastAsia" w:hAnsiTheme="majorEastAsia" w:eastAsiaTheme="majorEastAsia" w:cstheme="majorEastAsia"/>
          <w:b/>
          <w:bCs/>
          <w:szCs w:val="21"/>
          <w:lang w:val="en-US" w:eastAsia="zh-CN"/>
        </w:rPr>
      </w:pPr>
      <w:r>
        <w:rPr>
          <w:rFonts w:hint="eastAsia" w:asciiTheme="majorEastAsia" w:hAnsiTheme="majorEastAsia" w:eastAsiaTheme="majorEastAsia" w:cstheme="majorEastAsia"/>
          <w:b/>
          <w:bCs/>
          <w:szCs w:val="22"/>
          <w:lang w:val="en-US" w:eastAsia="zh-CN"/>
        </w:rPr>
        <w:t xml:space="preserve">4.  </w:t>
      </w:r>
      <w:r>
        <w:rPr>
          <w:rFonts w:hint="eastAsia" w:asciiTheme="majorEastAsia" w:hAnsiTheme="majorEastAsia" w:eastAsiaTheme="majorEastAsia" w:cstheme="majorEastAsia"/>
          <w:b/>
          <w:bCs/>
          <w:szCs w:val="21"/>
          <w:lang w:val="en-US" w:eastAsia="zh-CN"/>
        </w:rPr>
        <w:t>注：环境标志或节能产品认证应依据以上品目清单中列明的国家标准，如标准有更新，应提供相关说明或证明材料，否则视为不满足要求。</w:t>
      </w:r>
    </w:p>
    <w:p w14:paraId="7AE66825">
      <w:pPr>
        <w:adjustRightInd w:val="0"/>
        <w:snapToGrid w:val="0"/>
        <w:spacing w:line="360" w:lineRule="auto"/>
        <w:ind w:firstLine="600"/>
        <w:jc w:val="left"/>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bookmarkStart w:id="62" w:name="_Toc44691397"/>
      <w:bookmarkStart w:id="63" w:name="_Toc44690706"/>
      <w:bookmarkStart w:id="64" w:name="_Toc135293347"/>
      <w:bookmarkStart w:id="65" w:name="_Toc44690433"/>
      <w:bookmarkStart w:id="66" w:name="_Toc44691165"/>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367FFC2">
      <w:pPr>
        <w:rPr>
          <w:rFonts w:hint="eastAsia" w:asciiTheme="minorEastAsia" w:hAnsiTheme="minorEastAsia" w:eastAsiaTheme="minorEastAsia"/>
        </w:rPr>
      </w:pPr>
      <w:r>
        <w:rPr>
          <w:rFonts w:hint="eastAsia" w:asciiTheme="minorEastAsia" w:hAnsiTheme="minorEastAsia" w:eastAsiaTheme="minorEastAsia"/>
        </w:rPr>
        <w:br w:type="page"/>
      </w:r>
    </w:p>
    <w:p w14:paraId="231E5171">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2"/>
      <w:bookmarkEnd w:id="63"/>
      <w:bookmarkEnd w:id="64"/>
      <w:bookmarkEnd w:id="65"/>
      <w:bookmarkEnd w:id="66"/>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射频消融治疗仪</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8"/>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asciiTheme="minorEastAsia" w:hAnsiTheme="minorEastAsia" w:eastAsiaTheme="minorEastAsia"/>
        </w:rPr>
      </w:pPr>
      <w:bookmarkStart w:id="67" w:name="_Toc44691398"/>
      <w:bookmarkStart w:id="68" w:name="_Toc44691166"/>
      <w:bookmarkStart w:id="69" w:name="_Toc44690707"/>
      <w:bookmarkStart w:id="70" w:name="_Toc135293348"/>
      <w:bookmarkStart w:id="71" w:name="_Toc44690434"/>
      <w:r>
        <w:rPr>
          <w:rFonts w:hint="eastAsia" w:asciiTheme="minorEastAsia" w:hAnsiTheme="minorEastAsia" w:eastAsiaTheme="minorEastAsia"/>
        </w:rPr>
        <w:t>格式6  报价表</w:t>
      </w:r>
      <w:bookmarkEnd w:id="67"/>
      <w:bookmarkEnd w:id="68"/>
      <w:bookmarkEnd w:id="69"/>
      <w:bookmarkEnd w:id="70"/>
      <w:bookmarkEnd w:id="71"/>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w:t>
      </w:r>
      <w:r>
        <w:rPr>
          <w:rFonts w:hint="eastAsia" w:asciiTheme="minorEastAsia" w:hAnsiTheme="minorEastAsia" w:eastAsiaTheme="minorEastAsia"/>
          <w:snapToGrid w:val="0"/>
          <w:kern w:val="0"/>
          <w:lang w:eastAsia="zh-CN"/>
        </w:rPr>
        <w:t>分项报价表</w:t>
      </w:r>
      <w:r>
        <w:rPr>
          <w:rFonts w:hint="eastAsia" w:asciiTheme="minorEastAsia" w:hAnsiTheme="minorEastAsia" w:eastAsiaTheme="minorEastAsia"/>
          <w:snapToGrid w:val="0"/>
          <w:kern w:val="0"/>
        </w:rPr>
        <w:t>”应将所有设备报价，并分别列出“品牌、型号、产地及制造厂商”。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lang w:eastAsia="zh-CN"/>
        </w:rPr>
      </w:pPr>
      <w:r>
        <w:rPr>
          <w:rFonts w:hint="eastAsia" w:asciiTheme="minorEastAsia" w:hAnsiTheme="minorEastAsia" w:eastAsiaTheme="minorEastAsia"/>
          <w:snapToGrid w:val="0"/>
          <w:kern w:val="0"/>
          <w:sz w:val="24"/>
        </w:rPr>
        <w:t>（一）</w:t>
      </w:r>
      <w:r>
        <w:rPr>
          <w:rFonts w:hint="eastAsia" w:asciiTheme="minorEastAsia" w:hAnsiTheme="minorEastAsia" w:eastAsiaTheme="minorEastAsia"/>
          <w:snapToGrid w:val="0"/>
          <w:kern w:val="0"/>
          <w:sz w:val="24"/>
          <w:lang w:eastAsia="zh-CN"/>
        </w:rPr>
        <w:t>分项报价表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585"/>
        <w:gridCol w:w="474"/>
        <w:gridCol w:w="992"/>
        <w:gridCol w:w="651"/>
        <w:gridCol w:w="725"/>
        <w:gridCol w:w="709"/>
        <w:gridCol w:w="773"/>
        <w:gridCol w:w="980"/>
        <w:gridCol w:w="657"/>
        <w:gridCol w:w="657"/>
      </w:tblGrid>
      <w:tr w14:paraId="3C420E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2F098B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7437EE7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4E4FDC47">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2633FAC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585" w:type="dxa"/>
            <w:vAlign w:val="center"/>
          </w:tcPr>
          <w:p w14:paraId="510AA24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474" w:type="dxa"/>
            <w:vAlign w:val="center"/>
          </w:tcPr>
          <w:p w14:paraId="0068A73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代工厂商</w:t>
            </w:r>
          </w:p>
        </w:tc>
        <w:tc>
          <w:tcPr>
            <w:tcW w:w="992" w:type="dxa"/>
            <w:vAlign w:val="center"/>
          </w:tcPr>
          <w:p w14:paraId="259B79B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5B842B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4E74581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0310936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3453F382">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2DD1B22A">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5CC29ED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50C4576">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6F8519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2A49E1F8">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0636FE0B">
            <w:pPr>
              <w:widowControl/>
              <w:spacing w:line="360" w:lineRule="auto"/>
              <w:jc w:val="center"/>
              <w:rPr>
                <w:rFonts w:cs="宋体" w:asciiTheme="minorEastAsia" w:hAnsiTheme="minorEastAsia" w:eastAsiaTheme="minorEastAsia"/>
                <w:kern w:val="0"/>
                <w:szCs w:val="21"/>
              </w:rPr>
            </w:pPr>
          </w:p>
        </w:tc>
        <w:tc>
          <w:tcPr>
            <w:tcW w:w="810" w:type="dxa"/>
            <w:vAlign w:val="center"/>
          </w:tcPr>
          <w:p w14:paraId="32D4DA01">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2E50F7BF">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19EA47D1">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1B9528FE">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0644D626">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70F36AE">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6144CB5E">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02A6BC0">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3A9DBE4">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3C04DF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8B474E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DDA0597">
            <w:pPr>
              <w:adjustRightInd w:val="0"/>
              <w:snapToGrid w:val="0"/>
              <w:spacing w:line="300" w:lineRule="auto"/>
              <w:jc w:val="center"/>
              <w:rPr>
                <w:rFonts w:asciiTheme="minorEastAsia" w:hAnsiTheme="minorEastAsia" w:eastAsiaTheme="minorEastAsia"/>
                <w:snapToGrid w:val="0"/>
                <w:kern w:val="0"/>
              </w:rPr>
            </w:pPr>
          </w:p>
        </w:tc>
      </w:tr>
      <w:tr w14:paraId="159AC5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B0A76A3">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54015497">
            <w:pPr>
              <w:widowControl/>
              <w:spacing w:line="360" w:lineRule="auto"/>
              <w:jc w:val="center"/>
              <w:rPr>
                <w:rFonts w:cs="宋体" w:asciiTheme="minorEastAsia" w:hAnsiTheme="minorEastAsia" w:eastAsiaTheme="minorEastAsia"/>
                <w:kern w:val="0"/>
                <w:szCs w:val="21"/>
              </w:rPr>
            </w:pPr>
          </w:p>
        </w:tc>
        <w:tc>
          <w:tcPr>
            <w:tcW w:w="810" w:type="dxa"/>
            <w:vAlign w:val="center"/>
          </w:tcPr>
          <w:p w14:paraId="31ED78FF">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F049633">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0ABA375B">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52043579">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656B176B">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391F7EF">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71410FA1">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28ED23A0">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7649236">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43DFEC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2E958E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EEE6AD8">
            <w:pPr>
              <w:adjustRightInd w:val="0"/>
              <w:snapToGrid w:val="0"/>
              <w:spacing w:line="300" w:lineRule="auto"/>
              <w:jc w:val="center"/>
              <w:rPr>
                <w:rFonts w:asciiTheme="minorEastAsia" w:hAnsiTheme="minorEastAsia" w:eastAsiaTheme="minorEastAsia"/>
                <w:snapToGrid w:val="0"/>
                <w:kern w:val="0"/>
              </w:rPr>
            </w:pPr>
          </w:p>
        </w:tc>
      </w:tr>
      <w:tr w14:paraId="342051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E2B905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6560DEC2">
            <w:pPr>
              <w:widowControl/>
              <w:spacing w:line="360" w:lineRule="auto"/>
              <w:jc w:val="center"/>
              <w:rPr>
                <w:rFonts w:cs="宋体" w:asciiTheme="minorEastAsia" w:hAnsiTheme="minorEastAsia" w:eastAsiaTheme="minorEastAsia"/>
                <w:kern w:val="0"/>
                <w:szCs w:val="21"/>
              </w:rPr>
            </w:pPr>
          </w:p>
        </w:tc>
        <w:tc>
          <w:tcPr>
            <w:tcW w:w="810" w:type="dxa"/>
            <w:vAlign w:val="center"/>
          </w:tcPr>
          <w:p w14:paraId="1EC7E77D">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ACC134A">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7A8D605B">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578AFFE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B5B2BEA">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10C446C">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83EB1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75DA44DF">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C561F5B">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DE8646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FDF1E2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3205960">
            <w:pPr>
              <w:adjustRightInd w:val="0"/>
              <w:snapToGrid w:val="0"/>
              <w:spacing w:line="300" w:lineRule="auto"/>
              <w:jc w:val="center"/>
              <w:rPr>
                <w:rFonts w:asciiTheme="minorEastAsia" w:hAnsiTheme="minorEastAsia" w:eastAsiaTheme="minorEastAsia"/>
                <w:snapToGrid w:val="0"/>
                <w:kern w:val="0"/>
              </w:rPr>
            </w:pPr>
          </w:p>
        </w:tc>
      </w:tr>
      <w:tr w14:paraId="49AA4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4541617">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0F222070">
            <w:pPr>
              <w:widowControl/>
              <w:spacing w:line="360" w:lineRule="auto"/>
              <w:jc w:val="center"/>
              <w:rPr>
                <w:rFonts w:cs="宋体" w:asciiTheme="minorEastAsia" w:hAnsiTheme="minorEastAsia" w:eastAsiaTheme="minorEastAsia"/>
                <w:kern w:val="0"/>
                <w:szCs w:val="21"/>
              </w:rPr>
            </w:pPr>
          </w:p>
        </w:tc>
        <w:tc>
          <w:tcPr>
            <w:tcW w:w="810" w:type="dxa"/>
            <w:vAlign w:val="center"/>
          </w:tcPr>
          <w:p w14:paraId="1B4C25F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71630518">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30BC3648">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72360E6A">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325480B">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A670AAE">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667C2C9">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7465C6D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C082E5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AD3096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4D211F7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A747A6A">
            <w:pPr>
              <w:adjustRightInd w:val="0"/>
              <w:snapToGrid w:val="0"/>
              <w:spacing w:line="300" w:lineRule="auto"/>
              <w:jc w:val="center"/>
              <w:rPr>
                <w:rFonts w:asciiTheme="minorEastAsia" w:hAnsiTheme="minorEastAsia" w:eastAsiaTheme="minorEastAsia"/>
                <w:snapToGrid w:val="0"/>
                <w:kern w:val="0"/>
              </w:rPr>
            </w:pPr>
          </w:p>
        </w:tc>
      </w:tr>
      <w:tr w14:paraId="70CDA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A073999">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0B4F496D">
            <w:pPr>
              <w:widowControl/>
              <w:spacing w:line="360" w:lineRule="auto"/>
              <w:jc w:val="center"/>
              <w:rPr>
                <w:rFonts w:cs="宋体" w:asciiTheme="minorEastAsia" w:hAnsiTheme="minorEastAsia" w:eastAsiaTheme="minorEastAsia"/>
                <w:kern w:val="0"/>
                <w:szCs w:val="21"/>
              </w:rPr>
            </w:pPr>
          </w:p>
        </w:tc>
        <w:tc>
          <w:tcPr>
            <w:tcW w:w="810" w:type="dxa"/>
            <w:vAlign w:val="center"/>
          </w:tcPr>
          <w:p w14:paraId="43230EB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71841019">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2A5044A1">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2A60710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49956AB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5EA6546">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4A7215D">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5F33C80E">
            <w:pPr>
              <w:adjustRightInd w:val="0"/>
              <w:snapToGrid w:val="0"/>
              <w:spacing w:line="300" w:lineRule="auto"/>
              <w:jc w:val="center"/>
              <w:rPr>
                <w:rFonts w:asciiTheme="minorEastAsia" w:hAnsiTheme="minorEastAsia" w:eastAsiaTheme="minorEastAsia"/>
                <w:snapToGrid w:val="0"/>
                <w:kern w:val="0"/>
              </w:rPr>
            </w:pPr>
          </w:p>
        </w:tc>
        <w:tc>
          <w:tcPr>
            <w:tcW w:w="773" w:type="dxa"/>
          </w:tcPr>
          <w:p w14:paraId="1FB41B3B">
            <w:pPr>
              <w:adjustRightInd w:val="0"/>
              <w:snapToGrid w:val="0"/>
              <w:spacing w:line="300" w:lineRule="auto"/>
              <w:jc w:val="center"/>
              <w:rPr>
                <w:rFonts w:asciiTheme="minorEastAsia" w:hAnsiTheme="minorEastAsia" w:eastAsiaTheme="minorEastAsia"/>
                <w:snapToGrid w:val="0"/>
                <w:kern w:val="0"/>
              </w:rPr>
            </w:pPr>
          </w:p>
        </w:tc>
        <w:tc>
          <w:tcPr>
            <w:tcW w:w="980" w:type="dxa"/>
          </w:tcPr>
          <w:p w14:paraId="2A7FD9A5">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11C5A95">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F62F269">
            <w:pPr>
              <w:adjustRightInd w:val="0"/>
              <w:snapToGrid w:val="0"/>
              <w:spacing w:line="300" w:lineRule="auto"/>
              <w:jc w:val="center"/>
              <w:rPr>
                <w:rFonts w:asciiTheme="minorEastAsia" w:hAnsiTheme="minorEastAsia" w:eastAsiaTheme="minorEastAsia"/>
                <w:snapToGrid w:val="0"/>
                <w:kern w:val="0"/>
              </w:rPr>
            </w:pPr>
          </w:p>
        </w:tc>
      </w:tr>
      <w:tr w14:paraId="2A858B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44" w:type="dxa"/>
            <w:gridSpan w:val="5"/>
            <w:vAlign w:val="center"/>
          </w:tcPr>
          <w:p w14:paraId="212F60C8">
            <w:pPr>
              <w:rPr>
                <w:rFonts w:asciiTheme="minorEastAsia" w:hAnsiTheme="minorEastAsia" w:eastAsiaTheme="minorEastAsia"/>
                <w:snapToGrid w:val="0"/>
                <w:kern w:val="0"/>
              </w:rPr>
            </w:pPr>
            <w:r>
              <w:rPr>
                <w:rFonts w:hint="eastAsia" w:asciiTheme="minorEastAsia" w:hAnsiTheme="minorEastAsia" w:eastAsiaTheme="minorEastAsia"/>
                <w:sz w:val="24"/>
              </w:rPr>
              <w:t>总计（即总</w:t>
            </w:r>
            <w:r>
              <w:rPr>
                <w:rFonts w:hint="eastAsia" w:asciiTheme="minorEastAsia" w:hAnsiTheme="minorEastAsia"/>
                <w:sz w:val="24"/>
                <w:lang w:val="en-US" w:eastAsia="zh-CN"/>
              </w:rPr>
              <w:t>报</w:t>
            </w:r>
            <w:r>
              <w:rPr>
                <w:rFonts w:hint="eastAsia" w:asciiTheme="minorEastAsia" w:hAnsiTheme="minorEastAsia" w:eastAsiaTheme="minorEastAsia"/>
                <w:sz w:val="24"/>
              </w:rPr>
              <w:t>价；币种：人民币；单位：元）</w:t>
            </w:r>
            <w:r>
              <w:rPr>
                <w:rFonts w:hint="eastAsia" w:asciiTheme="minorEastAsia" w:hAnsiTheme="minorEastAsia" w:eastAsiaTheme="minorEastAsia"/>
                <w:sz w:val="24"/>
                <w:lang w:eastAsia="zh-CN"/>
              </w:rPr>
              <w:t>：</w:t>
            </w:r>
          </w:p>
        </w:tc>
        <w:tc>
          <w:tcPr>
            <w:tcW w:w="6618" w:type="dxa"/>
            <w:gridSpan w:val="9"/>
            <w:vAlign w:val="center"/>
          </w:tcPr>
          <w:p w14:paraId="53822388">
            <w:pPr>
              <w:rPr>
                <w:rFonts w:hint="eastAsia" w:asciiTheme="minorEastAsia" w:hAnsiTheme="minorEastAsia" w:eastAsiaTheme="minorEastAsia"/>
                <w:sz w:val="24"/>
              </w:rPr>
            </w:pP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2BE258E9">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5、</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4F7BC393">
      <w:pPr>
        <w:adjustRightInd w:val="0"/>
        <w:snapToGrid w:val="0"/>
        <w:spacing w:line="300" w:lineRule="auto"/>
        <w:rPr>
          <w:rFonts w:asciiTheme="minorEastAsia" w:hAnsiTheme="minorEastAsia" w:eastAsiaTheme="minorEastAsia"/>
          <w:snapToGrid w:val="0"/>
          <w:kern w:val="0"/>
        </w:rPr>
      </w:pPr>
    </w:p>
    <w:p w14:paraId="43344439">
      <w:pPr>
        <w:adjustRightInd w:val="0"/>
        <w:snapToGrid w:val="0"/>
        <w:spacing w:line="300" w:lineRule="auto"/>
        <w:rPr>
          <w:rFonts w:hint="eastAsia" w:ascii="宋体" w:hAnsi="宋体"/>
          <w:lang w:eastAsia="zh-CN"/>
        </w:rPr>
      </w:pPr>
      <w:r>
        <w:rPr>
          <w:rFonts w:hint="eastAsia" w:ascii="宋体" w:hAnsi="宋体"/>
          <w:lang w:val="en-US" w:eastAsia="zh-CN"/>
        </w:rPr>
        <w:t>6</w:t>
      </w:r>
      <w:r>
        <w:rPr>
          <w:rFonts w:hint="eastAsia" w:ascii="宋体" w:hAnsi="宋体"/>
        </w:rPr>
        <w:t>、</w:t>
      </w:r>
      <w:r>
        <w:rPr>
          <w:rFonts w:hint="eastAsia"/>
        </w:rPr>
        <w:t>“原产地”是指货物的实际生产加工地，非品牌所在地</w:t>
      </w:r>
      <w:r>
        <w:rPr>
          <w:rFonts w:hint="eastAsia"/>
          <w:lang w:eastAsia="zh-CN"/>
        </w:rPr>
        <w:t>。</w:t>
      </w:r>
      <w:r>
        <w:rPr>
          <w:rFonts w:hint="eastAsia"/>
        </w:rPr>
        <w:t>“制造商”是指产品品牌厂商，同一品牌国内外均有制造商的，应填写国内制造商</w:t>
      </w:r>
      <w:r>
        <w:rPr>
          <w:rFonts w:hint="eastAsia" w:ascii="宋体" w:hAnsi="宋体"/>
        </w:rPr>
        <w:t>。当产品委托代工生产时，在“代工厂商”列按实际情况填写</w:t>
      </w:r>
      <w:r>
        <w:rPr>
          <w:rFonts w:hint="eastAsia" w:ascii="宋体" w:hAnsi="宋体"/>
          <w:lang w:eastAsia="zh-CN"/>
        </w:rPr>
        <w:t>；当不涉及委托代工生产情形时，在“代工厂商”列填“/”。</w:t>
      </w:r>
    </w:p>
    <w:p w14:paraId="52E66C36">
      <w:pPr>
        <w:adjustRightInd w:val="0"/>
        <w:snapToGrid w:val="0"/>
        <w:spacing w:line="300" w:lineRule="auto"/>
        <w:rPr>
          <w:rFonts w:hint="eastAsia" w:ascii="宋体" w:hAnsi="宋体"/>
          <w:lang w:val="en-US" w:eastAsia="zh-CN"/>
        </w:rPr>
      </w:pPr>
      <w:r>
        <w:rPr>
          <w:rFonts w:hint="eastAsia" w:ascii="宋体" w:hAnsi="宋体"/>
          <w:lang w:val="en-US" w:eastAsia="zh-CN"/>
        </w:rPr>
        <w:t>7、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w:t>
      </w:r>
    </w:p>
    <w:tbl>
      <w:tblPr>
        <w:tblStyle w:val="507"/>
        <w:tblW w:w="965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0"/>
        <w:gridCol w:w="3554"/>
        <w:gridCol w:w="4778"/>
      </w:tblGrid>
      <w:tr w14:paraId="074AE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1320" w:type="dxa"/>
            <w:vAlign w:val="center"/>
          </w:tcPr>
          <w:p w14:paraId="3DDAAAE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序号</w:t>
            </w:r>
          </w:p>
        </w:tc>
        <w:tc>
          <w:tcPr>
            <w:tcW w:w="3554" w:type="dxa"/>
            <w:vAlign w:val="center"/>
          </w:tcPr>
          <w:p w14:paraId="38169C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实体名称</w:t>
            </w:r>
          </w:p>
        </w:tc>
        <w:tc>
          <w:tcPr>
            <w:tcW w:w="4778" w:type="dxa"/>
            <w:vAlign w:val="center"/>
          </w:tcPr>
          <w:p w14:paraId="2BB4602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实体英文</w:t>
            </w:r>
          </w:p>
        </w:tc>
      </w:tr>
      <w:tr w14:paraId="4DE88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57C4A1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p>
        </w:tc>
        <w:tc>
          <w:tcPr>
            <w:tcW w:w="3554" w:type="dxa"/>
            <w:vAlign w:val="center"/>
          </w:tcPr>
          <w:p w14:paraId="3C817F0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洛克希德·马丁公司</w:t>
            </w:r>
          </w:p>
        </w:tc>
        <w:tc>
          <w:tcPr>
            <w:tcW w:w="4778" w:type="dxa"/>
            <w:vAlign w:val="center"/>
          </w:tcPr>
          <w:p w14:paraId="45735A2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Corporation</w:t>
            </w:r>
          </w:p>
        </w:tc>
      </w:tr>
      <w:tr w14:paraId="728A0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AD6FCCD">
            <w:pPr>
              <w:adjustRightInd w:val="0"/>
              <w:snapToGrid w:val="0"/>
              <w:spacing w:line="300" w:lineRule="auto"/>
              <w:jc w:val="center"/>
              <w:rPr>
                <w:rFonts w:hint="eastAsia" w:asciiTheme="minorEastAsia" w:hAnsiTheme="minorEastAsia" w:eastAsiaTheme="minorEastAsia"/>
                <w:snapToGrid w:val="0"/>
                <w:kern w:val="0"/>
              </w:rPr>
            </w:pPr>
          </w:p>
          <w:p w14:paraId="27D8C4F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w:t>
            </w:r>
          </w:p>
        </w:tc>
        <w:tc>
          <w:tcPr>
            <w:tcW w:w="3554" w:type="dxa"/>
            <w:vAlign w:val="center"/>
          </w:tcPr>
          <w:p w14:paraId="1AE7BC6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雷神导弹与防务公司</w:t>
            </w:r>
          </w:p>
        </w:tc>
        <w:tc>
          <w:tcPr>
            <w:tcW w:w="4778" w:type="dxa"/>
            <w:vAlign w:val="center"/>
          </w:tcPr>
          <w:p w14:paraId="065C4E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 Missiles &amp; Defense</w:t>
            </w:r>
          </w:p>
        </w:tc>
      </w:tr>
      <w:tr w14:paraId="74F90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5D7CDFF">
            <w:pPr>
              <w:adjustRightInd w:val="0"/>
              <w:snapToGrid w:val="0"/>
              <w:spacing w:line="300" w:lineRule="auto"/>
              <w:jc w:val="center"/>
              <w:rPr>
                <w:rFonts w:hint="eastAsia" w:asciiTheme="minorEastAsia" w:hAnsiTheme="minorEastAsia" w:eastAsiaTheme="minorEastAsia"/>
                <w:snapToGrid w:val="0"/>
                <w:kern w:val="0"/>
              </w:rPr>
            </w:pPr>
          </w:p>
          <w:p w14:paraId="615C83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w:t>
            </w:r>
          </w:p>
        </w:tc>
        <w:tc>
          <w:tcPr>
            <w:tcW w:w="3554" w:type="dxa"/>
            <w:vAlign w:val="center"/>
          </w:tcPr>
          <w:p w14:paraId="3BAD3E0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美国通用原子航空系统</w:t>
            </w:r>
          </w:p>
          <w:p w14:paraId="259CFA6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公司</w:t>
            </w:r>
          </w:p>
        </w:tc>
        <w:tc>
          <w:tcPr>
            <w:tcW w:w="4778" w:type="dxa"/>
            <w:vAlign w:val="center"/>
          </w:tcPr>
          <w:p w14:paraId="00106C6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Atomics  Aeronautical Systems</w:t>
            </w:r>
          </w:p>
        </w:tc>
      </w:tr>
      <w:tr w14:paraId="7868DA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7B458AF">
            <w:pPr>
              <w:adjustRightInd w:val="0"/>
              <w:snapToGrid w:val="0"/>
              <w:spacing w:line="300" w:lineRule="auto"/>
              <w:jc w:val="center"/>
              <w:rPr>
                <w:rFonts w:hint="eastAsia" w:asciiTheme="minorEastAsia" w:hAnsiTheme="minorEastAsia" w:eastAsiaTheme="minorEastAsia"/>
                <w:snapToGrid w:val="0"/>
                <w:kern w:val="0"/>
              </w:rPr>
            </w:pPr>
          </w:p>
          <w:p w14:paraId="3BB4F7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p>
        </w:tc>
        <w:tc>
          <w:tcPr>
            <w:tcW w:w="3554" w:type="dxa"/>
            <w:vAlign w:val="center"/>
          </w:tcPr>
          <w:p w14:paraId="5124A6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美国通用动力陆地系统</w:t>
            </w:r>
          </w:p>
          <w:p w14:paraId="281D566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公司</w:t>
            </w:r>
          </w:p>
        </w:tc>
        <w:tc>
          <w:tcPr>
            <w:tcW w:w="4778" w:type="dxa"/>
            <w:vAlign w:val="center"/>
          </w:tcPr>
          <w:p w14:paraId="3032B93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Land Systems</w:t>
            </w:r>
          </w:p>
        </w:tc>
      </w:tr>
      <w:tr w14:paraId="73B35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B13DD39">
            <w:pPr>
              <w:adjustRightInd w:val="0"/>
              <w:snapToGrid w:val="0"/>
              <w:spacing w:line="300" w:lineRule="auto"/>
              <w:jc w:val="center"/>
              <w:rPr>
                <w:rFonts w:hint="eastAsia" w:asciiTheme="minorEastAsia" w:hAnsiTheme="minorEastAsia" w:eastAsiaTheme="minorEastAsia"/>
                <w:snapToGrid w:val="0"/>
                <w:kern w:val="0"/>
              </w:rPr>
            </w:pPr>
          </w:p>
          <w:p w14:paraId="6F6D1B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p>
        </w:tc>
        <w:tc>
          <w:tcPr>
            <w:tcW w:w="3554" w:type="dxa"/>
            <w:vAlign w:val="center"/>
          </w:tcPr>
          <w:p w14:paraId="6F2131A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美国波音防务、空间与安全集团</w:t>
            </w:r>
          </w:p>
        </w:tc>
        <w:tc>
          <w:tcPr>
            <w:tcW w:w="4778" w:type="dxa"/>
            <w:vAlign w:val="center"/>
          </w:tcPr>
          <w:p w14:paraId="540EA31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Boeing Defense, Space &amp; Security</w:t>
            </w:r>
          </w:p>
        </w:tc>
      </w:tr>
      <w:tr w14:paraId="583BA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1117E3F">
            <w:pPr>
              <w:adjustRightInd w:val="0"/>
              <w:snapToGrid w:val="0"/>
              <w:spacing w:line="300" w:lineRule="auto"/>
              <w:jc w:val="center"/>
              <w:rPr>
                <w:rFonts w:hint="eastAsia" w:asciiTheme="minorEastAsia" w:hAnsiTheme="minorEastAsia" w:eastAsiaTheme="minorEastAsia"/>
                <w:snapToGrid w:val="0"/>
                <w:kern w:val="0"/>
              </w:rPr>
            </w:pPr>
          </w:p>
          <w:p w14:paraId="4B4BCF6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w:t>
            </w:r>
          </w:p>
        </w:tc>
        <w:tc>
          <w:tcPr>
            <w:tcW w:w="3554" w:type="dxa"/>
            <w:vAlign w:val="center"/>
          </w:tcPr>
          <w:p w14:paraId="7AC7BB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洛克希德·马丁导弹与火控公司</w:t>
            </w:r>
          </w:p>
        </w:tc>
        <w:tc>
          <w:tcPr>
            <w:tcW w:w="4778" w:type="dxa"/>
            <w:vAlign w:val="center"/>
          </w:tcPr>
          <w:p w14:paraId="6B96AB5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1BEB0A1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Missiles and Fire Control</w:t>
            </w:r>
          </w:p>
        </w:tc>
      </w:tr>
      <w:tr w14:paraId="7C49E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C27829F">
            <w:pPr>
              <w:adjustRightInd w:val="0"/>
              <w:snapToGrid w:val="0"/>
              <w:spacing w:line="300" w:lineRule="auto"/>
              <w:jc w:val="center"/>
              <w:rPr>
                <w:rFonts w:hint="eastAsia" w:asciiTheme="minorEastAsia" w:hAnsiTheme="minorEastAsia" w:eastAsiaTheme="minorEastAsia"/>
                <w:snapToGrid w:val="0"/>
                <w:kern w:val="0"/>
              </w:rPr>
            </w:pPr>
          </w:p>
          <w:p w14:paraId="087AE32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p>
        </w:tc>
        <w:tc>
          <w:tcPr>
            <w:tcW w:w="3554" w:type="dxa"/>
            <w:vAlign w:val="center"/>
          </w:tcPr>
          <w:p w14:paraId="7F2FFAB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洛克希德·马丁航空公司</w:t>
            </w:r>
          </w:p>
        </w:tc>
        <w:tc>
          <w:tcPr>
            <w:tcW w:w="4778" w:type="dxa"/>
            <w:vAlign w:val="center"/>
          </w:tcPr>
          <w:p w14:paraId="5BEEA7F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Aeronautics</w:t>
            </w:r>
          </w:p>
        </w:tc>
      </w:tr>
      <w:tr w14:paraId="3656C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AA96EBE">
            <w:pPr>
              <w:adjustRightInd w:val="0"/>
              <w:snapToGrid w:val="0"/>
              <w:spacing w:line="300" w:lineRule="auto"/>
              <w:jc w:val="center"/>
              <w:rPr>
                <w:rFonts w:hint="eastAsia" w:asciiTheme="minorEastAsia" w:hAnsiTheme="minorEastAsia" w:eastAsiaTheme="minorEastAsia"/>
                <w:snapToGrid w:val="0"/>
                <w:kern w:val="0"/>
              </w:rPr>
            </w:pPr>
          </w:p>
          <w:p w14:paraId="5A92726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p>
        </w:tc>
        <w:tc>
          <w:tcPr>
            <w:tcW w:w="3554" w:type="dxa"/>
            <w:vAlign w:val="center"/>
          </w:tcPr>
          <w:p w14:paraId="32D6C1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w:t>
            </w:r>
          </w:p>
          <w:p w14:paraId="3A1605A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导弹系统集成实验室</w:t>
            </w:r>
          </w:p>
        </w:tc>
        <w:tc>
          <w:tcPr>
            <w:tcW w:w="4778" w:type="dxa"/>
            <w:vAlign w:val="center"/>
          </w:tcPr>
          <w:p w14:paraId="50A2D38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Missile System Integration Lab</w:t>
            </w:r>
          </w:p>
        </w:tc>
      </w:tr>
      <w:tr w14:paraId="5EA04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F266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p>
        </w:tc>
        <w:tc>
          <w:tcPr>
            <w:tcW w:w="3554" w:type="dxa"/>
            <w:vAlign w:val="center"/>
          </w:tcPr>
          <w:p w14:paraId="33073A9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洛克希德·马丁先进技术实验室</w:t>
            </w:r>
          </w:p>
        </w:tc>
        <w:tc>
          <w:tcPr>
            <w:tcW w:w="4778" w:type="dxa"/>
            <w:vAlign w:val="center"/>
          </w:tcPr>
          <w:p w14:paraId="15E08C3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37A403C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Advanced Technology</w:t>
            </w:r>
          </w:p>
          <w:p w14:paraId="5F1BD50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Laboratories</w:t>
            </w:r>
          </w:p>
        </w:tc>
      </w:tr>
      <w:tr w14:paraId="178F1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E987B7">
            <w:pPr>
              <w:adjustRightInd w:val="0"/>
              <w:snapToGrid w:val="0"/>
              <w:spacing w:line="300" w:lineRule="auto"/>
              <w:jc w:val="center"/>
              <w:rPr>
                <w:rFonts w:hint="eastAsia" w:asciiTheme="minorEastAsia" w:hAnsiTheme="minorEastAsia" w:eastAsiaTheme="minorEastAsia"/>
                <w:snapToGrid w:val="0"/>
                <w:kern w:val="0"/>
              </w:rPr>
            </w:pPr>
          </w:p>
          <w:p w14:paraId="49349D9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p>
        </w:tc>
        <w:tc>
          <w:tcPr>
            <w:tcW w:w="3554" w:type="dxa"/>
            <w:vAlign w:val="center"/>
          </w:tcPr>
          <w:p w14:paraId="07411A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洛克希德·马丁风险投资公司</w:t>
            </w:r>
          </w:p>
        </w:tc>
        <w:tc>
          <w:tcPr>
            <w:tcW w:w="4778" w:type="dxa"/>
            <w:vAlign w:val="center"/>
          </w:tcPr>
          <w:p w14:paraId="202C4DF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08C2B0A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Ventures</w:t>
            </w:r>
          </w:p>
        </w:tc>
      </w:tr>
      <w:tr w14:paraId="21D8E7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7FB3E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p>
        </w:tc>
        <w:tc>
          <w:tcPr>
            <w:tcW w:w="3554" w:type="dxa"/>
            <w:vAlign w:val="center"/>
          </w:tcPr>
          <w:p w14:paraId="7544D9E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标枪合资公司</w:t>
            </w:r>
          </w:p>
        </w:tc>
        <w:tc>
          <w:tcPr>
            <w:tcW w:w="4778" w:type="dxa"/>
            <w:vAlign w:val="center"/>
          </w:tcPr>
          <w:p w14:paraId="5E1A866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Raytheon/Lockheed</w:t>
            </w:r>
          </w:p>
          <w:p w14:paraId="23CC5BA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Martin Javelin Joint</w:t>
            </w:r>
          </w:p>
          <w:p w14:paraId="1EAF11C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Venture</w:t>
            </w:r>
          </w:p>
        </w:tc>
      </w:tr>
      <w:tr w14:paraId="34496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28299E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p>
        </w:tc>
        <w:tc>
          <w:tcPr>
            <w:tcW w:w="3554" w:type="dxa"/>
            <w:vAlign w:val="center"/>
          </w:tcPr>
          <w:p w14:paraId="684EDC6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雷神导弹系统公司</w:t>
            </w:r>
          </w:p>
        </w:tc>
        <w:tc>
          <w:tcPr>
            <w:tcW w:w="4778" w:type="dxa"/>
            <w:vAlign w:val="center"/>
          </w:tcPr>
          <w:p w14:paraId="1BB46A2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 Missile Systems</w:t>
            </w:r>
          </w:p>
        </w:tc>
      </w:tr>
      <w:tr w14:paraId="7DF69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5E6DBF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w:t>
            </w:r>
          </w:p>
        </w:tc>
        <w:tc>
          <w:tcPr>
            <w:tcW w:w="3554" w:type="dxa"/>
            <w:vAlign w:val="center"/>
          </w:tcPr>
          <w:p w14:paraId="6D67E5D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通用动力军械与战术系统公司</w:t>
            </w:r>
          </w:p>
        </w:tc>
        <w:tc>
          <w:tcPr>
            <w:tcW w:w="4778" w:type="dxa"/>
            <w:vAlign w:val="center"/>
          </w:tcPr>
          <w:p w14:paraId="3A2DFFB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w:t>
            </w:r>
          </w:p>
          <w:p w14:paraId="62BF76E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Ordnance and Tactical</w:t>
            </w:r>
          </w:p>
          <w:p w14:paraId="30CE28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Systems</w:t>
            </w:r>
          </w:p>
        </w:tc>
      </w:tr>
      <w:tr w14:paraId="4E460F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4152DCD">
            <w:pPr>
              <w:adjustRightInd w:val="0"/>
              <w:snapToGrid w:val="0"/>
              <w:spacing w:line="300" w:lineRule="auto"/>
              <w:jc w:val="center"/>
              <w:rPr>
                <w:rFonts w:hint="eastAsia" w:asciiTheme="minorEastAsia" w:hAnsiTheme="minorEastAsia" w:eastAsiaTheme="minorEastAsia"/>
                <w:snapToGrid w:val="0"/>
                <w:kern w:val="0"/>
              </w:rPr>
            </w:pPr>
          </w:p>
          <w:p w14:paraId="1CA695C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w:t>
            </w:r>
          </w:p>
        </w:tc>
        <w:tc>
          <w:tcPr>
            <w:tcW w:w="3554" w:type="dxa"/>
            <w:vAlign w:val="center"/>
          </w:tcPr>
          <w:p w14:paraId="0229105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通用动力信息技术公司</w:t>
            </w:r>
          </w:p>
        </w:tc>
        <w:tc>
          <w:tcPr>
            <w:tcW w:w="4778" w:type="dxa"/>
            <w:vAlign w:val="center"/>
          </w:tcPr>
          <w:p w14:paraId="3144BB7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Information Technology</w:t>
            </w:r>
          </w:p>
        </w:tc>
      </w:tr>
      <w:tr w14:paraId="15D75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AA3F55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p>
        </w:tc>
        <w:tc>
          <w:tcPr>
            <w:tcW w:w="3554" w:type="dxa"/>
            <w:vAlign w:val="center"/>
          </w:tcPr>
          <w:p w14:paraId="271D07B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通用动力任务系统公司</w:t>
            </w:r>
          </w:p>
        </w:tc>
        <w:tc>
          <w:tcPr>
            <w:tcW w:w="4778" w:type="dxa"/>
            <w:vAlign w:val="center"/>
          </w:tcPr>
          <w:p w14:paraId="0C2CEF2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Mission Systems</w:t>
            </w:r>
          </w:p>
        </w:tc>
      </w:tr>
      <w:tr w14:paraId="7D6F9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2AA49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w:t>
            </w:r>
          </w:p>
        </w:tc>
        <w:tc>
          <w:tcPr>
            <w:tcW w:w="3554" w:type="dxa"/>
            <w:vAlign w:val="center"/>
          </w:tcPr>
          <w:p w14:paraId="7DE025D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海岸间电子公司</w:t>
            </w:r>
          </w:p>
        </w:tc>
        <w:tc>
          <w:tcPr>
            <w:tcW w:w="4778" w:type="dxa"/>
            <w:vAlign w:val="center"/>
          </w:tcPr>
          <w:p w14:paraId="0C42390D">
            <w:pPr>
              <w:adjustRightInd w:val="0"/>
              <w:snapToGrid w:val="0"/>
              <w:spacing w:line="300" w:lineRule="auto"/>
              <w:jc w:val="center"/>
              <w:rPr>
                <w:rFonts w:hint="eastAsia" w:asciiTheme="minorEastAsia" w:hAnsiTheme="minorEastAsia" w:eastAsiaTheme="minorEastAsia"/>
                <w:snapToGrid w:val="0"/>
                <w:kern w:val="0"/>
              </w:rPr>
            </w:pPr>
          </w:p>
          <w:p w14:paraId="35AEE0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Inter-Coastal Electronics</w:t>
            </w:r>
          </w:p>
        </w:tc>
      </w:tr>
      <w:tr w14:paraId="03121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C3A3E2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w:t>
            </w:r>
          </w:p>
        </w:tc>
        <w:tc>
          <w:tcPr>
            <w:tcW w:w="3554" w:type="dxa"/>
            <w:vAlign w:val="center"/>
          </w:tcPr>
          <w:p w14:paraId="0EFB83F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系统研究与模拟公司</w:t>
            </w:r>
          </w:p>
        </w:tc>
        <w:tc>
          <w:tcPr>
            <w:tcW w:w="4778" w:type="dxa"/>
            <w:vAlign w:val="center"/>
          </w:tcPr>
          <w:p w14:paraId="23890D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System Studies &amp; Simulation</w:t>
            </w:r>
          </w:p>
        </w:tc>
      </w:tr>
      <w:tr w14:paraId="037DD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0A2485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w:t>
            </w:r>
          </w:p>
        </w:tc>
        <w:tc>
          <w:tcPr>
            <w:tcW w:w="3554" w:type="dxa"/>
            <w:vAlign w:val="center"/>
          </w:tcPr>
          <w:p w14:paraId="2E629FF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铁山解决方案公司</w:t>
            </w:r>
          </w:p>
        </w:tc>
        <w:tc>
          <w:tcPr>
            <w:tcW w:w="4778" w:type="dxa"/>
            <w:vAlign w:val="center"/>
          </w:tcPr>
          <w:p w14:paraId="2982506E">
            <w:pPr>
              <w:adjustRightInd w:val="0"/>
              <w:snapToGrid w:val="0"/>
              <w:spacing w:line="300" w:lineRule="auto"/>
              <w:jc w:val="center"/>
              <w:rPr>
                <w:rFonts w:hint="eastAsia" w:asciiTheme="minorEastAsia" w:hAnsiTheme="minorEastAsia" w:eastAsiaTheme="minorEastAsia"/>
                <w:snapToGrid w:val="0"/>
                <w:kern w:val="0"/>
              </w:rPr>
            </w:pPr>
          </w:p>
          <w:p w14:paraId="11D5A10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IronMountain Solutions</w:t>
            </w:r>
          </w:p>
        </w:tc>
      </w:tr>
      <w:tr w14:paraId="08AFC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67F79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19</w:t>
            </w:r>
          </w:p>
        </w:tc>
        <w:tc>
          <w:tcPr>
            <w:tcW w:w="3554" w:type="dxa"/>
            <w:vAlign w:val="center"/>
          </w:tcPr>
          <w:p w14:paraId="15DDD43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应用技术集团</w:t>
            </w:r>
          </w:p>
        </w:tc>
        <w:tc>
          <w:tcPr>
            <w:tcW w:w="4778" w:type="dxa"/>
            <w:vAlign w:val="center"/>
          </w:tcPr>
          <w:p w14:paraId="20D3A0F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Applied Technologies Group</w:t>
            </w:r>
          </w:p>
        </w:tc>
      </w:tr>
      <w:tr w14:paraId="4D4E8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454D3F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p>
        </w:tc>
        <w:tc>
          <w:tcPr>
            <w:tcW w:w="3554" w:type="dxa"/>
            <w:vAlign w:val="center"/>
          </w:tcPr>
          <w:p w14:paraId="08D13EE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阿克西恩特公司</w:t>
            </w:r>
          </w:p>
        </w:tc>
        <w:tc>
          <w:tcPr>
            <w:tcW w:w="4778" w:type="dxa"/>
            <w:vAlign w:val="center"/>
          </w:tcPr>
          <w:p w14:paraId="18D5568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Axient</w:t>
            </w:r>
          </w:p>
        </w:tc>
      </w:tr>
      <w:tr w14:paraId="7E505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C9DE0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w:t>
            </w:r>
          </w:p>
        </w:tc>
        <w:tc>
          <w:tcPr>
            <w:tcW w:w="3554" w:type="dxa"/>
            <w:vAlign w:val="center"/>
          </w:tcPr>
          <w:p w14:paraId="27F92B4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安杜里尔公司</w:t>
            </w:r>
          </w:p>
        </w:tc>
        <w:tc>
          <w:tcPr>
            <w:tcW w:w="4778" w:type="dxa"/>
            <w:vAlign w:val="center"/>
          </w:tcPr>
          <w:p w14:paraId="5B6CBE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Anduril Industries</w:t>
            </w:r>
          </w:p>
        </w:tc>
      </w:tr>
      <w:tr w14:paraId="31A07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6F6674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w:t>
            </w:r>
          </w:p>
        </w:tc>
        <w:tc>
          <w:tcPr>
            <w:tcW w:w="3554" w:type="dxa"/>
            <w:vAlign w:val="center"/>
          </w:tcPr>
          <w:p w14:paraId="186DCCB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海上战术系统公司</w:t>
            </w:r>
          </w:p>
        </w:tc>
        <w:tc>
          <w:tcPr>
            <w:tcW w:w="4778" w:type="dxa"/>
            <w:vAlign w:val="center"/>
          </w:tcPr>
          <w:p w14:paraId="5855767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Maritime Tactical Systems</w:t>
            </w:r>
          </w:p>
        </w:tc>
      </w:tr>
      <w:tr w14:paraId="2EF0F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08A9220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p>
        </w:tc>
        <w:tc>
          <w:tcPr>
            <w:tcW w:w="3554" w:type="dxa"/>
            <w:vAlign w:val="center"/>
          </w:tcPr>
          <w:p w14:paraId="573BBC1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环太平洋防务公司</w:t>
            </w:r>
          </w:p>
        </w:tc>
        <w:tc>
          <w:tcPr>
            <w:tcW w:w="4778" w:type="dxa"/>
            <w:vAlign w:val="center"/>
          </w:tcPr>
          <w:p w14:paraId="6B53909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Pacific Rim Defense</w:t>
            </w:r>
          </w:p>
        </w:tc>
      </w:tr>
      <w:tr w14:paraId="27AD0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308933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w:t>
            </w:r>
          </w:p>
        </w:tc>
        <w:tc>
          <w:tcPr>
            <w:tcW w:w="3554" w:type="dxa"/>
            <w:vAlign w:val="center"/>
          </w:tcPr>
          <w:p w14:paraId="52A5891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AEVEX  航天公司</w:t>
            </w:r>
          </w:p>
        </w:tc>
        <w:tc>
          <w:tcPr>
            <w:tcW w:w="4778" w:type="dxa"/>
            <w:vAlign w:val="center"/>
          </w:tcPr>
          <w:p w14:paraId="0D9EDC7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AEVEX Aerospace</w:t>
            </w:r>
          </w:p>
        </w:tc>
      </w:tr>
      <w:tr w14:paraId="4C767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2DFF3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w:t>
            </w:r>
          </w:p>
        </w:tc>
        <w:tc>
          <w:tcPr>
            <w:tcW w:w="3554" w:type="dxa"/>
            <w:vAlign w:val="center"/>
          </w:tcPr>
          <w:p w14:paraId="1DC3E24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LKD  航天公司</w:t>
            </w:r>
          </w:p>
        </w:tc>
        <w:tc>
          <w:tcPr>
            <w:tcW w:w="4778" w:type="dxa"/>
            <w:vAlign w:val="center"/>
          </w:tcPr>
          <w:p w14:paraId="69BBC42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LKD Aerospace</w:t>
            </w:r>
          </w:p>
        </w:tc>
      </w:tr>
      <w:tr w14:paraId="79BA2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2EC02D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w:t>
            </w:r>
          </w:p>
        </w:tc>
        <w:tc>
          <w:tcPr>
            <w:tcW w:w="3554" w:type="dxa"/>
            <w:vAlign w:val="center"/>
          </w:tcPr>
          <w:p w14:paraId="30716C9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顶峰科技公司</w:t>
            </w:r>
          </w:p>
        </w:tc>
        <w:tc>
          <w:tcPr>
            <w:tcW w:w="4778" w:type="dxa"/>
            <w:vAlign w:val="center"/>
          </w:tcPr>
          <w:p w14:paraId="219FFE6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Summit Technologies</w:t>
            </w:r>
          </w:p>
          <w:p w14:paraId="1D4253F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Inc.</w:t>
            </w:r>
          </w:p>
        </w:tc>
      </w:tr>
      <w:tr w14:paraId="64290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6ABE20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27</w:t>
            </w:r>
          </w:p>
        </w:tc>
        <w:tc>
          <w:tcPr>
            <w:tcW w:w="3554" w:type="dxa"/>
            <w:vAlign w:val="center"/>
          </w:tcPr>
          <w:p w14:paraId="1A3C76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护盾人工智能公司</w:t>
            </w:r>
          </w:p>
        </w:tc>
        <w:tc>
          <w:tcPr>
            <w:tcW w:w="4778" w:type="dxa"/>
            <w:vAlign w:val="center"/>
          </w:tcPr>
          <w:p w14:paraId="22EE796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Shield AI, Inc.</w:t>
            </w:r>
          </w:p>
        </w:tc>
      </w:tr>
      <w:tr w14:paraId="76A2D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4F8572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28</w:t>
            </w:r>
          </w:p>
        </w:tc>
        <w:tc>
          <w:tcPr>
            <w:tcW w:w="3554" w:type="dxa"/>
            <w:vAlign w:val="center"/>
          </w:tcPr>
          <w:p w14:paraId="28D1AA8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内华达山脉公司</w:t>
            </w:r>
          </w:p>
        </w:tc>
        <w:tc>
          <w:tcPr>
            <w:tcW w:w="4778" w:type="dxa"/>
            <w:vAlign w:val="center"/>
          </w:tcPr>
          <w:p w14:paraId="1AD00F0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Sierra Nevada Corporation</w:t>
            </w:r>
          </w:p>
        </w:tc>
      </w:tr>
      <w:tr w14:paraId="717FF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ED317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29</w:t>
            </w:r>
          </w:p>
        </w:tc>
        <w:tc>
          <w:tcPr>
            <w:tcW w:w="3554" w:type="dxa"/>
            <w:vAlign w:val="center"/>
          </w:tcPr>
          <w:p w14:paraId="79C6097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赛博勒克斯公司</w:t>
            </w:r>
          </w:p>
        </w:tc>
        <w:tc>
          <w:tcPr>
            <w:tcW w:w="4778" w:type="dxa"/>
            <w:vAlign w:val="center"/>
          </w:tcPr>
          <w:p w14:paraId="272E3C4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Cyberlux Corporation</w:t>
            </w:r>
          </w:p>
        </w:tc>
      </w:tr>
      <w:tr w14:paraId="17FD4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520B68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p>
        </w:tc>
        <w:tc>
          <w:tcPr>
            <w:tcW w:w="3554" w:type="dxa"/>
            <w:vAlign w:val="center"/>
          </w:tcPr>
          <w:p w14:paraId="695B78D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边缘自治运营公司</w:t>
            </w:r>
          </w:p>
        </w:tc>
        <w:tc>
          <w:tcPr>
            <w:tcW w:w="4778" w:type="dxa"/>
            <w:vAlign w:val="center"/>
          </w:tcPr>
          <w:p w14:paraId="610F5E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Edge Autonomy Operations LLC</w:t>
            </w:r>
          </w:p>
        </w:tc>
      </w:tr>
      <w:tr w14:paraId="0A32C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C88B72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p>
        </w:tc>
        <w:tc>
          <w:tcPr>
            <w:tcW w:w="3554" w:type="dxa"/>
            <w:vAlign w:val="center"/>
          </w:tcPr>
          <w:p w14:paraId="02D727B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Group W 公司</w:t>
            </w:r>
          </w:p>
        </w:tc>
        <w:tc>
          <w:tcPr>
            <w:tcW w:w="4778" w:type="dxa"/>
            <w:vAlign w:val="center"/>
          </w:tcPr>
          <w:p w14:paraId="412AF9B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Group W</w:t>
            </w:r>
          </w:p>
        </w:tc>
      </w:tr>
      <w:tr w14:paraId="4C263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61BD2C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p>
        </w:tc>
        <w:tc>
          <w:tcPr>
            <w:tcW w:w="3554" w:type="dxa"/>
            <w:vAlign w:val="center"/>
          </w:tcPr>
          <w:p w14:paraId="38547AC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哈德森技术公司</w:t>
            </w:r>
          </w:p>
        </w:tc>
        <w:tc>
          <w:tcPr>
            <w:tcW w:w="4778" w:type="dxa"/>
            <w:vAlign w:val="center"/>
          </w:tcPr>
          <w:p w14:paraId="4A5FC05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Hudson Technologies Co.</w:t>
            </w:r>
          </w:p>
        </w:tc>
      </w:tr>
      <w:tr w14:paraId="07D5CF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EFF89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p>
        </w:tc>
        <w:tc>
          <w:tcPr>
            <w:tcW w:w="3554" w:type="dxa"/>
            <w:vAlign w:val="center"/>
          </w:tcPr>
          <w:p w14:paraId="35F98A1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萨罗尼克科技公司</w:t>
            </w:r>
          </w:p>
        </w:tc>
        <w:tc>
          <w:tcPr>
            <w:tcW w:w="4778" w:type="dxa"/>
            <w:vAlign w:val="center"/>
          </w:tcPr>
          <w:p w14:paraId="086A4A5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Saronic Technologies,</w:t>
            </w:r>
          </w:p>
          <w:p w14:paraId="19746EC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Inc.</w:t>
            </w:r>
          </w:p>
        </w:tc>
      </w:tr>
      <w:tr w14:paraId="60B26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DBF80D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p>
        </w:tc>
        <w:tc>
          <w:tcPr>
            <w:tcW w:w="3554" w:type="dxa"/>
            <w:vAlign w:val="center"/>
          </w:tcPr>
          <w:p w14:paraId="491C39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爱尔康公司</w:t>
            </w:r>
          </w:p>
        </w:tc>
        <w:tc>
          <w:tcPr>
            <w:tcW w:w="4778" w:type="dxa"/>
            <w:vAlign w:val="center"/>
          </w:tcPr>
          <w:p w14:paraId="4328AD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Aerkomm Inc.</w:t>
            </w:r>
          </w:p>
        </w:tc>
      </w:tr>
      <w:tr w14:paraId="3FD1B314">
        <w:tblPrEx>
          <w:tblCellMar>
            <w:top w:w="0" w:type="dxa"/>
            <w:left w:w="0" w:type="dxa"/>
            <w:bottom w:w="0" w:type="dxa"/>
            <w:right w:w="0" w:type="dxa"/>
          </w:tblCellMar>
        </w:tblPrEx>
        <w:trPr>
          <w:trHeight w:val="567" w:hRule="atLeast"/>
          <w:jc w:val="center"/>
        </w:trPr>
        <w:tc>
          <w:tcPr>
            <w:tcW w:w="1320" w:type="dxa"/>
            <w:vAlign w:val="center"/>
          </w:tcPr>
          <w:p w14:paraId="1ACACA1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35</w:t>
            </w:r>
          </w:p>
        </w:tc>
        <w:tc>
          <w:tcPr>
            <w:tcW w:w="3554" w:type="dxa"/>
            <w:vAlign w:val="center"/>
          </w:tcPr>
          <w:p w14:paraId="7DF6C44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国际海洋工程公司</w:t>
            </w:r>
          </w:p>
        </w:tc>
        <w:tc>
          <w:tcPr>
            <w:tcW w:w="4778" w:type="dxa"/>
            <w:vAlign w:val="center"/>
          </w:tcPr>
          <w:p w14:paraId="06229B3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Oceaneering    International, Inc.</w:t>
            </w:r>
          </w:p>
        </w:tc>
      </w:tr>
      <w:tr w14:paraId="27DC1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B1FA79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36</w:t>
            </w:r>
          </w:p>
        </w:tc>
        <w:tc>
          <w:tcPr>
            <w:tcW w:w="3554" w:type="dxa"/>
            <w:vAlign w:val="center"/>
          </w:tcPr>
          <w:p w14:paraId="4AB6AA6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反无人机技术公司</w:t>
            </w:r>
          </w:p>
        </w:tc>
        <w:tc>
          <w:tcPr>
            <w:tcW w:w="4778" w:type="dxa"/>
            <w:vAlign w:val="center"/>
          </w:tcPr>
          <w:p w14:paraId="488A62F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Dedrone by Axon</w:t>
            </w:r>
          </w:p>
        </w:tc>
      </w:tr>
      <w:tr w14:paraId="634D7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383BBD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37</w:t>
            </w:r>
          </w:p>
        </w:tc>
        <w:tc>
          <w:tcPr>
            <w:tcW w:w="3554" w:type="dxa"/>
            <w:vAlign w:val="center"/>
          </w:tcPr>
          <w:p w14:paraId="5E5BB4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迪杰恩技术公司</w:t>
            </w:r>
          </w:p>
        </w:tc>
        <w:tc>
          <w:tcPr>
            <w:tcW w:w="4778" w:type="dxa"/>
            <w:vAlign w:val="center"/>
          </w:tcPr>
          <w:p w14:paraId="24CD0EC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DZYNE Technologies</w:t>
            </w:r>
          </w:p>
        </w:tc>
      </w:tr>
      <w:tr w14:paraId="03347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D5AAFE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38</w:t>
            </w:r>
          </w:p>
        </w:tc>
        <w:tc>
          <w:tcPr>
            <w:tcW w:w="3554" w:type="dxa"/>
            <w:vAlign w:val="center"/>
          </w:tcPr>
          <w:p w14:paraId="5238D2E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埃比特系统美国分公司</w:t>
            </w:r>
          </w:p>
        </w:tc>
        <w:tc>
          <w:tcPr>
            <w:tcW w:w="4778" w:type="dxa"/>
            <w:vAlign w:val="center"/>
          </w:tcPr>
          <w:p w14:paraId="2EDA5D6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Elbit Systems of America, LLC</w:t>
            </w:r>
          </w:p>
        </w:tc>
      </w:tr>
      <w:tr w14:paraId="5A7E8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503F06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39</w:t>
            </w:r>
          </w:p>
        </w:tc>
        <w:tc>
          <w:tcPr>
            <w:tcW w:w="3554" w:type="dxa"/>
            <w:vAlign w:val="center"/>
          </w:tcPr>
          <w:p w14:paraId="0238FAC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伊比鲁斯公司</w:t>
            </w:r>
          </w:p>
        </w:tc>
        <w:tc>
          <w:tcPr>
            <w:tcW w:w="4778" w:type="dxa"/>
            <w:vAlign w:val="center"/>
          </w:tcPr>
          <w:p w14:paraId="5DDDDFB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Epirus, Inc.</w:t>
            </w:r>
          </w:p>
        </w:tc>
      </w:tr>
      <w:tr w14:paraId="709DB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EFA82C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40</w:t>
            </w:r>
          </w:p>
        </w:tc>
        <w:tc>
          <w:tcPr>
            <w:tcW w:w="3554" w:type="dxa"/>
            <w:vAlign w:val="center"/>
          </w:tcPr>
          <w:p w14:paraId="6CDD8F5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宇航环境公司</w:t>
            </w:r>
          </w:p>
        </w:tc>
        <w:tc>
          <w:tcPr>
            <w:tcW w:w="4778" w:type="dxa"/>
            <w:vAlign w:val="center"/>
          </w:tcPr>
          <w:p w14:paraId="32FAA26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AeroVironment, Inc.</w:t>
            </w:r>
          </w:p>
        </w:tc>
      </w:tr>
      <w:tr w14:paraId="5BBDE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7104D3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41</w:t>
            </w:r>
          </w:p>
        </w:tc>
        <w:tc>
          <w:tcPr>
            <w:tcW w:w="3554" w:type="dxa"/>
            <w:vAlign w:val="center"/>
          </w:tcPr>
          <w:p w14:paraId="477F9F4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Exelis 公司</w:t>
            </w:r>
          </w:p>
        </w:tc>
        <w:tc>
          <w:tcPr>
            <w:tcW w:w="4778" w:type="dxa"/>
            <w:vAlign w:val="center"/>
          </w:tcPr>
          <w:p w14:paraId="0DFC29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Exelis Inc.</w:t>
            </w:r>
          </w:p>
        </w:tc>
      </w:tr>
      <w:tr w14:paraId="29EAD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E080A6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42</w:t>
            </w:r>
          </w:p>
        </w:tc>
        <w:tc>
          <w:tcPr>
            <w:tcW w:w="3554" w:type="dxa"/>
            <w:vAlign w:val="center"/>
          </w:tcPr>
          <w:p w14:paraId="3C39D53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联合技术系统运营公司</w:t>
            </w:r>
          </w:p>
        </w:tc>
        <w:tc>
          <w:tcPr>
            <w:tcW w:w="4778" w:type="dxa"/>
            <w:vAlign w:val="center"/>
          </w:tcPr>
          <w:p w14:paraId="015DF07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Alliant Techsystems Operations LLC</w:t>
            </w:r>
          </w:p>
        </w:tc>
      </w:tr>
      <w:tr w14:paraId="1C0A8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jc w:val="center"/>
        </w:trPr>
        <w:tc>
          <w:tcPr>
            <w:tcW w:w="1320" w:type="dxa"/>
            <w:vAlign w:val="center"/>
          </w:tcPr>
          <w:p w14:paraId="25BB15D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w:t>
            </w:r>
          </w:p>
        </w:tc>
        <w:tc>
          <w:tcPr>
            <w:tcW w:w="3554" w:type="dxa"/>
            <w:vAlign w:val="center"/>
          </w:tcPr>
          <w:p w14:paraId="0B886AE6">
            <w:pPr>
              <w:keepNext w:val="0"/>
              <w:keepLines w:val="0"/>
              <w:pageBreakBefore w:val="0"/>
              <w:widowControl w:val="0"/>
              <w:kinsoku/>
              <w:wordWrap/>
              <w:overflowPunct/>
              <w:topLinePunct w:val="0"/>
              <w:autoSpaceDE/>
              <w:autoSpaceDN/>
              <w:bidi w:val="0"/>
              <w:adjustRightInd/>
              <w:snapToGrid/>
              <w:spacing w:line="240" w:lineRule="atLeast"/>
              <w:ind w:left="198"/>
              <w:jc w:val="center"/>
              <w:textAlignment w:val="auto"/>
              <w:rPr>
                <w:rFonts w:hint="eastAsia" w:ascii="宋体" w:hAnsi="宋体" w:eastAsia="宋体" w:cs="宋体"/>
                <w:sz w:val="21"/>
                <w:szCs w:val="21"/>
              </w:rPr>
            </w:pPr>
            <w:r>
              <w:rPr>
                <w:rFonts w:hint="eastAsia" w:ascii="宋体" w:hAnsi="宋体" w:eastAsia="宋体" w:cs="宋体"/>
                <w:spacing w:val="7"/>
                <w:sz w:val="21"/>
                <w:szCs w:val="21"/>
              </w:rPr>
              <w:t>贝宜系统股份有限公司</w:t>
            </w:r>
          </w:p>
        </w:tc>
        <w:tc>
          <w:tcPr>
            <w:tcW w:w="4778" w:type="dxa"/>
            <w:vAlign w:val="center"/>
          </w:tcPr>
          <w:p w14:paraId="58D0CC64">
            <w:pPr>
              <w:pStyle w:val="506"/>
              <w:keepNext w:val="0"/>
              <w:keepLines w:val="0"/>
              <w:pageBreakBefore w:val="0"/>
              <w:widowControl w:val="0"/>
              <w:kinsoku/>
              <w:wordWrap/>
              <w:overflowPunct/>
              <w:topLinePunct w:val="0"/>
              <w:autoSpaceDE/>
              <w:autoSpaceDN/>
              <w:bidi w:val="0"/>
              <w:adjustRightInd/>
              <w:snapToGrid/>
              <w:spacing w:line="240" w:lineRule="atLeast"/>
              <w:ind w:left="566"/>
              <w:jc w:val="center"/>
              <w:textAlignment w:val="auto"/>
              <w:rPr>
                <w:rFonts w:hint="eastAsia" w:ascii="宋体" w:hAnsi="宋体" w:eastAsia="宋体" w:cs="宋体"/>
                <w:sz w:val="21"/>
                <w:szCs w:val="21"/>
              </w:rPr>
            </w:pPr>
            <w:r>
              <w:rPr>
                <w:rFonts w:hint="eastAsia" w:ascii="宋体" w:hAnsi="宋体" w:eastAsia="宋体" w:cs="宋体"/>
                <w:sz w:val="21"/>
                <w:szCs w:val="21"/>
              </w:rPr>
              <w:t>BAE</w:t>
            </w:r>
            <w:r>
              <w:rPr>
                <w:rFonts w:hint="eastAsia" w:ascii="宋体" w:hAnsi="宋体" w:eastAsia="宋体" w:cs="宋体"/>
                <w:spacing w:val="24"/>
                <w:sz w:val="21"/>
                <w:szCs w:val="21"/>
              </w:rPr>
              <w:t xml:space="preserve"> </w:t>
            </w:r>
            <w:r>
              <w:rPr>
                <w:rFonts w:hint="eastAsia" w:ascii="宋体" w:hAnsi="宋体" w:eastAsia="宋体" w:cs="宋体"/>
                <w:sz w:val="21"/>
                <w:szCs w:val="21"/>
              </w:rPr>
              <w:t>Systems</w:t>
            </w:r>
            <w:r>
              <w:rPr>
                <w:rFonts w:hint="eastAsia" w:ascii="宋体" w:hAnsi="宋体" w:eastAsia="宋体" w:cs="宋体"/>
                <w:spacing w:val="15"/>
                <w:sz w:val="21"/>
                <w:szCs w:val="21"/>
              </w:rPr>
              <w:t xml:space="preserve">, </w:t>
            </w:r>
            <w:r>
              <w:rPr>
                <w:rFonts w:hint="eastAsia" w:ascii="宋体" w:hAnsi="宋体" w:eastAsia="宋体" w:cs="宋体"/>
                <w:sz w:val="21"/>
                <w:szCs w:val="21"/>
              </w:rPr>
              <w:t>Inc</w:t>
            </w:r>
            <w:r>
              <w:rPr>
                <w:rFonts w:hint="eastAsia" w:ascii="宋体" w:hAnsi="宋体" w:eastAsia="宋体" w:cs="宋体"/>
                <w:spacing w:val="15"/>
                <w:sz w:val="21"/>
                <w:szCs w:val="21"/>
              </w:rPr>
              <w:t>.</w:t>
            </w:r>
          </w:p>
        </w:tc>
      </w:tr>
      <w:tr w14:paraId="6E35E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2EDAC4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w:t>
            </w:r>
          </w:p>
        </w:tc>
        <w:tc>
          <w:tcPr>
            <w:tcW w:w="3554" w:type="dxa"/>
            <w:vAlign w:val="center"/>
          </w:tcPr>
          <w:p w14:paraId="550F6B39">
            <w:pPr>
              <w:pStyle w:val="506"/>
              <w:keepNext w:val="0"/>
              <w:keepLines w:val="0"/>
              <w:pageBreakBefore w:val="0"/>
              <w:widowControl w:val="0"/>
              <w:kinsoku/>
              <w:wordWrap/>
              <w:overflowPunct/>
              <w:topLinePunct w:val="0"/>
              <w:autoSpaceDE/>
              <w:autoSpaceDN/>
              <w:bidi w:val="0"/>
              <w:adjustRightInd/>
              <w:snapToGrid/>
              <w:spacing w:line="240" w:lineRule="atLeast"/>
              <w:ind w:left="442"/>
              <w:jc w:val="center"/>
              <w:textAlignment w:val="auto"/>
              <w:rPr>
                <w:rFonts w:hint="eastAsia" w:ascii="宋体" w:hAnsi="宋体" w:eastAsia="宋体" w:cs="宋体"/>
                <w:sz w:val="21"/>
                <w:szCs w:val="21"/>
              </w:rPr>
            </w:pPr>
            <w:r>
              <w:rPr>
                <w:rFonts w:hint="eastAsia" w:ascii="宋体" w:hAnsi="宋体" w:eastAsia="宋体" w:cs="宋体"/>
                <w:position w:val="4"/>
                <w:sz w:val="21"/>
                <w:szCs w:val="21"/>
              </w:rPr>
              <w:t>Teledyne</w:t>
            </w:r>
            <w:r>
              <w:rPr>
                <w:rFonts w:hint="eastAsia" w:ascii="宋体" w:hAnsi="宋体" w:eastAsia="宋体" w:cs="宋体"/>
                <w:spacing w:val="18"/>
                <w:position w:val="4"/>
                <w:sz w:val="21"/>
                <w:szCs w:val="21"/>
              </w:rPr>
              <w:t xml:space="preserve"> </w:t>
            </w:r>
            <w:r>
              <w:rPr>
                <w:rFonts w:hint="eastAsia" w:ascii="宋体" w:hAnsi="宋体" w:eastAsia="宋体" w:cs="宋体"/>
                <w:position w:val="4"/>
                <w:sz w:val="21"/>
                <w:szCs w:val="21"/>
              </w:rPr>
              <w:t>FLIR</w:t>
            </w:r>
            <w:r>
              <w:rPr>
                <w:rFonts w:hint="eastAsia" w:ascii="宋体" w:hAnsi="宋体" w:eastAsia="宋体" w:cs="宋体"/>
                <w:spacing w:val="18"/>
                <w:position w:val="4"/>
                <w:sz w:val="21"/>
                <w:szCs w:val="21"/>
              </w:rPr>
              <w:t xml:space="preserve"> 公司</w:t>
            </w:r>
          </w:p>
        </w:tc>
        <w:tc>
          <w:tcPr>
            <w:tcW w:w="4778" w:type="dxa"/>
            <w:vAlign w:val="center"/>
          </w:tcPr>
          <w:p w14:paraId="6EFA9AED">
            <w:pPr>
              <w:pStyle w:val="506"/>
              <w:keepNext w:val="0"/>
              <w:keepLines w:val="0"/>
              <w:pageBreakBefore w:val="0"/>
              <w:widowControl w:val="0"/>
              <w:kinsoku/>
              <w:wordWrap/>
              <w:overflowPunct/>
              <w:topLinePunct w:val="0"/>
              <w:autoSpaceDE/>
              <w:autoSpaceDN/>
              <w:bidi w:val="0"/>
              <w:adjustRightInd/>
              <w:snapToGrid/>
              <w:spacing w:line="240" w:lineRule="atLeast"/>
              <w:ind w:left="423"/>
              <w:jc w:val="center"/>
              <w:textAlignment w:val="auto"/>
              <w:rPr>
                <w:rFonts w:hint="eastAsia" w:ascii="宋体" w:hAnsi="宋体" w:eastAsia="宋体" w:cs="宋体"/>
                <w:sz w:val="21"/>
                <w:szCs w:val="21"/>
              </w:rPr>
            </w:pPr>
            <w:r>
              <w:rPr>
                <w:rFonts w:hint="eastAsia" w:ascii="宋体" w:hAnsi="宋体" w:eastAsia="宋体" w:cs="宋体"/>
                <w:spacing w:val="4"/>
                <w:position w:val="5"/>
                <w:sz w:val="21"/>
                <w:szCs w:val="21"/>
              </w:rPr>
              <w:t>Teledyne FLIR, LLC</w:t>
            </w:r>
          </w:p>
        </w:tc>
      </w:tr>
      <w:tr w14:paraId="0AEBA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72F5FE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w:t>
            </w:r>
          </w:p>
        </w:tc>
        <w:tc>
          <w:tcPr>
            <w:tcW w:w="3554" w:type="dxa"/>
            <w:vAlign w:val="center"/>
          </w:tcPr>
          <w:p w14:paraId="7C347CD7">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VSE 公司</w:t>
            </w:r>
          </w:p>
        </w:tc>
        <w:tc>
          <w:tcPr>
            <w:tcW w:w="4778" w:type="dxa"/>
            <w:vAlign w:val="center"/>
          </w:tcPr>
          <w:p w14:paraId="3FA64363">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VSE Corporation</w:t>
            </w:r>
          </w:p>
        </w:tc>
      </w:tr>
      <w:tr w14:paraId="3E0D9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A3AA8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w:t>
            </w:r>
          </w:p>
        </w:tc>
        <w:tc>
          <w:tcPr>
            <w:tcW w:w="3554" w:type="dxa"/>
            <w:vAlign w:val="center"/>
          </w:tcPr>
          <w:p w14:paraId="628F6F65">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立方全球防务公司</w:t>
            </w:r>
          </w:p>
        </w:tc>
        <w:tc>
          <w:tcPr>
            <w:tcW w:w="4778" w:type="dxa"/>
            <w:vAlign w:val="center"/>
          </w:tcPr>
          <w:p w14:paraId="763CB743">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Cubic Global Defense</w:t>
            </w:r>
          </w:p>
        </w:tc>
      </w:tr>
    </w:tbl>
    <w:p w14:paraId="56DBD04F">
      <w:pPr>
        <w:rPr>
          <w:rFonts w:hint="default"/>
          <w:lang w:val="en-US" w:eastAsia="zh-CN"/>
        </w:rPr>
      </w:pPr>
    </w:p>
    <w:p w14:paraId="49FEBE21"/>
    <w:p w14:paraId="2946E7FE">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）【可选】零配件、消耗品和延续保修合同报价明细清单</w:t>
      </w:r>
    </w:p>
    <w:p w14:paraId="3096E3B3">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Ansi="宋体"/>
                <w:bCs/>
                <w:szCs w:val="21"/>
              </w:rPr>
            </w:pPr>
            <w:r>
              <w:rPr>
                <w:rFonts w:hint="eastAsia" w:hAnsi="宋体"/>
                <w:bCs/>
                <w:szCs w:val="21"/>
              </w:rPr>
              <w:t>年度保修</w:t>
            </w:r>
          </w:p>
        </w:tc>
        <w:tc>
          <w:tcPr>
            <w:tcW w:w="2693" w:type="dxa"/>
          </w:tcPr>
          <w:p w14:paraId="3A34226C">
            <w:pPr>
              <w:jc w:val="center"/>
              <w:rPr>
                <w:rFonts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Ansi="宋体"/>
                <w:b/>
                <w:bCs/>
                <w:szCs w:val="21"/>
              </w:rPr>
            </w:pPr>
          </w:p>
        </w:tc>
        <w:tc>
          <w:tcPr>
            <w:tcW w:w="2693" w:type="dxa"/>
          </w:tcPr>
          <w:p w14:paraId="52B4AD7A">
            <w:pPr>
              <w:jc w:val="center"/>
              <w:rPr>
                <w:rFonts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Ansi="宋体"/>
                <w:b/>
                <w:bCs/>
                <w:szCs w:val="21"/>
              </w:rPr>
            </w:pPr>
          </w:p>
        </w:tc>
        <w:tc>
          <w:tcPr>
            <w:tcW w:w="2693" w:type="dxa"/>
          </w:tcPr>
          <w:p w14:paraId="4E51C77D">
            <w:pPr>
              <w:jc w:val="center"/>
              <w:rPr>
                <w:rFonts w:hAnsi="宋体"/>
                <w:b/>
                <w:bCs/>
                <w:szCs w:val="21"/>
              </w:rPr>
            </w:pPr>
          </w:p>
        </w:tc>
      </w:tr>
    </w:tbl>
    <w:p w14:paraId="3F9C9329">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asciiTheme="minorEastAsia" w:hAnsiTheme="minorEastAsia" w:eastAsiaTheme="minorEastAsia"/>
          <w:snapToGrid w:val="0"/>
          <w:kern w:val="0"/>
        </w:rPr>
      </w:pPr>
    </w:p>
    <w:p w14:paraId="36A847D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三</w:t>
      </w:r>
      <w:r>
        <w:rPr>
          <w:rFonts w:hint="eastAsia" w:asciiTheme="minorEastAsia" w:hAnsiTheme="minorEastAsia" w:eastAsiaTheme="minorEastAsia"/>
          <w:snapToGrid w:val="0"/>
          <w:kern w:val="0"/>
        </w:rPr>
        <w:t>）</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asciiTheme="minorEastAsia" w:hAnsiTheme="minorEastAsia" w:eastAsiaTheme="minorEastAsia"/>
          <w:sz w:val="24"/>
        </w:rPr>
      </w:pPr>
      <w:bookmarkStart w:id="72" w:name="_Toc44690435"/>
      <w:bookmarkStart w:id="73" w:name="_Toc44690708"/>
      <w:bookmarkStart w:id="74" w:name="_Toc44691399"/>
      <w:bookmarkStart w:id="75" w:name="_Toc44691167"/>
    </w:p>
    <w:p w14:paraId="6766738A">
      <w:pPr>
        <w:rPr>
          <w:rFonts w:hint="eastAsia" w:asciiTheme="minorEastAsia" w:hAnsiTheme="minorEastAsia" w:eastAsiaTheme="minorEastAsia"/>
        </w:rPr>
      </w:pPr>
      <w:bookmarkStart w:id="76"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2"/>
      <w:bookmarkEnd w:id="73"/>
      <w:bookmarkEnd w:id="74"/>
      <w:bookmarkEnd w:id="75"/>
      <w:bookmarkEnd w:id="76"/>
    </w:p>
    <w:p w14:paraId="5D8787D0">
      <w:pPr>
        <w:pStyle w:val="7"/>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7D64B55A">
      <w:pPr>
        <w:spacing w:line="360" w:lineRule="auto"/>
        <w:ind w:left="420"/>
        <w:rPr>
          <w:rFonts w:hint="eastAsia" w:ascii="宋体" w:hAnsi="宋体"/>
          <w:lang w:val="en-US" w:eastAsia="zh-CN"/>
        </w:rPr>
      </w:pPr>
      <w:r>
        <w:rPr>
          <w:rFonts w:hint="eastAsia" w:ascii="宋体" w:hAnsi="宋体"/>
        </w:rPr>
        <w:t>6、</w:t>
      </w:r>
      <w:r>
        <w:rPr>
          <w:rFonts w:hint="eastAsia" w:ascii="宋体" w:hAnsi="宋体"/>
          <w:lang w:val="en-US" w:eastAsia="zh-CN"/>
        </w:rPr>
        <w:t>技术保障措施</w:t>
      </w:r>
    </w:p>
    <w:p w14:paraId="7CF4C532">
      <w:pPr>
        <w:spacing w:line="360" w:lineRule="auto"/>
        <w:ind w:left="420"/>
        <w:rPr>
          <w:rFonts w:hint="eastAsia" w:ascii="宋体" w:hAnsi="宋体"/>
          <w:lang w:val="en-US" w:eastAsia="zh-CN"/>
        </w:rPr>
      </w:pPr>
      <w:r>
        <w:rPr>
          <w:rFonts w:hint="eastAsia" w:ascii="宋体" w:hAnsi="宋体"/>
          <w:lang w:val="en-US" w:eastAsia="zh-CN"/>
        </w:rPr>
        <w:t>7、投标人同类业绩</w:t>
      </w:r>
    </w:p>
    <w:p w14:paraId="79F43C19">
      <w:pPr>
        <w:spacing w:line="360" w:lineRule="auto"/>
        <w:ind w:left="420"/>
        <w:rPr>
          <w:rFonts w:ascii="宋体" w:hAnsi="宋体"/>
        </w:rPr>
      </w:pPr>
      <w:r>
        <w:rPr>
          <w:rFonts w:hint="eastAsia" w:ascii="宋体" w:hAnsi="宋体"/>
          <w:lang w:val="en-US" w:eastAsia="zh-CN"/>
        </w:rPr>
        <w:t>8、</w:t>
      </w:r>
      <w:r>
        <w:rPr>
          <w:rFonts w:hint="eastAsia" w:ascii="宋体" w:hAnsi="宋体"/>
        </w:rPr>
        <w:t>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jc w:val="both"/>
        <w:rPr>
          <w:snapToGrid w:val="0"/>
          <w:kern w:val="0"/>
        </w:rPr>
      </w:pPr>
    </w:p>
    <w:p w14:paraId="67E24E0B">
      <w:pPr>
        <w:pStyle w:val="28"/>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asciiTheme="minorEastAsia" w:hAnsiTheme="minorEastAsia" w:eastAsiaTheme="minorEastAsia"/>
        </w:rPr>
      </w:pPr>
      <w:bookmarkStart w:id="77" w:name="_Toc135293350"/>
    </w:p>
    <w:p w14:paraId="555465F6"/>
    <w:p w14:paraId="48B9C484">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7"/>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8" w:name="_Toc44691168"/>
      <w:bookmarkStart w:id="79" w:name="_Toc44690709"/>
      <w:bookmarkStart w:id="80" w:name="_Toc44690436"/>
      <w:bookmarkStart w:id="81" w:name="_Toc44691400"/>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3"/>
        <w:tabs>
          <w:tab w:val="left" w:pos="371"/>
        </w:tabs>
        <w:spacing w:before="120" w:after="120"/>
        <w:ind w:left="-1" w:leftChars="-1" w:hanging="1"/>
        <w:jc w:val="center"/>
        <w:rPr>
          <w:rFonts w:asciiTheme="minorEastAsia" w:hAnsiTheme="minorEastAsia" w:eastAsiaTheme="minorEastAsia"/>
        </w:rPr>
      </w:pPr>
      <w:bookmarkStart w:id="82" w:name="_Toc135293351"/>
      <w:r>
        <w:rPr>
          <w:rFonts w:hint="eastAsia" w:asciiTheme="minorEastAsia" w:hAnsiTheme="minorEastAsia" w:eastAsiaTheme="minorEastAsia"/>
        </w:rPr>
        <w:t>格式9  售后服务和质量承诺</w:t>
      </w:r>
      <w:bookmarkEnd w:id="78"/>
      <w:bookmarkEnd w:id="79"/>
      <w:bookmarkEnd w:id="80"/>
      <w:bookmarkEnd w:id="81"/>
      <w:bookmarkEnd w:id="82"/>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asciiTheme="minorEastAsia" w:hAnsiTheme="minorEastAsia" w:eastAsiaTheme="minorEastAsia"/>
        </w:rPr>
      </w:pPr>
      <w:bookmarkStart w:id="83" w:name="_格式5__"/>
      <w:bookmarkEnd w:id="83"/>
      <w:bookmarkStart w:id="84" w:name="_格式2__投标保证金凭证"/>
      <w:bookmarkEnd w:id="84"/>
      <w:bookmarkStart w:id="85" w:name="q15"/>
      <w:bookmarkEnd w:id="85"/>
      <w:bookmarkStart w:id="86" w:name="_格式3__"/>
      <w:bookmarkEnd w:id="86"/>
      <w:bookmarkStart w:id="87" w:name="_格式4__"/>
      <w:bookmarkEnd w:id="87"/>
      <w:bookmarkStart w:id="88" w:name="q16"/>
      <w:bookmarkEnd w:id="88"/>
      <w:bookmarkStart w:id="89" w:name="q17"/>
      <w:bookmarkEnd w:id="89"/>
      <w:r>
        <w:rPr>
          <w:rFonts w:asciiTheme="minorEastAsia" w:hAnsiTheme="minorEastAsia" w:eastAsiaTheme="minorEastAsia"/>
        </w:rPr>
        <w:tab/>
      </w:r>
      <w:bookmarkStart w:id="90" w:name="_Toc135293352"/>
      <w:bookmarkStart w:id="91" w:name="_Toc44690437"/>
      <w:bookmarkStart w:id="92" w:name="_Toc44691401"/>
      <w:bookmarkStart w:id="93" w:name="_Toc44690710"/>
      <w:bookmarkStart w:id="94" w:name="_Toc44691169"/>
      <w:r>
        <w:rPr>
          <w:rFonts w:hint="eastAsia" w:asciiTheme="minorEastAsia" w:hAnsiTheme="minorEastAsia" w:eastAsiaTheme="minorEastAsia"/>
        </w:rPr>
        <w:t>格式10  投标人情况介绍</w:t>
      </w:r>
      <w:bookmarkEnd w:id="90"/>
      <w:bookmarkEnd w:id="91"/>
      <w:bookmarkEnd w:id="92"/>
      <w:bookmarkEnd w:id="93"/>
      <w:bookmarkEnd w:id="94"/>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95" w:name="_格式7__投标人资格声明"/>
      <w:bookmarkEnd w:id="95"/>
      <w:bookmarkStart w:id="96"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asciiTheme="minorEastAsia" w:hAnsiTheme="minorEastAsia" w:eastAsiaTheme="minorEastAsia"/>
        </w:rPr>
      </w:pPr>
      <w:bookmarkStart w:id="97" w:name="_Toc135293353"/>
      <w:r>
        <w:rPr>
          <w:rFonts w:hint="eastAsia" w:asciiTheme="minorEastAsia" w:hAnsiTheme="minorEastAsia" w:eastAsiaTheme="minorEastAsia"/>
        </w:rPr>
        <w:t>格式11  偏离表</w:t>
      </w:r>
      <w:bookmarkEnd w:id="97"/>
    </w:p>
    <w:bookmarkEnd w:id="96"/>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asciiTheme="minorEastAsia" w:hAnsiTheme="minorEastAsia" w:eastAsiaTheme="minorEastAsia"/>
        </w:rPr>
      </w:pPr>
      <w:bookmarkStart w:id="98"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8"/>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9" w:name="_Toc135293355"/>
      <w:r>
        <w:rPr>
          <w:rFonts w:hint="eastAsia"/>
        </w:rPr>
        <w:t>第八章  合同条款</w:t>
      </w:r>
      <w:bookmarkEnd w:id="99"/>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605173E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3D6D692">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ascii="宋体" w:hAnsi="宋体" w:cs="宋体"/>
          <w:bCs/>
          <w:szCs w:val="21"/>
        </w:rPr>
      </w:pPr>
      <w:r>
        <w:rPr>
          <w:rFonts w:ascii="宋体" w:hAnsi="宋体" w:cs="宋体"/>
          <w:bCs/>
          <w:szCs w:val="21"/>
        </w:rPr>
        <w:t>1. 项目信息</w:t>
      </w:r>
    </w:p>
    <w:p w14:paraId="6A8DAFD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ascii="宋体" w:hAnsi="宋体" w:cs="宋体"/>
          <w:bCs/>
          <w:szCs w:val="21"/>
        </w:rPr>
      </w:pPr>
      <w:r>
        <w:rPr>
          <w:rFonts w:ascii="宋体" w:hAnsi="宋体" w:cs="宋体"/>
          <w:bCs/>
          <w:szCs w:val="21"/>
        </w:rPr>
        <w:t>口否</w:t>
      </w:r>
    </w:p>
    <w:p w14:paraId="115E7D09">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ascii="宋体" w:hAnsi="宋体" w:cs="宋体"/>
          <w:bCs/>
          <w:szCs w:val="21"/>
        </w:rPr>
      </w:pPr>
      <w:r>
        <w:rPr>
          <w:rFonts w:ascii="宋体" w:hAnsi="宋体" w:cs="宋体"/>
          <w:bCs/>
          <w:szCs w:val="21"/>
        </w:rPr>
        <w:t>口否</w:t>
      </w:r>
    </w:p>
    <w:p w14:paraId="7B1F2B01">
      <w:pPr>
        <w:spacing w:line="400" w:lineRule="exact"/>
        <w:ind w:firstLine="420" w:firstLineChars="200"/>
        <w:rPr>
          <w:rFonts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ascii="宋体" w:hAnsi="宋体" w:cs="宋体"/>
          <w:bCs/>
          <w:szCs w:val="21"/>
        </w:rPr>
      </w:pPr>
      <w:r>
        <w:rPr>
          <w:rFonts w:ascii="宋体" w:hAnsi="宋体" w:cs="宋体"/>
          <w:bCs/>
          <w:szCs w:val="21"/>
        </w:rPr>
        <w:t>口否</w:t>
      </w:r>
    </w:p>
    <w:p w14:paraId="256C65F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ascii="宋体" w:hAnsi="宋体" w:cs="宋体"/>
          <w:bCs/>
          <w:szCs w:val="21"/>
        </w:rPr>
      </w:pPr>
      <w:r>
        <w:rPr>
          <w:rFonts w:ascii="宋体" w:hAnsi="宋体" w:cs="宋体"/>
          <w:bCs/>
          <w:szCs w:val="21"/>
        </w:rPr>
        <w:t>口否</w:t>
      </w:r>
    </w:p>
    <w:p w14:paraId="75968212">
      <w:pPr>
        <w:spacing w:line="400" w:lineRule="exact"/>
        <w:ind w:firstLine="420" w:firstLineChars="200"/>
        <w:rPr>
          <w:rFonts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ascii="宋体" w:hAnsi="宋体" w:cs="宋体"/>
          <w:bCs/>
          <w:szCs w:val="21"/>
        </w:rPr>
      </w:pPr>
      <w:r>
        <w:rPr>
          <w:rFonts w:ascii="宋体" w:hAnsi="宋体" w:cs="宋体"/>
          <w:bCs/>
          <w:szCs w:val="21"/>
        </w:rPr>
        <w:t>口否</w:t>
      </w:r>
    </w:p>
    <w:p w14:paraId="3EB83A9D">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ascii="宋体" w:hAnsi="宋体" w:cs="宋体"/>
          <w:bCs/>
          <w:szCs w:val="21"/>
        </w:rPr>
      </w:pPr>
      <w:r>
        <w:rPr>
          <w:rFonts w:ascii="宋体" w:hAnsi="宋体" w:cs="宋体"/>
          <w:bCs/>
          <w:szCs w:val="21"/>
        </w:rPr>
        <w:t>2. 合同金额</w:t>
      </w:r>
    </w:p>
    <w:p w14:paraId="32ED396A">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ascii="宋体" w:hAnsi="宋体" w:cs="宋体"/>
          <w:bCs/>
          <w:szCs w:val="21"/>
        </w:rPr>
      </w:pPr>
      <w:r>
        <w:rPr>
          <w:rFonts w:ascii="宋体" w:hAnsi="宋体" w:cs="宋体"/>
          <w:bCs/>
          <w:szCs w:val="21"/>
        </w:rPr>
        <w:t>3. 合同履行</w:t>
      </w:r>
    </w:p>
    <w:p w14:paraId="4FBF6ECA">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ascii="宋体" w:hAnsi="宋体" w:cs="宋体"/>
          <w:bCs/>
          <w:szCs w:val="21"/>
        </w:rPr>
      </w:pPr>
      <w:r>
        <w:rPr>
          <w:rFonts w:ascii="宋体" w:hAnsi="宋体" w:cs="宋体"/>
          <w:bCs/>
          <w:szCs w:val="21"/>
        </w:rPr>
        <w:t>4. 合同验收</w:t>
      </w:r>
    </w:p>
    <w:p w14:paraId="2113B91A">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ascii="宋体" w:hAnsi="宋体" w:cs="宋体"/>
          <w:bCs/>
          <w:szCs w:val="21"/>
        </w:rPr>
      </w:pPr>
      <w:r>
        <w:rPr>
          <w:rFonts w:ascii="宋体" w:hAnsi="宋体" w:cs="宋体"/>
          <w:bCs/>
          <w:szCs w:val="21"/>
        </w:rPr>
        <w:t>(6)采购文件</w:t>
      </w:r>
    </w:p>
    <w:p w14:paraId="40424B6B">
      <w:pPr>
        <w:spacing w:line="400" w:lineRule="exact"/>
        <w:ind w:firstLine="420" w:firstLineChars="200"/>
        <w:rPr>
          <w:rFonts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ascii="宋体" w:hAnsi="宋体" w:cs="宋体"/>
          <w:bCs/>
          <w:szCs w:val="21"/>
        </w:rPr>
      </w:pPr>
      <w:r>
        <w:rPr>
          <w:rFonts w:ascii="宋体" w:hAnsi="宋体" w:cs="宋体"/>
          <w:bCs/>
          <w:szCs w:val="21"/>
        </w:rPr>
        <w:t>6. 合同生效</w:t>
      </w:r>
    </w:p>
    <w:p w14:paraId="61675A4D">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ascii="宋体" w:hAnsi="宋体" w:cs="宋体"/>
          <w:bCs/>
          <w:szCs w:val="21"/>
        </w:rPr>
      </w:pPr>
      <w:r>
        <w:rPr>
          <w:rFonts w:ascii="宋体" w:hAnsi="宋体" w:cs="宋体"/>
          <w:bCs/>
          <w:szCs w:val="21"/>
        </w:rPr>
        <w:t>7. 合同份数</w:t>
      </w:r>
    </w:p>
    <w:p w14:paraId="4E51BA01">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0" w:name="_Toc135293356"/>
      <w:r>
        <w:rPr>
          <w:rFonts w:hint="eastAsia"/>
        </w:rPr>
        <w:t>第九章  附件</w:t>
      </w:r>
      <w:bookmarkEnd w:id="100"/>
    </w:p>
    <w:p w14:paraId="0FD850FA">
      <w:pPr>
        <w:pStyle w:val="4"/>
        <w:spacing w:before="0" w:after="0"/>
      </w:pPr>
      <w:bookmarkStart w:id="101" w:name="_Toc73610162"/>
      <w:bookmarkStart w:id="102" w:name="_Toc135293357"/>
      <w:bookmarkStart w:id="103" w:name="_Toc73613644"/>
      <w:r>
        <w:rPr>
          <w:rFonts w:hint="eastAsia"/>
        </w:rPr>
        <w:t>一、财政部 工业和信息化部关于印发《政府采购促进中小企业发展管理办法》的通知</w:t>
      </w:r>
      <w:bookmarkEnd w:id="101"/>
      <w:bookmarkEnd w:id="102"/>
      <w:bookmarkEnd w:id="103"/>
    </w:p>
    <w:p w14:paraId="160EC0F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40C6C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0F84778">
      <w:pPr>
        <w:spacing w:line="360" w:lineRule="auto"/>
        <w:rPr>
          <w:rFonts w:asciiTheme="minorEastAsia" w:hAnsiTheme="minorEastAsia" w:eastAsiaTheme="minorEastAsia"/>
          <w:szCs w:val="21"/>
        </w:rPr>
      </w:pPr>
    </w:p>
    <w:p w14:paraId="54C6E40D">
      <w:pPr>
        <w:pStyle w:val="4"/>
        <w:spacing w:before="0" w:after="0"/>
      </w:pPr>
      <w:bookmarkStart w:id="104" w:name="_Toc73610163"/>
      <w:bookmarkStart w:id="105" w:name="_Toc73613645"/>
      <w:bookmarkStart w:id="106" w:name="_Toc135293358"/>
      <w:r>
        <w:rPr>
          <w:rFonts w:hint="eastAsia"/>
        </w:rPr>
        <w:t>二、关于印发中小企业划型标准规定的通知</w:t>
      </w:r>
      <w:bookmarkEnd w:id="104"/>
      <w:bookmarkEnd w:id="105"/>
      <w:bookmarkEnd w:id="106"/>
    </w:p>
    <w:p w14:paraId="5EC4CC8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4F2ADF7">
      <w:pPr>
        <w:pStyle w:val="4"/>
        <w:spacing w:before="0" w:after="0"/>
      </w:pPr>
      <w:bookmarkStart w:id="107" w:name="_Toc73613646"/>
      <w:bookmarkStart w:id="108" w:name="_Toc135293359"/>
      <w:bookmarkStart w:id="109" w:name="_Toc73610164"/>
      <w:r>
        <w:rPr>
          <w:rFonts w:hint="eastAsia"/>
        </w:rPr>
        <w:t>三、</w:t>
      </w:r>
      <w:r>
        <w:t>国家统计局关于印发《统计上大中小微型企业划分办法 （2017）》的通知</w:t>
      </w:r>
      <w:bookmarkEnd w:id="107"/>
      <w:bookmarkEnd w:id="108"/>
      <w:bookmarkEnd w:id="109"/>
      <w:r>
        <w:t> </w:t>
      </w:r>
    </w:p>
    <w:p w14:paraId="274E1BE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cs="宋体" w:asciiTheme="minorEastAsia" w:hAnsiTheme="minorEastAsia" w:eastAsiaTheme="minorEastAsia"/>
          <w:b/>
          <w:bCs/>
          <w:kern w:val="0"/>
          <w:szCs w:val="21"/>
        </w:rPr>
      </w:pPr>
    </w:p>
    <w:p w14:paraId="161235A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cs="宋体" w:asciiTheme="minorEastAsia" w:hAnsiTheme="minorEastAsia" w:eastAsiaTheme="minorEastAsia"/>
          <w:kern w:val="0"/>
          <w:szCs w:val="21"/>
        </w:rPr>
      </w:pPr>
    </w:p>
    <w:p w14:paraId="06636E2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cs="宋体" w:asciiTheme="minorEastAsia" w:hAnsiTheme="minorEastAsia" w:eastAsiaTheme="minorEastAsia"/>
          <w:kern w:val="0"/>
          <w:szCs w:val="21"/>
        </w:rPr>
      </w:pPr>
    </w:p>
    <w:p w14:paraId="5202FB5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cs="宋体" w:asciiTheme="minorEastAsia" w:hAnsiTheme="minorEastAsia" w:eastAsiaTheme="minorEastAsia"/>
          <w:kern w:val="0"/>
          <w:szCs w:val="21"/>
        </w:rPr>
      </w:pPr>
    </w:p>
    <w:p w14:paraId="46928F6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cs="宋体" w:asciiTheme="minorEastAsia" w:hAnsiTheme="minorEastAsia" w:eastAsiaTheme="minorEastAsia"/>
          <w:kern w:val="0"/>
          <w:szCs w:val="21"/>
        </w:rPr>
      </w:pPr>
    </w:p>
    <w:p w14:paraId="5A435C9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asciiTheme="minorEastAsia" w:hAnsiTheme="minorEastAsia" w:eastAsiaTheme="minorEastAsia"/>
          <w:szCs w:val="21"/>
        </w:rPr>
      </w:pPr>
    </w:p>
    <w:p w14:paraId="3253AF9F">
      <w:pPr>
        <w:pStyle w:val="4"/>
        <w:spacing w:before="0" w:after="0"/>
      </w:pPr>
      <w:bookmarkStart w:id="110" w:name="_Toc73610165"/>
      <w:bookmarkStart w:id="111" w:name="_Toc135293360"/>
      <w:bookmarkStart w:id="112" w:name="_Toc73613647"/>
      <w:r>
        <w:rPr>
          <w:rFonts w:hint="eastAsia"/>
        </w:rPr>
        <w:t>四、</w:t>
      </w:r>
      <w:r>
        <w:t>财政部 民政部 中国残疾人联合会关于促进残疾人就业 政府采购政策的通知</w:t>
      </w:r>
      <w:bookmarkEnd w:id="110"/>
      <w:bookmarkEnd w:id="111"/>
      <w:bookmarkEnd w:id="112"/>
      <w:r>
        <w:t xml:space="preserve"> </w:t>
      </w:r>
    </w:p>
    <w:p w14:paraId="0A0CFB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cs="宋体" w:asciiTheme="minorEastAsia" w:hAnsiTheme="minorEastAsia" w:eastAsiaTheme="minorEastAsia"/>
          <w:kern w:val="0"/>
          <w:szCs w:val="21"/>
        </w:rPr>
      </w:pPr>
    </w:p>
    <w:p w14:paraId="50DF962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3" w:name="_Toc135293361"/>
      <w:r>
        <w:rPr>
          <w:rFonts w:hint="eastAsia"/>
        </w:rPr>
        <w:t>五、财政部 司法部关于政府采购支持监狱企业发展有关问题的通知</w:t>
      </w:r>
      <w:bookmarkEnd w:id="113"/>
      <w:r>
        <w:rPr>
          <w:rFonts w:hint="eastAsia"/>
        </w:rPr>
        <w:t xml:space="preserve"> </w:t>
      </w:r>
    </w:p>
    <w:p w14:paraId="248C7DC0">
      <w:pPr>
        <w:widowControl/>
        <w:spacing w:line="360" w:lineRule="auto"/>
        <w:jc w:val="center"/>
        <w:rPr>
          <w:rFonts w:cs="宋体" w:asciiTheme="minorEastAsia" w:hAnsiTheme="minorEastAsia" w:eastAsiaTheme="minorEastAsia"/>
          <w:kern w:val="0"/>
          <w:szCs w:val="21"/>
        </w:rPr>
      </w:pPr>
    </w:p>
    <w:p w14:paraId="3A790ED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cs="宋体" w:asciiTheme="minorEastAsia" w:hAnsiTheme="minorEastAsia" w:eastAsiaTheme="minorEastAsia"/>
          <w:kern w:val="0"/>
          <w:szCs w:val="21"/>
        </w:rPr>
      </w:pPr>
    </w:p>
    <w:p w14:paraId="65A7BB6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cs="宋体" w:asciiTheme="minorEastAsia" w:hAnsiTheme="minorEastAsia" w:eastAsiaTheme="minorEastAsia"/>
          <w:kern w:val="0"/>
          <w:szCs w:val="21"/>
        </w:rPr>
      </w:pPr>
    </w:p>
    <w:p w14:paraId="54FBB15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54AE5C3D">
      <w:pPr>
        <w:pStyle w:val="4"/>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2"/>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射频消融治疗仪</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SZZZ2026-QA0179</w:t>
    </w:r>
  </w:p>
  <w:p w14:paraId="1683E8D6">
    <w:pPr>
      <w:pStyle w:val="32"/>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E44312"/>
    <w:rsid w:val="01F0299B"/>
    <w:rsid w:val="026E4F91"/>
    <w:rsid w:val="02CB7BFB"/>
    <w:rsid w:val="036673EF"/>
    <w:rsid w:val="036A72E8"/>
    <w:rsid w:val="03B206B2"/>
    <w:rsid w:val="03C5231B"/>
    <w:rsid w:val="03E27F04"/>
    <w:rsid w:val="041D095D"/>
    <w:rsid w:val="04C16053"/>
    <w:rsid w:val="056C33E8"/>
    <w:rsid w:val="059A3767"/>
    <w:rsid w:val="05C018BB"/>
    <w:rsid w:val="05C87DB9"/>
    <w:rsid w:val="065754CA"/>
    <w:rsid w:val="07C531B9"/>
    <w:rsid w:val="07CD7519"/>
    <w:rsid w:val="07EC4BEA"/>
    <w:rsid w:val="08013603"/>
    <w:rsid w:val="08592BBD"/>
    <w:rsid w:val="08B715FA"/>
    <w:rsid w:val="08DE0889"/>
    <w:rsid w:val="0961739E"/>
    <w:rsid w:val="098E6083"/>
    <w:rsid w:val="0AB84641"/>
    <w:rsid w:val="0B205B2B"/>
    <w:rsid w:val="0B6E60A0"/>
    <w:rsid w:val="0B782559"/>
    <w:rsid w:val="0B8A1F62"/>
    <w:rsid w:val="0BBF77AA"/>
    <w:rsid w:val="0BF820F3"/>
    <w:rsid w:val="0C000225"/>
    <w:rsid w:val="0CDD71F7"/>
    <w:rsid w:val="0D566BC9"/>
    <w:rsid w:val="0E180322"/>
    <w:rsid w:val="0E8C4995"/>
    <w:rsid w:val="0EF27BFB"/>
    <w:rsid w:val="0F676546"/>
    <w:rsid w:val="0F691730"/>
    <w:rsid w:val="0F8B6247"/>
    <w:rsid w:val="0FBC50EF"/>
    <w:rsid w:val="10862725"/>
    <w:rsid w:val="115F3FD7"/>
    <w:rsid w:val="11A259DD"/>
    <w:rsid w:val="11F936CD"/>
    <w:rsid w:val="120027E5"/>
    <w:rsid w:val="120474A0"/>
    <w:rsid w:val="12693A35"/>
    <w:rsid w:val="12D26F76"/>
    <w:rsid w:val="13102ABE"/>
    <w:rsid w:val="14196AC8"/>
    <w:rsid w:val="14C0017C"/>
    <w:rsid w:val="15660BCB"/>
    <w:rsid w:val="162063B0"/>
    <w:rsid w:val="167D280D"/>
    <w:rsid w:val="17047766"/>
    <w:rsid w:val="17771FF6"/>
    <w:rsid w:val="1791130A"/>
    <w:rsid w:val="17935895"/>
    <w:rsid w:val="17F52C18"/>
    <w:rsid w:val="184530EF"/>
    <w:rsid w:val="19227A4B"/>
    <w:rsid w:val="1A32142F"/>
    <w:rsid w:val="1AC15A62"/>
    <w:rsid w:val="1B3E182A"/>
    <w:rsid w:val="1B4B5195"/>
    <w:rsid w:val="1C0826B8"/>
    <w:rsid w:val="1C174C6F"/>
    <w:rsid w:val="1C7C020D"/>
    <w:rsid w:val="1C8F78BA"/>
    <w:rsid w:val="1C9B0D84"/>
    <w:rsid w:val="1CDD3F3B"/>
    <w:rsid w:val="1D4D6869"/>
    <w:rsid w:val="1E3F2E81"/>
    <w:rsid w:val="1E84597F"/>
    <w:rsid w:val="1E8C7C45"/>
    <w:rsid w:val="1FB10760"/>
    <w:rsid w:val="20476AE3"/>
    <w:rsid w:val="2057307A"/>
    <w:rsid w:val="20586741"/>
    <w:rsid w:val="21760101"/>
    <w:rsid w:val="22B25284"/>
    <w:rsid w:val="22B57AA5"/>
    <w:rsid w:val="22C07D9F"/>
    <w:rsid w:val="22CE4518"/>
    <w:rsid w:val="23056CBA"/>
    <w:rsid w:val="234C1E42"/>
    <w:rsid w:val="23636EA1"/>
    <w:rsid w:val="23786031"/>
    <w:rsid w:val="23C6059E"/>
    <w:rsid w:val="23C95079"/>
    <w:rsid w:val="24031A53"/>
    <w:rsid w:val="24307C26"/>
    <w:rsid w:val="248E5D4C"/>
    <w:rsid w:val="24C47897"/>
    <w:rsid w:val="24CF6320"/>
    <w:rsid w:val="24E337F8"/>
    <w:rsid w:val="256E0C8A"/>
    <w:rsid w:val="258D3B57"/>
    <w:rsid w:val="259D6180"/>
    <w:rsid w:val="261E01AA"/>
    <w:rsid w:val="262336EE"/>
    <w:rsid w:val="269E4C0C"/>
    <w:rsid w:val="27024D1A"/>
    <w:rsid w:val="27463B6A"/>
    <w:rsid w:val="29A41135"/>
    <w:rsid w:val="29B246B2"/>
    <w:rsid w:val="2AD85037"/>
    <w:rsid w:val="2B25203D"/>
    <w:rsid w:val="2BD0253B"/>
    <w:rsid w:val="2C444480"/>
    <w:rsid w:val="2C564DC3"/>
    <w:rsid w:val="2CA9220C"/>
    <w:rsid w:val="2D012891"/>
    <w:rsid w:val="2D142E8B"/>
    <w:rsid w:val="2D6C141D"/>
    <w:rsid w:val="2DA973AD"/>
    <w:rsid w:val="2DCE44A5"/>
    <w:rsid w:val="2E4470AA"/>
    <w:rsid w:val="2EB64B4B"/>
    <w:rsid w:val="2EDB590A"/>
    <w:rsid w:val="2F0A29E3"/>
    <w:rsid w:val="2F697D8F"/>
    <w:rsid w:val="2FE04B55"/>
    <w:rsid w:val="306B5DA3"/>
    <w:rsid w:val="30817D6A"/>
    <w:rsid w:val="31367970"/>
    <w:rsid w:val="3157114E"/>
    <w:rsid w:val="31EB07E1"/>
    <w:rsid w:val="31F2037F"/>
    <w:rsid w:val="320A0AF5"/>
    <w:rsid w:val="329B11F6"/>
    <w:rsid w:val="336E087E"/>
    <w:rsid w:val="33C3087D"/>
    <w:rsid w:val="33D5338E"/>
    <w:rsid w:val="348B4A67"/>
    <w:rsid w:val="34CC09C2"/>
    <w:rsid w:val="34EB0D54"/>
    <w:rsid w:val="35961B12"/>
    <w:rsid w:val="359C5D0B"/>
    <w:rsid w:val="364523AD"/>
    <w:rsid w:val="36700D38"/>
    <w:rsid w:val="36C4673D"/>
    <w:rsid w:val="373E2C88"/>
    <w:rsid w:val="37741632"/>
    <w:rsid w:val="37B10B63"/>
    <w:rsid w:val="37D17C49"/>
    <w:rsid w:val="388F766F"/>
    <w:rsid w:val="38C464B7"/>
    <w:rsid w:val="390721D7"/>
    <w:rsid w:val="393B510C"/>
    <w:rsid w:val="393F4767"/>
    <w:rsid w:val="39A97E97"/>
    <w:rsid w:val="39BF365D"/>
    <w:rsid w:val="3A260C29"/>
    <w:rsid w:val="3A6A095C"/>
    <w:rsid w:val="3B57268D"/>
    <w:rsid w:val="3B6176CE"/>
    <w:rsid w:val="3BD24DDA"/>
    <w:rsid w:val="3BDC1949"/>
    <w:rsid w:val="3BF9504C"/>
    <w:rsid w:val="3C8D362E"/>
    <w:rsid w:val="3CF11603"/>
    <w:rsid w:val="3D0005B6"/>
    <w:rsid w:val="3D6F4D41"/>
    <w:rsid w:val="3D7507FB"/>
    <w:rsid w:val="3EB5127A"/>
    <w:rsid w:val="3F503E5E"/>
    <w:rsid w:val="3FC16214"/>
    <w:rsid w:val="402B7147"/>
    <w:rsid w:val="41045A2C"/>
    <w:rsid w:val="41555B50"/>
    <w:rsid w:val="41576FF8"/>
    <w:rsid w:val="4193593E"/>
    <w:rsid w:val="41C92F5E"/>
    <w:rsid w:val="41D9164E"/>
    <w:rsid w:val="41DD521D"/>
    <w:rsid w:val="423B7022"/>
    <w:rsid w:val="4389060E"/>
    <w:rsid w:val="43C8028A"/>
    <w:rsid w:val="43D51667"/>
    <w:rsid w:val="43DA2D47"/>
    <w:rsid w:val="443B2C25"/>
    <w:rsid w:val="44811914"/>
    <w:rsid w:val="448421F1"/>
    <w:rsid w:val="45D37D9B"/>
    <w:rsid w:val="46896F24"/>
    <w:rsid w:val="474E1BEF"/>
    <w:rsid w:val="48194FD5"/>
    <w:rsid w:val="484514CB"/>
    <w:rsid w:val="48516103"/>
    <w:rsid w:val="48C86EE1"/>
    <w:rsid w:val="49DE6105"/>
    <w:rsid w:val="49FA6EF8"/>
    <w:rsid w:val="4A234CD8"/>
    <w:rsid w:val="4A784961"/>
    <w:rsid w:val="4ABD2E7A"/>
    <w:rsid w:val="4ACF3A3C"/>
    <w:rsid w:val="4AD62F03"/>
    <w:rsid w:val="4B1700DF"/>
    <w:rsid w:val="4B3C4946"/>
    <w:rsid w:val="4C4030C5"/>
    <w:rsid w:val="4D7D581F"/>
    <w:rsid w:val="4D884141"/>
    <w:rsid w:val="4F0F6A19"/>
    <w:rsid w:val="503126A7"/>
    <w:rsid w:val="50BD657B"/>
    <w:rsid w:val="51475FBA"/>
    <w:rsid w:val="5151526B"/>
    <w:rsid w:val="51B81C05"/>
    <w:rsid w:val="51D10A66"/>
    <w:rsid w:val="51EB659B"/>
    <w:rsid w:val="528A390F"/>
    <w:rsid w:val="528C6991"/>
    <w:rsid w:val="53652A64"/>
    <w:rsid w:val="536743D0"/>
    <w:rsid w:val="54054633"/>
    <w:rsid w:val="540605E4"/>
    <w:rsid w:val="54670726"/>
    <w:rsid w:val="547F0032"/>
    <w:rsid w:val="54A02A20"/>
    <w:rsid w:val="553E2A89"/>
    <w:rsid w:val="55C87B3E"/>
    <w:rsid w:val="5612444E"/>
    <w:rsid w:val="56804F1E"/>
    <w:rsid w:val="57651F16"/>
    <w:rsid w:val="57A51C8C"/>
    <w:rsid w:val="582964DE"/>
    <w:rsid w:val="58604D9A"/>
    <w:rsid w:val="58D67D8C"/>
    <w:rsid w:val="58E10577"/>
    <w:rsid w:val="59165EF7"/>
    <w:rsid w:val="59702A12"/>
    <w:rsid w:val="5AC11BEA"/>
    <w:rsid w:val="5AED2A9C"/>
    <w:rsid w:val="5BC746C9"/>
    <w:rsid w:val="5C2B6EE8"/>
    <w:rsid w:val="5CC61F72"/>
    <w:rsid w:val="5CF10C74"/>
    <w:rsid w:val="5CF206F7"/>
    <w:rsid w:val="5E0B3D5F"/>
    <w:rsid w:val="5E6415B9"/>
    <w:rsid w:val="5E8F1C6F"/>
    <w:rsid w:val="5EA0340D"/>
    <w:rsid w:val="5ECC25EE"/>
    <w:rsid w:val="5ED66C3C"/>
    <w:rsid w:val="5F843350"/>
    <w:rsid w:val="5F8F25F5"/>
    <w:rsid w:val="5FDD643B"/>
    <w:rsid w:val="607532DC"/>
    <w:rsid w:val="60BA3E42"/>
    <w:rsid w:val="6194383B"/>
    <w:rsid w:val="61A101D0"/>
    <w:rsid w:val="61A14A39"/>
    <w:rsid w:val="61CB5375"/>
    <w:rsid w:val="623348CA"/>
    <w:rsid w:val="62511574"/>
    <w:rsid w:val="62A76CCE"/>
    <w:rsid w:val="64191A38"/>
    <w:rsid w:val="654C1999"/>
    <w:rsid w:val="65CA685B"/>
    <w:rsid w:val="65CF34A7"/>
    <w:rsid w:val="65F660EF"/>
    <w:rsid w:val="660A72E0"/>
    <w:rsid w:val="6673798C"/>
    <w:rsid w:val="673905B6"/>
    <w:rsid w:val="67CF1F44"/>
    <w:rsid w:val="681C3942"/>
    <w:rsid w:val="68460AAC"/>
    <w:rsid w:val="68AC1CFE"/>
    <w:rsid w:val="68D576B0"/>
    <w:rsid w:val="68E4579B"/>
    <w:rsid w:val="69C754B6"/>
    <w:rsid w:val="6A5D4A41"/>
    <w:rsid w:val="6A7F580E"/>
    <w:rsid w:val="6B5F32A5"/>
    <w:rsid w:val="6BB4707C"/>
    <w:rsid w:val="6BCD1DE6"/>
    <w:rsid w:val="6C434E84"/>
    <w:rsid w:val="6C505023"/>
    <w:rsid w:val="6C7532B5"/>
    <w:rsid w:val="6D14299F"/>
    <w:rsid w:val="6D36104E"/>
    <w:rsid w:val="6D672A1E"/>
    <w:rsid w:val="6DC237D1"/>
    <w:rsid w:val="6F3B3713"/>
    <w:rsid w:val="6F40725E"/>
    <w:rsid w:val="711172CF"/>
    <w:rsid w:val="71166CCD"/>
    <w:rsid w:val="712E7788"/>
    <w:rsid w:val="718309CA"/>
    <w:rsid w:val="71FD54DD"/>
    <w:rsid w:val="72025180"/>
    <w:rsid w:val="72D64389"/>
    <w:rsid w:val="73855BD1"/>
    <w:rsid w:val="73B64C25"/>
    <w:rsid w:val="7410294D"/>
    <w:rsid w:val="741F3809"/>
    <w:rsid w:val="757B0F93"/>
    <w:rsid w:val="7589009F"/>
    <w:rsid w:val="75CC648C"/>
    <w:rsid w:val="75E25B0A"/>
    <w:rsid w:val="75F84CFD"/>
    <w:rsid w:val="767A1271"/>
    <w:rsid w:val="76D71644"/>
    <w:rsid w:val="76DB54DE"/>
    <w:rsid w:val="76F45B53"/>
    <w:rsid w:val="771B43E0"/>
    <w:rsid w:val="776C2FB6"/>
    <w:rsid w:val="77741C69"/>
    <w:rsid w:val="77FD1636"/>
    <w:rsid w:val="780D6D66"/>
    <w:rsid w:val="78E92083"/>
    <w:rsid w:val="79982284"/>
    <w:rsid w:val="7998662D"/>
    <w:rsid w:val="79D15C97"/>
    <w:rsid w:val="7A0467A9"/>
    <w:rsid w:val="7A395AD8"/>
    <w:rsid w:val="7A8C5878"/>
    <w:rsid w:val="7B4038F6"/>
    <w:rsid w:val="7B471854"/>
    <w:rsid w:val="7C552333"/>
    <w:rsid w:val="7CA86C55"/>
    <w:rsid w:val="7CF019C1"/>
    <w:rsid w:val="7D461CAD"/>
    <w:rsid w:val="7D4B75FF"/>
    <w:rsid w:val="7E28286A"/>
    <w:rsid w:val="7E4401F0"/>
    <w:rsid w:val="7E4515FE"/>
    <w:rsid w:val="7EAD59B2"/>
    <w:rsid w:val="7F91273C"/>
    <w:rsid w:val="7FC418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link w:val="71"/>
    <w:qFormat/>
    <w:uiPriority w:val="0"/>
    <w:pPr>
      <w:spacing w:after="120"/>
    </w:p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63"/>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110</Pages>
  <Words>2080</Words>
  <Characters>2171</Characters>
  <Lines>483</Lines>
  <Paragraphs>136</Paragraphs>
  <TotalTime>10</TotalTime>
  <ScaleCrop>false</ScaleCrop>
  <LinksUpToDate>false</LinksUpToDate>
  <CharactersWithSpaces>2306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绮</cp:lastModifiedBy>
  <cp:lastPrinted>2020-05-26T01:03:00Z</cp:lastPrinted>
  <dcterms:modified xsi:type="dcterms:W3CDTF">2026-08-07T09:32:40Z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58136C1FE92843AA85A3CA24AEE0A380_13</vt:lpwstr>
  </property>
  <property fmtid="{D5CDD505-2E9C-101B-9397-08002B2CF9AE}" pid="4" name="KSOTemplateDocerSaveRecord">
    <vt:lpwstr>eyJoZGlkIjoiY2Y5OTA2MGI3MGFmOGU0NTE2YWU2ZGI5ZDJmMmNkMGUiLCJ1c2VySWQiOiI3MDgxMTIyMzEifQ==</vt:lpwstr>
  </property>
</Properties>
</file>