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6350" t="6350" r="8890" b="8890"/>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4A8A157C">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人工智能技术与应用专业算力服务器采购项目</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SZZZ2026-QA0086</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9"/>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9"/>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五</w:t>
      </w:r>
      <w:r>
        <w:rPr>
          <w:rFonts w:hint="eastAsia"/>
          <w:b/>
          <w:snapToGrid w:val="0"/>
          <w:sz w:val="30"/>
        </w:rPr>
        <w:t>月</w:t>
      </w:r>
    </w:p>
    <w:p w14:paraId="0E9B1833"/>
    <w:p w14:paraId="3EE5AD1B"/>
    <w:p w14:paraId="3737A5AC"/>
    <w:p w14:paraId="4567F4A1"/>
    <w:p w14:paraId="34C1985B"/>
    <w:p w14:paraId="4D804BA9">
      <w:pPr>
        <w:jc w:val="center"/>
        <w:rPr>
          <w:rFonts w:asciiTheme="minorEastAsia" w:hAnsiTheme="minorEastAsia" w:eastAsiaTheme="minorEastAsia"/>
          <w:b/>
          <w:bCs/>
          <w:szCs w:val="21"/>
        </w:rPr>
      </w:pPr>
    </w:p>
    <w:p w14:paraId="1367AE0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ascii="宋体" w:hAnsi="宋体"/>
          <w:sz w:val="24"/>
        </w:rPr>
      </w:pPr>
    </w:p>
    <w:p w14:paraId="7652862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ascii="仿宋" w:hAnsi="仿宋" w:eastAsia="仿宋"/>
          <w:sz w:val="24"/>
        </w:rPr>
      </w:pPr>
    </w:p>
    <w:p w14:paraId="765C94BC">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ascii="仿宋" w:hAnsi="仿宋" w:eastAsia="仿宋"/>
          <w:sz w:val="24"/>
        </w:rPr>
      </w:pPr>
    </w:p>
    <w:p w14:paraId="1A9DB0BD">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ascii="仿宋_GB2312" w:eastAsia="仿宋_GB2312"/>
              <w:sz w:val="24"/>
            </w:rPr>
            <w:t>64</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人工智能技术与应用专业算力服务器采购项目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11</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SZZZ2026-QA0086</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人工智能技术与应用专业算力服务器采购项目</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1F37B0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850,000.00</w:t>
      </w:r>
      <w:r>
        <w:rPr>
          <w:rFonts w:hint="eastAsia" w:ascii="宋体" w:hAnsi="宋体" w:eastAsia="宋体"/>
          <w:snapToGrid w:val="0"/>
          <w:color w:val="auto"/>
          <w:sz w:val="21"/>
          <w:szCs w:val="21"/>
        </w:rPr>
        <w:t>元</w:t>
      </w:r>
    </w:p>
    <w:p w14:paraId="3D21294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850,000.00</w:t>
      </w:r>
      <w:r>
        <w:rPr>
          <w:rFonts w:hint="eastAsia" w:ascii="宋体" w:hAnsi="宋体" w:eastAsia="宋体"/>
          <w:snapToGrid w:val="0"/>
          <w:color w:val="auto"/>
          <w:sz w:val="21"/>
          <w:szCs w:val="21"/>
        </w:rPr>
        <w:t>元</w:t>
      </w:r>
    </w:p>
    <w:p w14:paraId="3A6DF4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598"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hint="eastAsia" w:eastAsia="宋体" w:asciiTheme="minorEastAsia" w:hAnsiTheme="minorEastAsia"/>
                <w:sz w:val="21"/>
                <w:szCs w:val="21"/>
                <w:lang w:val="en-US" w:eastAsia="zh-CN"/>
              </w:rPr>
            </w:pPr>
            <w:r>
              <w:rPr>
                <w:rFonts w:hint="eastAsia" w:ascii="宋体" w:hAnsi="宋体" w:cs="宋体"/>
                <w:sz w:val="21"/>
                <w:szCs w:val="21"/>
                <w:lang w:val="en-US" w:eastAsia="zh-CN"/>
              </w:rPr>
              <w:t>套</w:t>
            </w:r>
          </w:p>
        </w:tc>
        <w:tc>
          <w:tcPr>
            <w:tcW w:w="2977" w:type="dxa"/>
            <w:shd w:val="clear" w:color="auto" w:fill="auto"/>
            <w:vAlign w:val="center"/>
          </w:tcPr>
          <w:p w14:paraId="73E04DCD">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61E4AA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5CA7554B">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lang w:eastAsia="zh-CN"/>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w:t>
      </w:r>
      <w:r>
        <w:rPr>
          <w:rFonts w:hint="eastAsia" w:asciiTheme="minorEastAsia" w:hAnsiTheme="minorEastAsia" w:eastAsiaTheme="minorEastAsia" w:cstheme="minorEastAsia"/>
          <w:snapToGrid w:val="0"/>
          <w:color w:val="auto"/>
          <w:sz w:val="21"/>
          <w:szCs w:val="21"/>
        </w:rPr>
        <w:t>未被记入深圳市第一职业技术学校诚信档案（投标人无须提供证明材料，以采购人提供的诚信信息为准）</w:t>
      </w:r>
      <w:r>
        <w:rPr>
          <w:rFonts w:hint="eastAsia" w:asciiTheme="minorEastAsia" w:hAnsiTheme="minorEastAsia" w:eastAsiaTheme="minorEastAsia" w:cstheme="minorEastAsia"/>
          <w:snapToGrid w:val="0"/>
          <w:color w:val="auto"/>
          <w:sz w:val="21"/>
          <w:szCs w:val="21"/>
          <w:lang w:eastAsia="zh-CN"/>
        </w:rPr>
        <w:t>；</w:t>
      </w:r>
    </w:p>
    <w:p w14:paraId="116A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cstheme="minorEastAsia"/>
          <w:snapToGrid w:val="0"/>
          <w:color w:val="auto"/>
          <w:sz w:val="21"/>
          <w:szCs w:val="21"/>
          <w:lang w:eastAsia="zh-CN"/>
        </w:rPr>
        <w:t>（</w:t>
      </w:r>
      <w:r>
        <w:rPr>
          <w:rFonts w:hint="eastAsia" w:asciiTheme="minorEastAsia" w:hAnsiTheme="minorEastAsia" w:eastAsiaTheme="minorEastAsia" w:cstheme="minorEastAsia"/>
          <w:snapToGrid w:val="0"/>
          <w:color w:val="auto"/>
          <w:sz w:val="21"/>
          <w:szCs w:val="21"/>
          <w:lang w:val="en-US" w:eastAsia="zh-CN"/>
        </w:rPr>
        <w:t>9</w:t>
      </w:r>
      <w:r>
        <w:rPr>
          <w:rFonts w:hint="eastAsia" w:asciiTheme="minorEastAsia" w:hAnsiTheme="minorEastAsia" w:eastAsiaTheme="minorEastAsia" w:cstheme="minorEastAsia"/>
          <w:snapToGrid w:val="0"/>
          <w:color w:val="auto"/>
          <w:sz w:val="21"/>
          <w:szCs w:val="21"/>
          <w:lang w:eastAsia="zh-CN"/>
        </w:rPr>
        <w:t>）</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23F6D7B6">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28</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9ABA18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lang w:eastAsia="zh-CN"/>
        </w:rPr>
        <w:t>2026</w:t>
      </w:r>
      <w:r>
        <w:rPr>
          <w:rFonts w:hint="eastAsia" w:ascii="宋体" w:hAnsi="宋体" w:eastAsia="宋体"/>
          <w:snapToGrid w:val="0"/>
          <w:color w:val="auto"/>
          <w:sz w:val="21"/>
          <w:szCs w:val="21"/>
        </w:rPr>
        <w:t>年</w:t>
      </w: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月</w:t>
      </w:r>
      <w:r>
        <w:rPr>
          <w:rFonts w:hint="eastAsia" w:ascii="宋体" w:hAnsi="宋体" w:eastAsia="宋体"/>
          <w:snapToGrid w:val="0"/>
          <w:color w:val="auto"/>
          <w:sz w:val="21"/>
          <w:szCs w:val="21"/>
          <w:lang w:val="en-US" w:eastAsia="zh-CN"/>
        </w:rPr>
        <w:t>11</w:t>
      </w:r>
      <w:r>
        <w:rPr>
          <w:rFonts w:hint="eastAsia" w:ascii="宋体" w:hAnsi="宋体" w:eastAsia="宋体"/>
          <w:snapToGrid w:val="0"/>
          <w:color w:val="auto"/>
          <w:sz w:val="21"/>
          <w:szCs w:val="21"/>
        </w:rPr>
        <w:t>日</w:t>
      </w:r>
      <w:r>
        <w:rPr>
          <w:rFonts w:hint="eastAsia" w:ascii="宋体" w:hAnsi="宋体" w:eastAsia="宋体"/>
          <w:snapToGrid w:val="0"/>
          <w:color w:val="auto"/>
          <w:sz w:val="21"/>
          <w:szCs w:val="21"/>
          <w:lang w:val="en-US" w:eastAsia="zh-CN"/>
        </w:rPr>
        <w:t>09</w:t>
      </w:r>
      <w:r>
        <w:rPr>
          <w:rFonts w:hint="eastAsia" w:ascii="宋体" w:hAnsi="宋体" w:eastAsia="宋体"/>
          <w:snapToGrid w:val="0"/>
          <w:color w:val="auto"/>
          <w:sz w:val="21"/>
          <w:szCs w:val="21"/>
        </w:rPr>
        <w:t>点30分</w:t>
      </w:r>
      <w:r>
        <w:rPr>
          <w:rFonts w:hint="eastAsia" w:ascii="宋体" w:hAnsi="宋体" w:eastAsia="宋体"/>
          <w:snapToGrid w:val="0"/>
          <w:color w:val="auto"/>
          <w:sz w:val="21"/>
          <w:szCs w:val="21"/>
          <w:u w:val="single"/>
        </w:rPr>
        <w:t>（北京时间）</w:t>
      </w:r>
    </w:p>
    <w:p w14:paraId="334B5CD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0EFF6ADB">
      <w:pPr>
        <w:pStyle w:val="453"/>
        <w:adjustRightInd w:val="0"/>
        <w:snapToGrid w:val="0"/>
        <w:spacing w:before="0" w:beforeAutospacing="0" w:after="0" w:afterAutospacing="0" w:line="360" w:lineRule="auto"/>
        <w:ind w:firstLine="420" w:firstLineChars="200"/>
        <w:rPr>
          <w:rFonts w:hint="default"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eastAsia" w:ascii="宋体" w:hAnsi="宋体" w:eastAsia="宋体"/>
          <w:snapToGrid w:val="0"/>
          <w:color w:val="auto"/>
          <w:sz w:val="21"/>
          <w:szCs w:val="21"/>
          <w:highlight w:val="yellow"/>
        </w:rPr>
        <w:fldChar w:fldCharType="begin"/>
      </w:r>
      <w:r>
        <w:rPr>
          <w:rFonts w:hint="eastAsia" w:ascii="宋体" w:hAnsi="宋体" w:eastAsia="宋体"/>
          <w:snapToGrid w:val="0"/>
          <w:color w:val="auto"/>
          <w:sz w:val="21"/>
          <w:szCs w:val="21"/>
          <w:highlight w:val="yellow"/>
        </w:rPr>
        <w:instrText xml:space="preserve"> HYPERLINK "file://zsq/%E7%BD%91%E7%AB%99%E5%8F%91%E5%B8%83/%E6%8B%9B%E6%A0%87%E5%85%AC%E5%91%8A/%E9%87%87%E8%B4%AD%E5%85%AC%E5%91%8A--%E6%B7%B1%E5%9C%B3%E5%B8%82%E9%AB%98%E7%BA%A7%E4%B8%AD%E5%AD%A6%E5%8F%AF%E8%B0%83%E8%8A%82%E5%8D%87%E9%99%8D%E5%8D%88%E4%BC%91%E8%AF%BE%E6%A1%8C%E6%A4%85.docx" \l "/register%E3%80%82" </w:instrText>
      </w:r>
      <w:r>
        <w:rPr>
          <w:rFonts w:hint="eastAsia" w:ascii="宋体" w:hAnsi="宋体" w:eastAsia="宋体"/>
          <w:snapToGrid w:val="0"/>
          <w:color w:val="auto"/>
          <w:sz w:val="21"/>
          <w:szCs w:val="21"/>
          <w:highlight w:val="yellow"/>
        </w:rPr>
        <w:fldChar w:fldCharType="separate"/>
      </w:r>
      <w:r>
        <w:rPr>
          <w:rFonts w:hint="eastAsia" w:ascii="宋体" w:hAnsi="宋体" w:eastAsia="宋体"/>
          <w:snapToGrid w:val="0"/>
          <w:color w:val="auto"/>
          <w:sz w:val="21"/>
          <w:szCs w:val="21"/>
          <w:highlight w:val="yellow"/>
        </w:rPr>
        <w:t>https://trade.szggzy.com/ggzy/center/#/register。</w:t>
      </w:r>
      <w:r>
        <w:rPr>
          <w:rFonts w:hint="default" w:ascii="宋体" w:hAnsi="宋体" w:eastAsia="宋体"/>
          <w:snapToGrid w:val="0"/>
          <w:color w:val="auto"/>
          <w:sz w:val="21"/>
          <w:szCs w:val="21"/>
          <w:highlight w:val="yellow"/>
        </w:rPr>
        <w:fldChar w:fldCharType="end"/>
      </w:r>
    </w:p>
    <w:p w14:paraId="629700F2">
      <w:pPr>
        <w:pStyle w:val="453"/>
        <w:adjustRightInd w:val="0"/>
        <w:snapToGrid w:val="0"/>
        <w:spacing w:before="0" w:beforeAutospacing="0" w:after="0" w:afterAutospacing="0" w:line="360" w:lineRule="auto"/>
        <w:ind w:left="359" w:leftChars="171" w:firstLine="491" w:firstLineChars="234"/>
        <w:rPr>
          <w:rFonts w:hint="default" w:ascii="宋体" w:hAnsi="宋体" w:eastAsia="宋体"/>
          <w:snapToGrid w:val="0"/>
          <w:color w:val="auto"/>
          <w:sz w:val="21"/>
          <w:szCs w:val="21"/>
        </w:rPr>
      </w:pPr>
    </w:p>
    <w:p w14:paraId="16B8EDB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4FB3AA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名称：深圳市第一职业技术学校</w:t>
      </w:r>
    </w:p>
    <w:p w14:paraId="7E3B4791">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地址：深圳市福田区皇岗路3009号</w:t>
      </w:r>
    </w:p>
    <w:p w14:paraId="17CC58E4">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联系方式：姚老师，0755-83663017</w:t>
      </w:r>
    </w:p>
    <w:p w14:paraId="4E7F3B3E">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DA9241D">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8E8D279">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1945F51">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联系方式：庄先生/周小姐，0755-83026699</w:t>
      </w:r>
    </w:p>
    <w:p w14:paraId="2F1E334E">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3、项目联系方式</w:t>
      </w:r>
    </w:p>
    <w:p w14:paraId="6D9D9075">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项目联系人：庄先生/周小姐</w:t>
      </w:r>
    </w:p>
    <w:p w14:paraId="59D5E125">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5</w:t>
      </w:r>
      <w:r>
        <w:rPr>
          <w:rFonts w:ascii="宋体" w:hAnsi="宋体"/>
          <w:snapToGrid w:val="0"/>
          <w:kern w:val="0"/>
          <w:sz w:val="24"/>
        </w:rPr>
        <w:t>月</w:t>
      </w:r>
      <w:r>
        <w:rPr>
          <w:rFonts w:hint="eastAsia" w:ascii="宋体" w:hAnsi="宋体"/>
          <w:snapToGrid w:val="0"/>
          <w:kern w:val="0"/>
          <w:sz w:val="24"/>
          <w:lang w:val="en-US" w:eastAsia="zh-CN"/>
        </w:rPr>
        <w:t>28</w:t>
      </w:r>
      <w:r>
        <w:rPr>
          <w:rFonts w:hint="eastAsia" w:ascii="宋体" w:hAnsi="宋体"/>
          <w:snapToGrid w:val="0"/>
          <w:kern w:val="0"/>
          <w:sz w:val="24"/>
        </w:rPr>
        <w:t>日</w:t>
      </w: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0037EC8">
      <w:pPr>
        <w:rPr>
          <w:rFonts w:hint="eastAsia"/>
        </w:rPr>
      </w:pPr>
      <w:bookmarkStart w:id="2" w:name="_Toc135293321"/>
      <w:r>
        <w:rPr>
          <w:rFonts w:hint="eastAsia"/>
        </w:rPr>
        <w:br w:type="page"/>
      </w:r>
    </w:p>
    <w:p w14:paraId="0526D094">
      <w:pPr>
        <w:pStyle w:val="2"/>
      </w:pPr>
      <w:r>
        <w:rPr>
          <w:rFonts w:hint="eastAsia"/>
        </w:rPr>
        <w:t>第二章  项目需求</w:t>
      </w:r>
      <w:bookmarkEnd w:id="2"/>
    </w:p>
    <w:p w14:paraId="594C8182">
      <w:pPr>
        <w:spacing w:afterLines="50" w:line="360" w:lineRule="auto"/>
        <w:ind w:left="2"/>
        <w:jc w:val="center"/>
        <w:rPr>
          <w:rFonts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ascii="宋体" w:hAnsi="宋体" w:cs="宋体"/>
                <w:b/>
                <w:kern w:val="0"/>
                <w:szCs w:val="21"/>
              </w:rPr>
            </w:pPr>
            <w:r>
              <w:rPr>
                <w:rFonts w:hint="eastAsia" w:ascii="宋体" w:hAnsi="宋体" w:eastAsia="宋体" w:cs="宋体"/>
                <w:b/>
                <w:kern w:val="0"/>
                <w:szCs w:val="21"/>
                <w:lang w:val="en-US" w:eastAsia="zh-CN"/>
              </w:rPr>
              <w:t>项目</w:t>
            </w:r>
            <w:r>
              <w:rPr>
                <w:rFonts w:hint="eastAsia" w:ascii="宋体" w:hAnsi="宋体" w:eastAsia="宋体" w:cs="宋体"/>
                <w:b/>
                <w:kern w:val="0"/>
                <w:szCs w:val="21"/>
              </w:rPr>
              <w:t>名称</w:t>
            </w:r>
          </w:p>
        </w:tc>
        <w:tc>
          <w:tcPr>
            <w:tcW w:w="850" w:type="dxa"/>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人工智能技术与应用专业算力服务器采购项目</w:t>
            </w:r>
          </w:p>
        </w:tc>
        <w:tc>
          <w:tcPr>
            <w:tcW w:w="850" w:type="dxa"/>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val="en-US" w:eastAsia="zh-CN"/>
              </w:rPr>
              <w:t>套</w:t>
            </w:r>
          </w:p>
        </w:tc>
        <w:tc>
          <w:tcPr>
            <w:tcW w:w="1701" w:type="dxa"/>
            <w:vAlign w:val="center"/>
          </w:tcPr>
          <w:p w14:paraId="7C1C0756">
            <w:pPr>
              <w:jc w:val="center"/>
              <w:rPr>
                <w:rFonts w:hint="default" w:ascii="宋体" w:hAnsi="宋体" w:eastAsia="宋体" w:cs="宋体"/>
                <w:bCs/>
                <w:kern w:val="0"/>
                <w:szCs w:val="21"/>
                <w:lang w:val="en-US" w:eastAsia="zh-CN"/>
              </w:rPr>
            </w:pPr>
            <w:r>
              <w:rPr>
                <w:rFonts w:hint="eastAsia" w:ascii="宋体" w:hAnsi="宋体" w:cs="宋体"/>
                <w:bCs/>
                <w:kern w:val="0"/>
                <w:szCs w:val="21"/>
                <w:lang w:val="en-US" w:eastAsia="zh-CN"/>
              </w:rPr>
              <w:t>850000.00</w:t>
            </w:r>
          </w:p>
        </w:tc>
        <w:tc>
          <w:tcPr>
            <w:tcW w:w="1417" w:type="dxa"/>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65C6E32F">
      <w:pPr>
        <w:rPr>
          <w:rFonts w:hint="eastAsia" w:ascii="宋体" w:hAnsi="宋体"/>
          <w:b/>
          <w:szCs w:val="21"/>
        </w:rPr>
      </w:pPr>
    </w:p>
    <w:p w14:paraId="305437FF">
      <w:pPr>
        <w:rPr>
          <w:rFonts w:ascii="宋体" w:hAnsi="宋体"/>
          <w:b/>
          <w:szCs w:val="21"/>
        </w:rPr>
      </w:pPr>
      <w:r>
        <w:rPr>
          <w:rFonts w:hint="eastAsia" w:ascii="宋体" w:hAnsi="宋体"/>
          <w:b/>
          <w:szCs w:val="21"/>
        </w:rPr>
        <w:t>（二）货物清单明细</w:t>
      </w:r>
    </w:p>
    <w:tbl>
      <w:tblPr>
        <w:tblStyle w:val="50"/>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1187"/>
        <w:gridCol w:w="1527"/>
        <w:gridCol w:w="1620"/>
      </w:tblGrid>
      <w:tr w14:paraId="68D3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05ADEAB7">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969" w:type="dxa"/>
            <w:vAlign w:val="center"/>
          </w:tcPr>
          <w:p w14:paraId="7C4D9204">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1187" w:type="dxa"/>
            <w:vAlign w:val="center"/>
          </w:tcPr>
          <w:p w14:paraId="2DC2F54D">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1527" w:type="dxa"/>
            <w:vAlign w:val="center"/>
          </w:tcPr>
          <w:p w14:paraId="7B57DFC9">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620" w:type="dxa"/>
            <w:vAlign w:val="center"/>
          </w:tcPr>
          <w:p w14:paraId="52C490F2">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76AE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D838618">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969" w:type="dxa"/>
            <w:vAlign w:val="center"/>
          </w:tcPr>
          <w:p w14:paraId="2F5F2E17">
            <w:pPr>
              <w:widowControl/>
              <w:spacing w:line="360" w:lineRule="auto"/>
              <w:jc w:val="center"/>
              <w:rPr>
                <w:rFonts w:ascii="宋体" w:hAnsi="宋体" w:cs="宋体"/>
                <w:kern w:val="0"/>
                <w:szCs w:val="21"/>
              </w:rPr>
            </w:pPr>
            <w:r>
              <w:rPr>
                <w:rFonts w:hint="eastAsia" w:ascii="宋体" w:hAnsi="宋体" w:cs="宋体"/>
                <w:kern w:val="0"/>
                <w:szCs w:val="21"/>
                <w:lang w:eastAsia="zh-CN"/>
              </w:rPr>
              <w:t>人工智能技术与应用专业算力服务器采购项目</w:t>
            </w:r>
          </w:p>
        </w:tc>
        <w:tc>
          <w:tcPr>
            <w:tcW w:w="1187" w:type="dxa"/>
            <w:vAlign w:val="center"/>
          </w:tcPr>
          <w:p w14:paraId="75200B0F">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1527" w:type="dxa"/>
            <w:vAlign w:val="center"/>
          </w:tcPr>
          <w:p w14:paraId="27CE4E29">
            <w:pPr>
              <w:widowControl/>
              <w:spacing w:line="360" w:lineRule="auto"/>
              <w:jc w:val="center"/>
              <w:rPr>
                <w:rFonts w:ascii="宋体" w:hAnsi="宋体" w:cs="宋体"/>
                <w:kern w:val="0"/>
                <w:szCs w:val="21"/>
              </w:rPr>
            </w:pPr>
            <w:r>
              <w:rPr>
                <w:rFonts w:hint="eastAsia" w:ascii="宋体" w:hAnsi="宋体" w:cs="宋体"/>
                <w:kern w:val="0"/>
                <w:szCs w:val="21"/>
                <w:lang w:val="en-US" w:eastAsia="zh-CN"/>
              </w:rPr>
              <w:t>套</w:t>
            </w:r>
          </w:p>
        </w:tc>
        <w:tc>
          <w:tcPr>
            <w:tcW w:w="1620" w:type="dxa"/>
            <w:vAlign w:val="center"/>
          </w:tcPr>
          <w:p w14:paraId="737E7F9E">
            <w:pPr>
              <w:spacing w:line="360" w:lineRule="auto"/>
              <w:jc w:val="left"/>
              <w:rPr>
                <w:rFonts w:ascii="宋体" w:hAnsi="宋体" w:cs="宋体"/>
                <w:kern w:val="0"/>
                <w:szCs w:val="21"/>
              </w:rPr>
            </w:pPr>
            <w:r>
              <w:rPr>
                <w:rFonts w:hint="eastAsia" w:ascii="宋体" w:hAnsi="宋体" w:cs="宋体"/>
                <w:kern w:val="0"/>
                <w:szCs w:val="21"/>
              </w:rPr>
              <w:t>拒绝进口</w:t>
            </w:r>
          </w:p>
        </w:tc>
      </w:tr>
    </w:tbl>
    <w:p w14:paraId="1FA8320C">
      <w:pPr>
        <w:pStyle w:val="453"/>
        <w:adjustRightInd w:val="0"/>
        <w:snapToGrid w:val="0"/>
        <w:spacing w:before="0" w:beforeAutospacing="0" w:after="0" w:afterAutospacing="0" w:line="360" w:lineRule="auto"/>
        <w:ind w:firstLine="420" w:firstLineChars="200"/>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67360A14">
      <w:pPr>
        <w:rPr>
          <w:rFonts w:hint="default" w:ascii="宋体" w:hAnsi="宋体" w:eastAsia="宋体" w:cs="Times New Roman"/>
          <w:b/>
          <w:szCs w:val="21"/>
          <w:lang w:val="en-US" w:eastAsia="zh-CN"/>
        </w:rPr>
      </w:pPr>
      <w:r>
        <w:rPr>
          <w:rFonts w:hint="eastAsia" w:ascii="宋体" w:hAnsi="宋体" w:eastAsia="宋体" w:cs="Times New Roman"/>
          <w:b/>
          <w:szCs w:val="21"/>
          <w:lang w:eastAsia="zh-CN"/>
        </w:rPr>
        <w:t>（</w:t>
      </w:r>
      <w:r>
        <w:rPr>
          <w:rFonts w:hint="eastAsia" w:ascii="宋体" w:hAnsi="宋体" w:eastAsia="宋体" w:cs="Times New Roman"/>
          <w:b/>
          <w:szCs w:val="21"/>
          <w:lang w:val="en-US" w:eastAsia="zh-CN"/>
        </w:rPr>
        <w:t>三</w:t>
      </w:r>
      <w:r>
        <w:rPr>
          <w:rFonts w:hint="eastAsia" w:ascii="宋体" w:hAnsi="宋体" w:eastAsia="宋体" w:cs="Times New Roman"/>
          <w:b/>
          <w:szCs w:val="21"/>
          <w:lang w:eastAsia="zh-CN"/>
        </w:rPr>
        <w:t>）</w:t>
      </w:r>
      <w:r>
        <w:rPr>
          <w:rFonts w:hint="eastAsia" w:ascii="宋体" w:hAnsi="宋体" w:eastAsia="宋体" w:cs="Times New Roman"/>
          <w:b/>
          <w:szCs w:val="21"/>
          <w:lang w:val="en-US" w:eastAsia="zh-CN"/>
        </w:rPr>
        <w:t>项目背景</w:t>
      </w:r>
    </w:p>
    <w:p w14:paraId="447E051D">
      <w:pPr>
        <w:adjustRightInd w:val="0"/>
        <w:snapToGrid w:val="0"/>
        <w:spacing w:line="360" w:lineRule="auto"/>
        <w:ind w:firstLine="422" w:firstLineChars="201"/>
        <w:rPr>
          <w:rFonts w:hint="eastAsia" w:ascii="宋体" w:hAnsi="宋体" w:eastAsia="宋体" w:cs="Times New Roman"/>
          <w:bCs/>
          <w:snapToGrid w:val="0"/>
          <w:kern w:val="0"/>
          <w:szCs w:val="21"/>
          <w:lang w:eastAsia="zh-CN"/>
        </w:rPr>
      </w:pPr>
      <w:r>
        <w:rPr>
          <w:rFonts w:hint="eastAsia" w:ascii="宋体" w:hAnsi="宋体" w:eastAsia="宋体" w:cs="Times New Roman"/>
          <w:bCs/>
          <w:snapToGrid w:val="0"/>
          <w:kern w:val="0"/>
          <w:szCs w:val="21"/>
        </w:rPr>
        <w:t>完成服务器采购与上架，搭载96GB GPU卡×4，构成四卡共享推理资源池，为平台本地AI推理服务提供充足算力。完成GLM-5、Qwen3-Coder、BGE-M3三类模型本地化部署，构建统一推理服务层，平台各模块按需调用，所有学生数据及推理过程均在校内服务器完成，不经过任何第三方。建设模型管理系统，实现多模型统一接入管理、调用监控、算力配额分配与版本管理，确保AI资源使用透明可控</w:t>
      </w:r>
      <w:r>
        <w:rPr>
          <w:rFonts w:hint="eastAsia" w:ascii="宋体" w:hAnsi="宋体" w:eastAsia="宋体" w:cs="Times New Roman"/>
          <w:bCs/>
          <w:snapToGrid w:val="0"/>
          <w:kern w:val="0"/>
          <w:szCs w:val="21"/>
          <w:lang w:eastAsia="zh-CN"/>
        </w:rPr>
        <w:t>。</w:t>
      </w:r>
    </w:p>
    <w:p w14:paraId="2C1F40C8">
      <w:pPr>
        <w:spacing w:line="360" w:lineRule="auto"/>
        <w:ind w:left="2" w:firstLine="484" w:firstLineChars="201"/>
        <w:rPr>
          <w:rFonts w:hint="eastAsia" w:ascii="宋体" w:hAnsi="宋体"/>
          <w:b/>
          <w:bCs/>
          <w:snapToGrid w:val="0"/>
          <w:kern w:val="0"/>
          <w:sz w:val="24"/>
          <w:lang w:eastAsia="zh-CN"/>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56B7DB5">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tbl>
      <w:tblPr>
        <w:tblStyle w:val="50"/>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76"/>
        <w:gridCol w:w="7265"/>
      </w:tblGrid>
      <w:tr w14:paraId="3DB5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noWrap w:val="0"/>
            <w:vAlign w:val="center"/>
          </w:tcPr>
          <w:p w14:paraId="241C7890">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476" w:type="dxa"/>
            <w:noWrap w:val="0"/>
            <w:vAlign w:val="center"/>
          </w:tcPr>
          <w:p w14:paraId="15D0C35C">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货物名称</w:t>
            </w:r>
          </w:p>
        </w:tc>
        <w:tc>
          <w:tcPr>
            <w:tcW w:w="7265" w:type="dxa"/>
            <w:noWrap w:val="0"/>
            <w:vAlign w:val="center"/>
          </w:tcPr>
          <w:p w14:paraId="4E52ACB8">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招标技术</w:t>
            </w:r>
            <w:r>
              <w:rPr>
                <w:rFonts w:hint="eastAsia" w:asciiTheme="minorEastAsia" w:hAnsiTheme="minorEastAsia" w:eastAsiaTheme="minorEastAsia" w:cstheme="minorEastAsia"/>
                <w:sz w:val="21"/>
                <w:szCs w:val="21"/>
                <w:lang w:val="en-US" w:eastAsia="zh-CN"/>
              </w:rPr>
              <w:t>参数</w:t>
            </w:r>
            <w:r>
              <w:rPr>
                <w:rFonts w:hint="eastAsia" w:asciiTheme="minorEastAsia" w:hAnsiTheme="minorEastAsia" w:eastAsiaTheme="minorEastAsia" w:cstheme="minorEastAsia"/>
                <w:sz w:val="21"/>
                <w:szCs w:val="21"/>
              </w:rPr>
              <w:t>要求</w:t>
            </w:r>
          </w:p>
        </w:tc>
      </w:tr>
      <w:tr w14:paraId="38D3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restart"/>
            <w:noWrap w:val="0"/>
            <w:vAlign w:val="center"/>
          </w:tcPr>
          <w:p w14:paraId="56097976">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1476" w:type="dxa"/>
            <w:vMerge w:val="restart"/>
            <w:noWrap w:val="0"/>
            <w:vAlign w:val="center"/>
          </w:tcPr>
          <w:p w14:paraId="7BF2B9CC">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人工智能技术与应用专业算力服务器采购项目</w:t>
            </w:r>
          </w:p>
        </w:tc>
        <w:tc>
          <w:tcPr>
            <w:tcW w:w="7265" w:type="dxa"/>
            <w:noWrap w:val="0"/>
            <w:vAlign w:val="center"/>
          </w:tcPr>
          <w:p w14:paraId="51FA3FA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val="0"/>
                <w:sz w:val="21"/>
                <w:szCs w:val="21"/>
                <w:lang w:val="en-US" w:eastAsia="zh-CN"/>
              </w:rPr>
              <w:t>1.1服务器主机模块</w:t>
            </w:r>
          </w:p>
        </w:tc>
      </w:tr>
      <w:tr w14:paraId="70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5AE8AAC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90AAE7E">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bCs/>
                <w:sz w:val="21"/>
                <w:szCs w:val="21"/>
              </w:rPr>
            </w:pPr>
          </w:p>
        </w:tc>
        <w:tc>
          <w:tcPr>
            <w:tcW w:w="7265" w:type="dxa"/>
            <w:noWrap w:val="0"/>
            <w:vAlign w:val="center"/>
          </w:tcPr>
          <w:p w14:paraId="3E1C76B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（1）机箱：4U</w:t>
            </w:r>
          </w:p>
        </w:tc>
      </w:tr>
      <w:tr w14:paraId="451D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633C4DAB">
            <w:pPr>
              <w:keepNext w:val="0"/>
              <w:keepLines w:val="0"/>
              <w:pageBreakBefore w:val="0"/>
              <w:kinsoku/>
              <w:wordWrap/>
              <w:overflowPunct/>
              <w:topLinePunct w:val="0"/>
              <w:autoSpaceDE/>
              <w:autoSpaceDN/>
              <w:bidi w:val="0"/>
              <w:spacing w:line="360" w:lineRule="auto"/>
              <w:jc w:val="both"/>
              <w:textAlignment w:val="auto"/>
            </w:pPr>
          </w:p>
        </w:tc>
        <w:tc>
          <w:tcPr>
            <w:tcW w:w="1476" w:type="dxa"/>
            <w:vMerge w:val="continue"/>
            <w:noWrap w:val="0"/>
            <w:vAlign w:val="center"/>
          </w:tcPr>
          <w:p w14:paraId="3A22143B">
            <w:pPr>
              <w:keepNext w:val="0"/>
              <w:keepLines w:val="0"/>
              <w:pageBreakBefore w:val="0"/>
              <w:kinsoku/>
              <w:wordWrap/>
              <w:overflowPunct/>
              <w:topLinePunct w:val="0"/>
              <w:autoSpaceDE/>
              <w:autoSpaceDN/>
              <w:bidi w:val="0"/>
              <w:spacing w:line="360" w:lineRule="auto"/>
              <w:jc w:val="both"/>
              <w:textAlignment w:val="auto"/>
            </w:pPr>
          </w:p>
        </w:tc>
        <w:tc>
          <w:tcPr>
            <w:tcW w:w="7265" w:type="dxa"/>
            <w:noWrap w:val="0"/>
            <w:vAlign w:val="center"/>
          </w:tcPr>
          <w:p w14:paraId="4A2BD70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（2）CPU:≥2个6530（32核，2.1GHz）</w:t>
            </w:r>
          </w:p>
        </w:tc>
      </w:tr>
      <w:tr w14:paraId="7602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547FA53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15DCA6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442DFB5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（3）内存:32插槽，配置8*64G，共512GB，支持后续扩容</w:t>
            </w:r>
          </w:p>
        </w:tc>
      </w:tr>
      <w:tr w14:paraId="7B54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4385166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BB4FE4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10AB3BA2">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（4）存储:2T SSD +8T 机械硬盘</w:t>
            </w:r>
          </w:p>
        </w:tc>
      </w:tr>
      <w:tr w14:paraId="72FD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410D1CA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4AB345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5D4CC5F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highlight w:val="yellow"/>
                <w:lang w:val="en-US" w:eastAsia="zh-CN"/>
              </w:rPr>
              <w:t>★（5）GPU：≥4*96GB ，双宽PCIe，被动散热，4张合计384GB显存，构成四卡共享推理资源池。</w:t>
            </w:r>
          </w:p>
        </w:tc>
      </w:tr>
      <w:tr w14:paraId="38F4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0E2F357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755F9D0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706EA3B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（6）网卡：25G网卡</w:t>
            </w:r>
          </w:p>
        </w:tc>
      </w:tr>
      <w:tr w14:paraId="7359B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1A4C6E9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6516D19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1605C1C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（7）含上架导轨、电源线</w:t>
            </w:r>
          </w:p>
        </w:tc>
      </w:tr>
      <w:tr w14:paraId="40180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63C1CF7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5942F1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71895CDE">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highlight w:val="yellow"/>
                <w:lang w:val="en-US" w:eastAsia="zh-CN"/>
              </w:rPr>
              <w:t>★（8）非OEM设备</w:t>
            </w:r>
          </w:p>
        </w:tc>
      </w:tr>
      <w:tr w14:paraId="53A8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44D8FDD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799B953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09AF27A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1.2 交换机1台</w:t>
            </w:r>
          </w:p>
        </w:tc>
      </w:tr>
      <w:tr w14:paraId="61E3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4265F45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19C841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02DCC46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（1）24口千兆电口+4口万兆SFP+上行</w:t>
            </w:r>
          </w:p>
        </w:tc>
      </w:tr>
      <w:tr w14:paraId="613A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3982704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25C540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7BE6EF2D">
            <w:pPr>
              <w:keepNext w:val="0"/>
              <w:keepLines w:val="0"/>
              <w:pageBreakBefore w:val="0"/>
              <w:numPr>
                <w:ilvl w:val="0"/>
                <w:numId w:val="0"/>
              </w:numPr>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lang w:val="en-US" w:eastAsia="zh-CN"/>
              </w:rPr>
              <w:t>支持VLAN/QoS/端口聚合/生成树</w:t>
            </w:r>
          </w:p>
        </w:tc>
      </w:tr>
      <w:tr w14:paraId="095E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611A9FF1">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40D350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4458815E">
            <w:pPr>
              <w:keepNext w:val="0"/>
              <w:keepLines w:val="0"/>
              <w:pageBreakBefore w:val="0"/>
              <w:numPr>
                <w:ilvl w:val="0"/>
                <w:numId w:val="0"/>
              </w:numPr>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kern w:val="2"/>
                <w:sz w:val="21"/>
                <w:szCs w:val="21"/>
                <w:lang w:val="en-US" w:eastAsia="zh-CN" w:bidi="ar-SA"/>
              </w:rPr>
              <w:t>（3）</w:t>
            </w:r>
            <w:r>
              <w:rPr>
                <w:rFonts w:hint="eastAsia" w:asciiTheme="minorEastAsia" w:hAnsiTheme="minorEastAsia" w:eastAsiaTheme="minorEastAsia" w:cstheme="minorEastAsia"/>
                <w:sz w:val="21"/>
                <w:szCs w:val="21"/>
                <w:lang w:val="en-US" w:eastAsia="zh-CN"/>
              </w:rPr>
              <w:t>Web网管+CLI管理</w:t>
            </w:r>
          </w:p>
        </w:tc>
      </w:tr>
      <w:tr w14:paraId="2AD7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06C036A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1F608B9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2CCC49BC">
            <w:pPr>
              <w:keepNext w:val="0"/>
              <w:keepLines w:val="0"/>
              <w:pageBreakBefore w:val="0"/>
              <w:numPr>
                <w:ilvl w:val="0"/>
                <w:numId w:val="0"/>
              </w:numPr>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（4）</w:t>
            </w:r>
            <w:r>
              <w:rPr>
                <w:rFonts w:hint="eastAsia" w:asciiTheme="minorEastAsia" w:hAnsiTheme="minorEastAsia" w:eastAsiaTheme="minorEastAsia" w:cstheme="minorEastAsia"/>
                <w:sz w:val="21"/>
                <w:szCs w:val="21"/>
                <w:lang w:val="en-US" w:eastAsia="zh-CN"/>
              </w:rPr>
              <w:t>原厂质保。</w:t>
            </w:r>
          </w:p>
        </w:tc>
      </w:tr>
      <w:tr w14:paraId="4B81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59046B92">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779FA7A2">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3536652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bCs/>
                <w:sz w:val="21"/>
                <w:szCs w:val="21"/>
                <w:lang w:val="en-US" w:eastAsia="zh-CN"/>
              </w:rPr>
              <w:t>1.3机柜1个：</w:t>
            </w:r>
            <w:r>
              <w:rPr>
                <w:rFonts w:hint="eastAsia" w:asciiTheme="minorEastAsia" w:hAnsiTheme="minorEastAsia" w:eastAsiaTheme="minorEastAsia" w:cstheme="minorEastAsia"/>
                <w:sz w:val="21"/>
                <w:szCs w:val="21"/>
                <w:lang w:val="en-US" w:eastAsia="zh-CN"/>
              </w:rPr>
              <w:t>标准19英寸，前后开门，含螺母条/固定螺丝/PDU配电单元，满足服务器+交换机+UPS安装。</w:t>
            </w:r>
          </w:p>
        </w:tc>
      </w:tr>
      <w:tr w14:paraId="005E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2C74469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F546F7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089B42C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bCs/>
                <w:sz w:val="21"/>
                <w:szCs w:val="21"/>
                <w:lang w:val="en-US" w:eastAsia="zh-CN"/>
              </w:rPr>
              <w:t>1.4 UPS 1台：</w:t>
            </w:r>
            <w:r>
              <w:rPr>
                <w:rFonts w:hint="eastAsia" w:asciiTheme="minorEastAsia" w:hAnsiTheme="minorEastAsia" w:eastAsiaTheme="minorEastAsia" w:cstheme="minorEastAsia"/>
                <w:sz w:val="21"/>
                <w:szCs w:val="21"/>
                <w:lang w:val="en-US" w:eastAsia="zh-CN"/>
              </w:rPr>
              <w:t>额定功率≥3000VA/2700W、在线式，后备时间≥10分钟、含电池组，支持热插拔，含网络管理卡。</w:t>
            </w:r>
          </w:p>
        </w:tc>
      </w:tr>
      <w:tr w14:paraId="1611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7D7FFAF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47938D5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154E6DF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bCs/>
                <w:sz w:val="21"/>
                <w:szCs w:val="21"/>
                <w:lang w:val="en-US" w:eastAsia="zh-CN"/>
              </w:rPr>
              <w:t>1.5 切换器 1套：</w:t>
            </w:r>
            <w:r>
              <w:rPr>
                <w:rFonts w:hint="eastAsia" w:asciiTheme="minorEastAsia" w:hAnsiTheme="minorEastAsia" w:eastAsiaTheme="minorEastAsia" w:cstheme="minorEastAsia"/>
                <w:sz w:val="21"/>
                <w:szCs w:val="21"/>
                <w:lang w:val="en-US" w:eastAsia="zh-CN"/>
              </w:rPr>
              <w:t>支持多台服务器统一键盘/显示器/鼠标管理，含连接线缆。</w:t>
            </w:r>
          </w:p>
        </w:tc>
      </w:tr>
      <w:tr w14:paraId="2150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38CCBB42">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EF6D54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138623B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1.6 布线 1项</w:t>
            </w:r>
          </w:p>
          <w:p w14:paraId="2462866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设备上架固定/接地连接、Cat6超六类跳线制作与布放（含标签标注）、LC-LC多模光纤跳线×2（服务器25G光口与交换机上行端口互联）、1U理线架×2安装、全链路网络连通性测试与验收。</w:t>
            </w:r>
          </w:p>
        </w:tc>
      </w:tr>
      <w:tr w14:paraId="6CCA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174F02C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48DCF041">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28E0A94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1.7 调试 1项</w:t>
            </w:r>
          </w:p>
          <w:p w14:paraId="4ED87C0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完成服务器通电自检、GPU 硬件识别校验、网络连通性测试、UPS 电源切换功能测试、KVM 集中管理功能验证，全部调试测试完成后，投标文件中提供完整系统调试验收报告扫描件。</w:t>
            </w:r>
          </w:p>
        </w:tc>
      </w:tr>
      <w:tr w14:paraId="395E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43D827B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C8952B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018AF53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bCs/>
                <w:sz w:val="21"/>
                <w:szCs w:val="21"/>
                <w:lang w:val="en-US" w:eastAsia="zh-CN"/>
              </w:rPr>
              <w:t>1.8 大模型本地化部署</w:t>
            </w:r>
          </w:p>
        </w:tc>
      </w:tr>
      <w:tr w14:paraId="53E9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6FCD8D62">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EF4FB2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675B2C6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1.8.1 GLM-5模型本地化部署</w:t>
            </w:r>
          </w:p>
        </w:tc>
      </w:tr>
      <w:tr w14:paraId="2155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046D9E6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4DF914DB">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47F90E1E">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（1）推理框架搭建：基于OLLAMA推理框架完成GLM-5 INT2量化版的本地化部署，搭建多卡共享推理资源池，支持4张RTX PRO 6000 GPU按请求动态调度显存，合理利用四卡算力。</w:t>
            </w:r>
          </w:p>
        </w:tc>
      </w:tr>
      <w:tr w14:paraId="5246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7221815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77BADC7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50E4CF4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（2）量化参数配置：对INT2量化参数进行设置，在显存占用大幅压缩的前提下，合理平衡模型输出质量与推理效率，确保模型在教学问答、文档解析等场景下的实际表现满足使用需求。</w:t>
            </w:r>
          </w:p>
        </w:tc>
      </w:tr>
      <w:tr w14:paraId="596F3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6BBF8FD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268150A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254340E2">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（3）API标准化封装：完成OpenAI兼容推理API封装，支持标准端点及流式输出，平台各模块无需额外适配即可直接调用，降低各业务模块的接入成本。</w:t>
            </w:r>
          </w:p>
        </w:tc>
      </w:tr>
      <w:tr w14:paraId="24B4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77FE1CD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4A1326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2C1EF0D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（4）上下文配置：根据教学业务场景配置合理的上下文窗口长度，支持多轮对话与长文档解析，保障AI学伴问答的连贯性及教学技能执行过程中的状态保持，避免长对话中出现上下文丢失导致回答偏差的问题。</w:t>
            </w:r>
          </w:p>
        </w:tc>
      </w:tr>
      <w:tr w14:paraId="0663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621D88FE">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89E739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085C0F9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（5）数据安全保障：所有学生数据及模型推理过程均在校内服务器本地完成，不经过任何第三方网络或云端服务，确保学生隐私数据与教学数据的安全可控。</w:t>
            </w:r>
          </w:p>
        </w:tc>
      </w:tr>
      <w:tr w14:paraId="7CB8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70B60A0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687859B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4F3922F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（6）并发适配验证：模拟班级正常上课并发使用场景，完成推理服务响应稳定性验证，确保在常规教学并发负载下服务可正常响应，无明显卡顿或超时，单次请求平均响应时间≤10秒。</w:t>
            </w:r>
          </w:p>
        </w:tc>
      </w:tr>
      <w:tr w14:paraId="50F38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0" w:type="dxa"/>
            <w:vMerge w:val="continue"/>
            <w:noWrap w:val="0"/>
            <w:vAlign w:val="center"/>
          </w:tcPr>
          <w:p w14:paraId="1708004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1476" w:type="dxa"/>
            <w:vMerge w:val="continue"/>
            <w:noWrap w:val="0"/>
            <w:vAlign w:val="center"/>
          </w:tcPr>
          <w:p w14:paraId="036A789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p>
        </w:tc>
        <w:tc>
          <w:tcPr>
            <w:tcW w:w="7265" w:type="dxa"/>
            <w:noWrap w:val="0"/>
            <w:vAlign w:val="center"/>
          </w:tcPr>
          <w:p w14:paraId="726413E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bCs/>
                <w:sz w:val="21"/>
                <w:szCs w:val="21"/>
                <w:lang w:val="en-US" w:eastAsia="zh-CN"/>
              </w:rPr>
              <w:t>1.8.2 Qwen3-Coder模型本地化部署</w:t>
            </w:r>
          </w:p>
        </w:tc>
      </w:tr>
      <w:tr w14:paraId="0309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4A78706">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12CC77D">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A96649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（1）推理框架适配：基于开源框架完成Qwen3-Coder INT4量化版的本地化部署，单卡显存占用合理，与GLM-5共享四卡推理资源池，两个模型并发调度时资源隔离合理、互不干扰，避免一个模型占用过多显存影响另一个模型的正常响应。</w:t>
            </w:r>
          </w:p>
        </w:tc>
      </w:tr>
      <w:tr w14:paraId="60267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4EEAF414">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C11C1CA">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A7A6F3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color w:val="auto"/>
                <w:sz w:val="21"/>
                <w:szCs w:val="21"/>
                <w:u w:val="none"/>
                <w:lang w:val="en-US" w:eastAsia="zh-CN"/>
              </w:rPr>
              <w:t>▲（2）编程语言支持验证：支持不少于5种主流编程语言（包括Python、JavaScript、Shell、SQL、C）的代码生成与补全功能，须提供在教学平台中实际调用的各语言代码生成测试截图作为证明，截图须清晰体现平台调用记录及各语言代码输出结果并加盖投标人公章，无法提供者视为不满足本条要求。</w:t>
            </w:r>
          </w:p>
        </w:tc>
      </w:tr>
      <w:tr w14:paraId="6A78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474EF4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68A4AB7">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2C75F1D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（3）代码补全协议支持：完成FIM代码补全协议适配，支持prefix/suffix/middle三段式输入格式，满足实训中心代码编写辅助场景需求，学生在编程过程中可获得基于上下文的智能补全建议。</w:t>
            </w:r>
          </w:p>
        </w:tc>
      </w:tr>
      <w:tr w14:paraId="54A0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753D465A">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73AB3BF">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4570BD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（4）API标准化封装：完成OpenAI兼容API封装，与GLM-5共用统一API网关，平台通过场景路由自动选择调用模型，调用方无感知切换，教学平台各模块无需关心底层模型差异。</w:t>
            </w:r>
          </w:p>
        </w:tc>
      </w:tr>
      <w:tr w14:paraId="7CDC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9664AC2">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E2C6700">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7D16244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（5）多语言测试验证：重点针对网络通信运维场景中的网络配置脚本、故障排查命令等代码类型进行专项测试，确保模型在专业教学场景下的代码生成质量满足实训需求。</w:t>
            </w:r>
          </w:p>
        </w:tc>
      </w:tr>
      <w:tr w14:paraId="54F38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0DD7B66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969AE25">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25E8EA4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（6）上下文配置：根据编程教学业务特点配置合适的上下文长度，支持对较长代码文件的完整理解与分析，保障代码审查、逐行讲解等功能的连贯性。</w:t>
            </w:r>
          </w:p>
        </w:tc>
      </w:tr>
      <w:tr w14:paraId="4355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44A45276">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66C50FE">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0F3A767B">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（7）并发适配验证：完成与GLM-5同时调用时的资源池调度无冲突验证，确保两个模型在并发场景下均能正常响应，代码补全类请求响应时间满足正常教学使用需求。</w:t>
            </w:r>
          </w:p>
        </w:tc>
      </w:tr>
      <w:tr w14:paraId="479E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A94FED1">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402E29B">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5C953BD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1.8.3 BGE-M3向量化模型本地化部署</w:t>
            </w:r>
          </w:p>
        </w:tc>
      </w:tr>
      <w:tr w14:paraId="10F76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3A745BA">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0815AF3">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247956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（1）模型部署：完成BGE-M3向量化模型的本地化部署，基于CPU推理方式运行，无需占用GPU显存资源，与GLM-5、Qwen3-Coder等推理服务互不干扰，合理利用服务器整体算力资源。</w:t>
            </w:r>
          </w:p>
        </w:tc>
      </w:tr>
      <w:tr w14:paraId="2B84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4048A79">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D46304C">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EDC44F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（2）常驻服务配置：将向量化服务配置为后台常驻进程，随服务器启动自动运行，支持持续接收文本向量化请求，保障知识库检索链路的随时可用，无需手动启停，降低运维操作复杂度。</w:t>
            </w:r>
          </w:p>
        </w:tc>
      </w:tr>
      <w:tr w14:paraId="3B05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56A4EC8">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3C57C89">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869278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（3）向量化接口封装：完成文本向量化标准接口的封装，支持单条及批量文本的向量化处理，知识库建设、文档入库等模块可直接调用，无需关心底层模型细节，降低各模块接入成本。</w:t>
            </w:r>
          </w:p>
        </w:tc>
      </w:tr>
      <w:tr w14:paraId="21A7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5072883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6A2CB99">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B248DE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RAG链路集成：完成BGE-M3向量化服务与RAG检索增强生成链路的对接，支持将知识库文档转化为向量并存入向量数据库，在用户提问时完成相似内容召回，为大模型提供本地知识背景，提升回答的准确性与针对性，避免模型凭空编造答案。</w:t>
            </w:r>
          </w:p>
        </w:tc>
      </w:tr>
      <w:tr w14:paraId="35EC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54268210">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5C48E85">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4A0C70E">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sz w:val="21"/>
                <w:szCs w:val="21"/>
                <w:lang w:val="en-US" w:eastAsia="zh-CN"/>
              </w:rPr>
              <w:t>（5）四级知识图谱向量库检索配置：配置课程库、项目、任务、知识点四个层级的知识图谱存储结构，支持各层级节点绑定图片、视频等多媒体资源，向量检索时能够同步输出关联资源，实现问答推送与资源展示的有机结合。</w:t>
            </w:r>
          </w:p>
        </w:tc>
      </w:tr>
      <w:tr w14:paraId="2A06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42FE7FC0">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C24C4DB">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4C8BC2E">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（6）长文档处理：最大序列长度配置为8192 token，支持超长文档整段向量化入库，无需强制截断处理，保障长篇技术手册、实训指导书等文档的语义完整性，避免因截断导致的语义割裂影响检索效果。</w:t>
            </w:r>
          </w:p>
        </w:tc>
      </w:tr>
      <w:tr w14:paraId="613D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0FFE624">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DBF1831">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929D54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val="0"/>
                <w:sz w:val="21"/>
                <w:szCs w:val="21"/>
                <w:lang w:val="en-US" w:eastAsia="zh-CN"/>
              </w:rPr>
              <w:t>1.9 模型管理系统建设</w:t>
            </w:r>
          </w:p>
        </w:tc>
      </w:tr>
      <w:tr w14:paraId="549C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CADB6A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FEDC49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D3B395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1.9.1 多模型统一接入与路由</w:t>
            </w:r>
          </w:p>
        </w:tc>
      </w:tr>
      <w:tr w14:paraId="1043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0491B795">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8887C5A">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E1FB00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统一接入网关搭建：搭建多模型统一接入网关，将本地部署的GLM-5、Qwen3-Coder、BGE-M3等模型服务统一收口管理，学校各业务平台及功能模块通过单一入口调用所需模型，无需分别维护多个服务地址，降低平台运维复杂度。</w:t>
            </w:r>
          </w:p>
        </w:tc>
      </w:tr>
      <w:tr w14:paraId="61E0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7580D0F2">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B77728F">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7EDF0B6E">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请求路由配置：根据请求来源与业务类型配置路由规则，将教学问答、代码补全、知识库检索等不同类型的请求自动分发至对应模型服务，实现按需调度、互不干扰，确保各业务场景均能调用到最适合的模型。</w:t>
            </w:r>
          </w:p>
        </w:tc>
      </w:tr>
      <w:tr w14:paraId="0607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8184E80">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4C77563D">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2E1CE15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（3）负载均衡：对同类型模型的多个实例配置负载均衡策略，合理分摊并发请求压力，避免单一实例过载，保障高峰期各模型服务的稳定响应。</w:t>
            </w:r>
          </w:p>
        </w:tc>
      </w:tr>
      <w:tr w14:paraId="4C02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7246D9F">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725A18F">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6B8CA0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（4）接口兼容适配：网关层统一对外提供OpenAI兼容接口规范，屏蔽底层不同模型服务的接口差异，上层应用无需因模型变更或升级而修改调用代码，保障平台的长期可维护性。</w:t>
            </w:r>
          </w:p>
        </w:tc>
      </w:tr>
      <w:tr w14:paraId="73F9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7E7E03A">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95E42AA">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FD2E94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▲（5）软件合规性要求：投标人须持有智慧教学服务平台类软件著作权证书，证书登记的软件功能须涵盖教学平台服务等核心能力，</w:t>
            </w:r>
            <w:r>
              <w:rPr>
                <w:rFonts w:hint="eastAsia"/>
                <w:b/>
                <w:bCs/>
                <w:color w:val="auto"/>
                <w:lang w:val="en-US" w:eastAsia="zh-CN"/>
              </w:rPr>
              <w:t>提供软件著作权登记证书复印件或扫描件（如为投标人自有软件，著作权人需为投标人；如为投标人通过购买或租赁等形式获得软件使用权的，需同时提供著作权人与投标人签订的相关合同或协议或购买发票复印件或扫描件）</w:t>
            </w:r>
            <w:r>
              <w:rPr>
                <w:rFonts w:hint="eastAsia" w:asciiTheme="minorEastAsia" w:hAnsiTheme="minorEastAsia" w:eastAsiaTheme="minorEastAsia" w:cstheme="minorEastAsia"/>
                <w:b/>
                <w:bCs/>
                <w:color w:val="auto"/>
                <w:sz w:val="21"/>
                <w:szCs w:val="21"/>
                <w:u w:val="single"/>
                <w:lang w:val="en-US" w:eastAsia="zh-CN"/>
              </w:rPr>
              <w:t>。</w:t>
            </w:r>
          </w:p>
        </w:tc>
      </w:tr>
      <w:tr w14:paraId="1846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4DD660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25F905F">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53487B3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▲（6）现有教学平台对接验证：统一API网关须支持与学校现有AI教学平台的无缝对接，实现教学平台各功能模块对本地模型的自由调用，</w:t>
            </w:r>
            <w:r>
              <w:rPr>
                <w:rFonts w:hint="eastAsia" w:asciiTheme="minorEastAsia" w:hAnsiTheme="minorEastAsia" w:eastAsiaTheme="minorEastAsia" w:cstheme="minorEastAsia"/>
                <w:b/>
                <w:bCs/>
                <w:color w:val="auto"/>
                <w:sz w:val="21"/>
                <w:szCs w:val="21"/>
                <w:u w:val="single"/>
                <w:lang w:val="en-US" w:eastAsia="zh-CN"/>
              </w:rPr>
              <w:t>投标时须提供不少于3个功能模块（含AI问答、代码补全、知识库检索）的教学平台的实际调用记录截图作为证明，截图须清晰体现平台功能界面及模型调用响应结果并加盖投标人公章，无法提供者视为不满足本条要求。</w:t>
            </w:r>
          </w:p>
        </w:tc>
      </w:tr>
      <w:tr w14:paraId="2307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717F32A1">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E0D445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565D0E3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7）模型调用响应时间应低于10秒，须提供由具备CMA资质的第三方检测机构出具的软件检测报告，检测内容须包含以下核心指标：模型调用平均响应时间（单次请求平均响应时间≤10秒）、多轮对话上下文保持能力、系统并发稳定性；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tc>
      </w:tr>
      <w:tr w14:paraId="7F0E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A2E72BA">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0288B18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7B6566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b/>
                <w:bCs/>
                <w:sz w:val="21"/>
                <w:szCs w:val="21"/>
                <w:lang w:val="en-US" w:eastAsia="zh-CN"/>
              </w:rPr>
              <w:t>1.9.2 调用监控看板</w:t>
            </w:r>
          </w:p>
        </w:tc>
      </w:tr>
      <w:tr w14:paraId="369E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0302616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9737FAE">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79AA82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sz w:val="21"/>
                <w:szCs w:val="21"/>
                <w:lang w:val="en-US" w:eastAsia="zh-CN"/>
              </w:rPr>
              <w:t>（1）看板搭建：搭建模型调用监控看板，以可视化方式集中展示各模型服务的运行状态与调用情况，运维人员无需登录服务器后台即可直观掌握平台整体运行状况，降低日常运维操作难度。</w:t>
            </w:r>
          </w:p>
        </w:tc>
      </w:tr>
      <w:tr w14:paraId="6E3A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08473C41">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0908FB9">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07B486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2）实时监控指标展示：看板须实时展示各模型服务的调用量、平均响应时间及异常告警信息，数据刷新频率不低于每30秒一次，服务出现异常时须在看板上直观呈现告警提示，便于运维人员及时发现并处理问题；提供看板实际运行界面截图作为证明并加盖投标人公章。</w:t>
            </w:r>
          </w:p>
        </w:tc>
      </w:tr>
      <w:tr w14:paraId="60B6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70DBCF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599C1DC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AFCBCE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3）历史调用量统计：须支持对各模型历史调用量的统计汇总，可按日、周、月等时间段查看调用趋势图表，帮助管理人员了解各模型的实际使用频率与业务分布情况，为后续配额调整与资源规划提供数据支撑；提供调用量统计功能的实际界面截图作为证明并加盖投标人公章。</w:t>
            </w:r>
          </w:p>
        </w:tc>
      </w:tr>
      <w:tr w14:paraId="33ED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34220AA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43434D1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B43705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（4）响应情况展示：记录并展示各模型服务的响应情况，包括正常响应与异常失败的数量分布及占比，帮助运维人员识别服务质量问题与高频异常时段，为优化模型服务配置提供依据。</w:t>
            </w:r>
          </w:p>
        </w:tc>
      </w:tr>
      <w:tr w14:paraId="7553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8F8645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571A8B5B">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A5DEDF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（5）历史数据查询：历史调用记录支持按时间范围、功能模块、调用模型等维度组合查询，便于回溯分析特定时间段内的模型使用情况，为配额调整与扩容决策提供数据依据。</w:t>
            </w:r>
          </w:p>
        </w:tc>
      </w:tr>
      <w:tr w14:paraId="0B26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54091226">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51BB2FD">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7895FBC1">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1.9.3 算力配额管理</w:t>
            </w:r>
          </w:p>
        </w:tc>
      </w:tr>
      <w:tr w14:paraId="47CB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C1F05EB">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44AEFD4">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5CECD07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（1）分场景配额设置：支持为教学问答、代码补全、知识库检索、实训操作等各业务场景分别设置模型调用上限，各场景配额独立管控、互不占用，避免某一场景过度使用影响其他场景的正常运行。</w:t>
            </w:r>
          </w:p>
        </w:tc>
      </w:tr>
      <w:tr w14:paraId="2EAC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056F61D">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BEF6E5E">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441A86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（2）优先级策略配置：支持对不同类型请求配置调用优先级，教学课堂类请求可优先保障算力资源供给，后台批处理类任务在资源空闲时段执行，合理安排算力使用时序，确保教学活动不受后台任务影响。</w:t>
            </w:r>
          </w:p>
        </w:tc>
      </w:tr>
      <w:tr w14:paraId="5BCD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7DBB685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5CE611B">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EE3D3AE">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（3）超额排队保护：超出配额上限的请求自动进入有序排队模式，不直接返回错误，学生端感知为响应稍慢，保障实训流程的完整性与连贯性，避免因配额限制导致学生操作中断影响教学体验。</w:t>
            </w:r>
          </w:p>
        </w:tc>
      </w:tr>
      <w:tr w14:paraId="4DAD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0F5ACB8C">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477159CA">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7C9A84C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（4）配额使用报表：提供各场景实际用量与配额占比的可视化报表，管理员可直观查看各场景资源使用效率，识别配额过松或过紧的场景，便于后续进行精细化调整优化。</w:t>
            </w:r>
          </w:p>
        </w:tc>
      </w:tr>
      <w:tr w14:paraId="59FC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374249F4">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0C894DC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EB286E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1.9.4 模型版本管理与回滚</w:t>
            </w:r>
          </w:p>
        </w:tc>
      </w:tr>
      <w:tr w14:paraId="0C1C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7A225FB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BA415C0">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3B226D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（1）版本管理机制：建立模型版本管理机制，对每次模型升级或参数变更进行版本记录，保留历史版本的模型文件与配置信息，确保每个版本均可追溯、可复现，避免升级后出现问题无法回退的风险。</w:t>
            </w:r>
          </w:p>
        </w:tc>
      </w:tr>
      <w:tr w14:paraId="5AE7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4E206D5">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7A26B04">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7C0967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（2）版本信息记录：对每个模型版本的部署时间、版本号、量化方式、配置参数等关键信息进行统一记录，管理员可在管理界面查看各模型的完整版本历史，便于掌握模型迭代情况。</w:t>
            </w:r>
          </w:p>
        </w:tc>
      </w:tr>
      <w:tr w14:paraId="4E33D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193AF8C">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660C3B3">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7753016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（3）版本测试验证：新版本正式上线前支持在独立环境中进行功能验证，确认模型表现符合预期后再切换至生产环境，降低升级风险，保障在用教学功能不受新版本问题影响。</w:t>
            </w:r>
          </w:p>
        </w:tc>
      </w:tr>
      <w:tr w14:paraId="20FF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DC4D480">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5053648B">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2AA9BD33">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sz w:val="21"/>
                <w:szCs w:val="21"/>
                <w:lang w:val="en-US" w:eastAsia="zh-CN"/>
              </w:rPr>
              <w:t>（4）操作日志审计：所有版本更新操作完整记录操作日志，包含操作人、操作时间、操作类型、切换前后版本号等信息，支持日志导出，满足学校信息化管理的操作审计需求。</w:t>
            </w:r>
          </w:p>
        </w:tc>
      </w:tr>
      <w:tr w14:paraId="77CD3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7D83D70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533A6BBA">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618DD1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1.9.5 知识库向量化任务管理</w:t>
            </w:r>
          </w:p>
        </w:tc>
      </w:tr>
      <w:tr w14:paraId="71EF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65B463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4ABF8C6">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B00917A">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任务管理机制：建立知识库向量化任务管理机制，管理员可在管理界面直接提交和查看向量化任务，无需通过命令行手动操作，降低使用门槛，教师或管理员可自主完成教学资料的入库与更新操作，无需依赖技术人员介入。</w:t>
            </w:r>
          </w:p>
        </w:tc>
      </w:tr>
      <w:tr w14:paraId="6C71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18FA67FE">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0059AA98">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733F7410">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2）多类型资源支持：须支持图片、网页、虚拟仿真内容、文本、PPT等不少于5种资源类型的入库与调用，知识图谱节点可绑定上述各类资源，用户提问时系统自动推送与问题相关的关联资源（含图片、视频、虚拟仿真链接等），实现问答与资源推送的有机结合；须提供多类型资源绑定及问答推送的完整操作截图作为证明，截图须清晰体现不同类型资源的绑定操作与问答推送结果并加盖投标人公章，无法提供者视为不满足本条要求。</w:t>
            </w:r>
          </w:p>
        </w:tc>
      </w:tr>
      <w:tr w14:paraId="1EFB5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34CD2689">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A7DD5BE">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023D022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▲（3）长文本教材处理：须支持整本教材等超长文本文档的完整向量化入库，最大序列长度不低于8192 token，支持整本教材不截断完整处理，保障长篇技术手册、实训指导书等文档的语义完整性；须提供不少于5万字长文档的完整向量化入库操作记录截图作为证明，截图须清晰体现文档入库过程及向量化完成状态并加盖投标人公章，无法提供者视为不满足本条要求。</w:t>
            </w:r>
          </w:p>
        </w:tc>
      </w:tr>
      <w:tr w14:paraId="0C32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5AB94CFE">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82C0244">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26C05FE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sz w:val="21"/>
                <w:szCs w:val="21"/>
                <w:lang w:val="en-US" w:eastAsia="zh-CN"/>
              </w:rPr>
              <w:t>（4）任务进度追踪：向量化任务执行过程中提供实时进度展示，管理员可随时了解当前任务的处理状态（待处理/进行中/已完成/失败），批量入库时可掌握整体完成情况，避免任务执行情况不透明。</w:t>
            </w:r>
          </w:p>
        </w:tc>
      </w:tr>
      <w:tr w14:paraId="73C9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2DEA58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8FA589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21CA8A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（5）任务队列管理：支持多个向量化任务的队列排队执行，合理控制任务并发数量，避免大批量文档入库时对BGE-M3向量化服务及服务器CPU资源造成过大压力，保障向量化服务的稳定运行。</w:t>
            </w:r>
          </w:p>
        </w:tc>
      </w:tr>
      <w:tr w14:paraId="6182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5E929ACC">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04E1ED4">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538F396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（6）知识库内容管理：支持对已入库的知识库内容进行查看、更新与删除操作。</w:t>
            </w:r>
          </w:p>
        </w:tc>
      </w:tr>
      <w:tr w14:paraId="6212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39020971">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558CD25F">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23FF937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（7）管理员可根据教学内容的变化及时维护知识库的准确性与时效性。</w:t>
            </w:r>
          </w:p>
        </w:tc>
      </w:tr>
      <w:tr w14:paraId="40825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671704C">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29E53B5">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CB111BB">
            <w:pPr>
              <w:keepNext w:val="0"/>
              <w:keepLines w:val="0"/>
              <w:pageBreakBefore w:val="0"/>
              <w:kinsoku/>
              <w:wordWrap/>
              <w:overflowPunct/>
              <w:topLinePunct w:val="0"/>
              <w:autoSpaceDE/>
              <w:autoSpaceDN/>
              <w:bidi w:val="0"/>
              <w:spacing w:line="360" w:lineRule="auto"/>
              <w:jc w:val="both"/>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（8）语料教师可正常更新，AI问答结果始终基于最新的教学资料。</w:t>
            </w:r>
          </w:p>
        </w:tc>
      </w:tr>
      <w:tr w14:paraId="3F9A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3A5A7CC2">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5DE7A75">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2B29535C">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1.9.6 编程教学智能体MCP服务器搭建</w:t>
            </w:r>
          </w:p>
        </w:tc>
      </w:tr>
      <w:tr w14:paraId="44BD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4B9D9D68">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C32EE55">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0B8077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MCP服务器环境搭建：基于标准MCP协议完成服务器部署与运行环境配置，MCP服务器作为大模型与平台全部教学技能、工具之间的标准化通信中间层，统一管理模型的工具调用能力，支持后续随课程扩展持续接入新的教学技能与外部服务，无需每次修改底层推理代码。</w:t>
            </w:r>
          </w:p>
        </w:tc>
      </w:tr>
      <w:tr w14:paraId="37C7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0EEA593E">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BA1A40E">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04E7E017">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color w:val="auto"/>
                <w:sz w:val="21"/>
                <w:szCs w:val="21"/>
                <w:lang w:val="en-US" w:eastAsia="zh-CN"/>
              </w:rPr>
              <w:t>▲（2）课程技能接入便利性：须支持课程技能（skill）的快捷接入，至少支持网络通信运维课程的5个专业教学技能（VLAN划分配置、OSPF路由配置、ACL访问控制策略配置、网络故障诊断、网络设备基线配置）完整注册至MCP服务器，完成每个技能的触发条件、参数规范、输出格式及调用权限配置；</w:t>
            </w:r>
            <w:r>
              <w:rPr>
                <w:rFonts w:hint="eastAsia" w:asciiTheme="minorEastAsia" w:hAnsiTheme="minorEastAsia" w:eastAsiaTheme="minorEastAsia" w:cstheme="minorEastAsia"/>
                <w:b/>
                <w:bCs/>
                <w:color w:val="auto"/>
                <w:sz w:val="21"/>
                <w:szCs w:val="21"/>
                <w:u w:val="single"/>
                <w:lang w:val="en-US" w:eastAsia="zh-CN"/>
              </w:rPr>
              <w:t>投标时供应商应提供每个课程技能的配置文件及联调测试报告并加盖投标人公章，无法提供者视为不满足本条要求。</w:t>
            </w:r>
          </w:p>
        </w:tc>
      </w:tr>
      <w:tr w14:paraId="5F6B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37A2ABC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02D1E0DD">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34BB5C1D">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通识课程技能接入：将大模型通识课程、智能体开发实战课程相关的教学技能与工具注册至MCP服务器，包括课程知识库检索工具、文档解析工具、课程问答技能等，确保AI通识类课程的学生问答与课程实训场景均可通过MCP服务器进行统一调度。</w:t>
            </w:r>
          </w:p>
        </w:tc>
      </w:tr>
      <w:tr w14:paraId="4AD9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4FB0CDEC">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791447D">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7225041F">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工具统一注册与规范管理：将平台现有全部内置工具统一注册至MCP服务器，建立标准化工具描述规范，包括工具名称、功能描述、输入参数格式、输出结果格式、调用权限范围等要素；后续新增工具只需按规范完成注册，即可立即被所有已接入课程的教学技能调用，实现工具能力的平台级复用。</w:t>
            </w:r>
          </w:p>
        </w:tc>
      </w:tr>
      <w:tr w14:paraId="4608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C63F218">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ADC4618">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55F909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模型与技能工具有机衔接配置：完成大模型调用MCP服务器的双向通信配置，模型在接收到用户指令后，根据意图自动判断是否需要调用教学技能或工具，通过MCP服务器完成路由与执行，执行结果回传至模型进行自然语言整理后返回给学生；确保在需要真实执行操作的场景下主动调用工具，而非仅依靠模型知识生成操作描述，保障实训场景的真实性与可验证性。</w:t>
            </w:r>
          </w:p>
        </w:tc>
      </w:tr>
      <w:tr w14:paraId="48B0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833FDE9">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73F4A9F5">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B1B3055">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端到端联调测试：完成覆盖网络通信运维实训全部5个技能场景与人工智能通识课程场景的端到端功能验证，模拟真实学生操作流程，验证全链路调用的功能正确性与响应稳定性，出具联调测试报告作为验收依据。</w:t>
            </w:r>
          </w:p>
        </w:tc>
      </w:tr>
      <w:tr w14:paraId="015E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AC59C6E">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6AC3D0D4">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6B1ADC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val="0"/>
                <w:sz w:val="21"/>
                <w:szCs w:val="21"/>
                <w:lang w:val="en-US" w:eastAsia="zh-CN"/>
              </w:rPr>
              <w:t>1.10 运维保障服务</w:t>
            </w:r>
          </w:p>
        </w:tc>
      </w:tr>
      <w:tr w14:paraId="526A2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4B387BAC">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0CCA75F8">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0EBEBCD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sz w:val="21"/>
                <w:szCs w:val="21"/>
                <w:lang w:val="en-US" w:eastAsia="zh-CN"/>
              </w:rPr>
              <w:t>（1）服务期限与响应标准：服务期限为验收完成后一年，提供7×12小时在线技术支持，工作日故障响应时间不超过4小时；对于推理服务完全中断、MCP服务器无法响应等严重影响教学的紧急故障，响应时间不超过2小时，确保教学活动不因技术故障长时间中断。</w:t>
            </w:r>
          </w:p>
        </w:tc>
      </w:tr>
      <w:tr w14:paraId="0A3A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2ADB414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5D1A428C">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0804E828">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sz w:val="21"/>
                <w:szCs w:val="21"/>
                <w:lang w:val="en-US" w:eastAsia="zh-CN"/>
              </w:rPr>
              <w:t>（2）全链路日常运维：对GLM-5、Qwen3-Coder、BGE-M3三类模型推理服务及MCP服务器进行全天候运行监控，通过调用监控看板实时掌握服务状态；异常发生时自动告警并第一时间介入处理，覆盖模型推理异常、技能调用失败、工具执行超时、知识库检索故障等各类场景，确保完整链路的持续可用。</w:t>
            </w:r>
          </w:p>
        </w:tc>
      </w:tr>
      <w:tr w14:paraId="0DD5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atLeast"/>
          <w:jc w:val="center"/>
        </w:trPr>
        <w:tc>
          <w:tcPr>
            <w:tcW w:w="900" w:type="dxa"/>
            <w:vMerge w:val="continue"/>
            <w:noWrap w:val="0"/>
            <w:vAlign w:val="center"/>
          </w:tcPr>
          <w:p w14:paraId="3F7558AF">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1673D262">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0938A0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模型版本升级支持：持续跟进GLM-5、Qwen3-Coder、BGE-M3三个开源模型的最新版本动态，定期评估新版本的性能改进与稳定性；升级前完成新版本与MCP服务器、现有教学技能及工具的兼容性测试，确认无异常后制定切换计划，支持灰度升级，保障升级过程中教学不受影响。</w:t>
            </w:r>
          </w:p>
        </w:tc>
      </w:tr>
      <w:tr w14:paraId="5AC7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59B8B7D0">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2E1E3E0A">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4D1251B2">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MCP服务器持续维护：负责MCP服务器的日常运行状态监控与故障处理，定期检查教学技能与工具注册信息的有效性；随学校课程体系扩展，按需协助教师将新专业课程的教学技能注册至MCP服务器，更新工具调用配置，持续扩展平台智能体能力覆盖范围。</w:t>
            </w:r>
          </w:p>
        </w:tc>
      </w:tr>
      <w:tr w14:paraId="3603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5D7FFCE7">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7DE91EC">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035CD879">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color w:val="auto"/>
                <w:sz w:val="21"/>
                <w:szCs w:val="21"/>
                <w:lang w:val="en-US" w:eastAsia="zh-CN"/>
              </w:rPr>
              <w:t>▲（5）知识库数据迁移与平台衔接：须支持教学资料的一键批量导入功能，将现有教学平台中的课程资料、教材文档、实训指导书等内容一键导入知识库并自动触发向量化处理；须支持与学校现有教学平台的无缝数据衔接，确保知识库内容与教学平台资源保持同步更新；</w:t>
            </w:r>
            <w:r>
              <w:rPr>
                <w:rFonts w:hint="eastAsia" w:asciiTheme="minorEastAsia" w:hAnsiTheme="minorEastAsia" w:eastAsiaTheme="minorEastAsia" w:cstheme="minorEastAsia"/>
                <w:b/>
                <w:bCs/>
                <w:color w:val="auto"/>
                <w:sz w:val="21"/>
                <w:szCs w:val="21"/>
                <w:u w:val="single"/>
                <w:lang w:val="en-US" w:eastAsia="zh-CN"/>
              </w:rPr>
              <w:t>投标时须提供知识库数据库格式说明文档及与教学平台完成数据对接的截图作为证明并加盖投标人公章，无法提供者视为不满足本条要求。</w:t>
            </w:r>
          </w:p>
        </w:tc>
      </w:tr>
      <w:tr w14:paraId="295C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6C05CDE1">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535DFD3C">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61F20586">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sz w:val="21"/>
                <w:szCs w:val="21"/>
                <w:lang w:val="en-US" w:eastAsia="zh-CN"/>
              </w:rPr>
              <w:t>（6）硬件维保协调：服务期内如发生硬件故障（服务器主板、GPU、存储、网卡等），第一时间协调原厂售后服务，跟进维修进度与备件更换时效，确保硬件故障对教学的影响时间最短。</w:t>
            </w:r>
          </w:p>
        </w:tc>
      </w:tr>
      <w:tr w14:paraId="475E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00" w:type="dxa"/>
            <w:vMerge w:val="continue"/>
            <w:noWrap w:val="0"/>
            <w:vAlign w:val="center"/>
          </w:tcPr>
          <w:p w14:paraId="7562BF33">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1476" w:type="dxa"/>
            <w:vMerge w:val="continue"/>
            <w:noWrap w:val="0"/>
            <w:vAlign w:val="center"/>
          </w:tcPr>
          <w:p w14:paraId="3581171A">
            <w:pPr>
              <w:keepNext w:val="0"/>
              <w:keepLines w:val="0"/>
              <w:pageBreakBefore w:val="0"/>
              <w:widowControl/>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sz w:val="21"/>
                <w:szCs w:val="21"/>
              </w:rPr>
            </w:pPr>
          </w:p>
        </w:tc>
        <w:tc>
          <w:tcPr>
            <w:tcW w:w="7265" w:type="dxa"/>
            <w:noWrap w:val="0"/>
            <w:vAlign w:val="center"/>
          </w:tcPr>
          <w:p w14:paraId="1D3FD754">
            <w:pPr>
              <w:keepNext w:val="0"/>
              <w:keepLines w:val="0"/>
              <w:pageBreakBefore w:val="0"/>
              <w:kinsoku/>
              <w:wordWrap/>
              <w:overflowPunct/>
              <w:topLinePunct w:val="0"/>
              <w:autoSpaceDE/>
              <w:autoSpaceDN/>
              <w:bidi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color w:val="auto"/>
                <w:sz w:val="21"/>
                <w:szCs w:val="21"/>
                <w:lang w:val="en-US" w:eastAsia="zh-CN"/>
              </w:rPr>
              <w:t>▲（7）培训服务要求：须提供以下培训服务：AI智能体教学应用工作坊，结合网络通信运维课程、人工智能通识课程的真实教学场景，通过案例演示与动手实践相结合的形式，指导教师理解AI智能体在课堂教学与实训环节的应用逻辑；重点讲解如何围绕真实岗位任务设计基于教学技能的课堂任务，如何在实训中引入"AI执行+学生评判"的双元能力培养模式，如何利用学情数据优化教学设计；每位参与教师须完成一个完整的教学技能任务设计作为实践成果；</w:t>
            </w:r>
            <w:r>
              <w:rPr>
                <w:rFonts w:hint="eastAsia" w:asciiTheme="minorEastAsia" w:hAnsiTheme="minorEastAsia" w:eastAsiaTheme="minorEastAsia" w:cstheme="minorEastAsia"/>
                <w:b/>
                <w:bCs/>
                <w:color w:val="auto"/>
                <w:sz w:val="21"/>
                <w:szCs w:val="21"/>
                <w:u w:val="single"/>
                <w:lang w:val="en-US" w:eastAsia="zh-CN"/>
              </w:rPr>
              <w:t>提供不少于8课时教学设计与8课时教学课件截图并加盖投标人公章。</w:t>
            </w:r>
          </w:p>
        </w:tc>
      </w:tr>
    </w:tbl>
    <w:p w14:paraId="3E1DD242">
      <w:pPr>
        <w:spacing w:line="360" w:lineRule="auto"/>
        <w:rPr>
          <w:rFonts w:ascii="宋体" w:hAnsi="宋体"/>
          <w:b/>
          <w:bCs/>
          <w:snapToGrid w:val="0"/>
          <w:kern w:val="0"/>
          <w:sz w:val="24"/>
        </w:rPr>
      </w:pPr>
    </w:p>
    <w:p w14:paraId="35AF6A42">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9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7424"/>
      </w:tblGrid>
      <w:tr w14:paraId="536F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09" w:type="dxa"/>
            <w:noWrap w:val="0"/>
            <w:vAlign w:val="center"/>
          </w:tcPr>
          <w:p w14:paraId="58582BD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序号</w:t>
            </w:r>
          </w:p>
        </w:tc>
        <w:tc>
          <w:tcPr>
            <w:tcW w:w="1559" w:type="dxa"/>
            <w:noWrap w:val="0"/>
            <w:vAlign w:val="center"/>
          </w:tcPr>
          <w:p w14:paraId="7224595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目录</w:t>
            </w:r>
          </w:p>
        </w:tc>
        <w:tc>
          <w:tcPr>
            <w:tcW w:w="7424" w:type="dxa"/>
            <w:noWrap w:val="0"/>
            <w:vAlign w:val="center"/>
          </w:tcPr>
          <w:p w14:paraId="5524797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商务需求</w:t>
            </w:r>
          </w:p>
        </w:tc>
      </w:tr>
      <w:tr w14:paraId="6982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709" w:type="dxa"/>
            <w:noWrap w:val="0"/>
            <w:vAlign w:val="center"/>
          </w:tcPr>
          <w:p w14:paraId="4E7DEAC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1</w:t>
            </w:r>
          </w:p>
        </w:tc>
        <w:tc>
          <w:tcPr>
            <w:tcW w:w="1559" w:type="dxa"/>
            <w:noWrap w:val="0"/>
            <w:vAlign w:val="center"/>
          </w:tcPr>
          <w:p w14:paraId="77C7C579">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免费保修期</w:t>
            </w:r>
          </w:p>
        </w:tc>
        <w:tc>
          <w:tcPr>
            <w:tcW w:w="7424" w:type="dxa"/>
            <w:noWrap w:val="0"/>
            <w:vAlign w:val="top"/>
          </w:tcPr>
          <w:p w14:paraId="5A9A67D4">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Cs/>
                <w:color w:val="auto"/>
                <w:sz w:val="21"/>
                <w:szCs w:val="21"/>
              </w:rPr>
              <w:t>货物免费保修期</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年，时间自最终验收合格并交付使用之日起计算。</w:t>
            </w:r>
          </w:p>
        </w:tc>
      </w:tr>
      <w:tr w14:paraId="34C6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09" w:type="dxa"/>
            <w:noWrap w:val="0"/>
            <w:vAlign w:val="center"/>
          </w:tcPr>
          <w:p w14:paraId="25004D5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2</w:t>
            </w:r>
          </w:p>
        </w:tc>
        <w:tc>
          <w:tcPr>
            <w:tcW w:w="1559" w:type="dxa"/>
            <w:noWrap w:val="0"/>
            <w:vAlign w:val="top"/>
          </w:tcPr>
          <w:p w14:paraId="417315F4">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维修响应及故障解决时间</w:t>
            </w:r>
          </w:p>
        </w:tc>
        <w:tc>
          <w:tcPr>
            <w:tcW w:w="7424" w:type="dxa"/>
            <w:noWrap w:val="0"/>
            <w:vAlign w:val="top"/>
          </w:tcPr>
          <w:p w14:paraId="192453DB">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Cs/>
                <w:color w:val="auto"/>
                <w:sz w:val="21"/>
                <w:szCs w:val="21"/>
              </w:rPr>
              <w:t>在保修期内，一旦发生质量问题，投标人保证在接到通知24小时内赶到现场进行修理或更换。</w:t>
            </w:r>
          </w:p>
        </w:tc>
      </w:tr>
      <w:tr w14:paraId="5F9F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09" w:type="dxa"/>
            <w:vMerge w:val="restart"/>
            <w:noWrap w:val="0"/>
            <w:vAlign w:val="center"/>
          </w:tcPr>
          <w:p w14:paraId="3E42404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c>
          <w:tcPr>
            <w:tcW w:w="1559" w:type="dxa"/>
            <w:vMerge w:val="restart"/>
            <w:noWrap w:val="0"/>
            <w:vAlign w:val="center"/>
          </w:tcPr>
          <w:p w14:paraId="4A82A97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b/>
                <w:color w:val="auto"/>
                <w:kern w:val="0"/>
                <w:sz w:val="21"/>
                <w:szCs w:val="21"/>
                <w:highlight w:val="yellow"/>
              </w:rPr>
              <w:t>★</w:t>
            </w:r>
            <w:r>
              <w:rPr>
                <w:rFonts w:hint="eastAsia" w:asciiTheme="minorEastAsia" w:hAnsiTheme="minorEastAsia" w:eastAsiaTheme="minorEastAsia" w:cstheme="minorEastAsia"/>
                <w:color w:val="auto"/>
                <w:sz w:val="21"/>
                <w:szCs w:val="21"/>
                <w:highlight w:val="yellow"/>
              </w:rPr>
              <w:t>关于交货期</w:t>
            </w:r>
          </w:p>
        </w:tc>
        <w:tc>
          <w:tcPr>
            <w:tcW w:w="7424" w:type="dxa"/>
            <w:noWrap w:val="0"/>
            <w:vAlign w:val="top"/>
          </w:tcPr>
          <w:p w14:paraId="5398AF3D">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auto"/>
                <w:sz w:val="21"/>
                <w:szCs w:val="21"/>
                <w:highlight w:val="yellow"/>
              </w:rPr>
            </w:pPr>
            <w:r>
              <w:rPr>
                <w:rFonts w:hint="eastAsia" w:asciiTheme="minorEastAsia" w:hAnsiTheme="minorEastAsia" w:eastAsiaTheme="minorEastAsia" w:cstheme="minorEastAsia"/>
                <w:bCs/>
                <w:color w:val="auto"/>
                <w:sz w:val="21"/>
                <w:szCs w:val="21"/>
                <w:highlight w:val="yellow"/>
              </w:rPr>
              <w:t>1.签订合同之日起</w:t>
            </w:r>
            <w:r>
              <w:rPr>
                <w:rFonts w:hint="eastAsia" w:asciiTheme="minorEastAsia" w:hAnsiTheme="minorEastAsia" w:eastAsiaTheme="minorEastAsia" w:cstheme="minorEastAsia"/>
                <w:bCs/>
                <w:color w:val="auto"/>
                <w:sz w:val="21"/>
                <w:szCs w:val="21"/>
                <w:highlight w:val="yellow"/>
                <w:u w:val="single"/>
                <w:lang w:val="en-US" w:eastAsia="zh-CN"/>
              </w:rPr>
              <w:t>30</w:t>
            </w:r>
            <w:r>
              <w:rPr>
                <w:rFonts w:hint="eastAsia" w:asciiTheme="minorEastAsia" w:hAnsiTheme="minorEastAsia" w:eastAsiaTheme="minorEastAsia" w:cstheme="minorEastAsia"/>
                <w:bCs/>
                <w:color w:val="auto"/>
                <w:sz w:val="21"/>
                <w:szCs w:val="21"/>
                <w:highlight w:val="yellow"/>
              </w:rPr>
              <w:t>天（日历日）内。</w:t>
            </w:r>
          </w:p>
        </w:tc>
      </w:tr>
      <w:tr w14:paraId="1D72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709" w:type="dxa"/>
            <w:vMerge w:val="continue"/>
            <w:noWrap w:val="0"/>
            <w:vAlign w:val="center"/>
          </w:tcPr>
          <w:p w14:paraId="4658E08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p>
        </w:tc>
        <w:tc>
          <w:tcPr>
            <w:tcW w:w="1559" w:type="dxa"/>
            <w:vMerge w:val="continue"/>
            <w:noWrap w:val="0"/>
            <w:vAlign w:val="center"/>
          </w:tcPr>
          <w:p w14:paraId="2F72D31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highlight w:val="yellow"/>
              </w:rPr>
            </w:pPr>
          </w:p>
        </w:tc>
        <w:tc>
          <w:tcPr>
            <w:tcW w:w="7424" w:type="dxa"/>
            <w:noWrap w:val="0"/>
            <w:vAlign w:val="top"/>
          </w:tcPr>
          <w:p w14:paraId="58E90169">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1"/>
                <w:szCs w:val="21"/>
                <w:highlight w:val="yellow"/>
              </w:rPr>
            </w:pPr>
            <w:r>
              <w:rPr>
                <w:rFonts w:hint="eastAsia" w:asciiTheme="minorEastAsia" w:hAnsiTheme="minorEastAsia" w:eastAsiaTheme="minorEastAsia" w:cstheme="minorEastAsia"/>
                <w:bCs/>
                <w:color w:val="auto"/>
                <w:sz w:val="21"/>
                <w:szCs w:val="21"/>
                <w:highlight w:val="yellow"/>
              </w:rPr>
              <w:t>2.投标人必须承担的</w:t>
            </w:r>
            <w:r>
              <w:rPr>
                <w:rFonts w:hint="eastAsia" w:asciiTheme="minorEastAsia" w:hAnsiTheme="minorEastAsia" w:eastAsiaTheme="minorEastAsia" w:cstheme="minorEastAsia"/>
                <w:bCs/>
                <w:color w:val="auto"/>
                <w:sz w:val="21"/>
                <w:szCs w:val="21"/>
                <w:highlight w:val="yellow"/>
                <w:lang w:eastAsia="zh-CN"/>
              </w:rPr>
              <w:t>货物</w:t>
            </w:r>
            <w:r>
              <w:rPr>
                <w:rFonts w:hint="eastAsia" w:asciiTheme="minorEastAsia" w:hAnsiTheme="minorEastAsia" w:eastAsiaTheme="minorEastAsia" w:cstheme="minorEastAsia"/>
                <w:bCs/>
                <w:color w:val="auto"/>
                <w:sz w:val="21"/>
                <w:szCs w:val="21"/>
                <w:highlight w:val="yellow"/>
              </w:rPr>
              <w:t>运输、安装调试、验收检测和提供</w:t>
            </w:r>
            <w:r>
              <w:rPr>
                <w:rFonts w:hint="eastAsia" w:asciiTheme="minorEastAsia" w:hAnsiTheme="minorEastAsia" w:eastAsiaTheme="minorEastAsia" w:cstheme="minorEastAsia"/>
                <w:bCs/>
                <w:color w:val="auto"/>
                <w:sz w:val="21"/>
                <w:szCs w:val="21"/>
                <w:highlight w:val="yellow"/>
                <w:lang w:eastAsia="zh-CN"/>
              </w:rPr>
              <w:t>货物</w:t>
            </w:r>
            <w:r>
              <w:rPr>
                <w:rFonts w:hint="eastAsia" w:asciiTheme="minorEastAsia" w:hAnsiTheme="minorEastAsia" w:eastAsiaTheme="minorEastAsia" w:cstheme="minorEastAsia"/>
                <w:bCs/>
                <w:color w:val="auto"/>
                <w:sz w:val="21"/>
                <w:szCs w:val="21"/>
                <w:highlight w:val="yellow"/>
              </w:rPr>
              <w:t>操作说明书、图纸等其他类似的义务。</w:t>
            </w:r>
          </w:p>
        </w:tc>
      </w:tr>
      <w:tr w14:paraId="4338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Merge w:val="restart"/>
            <w:noWrap w:val="0"/>
            <w:vAlign w:val="center"/>
          </w:tcPr>
          <w:p w14:paraId="5F3115D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c>
          <w:tcPr>
            <w:tcW w:w="1559" w:type="dxa"/>
            <w:vMerge w:val="restart"/>
            <w:noWrap w:val="0"/>
            <w:vAlign w:val="center"/>
          </w:tcPr>
          <w:p w14:paraId="4851FE1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b/>
                <w:color w:val="auto"/>
                <w:kern w:val="0"/>
                <w:sz w:val="21"/>
                <w:szCs w:val="21"/>
                <w:highlight w:val="yellow"/>
              </w:rPr>
              <w:t>★</w:t>
            </w:r>
            <w:r>
              <w:rPr>
                <w:rFonts w:hint="eastAsia" w:asciiTheme="minorEastAsia" w:hAnsiTheme="minorEastAsia" w:eastAsiaTheme="minorEastAsia" w:cstheme="minorEastAsia"/>
                <w:color w:val="auto"/>
                <w:sz w:val="21"/>
                <w:szCs w:val="21"/>
                <w:highlight w:val="yellow"/>
              </w:rPr>
              <w:t>关于验收</w:t>
            </w:r>
          </w:p>
        </w:tc>
        <w:tc>
          <w:tcPr>
            <w:tcW w:w="7424" w:type="dxa"/>
            <w:noWrap w:val="0"/>
            <w:vAlign w:val="top"/>
          </w:tcPr>
          <w:p w14:paraId="2A9F9799">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1"/>
                <w:szCs w:val="21"/>
                <w:highlight w:val="yellow"/>
              </w:rPr>
            </w:pPr>
            <w:r>
              <w:rPr>
                <w:rFonts w:hint="eastAsia" w:asciiTheme="minorEastAsia" w:hAnsiTheme="minorEastAsia" w:eastAsiaTheme="minorEastAsia" w:cstheme="minorEastAsia"/>
                <w:bCs/>
                <w:color w:val="auto"/>
                <w:sz w:val="21"/>
                <w:szCs w:val="21"/>
                <w:highlight w:val="yellow"/>
              </w:rPr>
              <w:t>1.投标人货物经过双方检验认可后，签署验收报告，产品保修期自验收合格之日起算，由投标人提供产品保修文件。</w:t>
            </w:r>
          </w:p>
        </w:tc>
      </w:tr>
      <w:tr w14:paraId="57D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09" w:type="dxa"/>
            <w:vMerge w:val="continue"/>
            <w:noWrap w:val="0"/>
            <w:vAlign w:val="center"/>
          </w:tcPr>
          <w:p w14:paraId="1755767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21"/>
                <w:szCs w:val="21"/>
              </w:rPr>
            </w:pPr>
          </w:p>
        </w:tc>
        <w:tc>
          <w:tcPr>
            <w:tcW w:w="1559" w:type="dxa"/>
            <w:vMerge w:val="continue"/>
            <w:noWrap w:val="0"/>
            <w:vAlign w:val="top"/>
          </w:tcPr>
          <w:p w14:paraId="4B1A706F">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auto"/>
                <w:sz w:val="21"/>
                <w:szCs w:val="21"/>
                <w:highlight w:val="yellow"/>
              </w:rPr>
            </w:pPr>
          </w:p>
        </w:tc>
        <w:tc>
          <w:tcPr>
            <w:tcW w:w="7424" w:type="dxa"/>
            <w:noWrap w:val="0"/>
            <w:vAlign w:val="top"/>
          </w:tcPr>
          <w:p w14:paraId="0C453CAE">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1"/>
                <w:szCs w:val="21"/>
                <w:highlight w:val="yellow"/>
              </w:rPr>
            </w:pPr>
            <w:r>
              <w:rPr>
                <w:rFonts w:hint="eastAsia" w:asciiTheme="minorEastAsia" w:hAnsiTheme="minorEastAsia" w:eastAsiaTheme="minorEastAsia" w:cstheme="minorEastAsia"/>
                <w:bCs/>
                <w:color w:val="auto"/>
                <w:sz w:val="21"/>
                <w:szCs w:val="21"/>
                <w:highlight w:val="yellow"/>
              </w:rPr>
              <w:t>2.当满足以下条件时，采购人才向中标人签发货物验收报告：</w:t>
            </w:r>
          </w:p>
          <w:p w14:paraId="509220A3">
            <w:pPr>
              <w:keepNext w:val="0"/>
              <w:keepLines w:val="0"/>
              <w:pageBreakBefore w:val="0"/>
              <w:tabs>
                <w:tab w:val="left" w:pos="1260"/>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1"/>
                <w:szCs w:val="21"/>
                <w:highlight w:val="yellow"/>
              </w:rPr>
            </w:pPr>
            <w:r>
              <w:rPr>
                <w:rFonts w:hint="eastAsia" w:asciiTheme="minorEastAsia" w:hAnsiTheme="minorEastAsia" w:eastAsiaTheme="minorEastAsia" w:cstheme="minorEastAsia"/>
                <w:bCs/>
                <w:color w:val="auto"/>
                <w:sz w:val="21"/>
                <w:szCs w:val="21"/>
                <w:highlight w:val="yellow"/>
              </w:rPr>
              <w:t>a、中标人已按照合同规定提供了全部产品及完整的技术资料。</w:t>
            </w:r>
          </w:p>
          <w:p w14:paraId="2EA74854">
            <w:pPr>
              <w:keepNext w:val="0"/>
              <w:keepLines w:val="0"/>
              <w:pageBreakBefore w:val="0"/>
              <w:tabs>
                <w:tab w:val="left" w:pos="1260"/>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1"/>
                <w:szCs w:val="21"/>
                <w:highlight w:val="yellow"/>
              </w:rPr>
            </w:pPr>
            <w:r>
              <w:rPr>
                <w:rFonts w:hint="eastAsia" w:asciiTheme="minorEastAsia" w:hAnsiTheme="minorEastAsia" w:eastAsiaTheme="minorEastAsia" w:cstheme="minorEastAsia"/>
                <w:bCs/>
                <w:color w:val="auto"/>
                <w:sz w:val="21"/>
                <w:szCs w:val="21"/>
                <w:highlight w:val="yellow"/>
              </w:rPr>
              <w:t>b、货物符合招标文件技术规格书的要求，性能满足要求。</w:t>
            </w:r>
          </w:p>
          <w:p w14:paraId="545EB0B6">
            <w:pPr>
              <w:keepNext w:val="0"/>
              <w:keepLines w:val="0"/>
              <w:pageBreakBefore w:val="0"/>
              <w:tabs>
                <w:tab w:val="left" w:pos="1260"/>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1"/>
                <w:szCs w:val="21"/>
                <w:highlight w:val="yellow"/>
              </w:rPr>
            </w:pPr>
            <w:r>
              <w:rPr>
                <w:rFonts w:hint="eastAsia" w:asciiTheme="minorEastAsia" w:hAnsiTheme="minorEastAsia" w:eastAsiaTheme="minorEastAsia" w:cstheme="minorEastAsia"/>
                <w:bCs/>
                <w:color w:val="auto"/>
                <w:sz w:val="21"/>
                <w:szCs w:val="21"/>
                <w:highlight w:val="yellow"/>
              </w:rPr>
              <w:t>c、货物具备产品合格证。</w:t>
            </w:r>
          </w:p>
        </w:tc>
      </w:tr>
      <w:tr w14:paraId="4E1B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09" w:type="dxa"/>
            <w:noWrap w:val="0"/>
            <w:vAlign w:val="center"/>
          </w:tcPr>
          <w:p w14:paraId="5CA3864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5</w:t>
            </w:r>
          </w:p>
        </w:tc>
        <w:tc>
          <w:tcPr>
            <w:tcW w:w="1559" w:type="dxa"/>
            <w:noWrap w:val="0"/>
            <w:vAlign w:val="center"/>
          </w:tcPr>
          <w:p w14:paraId="75C815E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kern w:val="0"/>
                <w:sz w:val="21"/>
                <w:szCs w:val="21"/>
                <w:highlight w:val="yellow"/>
              </w:rPr>
              <w:t>★</w:t>
            </w:r>
            <w:r>
              <w:rPr>
                <w:rFonts w:hint="eastAsia" w:asciiTheme="minorEastAsia" w:hAnsiTheme="minorEastAsia" w:eastAsiaTheme="minorEastAsia" w:cstheme="minorEastAsia"/>
                <w:color w:val="auto"/>
                <w:sz w:val="21"/>
                <w:szCs w:val="21"/>
                <w:highlight w:val="yellow"/>
              </w:rPr>
              <w:t>付款方式</w:t>
            </w:r>
          </w:p>
        </w:tc>
        <w:tc>
          <w:tcPr>
            <w:tcW w:w="7424" w:type="dxa"/>
            <w:noWrap w:val="0"/>
            <w:vAlign w:val="center"/>
          </w:tcPr>
          <w:p w14:paraId="2EDE2FD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highlight w:val="yellow"/>
              </w:rPr>
              <w:t>1、一期：支付合同总金额50%，合同签订后10个工作日内，采购人支付合同总价的50%给中标人作为预付款；</w:t>
            </w:r>
          </w:p>
          <w:p w14:paraId="0B5DB30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color w:val="auto"/>
                <w:sz w:val="21"/>
                <w:szCs w:val="21"/>
                <w:highlight w:val="yellow"/>
              </w:rPr>
            </w:pPr>
            <w:r>
              <w:rPr>
                <w:rFonts w:hint="eastAsia" w:asciiTheme="minorEastAsia" w:hAnsiTheme="minorEastAsia" w:eastAsiaTheme="minorEastAsia" w:cstheme="minorEastAsia"/>
                <w:color w:val="auto"/>
                <w:sz w:val="21"/>
                <w:szCs w:val="21"/>
                <w:highlight w:val="yellow"/>
              </w:rPr>
              <w:t>2、二期：支付比例合同总金额50%，项目完成，中标人提交全部报告材料，并经采购人书面验收合格后30个日历天内，采购人支付合同总价的50%给中标人。款项支付前，中标人需向采购人提供相应金额的增值税发票。</w:t>
            </w:r>
          </w:p>
        </w:tc>
      </w:tr>
      <w:tr w14:paraId="0EE3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09" w:type="dxa"/>
            <w:noWrap w:val="0"/>
            <w:vAlign w:val="center"/>
          </w:tcPr>
          <w:p w14:paraId="41D4D5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kern w:val="0"/>
                <w:sz w:val="21"/>
                <w:szCs w:val="21"/>
                <w:highlight w:val="yellow"/>
                <w:lang w:eastAsia="zh-CN"/>
              </w:rPr>
            </w:pPr>
            <w:r>
              <w:rPr>
                <w:rFonts w:hint="eastAsia" w:asciiTheme="minorEastAsia" w:hAnsiTheme="minorEastAsia" w:eastAsiaTheme="minorEastAsia" w:cstheme="minorEastAsia"/>
                <w:color w:val="auto"/>
                <w:kern w:val="0"/>
                <w:sz w:val="21"/>
                <w:szCs w:val="21"/>
                <w:lang w:val="en-US" w:eastAsia="zh-CN"/>
              </w:rPr>
              <w:t>6</w:t>
            </w:r>
          </w:p>
        </w:tc>
        <w:tc>
          <w:tcPr>
            <w:tcW w:w="1559" w:type="dxa"/>
            <w:noWrap w:val="0"/>
            <w:vAlign w:val="center"/>
          </w:tcPr>
          <w:p w14:paraId="04B2E4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kern w:val="0"/>
                <w:sz w:val="21"/>
                <w:szCs w:val="21"/>
                <w:highlight w:val="yellow"/>
              </w:rPr>
            </w:pPr>
            <w:r>
              <w:rPr>
                <w:rFonts w:hint="eastAsia" w:asciiTheme="minorEastAsia" w:hAnsiTheme="minorEastAsia" w:eastAsiaTheme="minorEastAsia" w:cstheme="minorEastAsia"/>
                <w:color w:val="auto"/>
                <w:kern w:val="0"/>
                <w:sz w:val="21"/>
                <w:szCs w:val="21"/>
                <w:highlight w:val="yellow"/>
              </w:rPr>
              <w:t>★诚信履约</w:t>
            </w:r>
          </w:p>
        </w:tc>
        <w:tc>
          <w:tcPr>
            <w:tcW w:w="7424" w:type="dxa"/>
            <w:noWrap w:val="0"/>
            <w:vAlign w:val="center"/>
          </w:tcPr>
          <w:p w14:paraId="03C0558E">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highlight w:val="yellow"/>
              </w:rPr>
              <w:t>投标人遵守投标过程中所作出的响应和承诺，严格按合同的要求履约，不偷工减料、不以次充好，在合同服务期内，若采购人发现中标人有违反响应与承诺、不按合同要求履约、偷工减料、以次充好的，中标人须按涉事货物、工程或服务合同价格3倍的金额向采购人进行赔偿，情节严重的，采购人有权直接终止合同并进行不诚信履约记录公示。</w:t>
            </w:r>
          </w:p>
        </w:tc>
      </w:tr>
    </w:tbl>
    <w:p w14:paraId="1145E822">
      <w:pPr>
        <w:widowControl/>
        <w:jc w:val="left"/>
      </w:pPr>
    </w:p>
    <w:p w14:paraId="7F842591">
      <w:pPr>
        <w:rPr>
          <w:rFonts w:hint="eastAsia"/>
        </w:rPr>
      </w:pPr>
      <w:bookmarkStart w:id="3" w:name="_Toc135293322"/>
    </w:p>
    <w:p w14:paraId="744318CF">
      <w:pPr>
        <w:pStyle w:val="4"/>
        <w:spacing w:beforeLines="50" w:afterLines="50"/>
        <w:jc w:val="both"/>
        <w:rPr>
          <w:sz w:val="28"/>
          <w:szCs w:val="28"/>
        </w:rPr>
      </w:pPr>
      <w:r>
        <w:rPr>
          <w:rFonts w:hint="eastAsia"/>
          <w:sz w:val="28"/>
          <w:szCs w:val="28"/>
          <w:lang w:val="en-US" w:eastAsia="zh-CN"/>
        </w:rPr>
        <w:t>四、</w:t>
      </w:r>
      <w:r>
        <w:rPr>
          <w:rFonts w:hint="eastAsia"/>
          <w:sz w:val="28"/>
          <w:szCs w:val="28"/>
        </w:rPr>
        <w:t>演示要求</w:t>
      </w:r>
    </w:p>
    <w:p w14:paraId="0E335407">
      <w:pPr>
        <w:spacing w:beforeLines="25" w:afterLines="25" w:line="360" w:lineRule="auto"/>
        <w:ind w:firstLine="392" w:firstLineChars="187"/>
        <w:rPr>
          <w:rFonts w:ascii="宋体" w:hAnsi="宋体" w:cs="宋体"/>
          <w:szCs w:val="21"/>
        </w:rPr>
      </w:pPr>
      <w:r>
        <w:rPr>
          <w:rFonts w:hint="eastAsia" w:ascii="宋体" w:hAnsi="宋体" w:cs="宋体"/>
          <w:szCs w:val="21"/>
        </w:rPr>
        <w:t>（一）总体要求：</w:t>
      </w:r>
    </w:p>
    <w:p w14:paraId="4CDCAA91">
      <w:pPr>
        <w:spacing w:beforeLines="25" w:afterLines="25" w:line="360" w:lineRule="auto"/>
        <w:ind w:firstLine="392" w:firstLineChars="187"/>
        <w:rPr>
          <w:rFonts w:ascii="宋体" w:hAnsi="宋体" w:cs="宋体"/>
          <w:szCs w:val="21"/>
        </w:rPr>
      </w:pPr>
      <w:r>
        <w:rPr>
          <w:rFonts w:hint="eastAsia" w:ascii="宋体" w:hAnsi="宋体" w:cs="宋体"/>
          <w:szCs w:val="21"/>
        </w:rPr>
        <w:t>演示地点提供电源、投影仪及宽带上网环境（有WIFI），由投标人代表自带手提电脑、无线路由器、便携式服务器、U盘及其它能完成演示操作的设备（具体以投标人实际需要为准）进行演示。由于演示场地有限，建议勿携带过大设备进行演示。</w:t>
      </w:r>
    </w:p>
    <w:p w14:paraId="303B3944">
      <w:pPr>
        <w:spacing w:beforeLines="25" w:afterLines="25" w:line="360" w:lineRule="auto"/>
        <w:ind w:firstLine="392" w:firstLineChars="187"/>
        <w:rPr>
          <w:rFonts w:ascii="宋体" w:hAnsi="宋体" w:cs="宋体"/>
          <w:szCs w:val="21"/>
        </w:rPr>
      </w:pPr>
      <w:r>
        <w:rPr>
          <w:rFonts w:hint="eastAsia" w:ascii="宋体" w:hAnsi="宋体" w:cs="宋体"/>
          <w:szCs w:val="21"/>
        </w:rPr>
        <w:t>每个投标人的现场演示时间不超过10分钟（演示期间评委将进行提问，并有权酌情延长时间），现场演示人员不得超过2人。</w:t>
      </w:r>
    </w:p>
    <w:p w14:paraId="123476C4">
      <w:pPr>
        <w:spacing w:beforeLines="25" w:afterLines="25" w:line="360" w:lineRule="auto"/>
        <w:ind w:firstLine="392" w:firstLineChars="187"/>
        <w:rPr>
          <w:rFonts w:ascii="宋体" w:hAnsi="宋体" w:cs="宋体"/>
          <w:szCs w:val="21"/>
          <w:highlight w:val="yellow"/>
        </w:rPr>
      </w:pPr>
      <w:r>
        <w:rPr>
          <w:rFonts w:hint="eastAsia" w:ascii="宋体" w:hAnsi="宋体" w:cs="宋体"/>
          <w:szCs w:val="21"/>
          <w:highlight w:val="yellow"/>
        </w:rPr>
        <w:t>（二）签到要求：</w:t>
      </w:r>
    </w:p>
    <w:p w14:paraId="5E7DC5A8">
      <w:pPr>
        <w:spacing w:beforeLines="25" w:afterLines="25" w:line="360" w:lineRule="auto"/>
        <w:ind w:firstLine="392" w:firstLineChars="187"/>
        <w:rPr>
          <w:rFonts w:ascii="宋体" w:hAnsi="宋体" w:cs="宋体"/>
          <w:szCs w:val="21"/>
        </w:rPr>
      </w:pPr>
      <w:r>
        <w:rPr>
          <w:rFonts w:hint="eastAsia" w:ascii="宋体" w:hAnsi="宋体" w:cs="宋体"/>
          <w:szCs w:val="21"/>
          <w:highlight w:val="yellow"/>
        </w:rPr>
        <w:t>参加现场演示的投标人须在投标截止时间前进行现场演示签到，携带法定代表人证明书（盖公章）及法人授权委托书（盖公章），到达深圳市中正招标有限公司开标室，按工作人员指引进行签到。</w:t>
      </w:r>
    </w:p>
    <w:p w14:paraId="3F600A53">
      <w:pPr>
        <w:spacing w:beforeLines="25" w:afterLines="25" w:line="360" w:lineRule="auto"/>
        <w:ind w:firstLine="394" w:firstLineChars="187"/>
        <w:rPr>
          <w:rFonts w:ascii="宋体" w:hAnsi="宋体" w:cs="宋体"/>
          <w:b/>
          <w:szCs w:val="21"/>
        </w:rPr>
      </w:pPr>
      <w:r>
        <w:rPr>
          <w:rFonts w:hint="eastAsia" w:ascii="宋体" w:hAnsi="宋体" w:cs="宋体"/>
          <w:b/>
          <w:szCs w:val="21"/>
          <w:highlight w:val="yellow"/>
        </w:rPr>
        <w:t>特别注意事项：（1）资料提供不齐全的，不予签到；（2）投标截止时间后不再受理签到；（3）未签到的人员，不能参与现场演示。</w:t>
      </w:r>
    </w:p>
    <w:p w14:paraId="56AFF081">
      <w:pPr>
        <w:spacing w:beforeLines="25" w:afterLines="25" w:line="360" w:lineRule="auto"/>
        <w:ind w:firstLine="392" w:firstLineChars="187"/>
        <w:rPr>
          <w:rFonts w:ascii="宋体" w:hAnsi="宋体" w:cs="宋体"/>
          <w:szCs w:val="21"/>
        </w:rPr>
      </w:pPr>
      <w:r>
        <w:rPr>
          <w:rFonts w:hint="eastAsia" w:ascii="宋体" w:hAnsi="宋体" w:cs="宋体"/>
          <w:szCs w:val="21"/>
        </w:rPr>
        <w:t>（三）演示内容：</w:t>
      </w:r>
    </w:p>
    <w:p w14:paraId="18E354C9">
      <w:pPr>
        <w:spacing w:beforeLines="25" w:afterLines="25" w:line="360" w:lineRule="auto"/>
        <w:ind w:firstLine="392" w:firstLineChars="187"/>
        <w:rPr>
          <w:rFonts w:hint="eastAsia" w:ascii="宋体" w:hAnsi="宋体" w:eastAsia="宋体" w:cs="宋体"/>
          <w:szCs w:val="21"/>
          <w:lang w:val="en-US" w:eastAsia="zh-CN"/>
        </w:rPr>
      </w:pPr>
      <w:r>
        <w:rPr>
          <w:rFonts w:hint="eastAsia" w:ascii="宋体" w:hAnsi="宋体" w:eastAsia="宋体" w:cs="宋体"/>
          <w:szCs w:val="21"/>
          <w:lang w:val="en-US" w:eastAsia="zh-CN"/>
        </w:rPr>
        <w:t>1、Word文档向量化存储演示：演示Word文档上传生成知识图谱形式的结构化及其节点内容，能够将解析到的数据进行向量化存储；同时演示知识图谱节点资源推送功能，通过问答检索到向量库中的文本以及资源，须支持图片、视频、虚拟仿真、链接、交互式网页至少5种类型的资源挂载与推送；</w:t>
      </w:r>
    </w:p>
    <w:p w14:paraId="70B3D168">
      <w:pPr>
        <w:spacing w:beforeLines="25" w:afterLines="25" w:line="360" w:lineRule="auto"/>
        <w:ind w:firstLine="392" w:firstLineChars="187"/>
        <w:rPr>
          <w:rFonts w:hint="eastAsia" w:ascii="宋体" w:hAnsi="宋体" w:eastAsia="宋体" w:cs="宋体"/>
          <w:szCs w:val="21"/>
          <w:lang w:val="en-US" w:eastAsia="zh-CN"/>
        </w:rPr>
      </w:pPr>
      <w:r>
        <w:rPr>
          <w:rFonts w:hint="eastAsia" w:ascii="宋体" w:hAnsi="宋体" w:eastAsia="宋体" w:cs="宋体"/>
          <w:szCs w:val="21"/>
          <w:lang w:val="en-US" w:eastAsia="zh-CN"/>
        </w:rPr>
        <w:t>2、Qwen3-Coder本地部署编码能力演示：演示在智能体上能够调用GLM-5、Qwen3-Coder的模型来进行自然语言问答以及代码生成，能够在终端查看到本次问答或代码生成所调用的模型名称，并调用智启星平台上的skill。</w:t>
      </w:r>
    </w:p>
    <w:p w14:paraId="03D5C9B3">
      <w:pPr>
        <w:spacing w:beforeLines="25" w:afterLines="25" w:line="360" w:lineRule="auto"/>
        <w:ind w:firstLine="392" w:firstLineChars="187"/>
        <w:rPr>
          <w:rFonts w:hint="eastAsia" w:ascii="宋体" w:hAnsi="宋体" w:eastAsia="宋体" w:cs="宋体"/>
          <w:szCs w:val="21"/>
          <w:lang w:val="en-US" w:eastAsia="zh-CN"/>
        </w:rPr>
      </w:pPr>
    </w:p>
    <w:p w14:paraId="18A160E3">
      <w:pPr>
        <w:spacing w:beforeLines="25" w:afterLines="25" w:line="360" w:lineRule="auto"/>
        <w:ind w:firstLine="392" w:firstLineChars="187"/>
        <w:rPr>
          <w:rFonts w:hint="eastAsia" w:ascii="宋体" w:hAnsi="宋体" w:eastAsia="宋体" w:cs="宋体"/>
          <w:szCs w:val="21"/>
          <w:lang w:val="en-US" w:eastAsia="zh-CN"/>
        </w:rPr>
      </w:pPr>
    </w:p>
    <w:p w14:paraId="1B74B1BE">
      <w:pPr>
        <w:spacing w:beforeLines="25" w:afterLines="25" w:line="360" w:lineRule="auto"/>
        <w:ind w:firstLine="392" w:firstLineChars="187"/>
        <w:rPr>
          <w:rFonts w:hint="eastAsia" w:ascii="宋体" w:hAnsi="宋体" w:eastAsia="宋体" w:cs="宋体"/>
          <w:szCs w:val="21"/>
          <w:lang w:val="en-US" w:eastAsia="zh-CN"/>
        </w:rPr>
      </w:pPr>
    </w:p>
    <w:p w14:paraId="7D7E2683">
      <w:pPr>
        <w:spacing w:beforeLines="25" w:afterLines="25" w:line="360" w:lineRule="auto"/>
        <w:ind w:firstLine="392" w:firstLineChars="187"/>
        <w:rPr>
          <w:rFonts w:hint="eastAsia" w:ascii="宋体" w:hAnsi="宋体" w:eastAsia="宋体" w:cs="宋体"/>
          <w:szCs w:val="21"/>
          <w:lang w:val="en-US" w:eastAsia="zh-CN"/>
        </w:rPr>
      </w:pPr>
    </w:p>
    <w:p w14:paraId="61156A9E">
      <w:pPr>
        <w:spacing w:beforeLines="25" w:afterLines="25" w:line="360" w:lineRule="auto"/>
        <w:ind w:firstLine="392" w:firstLineChars="187"/>
        <w:rPr>
          <w:rFonts w:hint="eastAsia" w:ascii="宋体" w:hAnsi="宋体" w:eastAsia="宋体" w:cs="宋体"/>
          <w:szCs w:val="21"/>
          <w:lang w:val="en-US" w:eastAsia="zh-CN"/>
        </w:rPr>
      </w:pPr>
    </w:p>
    <w:p w14:paraId="3F8DA676">
      <w:pPr>
        <w:spacing w:beforeLines="25" w:afterLines="25" w:line="360" w:lineRule="auto"/>
        <w:ind w:firstLine="392" w:firstLineChars="187"/>
        <w:rPr>
          <w:rFonts w:hint="eastAsia" w:ascii="宋体" w:hAnsi="宋体" w:eastAsia="宋体" w:cs="宋体"/>
          <w:szCs w:val="21"/>
          <w:lang w:val="en-US" w:eastAsia="zh-CN"/>
        </w:rPr>
      </w:pPr>
    </w:p>
    <w:p w14:paraId="695D26AC">
      <w:pPr>
        <w:spacing w:beforeLines="25" w:afterLines="25" w:line="360" w:lineRule="auto"/>
        <w:ind w:firstLine="392" w:firstLineChars="187"/>
        <w:rPr>
          <w:rFonts w:hint="eastAsia" w:ascii="宋体" w:hAnsi="宋体" w:eastAsia="宋体" w:cs="宋体"/>
          <w:szCs w:val="21"/>
          <w:lang w:val="en-US" w:eastAsia="zh-CN"/>
        </w:rPr>
      </w:pPr>
    </w:p>
    <w:p w14:paraId="0BBD03BD">
      <w:pPr>
        <w:spacing w:beforeLines="25" w:afterLines="25" w:line="360" w:lineRule="auto"/>
        <w:ind w:firstLine="392" w:firstLineChars="187"/>
        <w:rPr>
          <w:rFonts w:hint="eastAsia" w:ascii="宋体" w:hAnsi="宋体" w:eastAsia="宋体" w:cs="宋体"/>
          <w:szCs w:val="21"/>
          <w:lang w:val="en-US" w:eastAsia="zh-CN"/>
        </w:rPr>
      </w:pPr>
    </w:p>
    <w:p w14:paraId="7D9CC566">
      <w:pPr>
        <w:rPr>
          <w:rFonts w:hint="eastAsia"/>
        </w:rPr>
      </w:pPr>
    </w:p>
    <w:p w14:paraId="31B1FD03">
      <w:pPr>
        <w:rPr>
          <w:rFonts w:hint="eastAsia"/>
        </w:rPr>
      </w:pPr>
    </w:p>
    <w:p w14:paraId="77A58EF0">
      <w:pPr>
        <w:rPr>
          <w:rFonts w:hint="eastAsia"/>
        </w:rPr>
      </w:pPr>
    </w:p>
    <w:p w14:paraId="38508AAB">
      <w:pPr>
        <w:rPr>
          <w:rFonts w:hint="eastAsia"/>
        </w:rPr>
      </w:pPr>
    </w:p>
    <w:p w14:paraId="29180FC9">
      <w:pPr>
        <w:rPr>
          <w:rFonts w:hint="eastAsia"/>
        </w:rPr>
      </w:pPr>
    </w:p>
    <w:p w14:paraId="36A9727E">
      <w:pPr>
        <w:rPr>
          <w:rFonts w:hint="eastAsia"/>
        </w:rPr>
      </w:pPr>
    </w:p>
    <w:p w14:paraId="2C7AC027">
      <w:pPr>
        <w:rPr>
          <w:rFonts w:hint="eastAsia"/>
        </w:rPr>
      </w:pPr>
    </w:p>
    <w:p w14:paraId="1FB01B7F">
      <w:pPr>
        <w:pStyle w:val="2"/>
      </w:pPr>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06D8F270"/>
    <w:p w14:paraId="4BE47D73"/>
    <w:p w14:paraId="0C7AE374">
      <w:pPr>
        <w:pStyle w:val="4"/>
      </w:pPr>
    </w:p>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44690429"/>
      <w:bookmarkStart w:id="6" w:name="_Toc44690702"/>
      <w:bookmarkStart w:id="7" w:name="_Toc44691161"/>
      <w:bookmarkStart w:id="8" w:name="_Toc135293324"/>
      <w:bookmarkStart w:id="9" w:name="_Toc44691393"/>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7194488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845"/>
        <w:gridCol w:w="676"/>
        <w:gridCol w:w="5284"/>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C88A0B2">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786CA3B3">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16801C61">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0E7D0BBD">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3D1CA943">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BB34902">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26D15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3E47720C">
            <w:pPr>
              <w:autoSpaceDE w:val="0"/>
              <w:autoSpaceDN w:val="0"/>
              <w:adjustRightInd w:val="0"/>
              <w:spacing w:line="360" w:lineRule="exact"/>
              <w:jc w:val="center"/>
              <w:rPr>
                <w:rFonts w:ascii="宋体" w:hAnsi="宋体" w:cs="仿宋"/>
                <w:b/>
                <w:szCs w:val="21"/>
              </w:rPr>
            </w:pPr>
            <w:r>
              <w:rPr>
                <w:rFonts w:hint="eastAsia" w:ascii="宋体" w:hAnsi="宋体" w:cs="仿宋"/>
                <w:b/>
                <w:szCs w:val="21"/>
              </w:rPr>
              <w:t>5</w:t>
            </w:r>
            <w:r>
              <w:rPr>
                <w:rFonts w:hint="eastAsia" w:ascii="宋体" w:hAnsi="宋体" w:cs="仿宋"/>
                <w:b/>
                <w:szCs w:val="21"/>
                <w:lang w:val="en-US" w:eastAsia="zh-CN"/>
              </w:rPr>
              <w:t>5</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845" w:type="dxa"/>
            <w:vAlign w:val="center"/>
          </w:tcPr>
          <w:p w14:paraId="36307AFA">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676" w:type="dxa"/>
            <w:vAlign w:val="center"/>
          </w:tcPr>
          <w:p w14:paraId="0AF4C1E6">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284" w:type="dxa"/>
            <w:vAlign w:val="center"/>
          </w:tcPr>
          <w:p w14:paraId="4BCF69C3">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4FBC3E8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82" w:hRule="atLeast"/>
          <w:jc w:val="center"/>
        </w:trPr>
        <w:tc>
          <w:tcPr>
            <w:tcW w:w="754" w:type="dxa"/>
            <w:vAlign w:val="center"/>
          </w:tcPr>
          <w:p w14:paraId="42BEF13E">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845" w:type="dxa"/>
            <w:vAlign w:val="center"/>
          </w:tcPr>
          <w:p w14:paraId="2CAD9D31">
            <w:pPr>
              <w:spacing w:line="360" w:lineRule="exact"/>
              <w:jc w:val="center"/>
              <w:rPr>
                <w:rFonts w:hint="eastAsia" w:ascii="宋体" w:hAnsi="宋体" w:eastAsia="宋体" w:cs="宋体"/>
                <w:kern w:val="0"/>
                <w:szCs w:val="21"/>
              </w:rPr>
            </w:pPr>
            <w:r>
              <w:rPr>
                <w:rFonts w:hint="eastAsia" w:ascii="宋体" w:hAnsi="宋体" w:eastAsia="宋体" w:cs="宋体"/>
                <w:kern w:val="0"/>
                <w:szCs w:val="21"/>
              </w:rPr>
              <w:t>技术规格响应情况</w:t>
            </w:r>
          </w:p>
        </w:tc>
        <w:tc>
          <w:tcPr>
            <w:tcW w:w="676" w:type="dxa"/>
            <w:vAlign w:val="center"/>
          </w:tcPr>
          <w:p w14:paraId="7C05B46F">
            <w:pPr>
              <w:spacing w:line="360" w:lineRule="exact"/>
              <w:jc w:val="center"/>
              <w:rPr>
                <w:rFonts w:hint="eastAsia" w:ascii="宋体" w:hAnsi="宋体" w:eastAsia="宋体" w:cs="宋体"/>
                <w:kern w:val="0"/>
                <w:szCs w:val="21"/>
              </w:rPr>
            </w:pPr>
            <w:r>
              <w:rPr>
                <w:rFonts w:hint="eastAsia" w:ascii="宋体" w:hAnsi="宋体" w:eastAsia="宋体" w:cs="宋体"/>
                <w:kern w:val="0"/>
                <w:szCs w:val="21"/>
                <w:lang w:val="en-US" w:eastAsia="zh-CN"/>
              </w:rPr>
              <w:t>37</w:t>
            </w:r>
          </w:p>
        </w:tc>
        <w:tc>
          <w:tcPr>
            <w:tcW w:w="5284" w:type="dxa"/>
            <w:vAlign w:val="center"/>
          </w:tcPr>
          <w:p w14:paraId="0F4C2EB0">
            <w:pPr>
              <w:pStyle w:val="94"/>
              <w:spacing w:line="360" w:lineRule="exact"/>
              <w:ind w:firstLine="0" w:firstLineChars="0"/>
              <w:rPr>
                <w:rFonts w:ascii="宋体" w:hAnsi="宋体"/>
                <w:szCs w:val="21"/>
              </w:rPr>
            </w:pPr>
            <w:r>
              <w:rPr>
                <w:rFonts w:hint="eastAsia" w:ascii="宋体" w:hAnsi="宋体"/>
                <w:szCs w:val="21"/>
              </w:rPr>
              <w:t>（一）评分内容：</w:t>
            </w:r>
          </w:p>
          <w:p w14:paraId="1707E797">
            <w:pPr>
              <w:spacing w:line="360" w:lineRule="exact"/>
              <w:jc w:val="left"/>
              <w:rPr>
                <w:rFonts w:ascii="宋体" w:hAnsi="宋体" w:cs="仿宋"/>
                <w:szCs w:val="21"/>
              </w:rPr>
            </w:pPr>
            <w:r>
              <w:rPr>
                <w:rFonts w:hint="eastAsia" w:ascii="宋体" w:hAnsi="宋体" w:cs="仿宋"/>
                <w:szCs w:val="21"/>
              </w:rPr>
              <w:t xml:space="preserve">投标人应如实填写《技术规格偏离表》，各项非实质性技术参数指标及要求全部满足的得 </w:t>
            </w:r>
            <w:r>
              <w:rPr>
                <w:rFonts w:hint="eastAsia" w:ascii="宋体" w:hAnsi="宋体" w:cs="仿宋"/>
                <w:szCs w:val="21"/>
                <w:lang w:val="en-US" w:eastAsia="zh-CN"/>
              </w:rPr>
              <w:t>37</w:t>
            </w:r>
            <w:r>
              <w:rPr>
                <w:rFonts w:hint="eastAsia" w:ascii="宋体" w:hAnsi="宋体" w:cs="仿宋"/>
                <w:szCs w:val="21"/>
              </w:rPr>
              <w:t>分；其中“▲”参数为重要指标，每负偏离一项扣</w:t>
            </w:r>
            <w:r>
              <w:rPr>
                <w:rFonts w:hint="eastAsia" w:ascii="宋体" w:hAnsi="宋体" w:cs="仿宋"/>
                <w:szCs w:val="21"/>
                <w:lang w:val="en-US" w:eastAsia="zh-CN"/>
              </w:rPr>
              <w:t>3</w:t>
            </w:r>
            <w:r>
              <w:rPr>
                <w:rFonts w:hint="eastAsia" w:ascii="宋体" w:hAnsi="宋体" w:cs="仿宋"/>
                <w:szCs w:val="21"/>
              </w:rPr>
              <w:t>分；其余指标每负偏离一项扣</w:t>
            </w:r>
            <w:r>
              <w:rPr>
                <w:rFonts w:hint="eastAsia" w:ascii="宋体" w:hAnsi="宋体" w:cs="仿宋"/>
                <w:szCs w:val="21"/>
                <w:lang w:val="en-US" w:eastAsia="zh-CN"/>
              </w:rPr>
              <w:t>0.0625</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28434DB0">
            <w:pPr>
              <w:spacing w:line="360" w:lineRule="exact"/>
              <w:jc w:val="left"/>
              <w:rPr>
                <w:rFonts w:hint="eastAsia" w:ascii="宋体" w:hAnsi="宋体" w:cs="仿宋"/>
                <w:szCs w:val="21"/>
              </w:rPr>
            </w:pPr>
            <w:r>
              <w:rPr>
                <w:rFonts w:hint="eastAsia" w:ascii="宋体" w:hAnsi="宋体" w:cs="仿宋"/>
                <w:szCs w:val="21"/>
              </w:rPr>
              <w:t>（二）评分依据：</w:t>
            </w:r>
          </w:p>
          <w:p w14:paraId="22BA9ED5">
            <w:pPr>
              <w:spacing w:line="360" w:lineRule="exact"/>
              <w:jc w:val="left"/>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281CBD74">
            <w:pPr>
              <w:spacing w:line="360" w:lineRule="exact"/>
              <w:jc w:val="left"/>
              <w:rPr>
                <w:rFonts w:hint="eastAsia" w:ascii="宋体" w:hAnsi="宋体" w:cs="仿宋"/>
                <w:szCs w:val="21"/>
              </w:rPr>
            </w:pPr>
            <w:r>
              <w:rPr>
                <w:rFonts w:hint="eastAsia" w:ascii="宋体" w:hAnsi="宋体" w:cs="仿宋"/>
                <w:szCs w:val="21"/>
              </w:rPr>
              <w:t>证明材料涉及检测（或检验）报告的，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编号一致；④投标人出具检验检测报告未超出检验检测机构资质认定证书规定的检测范围的承诺函(格式自拟)。未按要求提供或者任一项不符合要求的视为负偏离；如检验检测报告中明确备注说明相关检验检测项不在该机构认证范围内的，视为负偏离。</w:t>
            </w:r>
          </w:p>
          <w:p w14:paraId="761D9D9B">
            <w:pPr>
              <w:pStyle w:val="18"/>
              <w:rPr>
                <w:rFonts w:asciiTheme="minorEastAsia" w:hAnsiTheme="minorEastAsia" w:eastAsiaTheme="minorEastAsia" w:cstheme="minorBidi"/>
                <w:b/>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27AFFA20">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4F125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71" w:hRule="atLeast"/>
          <w:jc w:val="center"/>
        </w:trPr>
        <w:tc>
          <w:tcPr>
            <w:tcW w:w="754" w:type="dxa"/>
            <w:vAlign w:val="center"/>
          </w:tcPr>
          <w:p w14:paraId="7AC7B54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845" w:type="dxa"/>
            <w:vAlign w:val="center"/>
          </w:tcPr>
          <w:p w14:paraId="521CD5CF">
            <w:pPr>
              <w:spacing w:line="360" w:lineRule="exact"/>
              <w:jc w:val="center"/>
              <w:rPr>
                <w:rFonts w:ascii="宋体" w:hAnsi="宋体" w:cs="仿宋"/>
                <w:szCs w:val="21"/>
              </w:rPr>
            </w:pPr>
            <w:r>
              <w:rPr>
                <w:rFonts w:hint="eastAsia" w:ascii="宋体" w:hAnsi="宋体" w:cs="宋体"/>
                <w:kern w:val="0"/>
                <w:szCs w:val="21"/>
              </w:rPr>
              <w:t>技术保障措施</w:t>
            </w:r>
          </w:p>
        </w:tc>
        <w:tc>
          <w:tcPr>
            <w:tcW w:w="676" w:type="dxa"/>
            <w:vAlign w:val="center"/>
          </w:tcPr>
          <w:p w14:paraId="4ED36909">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284" w:type="dxa"/>
            <w:vAlign w:val="center"/>
          </w:tcPr>
          <w:p w14:paraId="72A624C5">
            <w:pPr>
              <w:spacing w:line="360" w:lineRule="exact"/>
              <w:jc w:val="left"/>
              <w:rPr>
                <w:rFonts w:hint="eastAsia" w:ascii="宋体" w:hAnsi="宋体" w:cs="仿宋"/>
                <w:szCs w:val="21"/>
              </w:rPr>
            </w:pPr>
            <w:r>
              <w:rPr>
                <w:rFonts w:hint="eastAsia" w:ascii="宋体" w:hAnsi="宋体" w:cs="仿宋"/>
                <w:szCs w:val="21"/>
              </w:rPr>
              <w:t>（一）评审内容：</w:t>
            </w:r>
          </w:p>
          <w:p w14:paraId="58658E8A">
            <w:pPr>
              <w:spacing w:line="360" w:lineRule="exact"/>
              <w:jc w:val="left"/>
              <w:rPr>
                <w:rFonts w:hint="eastAsia" w:ascii="宋体" w:hAnsi="宋体" w:cs="仿宋"/>
                <w:szCs w:val="21"/>
              </w:rPr>
            </w:pPr>
            <w:r>
              <w:rPr>
                <w:rFonts w:hint="eastAsia" w:ascii="宋体" w:hAnsi="宋体" w:cs="仿宋"/>
                <w:szCs w:val="21"/>
              </w:rPr>
              <w:t>投标人应就本项目提交技术保障方案，包含以下内容：</w:t>
            </w:r>
          </w:p>
          <w:p w14:paraId="218B8F6D">
            <w:pPr>
              <w:spacing w:line="360" w:lineRule="exact"/>
              <w:jc w:val="left"/>
              <w:rPr>
                <w:rFonts w:hint="eastAsia" w:ascii="宋体" w:hAnsi="宋体" w:cs="仿宋"/>
                <w:szCs w:val="21"/>
              </w:rPr>
            </w:pPr>
            <w:r>
              <w:rPr>
                <w:rFonts w:hint="eastAsia" w:ascii="宋体" w:hAnsi="宋体" w:cs="仿宋"/>
                <w:szCs w:val="21"/>
                <w:lang w:val="en-US" w:eastAsia="zh-CN"/>
              </w:rPr>
              <w:t>1、</w:t>
            </w:r>
            <w:r>
              <w:rPr>
                <w:rFonts w:hint="eastAsia" w:ascii="宋体" w:hAnsi="宋体" w:cs="仿宋"/>
                <w:szCs w:val="21"/>
              </w:rPr>
              <w:t>技术路线：投标人须明确说明本项目的整体技术架构，包括服务器及机房部署方案、大模型本地化部署方案、模型管理系统建设方案、服务器搭建与接入方案、各模块联调验证方式。</w:t>
            </w:r>
          </w:p>
          <w:p w14:paraId="134CFE5C">
            <w:pPr>
              <w:spacing w:line="360" w:lineRule="exact"/>
              <w:jc w:val="left"/>
              <w:rPr>
                <w:rFonts w:hint="eastAsia" w:ascii="宋体" w:hAnsi="宋体" w:cs="仿宋"/>
                <w:szCs w:val="21"/>
              </w:rPr>
            </w:pPr>
            <w:r>
              <w:rPr>
                <w:rFonts w:hint="eastAsia" w:ascii="宋体" w:hAnsi="宋体" w:cs="仿宋"/>
                <w:szCs w:val="21"/>
              </w:rPr>
              <w:t>2、实施规划：投标人须提供项目实施的阶段计划、关键交付节点安排、安装调试与测试验收标准，以及后期模型升级路径规划。</w:t>
            </w:r>
          </w:p>
          <w:p w14:paraId="59A3DFF4">
            <w:pPr>
              <w:spacing w:line="360" w:lineRule="exact"/>
              <w:jc w:val="left"/>
              <w:rPr>
                <w:rFonts w:hint="eastAsia" w:ascii="宋体" w:hAnsi="宋体" w:cs="仿宋"/>
                <w:szCs w:val="21"/>
              </w:rPr>
            </w:pPr>
            <w:r>
              <w:rPr>
                <w:rFonts w:hint="eastAsia" w:ascii="宋体" w:hAnsi="宋体" w:cs="仿宋"/>
                <w:szCs w:val="21"/>
              </w:rPr>
              <w:t>（二）评分标准：</w:t>
            </w:r>
          </w:p>
          <w:p w14:paraId="6978CFC0">
            <w:pPr>
              <w:spacing w:line="360" w:lineRule="exact"/>
              <w:jc w:val="left"/>
            </w:pPr>
            <w:r>
              <w:rPr>
                <w:rFonts w:hint="eastAsia" w:ascii="宋体" w:hAnsi="宋体" w:cs="仿宋"/>
                <w:szCs w:val="21"/>
              </w:rPr>
              <w:t>方案包含以上二项内容得2分；包含以上一项内容得1分；其他情况不得分。</w:t>
            </w:r>
          </w:p>
          <w:p w14:paraId="6FCDD3FE">
            <w:pPr>
              <w:spacing w:line="360" w:lineRule="exact"/>
              <w:jc w:val="left"/>
              <w:rPr>
                <w:rFonts w:hint="eastAsia" w:ascii="宋体" w:hAnsi="宋体" w:cs="仿宋"/>
                <w:szCs w:val="21"/>
              </w:rPr>
            </w:pPr>
            <w:r>
              <w:rPr>
                <w:rFonts w:hint="eastAsia" w:ascii="宋体" w:hAnsi="宋体" w:cs="仿宋"/>
                <w:szCs w:val="21"/>
              </w:rPr>
              <w:t>在此基础上，根据投标人实施方案具体响应内容进一步评审：</w:t>
            </w:r>
          </w:p>
          <w:p w14:paraId="48F0CEE3">
            <w:pPr>
              <w:spacing w:line="360" w:lineRule="exact"/>
              <w:jc w:val="left"/>
              <w:rPr>
                <w:rFonts w:hint="eastAsia" w:ascii="宋体" w:hAnsi="宋体" w:cs="仿宋"/>
                <w:szCs w:val="21"/>
              </w:rPr>
            </w:pPr>
            <w:r>
              <w:rPr>
                <w:rFonts w:hint="eastAsia" w:ascii="宋体" w:hAnsi="宋体" w:cs="仿宋"/>
                <w:szCs w:val="21"/>
              </w:rPr>
              <w:t>优：术路线清晰完整，与项目需求高度匹配，能够覆盖服务器及机房部署、大模型本地化部署、模型管理系统建设、服务器搭建与接入及各模块联调验证等内容；实施规划阶段明确、交付节点合理、安装调试与测试验收标准清晰，后期模型升级路径明确，方案具有较强可执行性的，加3分。</w:t>
            </w:r>
          </w:p>
          <w:p w14:paraId="03CBCDA7">
            <w:pPr>
              <w:spacing w:line="360" w:lineRule="exact"/>
              <w:jc w:val="left"/>
              <w:rPr>
                <w:rFonts w:hint="eastAsia" w:ascii="宋体" w:hAnsi="宋体" w:cs="仿宋"/>
                <w:szCs w:val="21"/>
              </w:rPr>
            </w:pPr>
            <w:r>
              <w:rPr>
                <w:rFonts w:hint="eastAsia" w:ascii="宋体" w:hAnsi="宋体" w:cs="仿宋"/>
                <w:szCs w:val="21"/>
              </w:rPr>
              <w:t>良：技术路线较清晰，与项目需求基本匹配，实施规划较为合理，交付节点和验收安排较完整，但部分内容不够细化的，加2分；</w:t>
            </w:r>
          </w:p>
          <w:p w14:paraId="3E93118A">
            <w:pPr>
              <w:spacing w:line="360" w:lineRule="exact"/>
              <w:jc w:val="left"/>
              <w:rPr>
                <w:rFonts w:hint="eastAsia" w:ascii="宋体" w:hAnsi="宋体" w:cs="仿宋"/>
                <w:szCs w:val="21"/>
              </w:rPr>
            </w:pPr>
            <w:r>
              <w:rPr>
                <w:rFonts w:hint="eastAsia" w:ascii="宋体" w:hAnsi="宋体" w:cs="仿宋"/>
                <w:szCs w:val="21"/>
              </w:rPr>
              <w:t>中：技术路线和实施规划基本完整，但针对性一般，与项目具体需求结合不够紧密，部分内容可操作性一般的，加1分；</w:t>
            </w:r>
          </w:p>
          <w:p w14:paraId="472B5C1C">
            <w:pPr>
              <w:spacing w:line="360" w:lineRule="exact"/>
              <w:jc w:val="left"/>
              <w:rPr>
                <w:rFonts w:hint="eastAsia" w:ascii="宋体" w:hAnsi="宋体" w:cs="仿宋"/>
                <w:szCs w:val="21"/>
              </w:rPr>
            </w:pPr>
            <w:r>
              <w:rPr>
                <w:rFonts w:hint="eastAsia" w:ascii="宋体" w:hAnsi="宋体" w:cs="仿宋"/>
                <w:szCs w:val="21"/>
              </w:rPr>
              <w:t>差：技术路线不清晰、实施规划不完整、针对性较弱，加0分；</w:t>
            </w:r>
          </w:p>
          <w:p w14:paraId="2F315604">
            <w:pPr>
              <w:spacing w:line="360" w:lineRule="exact"/>
              <w:jc w:val="left"/>
              <w:rPr>
                <w:rFonts w:hint="eastAsia" w:ascii="宋体" w:hAnsi="宋体" w:cs="仿宋"/>
                <w:szCs w:val="21"/>
              </w:rPr>
            </w:pPr>
            <w:r>
              <w:rPr>
                <w:rFonts w:hint="eastAsia" w:ascii="宋体" w:hAnsi="宋体" w:cs="仿宋"/>
                <w:szCs w:val="21"/>
              </w:rPr>
              <w:t>如果评审为差，请书面说明理由，并记录存档。</w:t>
            </w:r>
          </w:p>
          <w:p w14:paraId="4146B11E">
            <w:pPr>
              <w:spacing w:line="360" w:lineRule="exact"/>
              <w:jc w:val="left"/>
              <w:rPr>
                <w:rFonts w:ascii="宋体" w:hAnsi="宋体" w:cs="仿宋"/>
                <w:szCs w:val="21"/>
              </w:rPr>
            </w:pPr>
            <w:r>
              <w:rPr>
                <w:rFonts w:hint="eastAsia" w:ascii="宋体" w:hAnsi="宋体" w:cs="仿宋"/>
                <w:szCs w:val="21"/>
              </w:rPr>
              <w:t>备注：投标人未提供相应方案的，得0分。</w:t>
            </w:r>
          </w:p>
        </w:tc>
        <w:tc>
          <w:tcPr>
            <w:tcW w:w="1187" w:type="dxa"/>
            <w:vAlign w:val="center"/>
          </w:tcPr>
          <w:p w14:paraId="4CBE210C">
            <w:pPr>
              <w:spacing w:line="360" w:lineRule="exact"/>
              <w:jc w:val="center"/>
              <w:rPr>
                <w:rFonts w:ascii="宋体" w:hAnsi="宋体" w:cs="仿宋"/>
                <w:szCs w:val="21"/>
                <w:lang w:val="zh-CN"/>
              </w:rPr>
            </w:pPr>
            <w:r>
              <w:rPr>
                <w:rFonts w:hint="eastAsia" w:ascii="宋体" w:hAnsi="宋体" w:cs="仿宋"/>
                <w:szCs w:val="21"/>
              </w:rPr>
              <w:t>评委打分</w:t>
            </w:r>
          </w:p>
        </w:tc>
      </w:tr>
      <w:tr w14:paraId="4610B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A91A8AA">
            <w:pPr>
              <w:widowControl/>
              <w:snapToGrid w:val="0"/>
              <w:spacing w:line="360" w:lineRule="exact"/>
              <w:jc w:val="center"/>
              <w:rPr>
                <w:rFonts w:ascii="宋体" w:hAnsi="宋体"/>
                <w:kern w:val="0"/>
                <w:szCs w:val="21"/>
              </w:rPr>
            </w:pPr>
            <w:r>
              <w:rPr>
                <w:rFonts w:hint="eastAsia" w:ascii="宋体" w:hAnsi="宋体"/>
                <w:kern w:val="0"/>
                <w:szCs w:val="21"/>
              </w:rPr>
              <w:t>3</w:t>
            </w:r>
          </w:p>
        </w:tc>
        <w:tc>
          <w:tcPr>
            <w:tcW w:w="1845" w:type="dxa"/>
            <w:vAlign w:val="center"/>
          </w:tcPr>
          <w:p w14:paraId="3729F656">
            <w:pPr>
              <w:widowControl/>
              <w:spacing w:line="360" w:lineRule="exact"/>
              <w:jc w:val="center"/>
              <w:rPr>
                <w:rFonts w:ascii="宋体" w:hAnsi="宋体" w:cs="宋体"/>
                <w:szCs w:val="21"/>
              </w:rPr>
            </w:pPr>
            <w:r>
              <w:rPr>
                <w:rFonts w:hint="eastAsia"/>
              </w:rPr>
              <w:t>售后服务方案</w:t>
            </w:r>
          </w:p>
        </w:tc>
        <w:tc>
          <w:tcPr>
            <w:tcW w:w="676" w:type="dxa"/>
            <w:vAlign w:val="center"/>
          </w:tcPr>
          <w:p w14:paraId="017C8D52">
            <w:pPr>
              <w:widowControl/>
              <w:spacing w:line="3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3</w:t>
            </w:r>
          </w:p>
        </w:tc>
        <w:tc>
          <w:tcPr>
            <w:tcW w:w="5284" w:type="dxa"/>
            <w:vAlign w:val="center"/>
          </w:tcPr>
          <w:p w14:paraId="21C56BD5">
            <w:pPr>
              <w:pStyle w:val="94"/>
              <w:spacing w:line="360" w:lineRule="exact"/>
              <w:ind w:firstLine="0" w:firstLineChars="0"/>
              <w:rPr>
                <w:rFonts w:hint="eastAsia" w:ascii="宋体" w:hAnsi="宋体"/>
                <w:szCs w:val="21"/>
              </w:rPr>
            </w:pPr>
            <w:r>
              <w:rPr>
                <w:rFonts w:hint="eastAsia" w:ascii="宋体" w:hAnsi="宋体"/>
                <w:szCs w:val="21"/>
              </w:rPr>
              <w:t>（一）评审内容：</w:t>
            </w:r>
          </w:p>
          <w:p w14:paraId="116AA592">
            <w:pPr>
              <w:pStyle w:val="94"/>
              <w:spacing w:line="360" w:lineRule="exact"/>
              <w:ind w:firstLine="0" w:firstLineChars="0"/>
              <w:rPr>
                <w:rFonts w:hint="eastAsia" w:ascii="宋体" w:hAnsi="宋体"/>
                <w:szCs w:val="21"/>
              </w:rPr>
            </w:pPr>
            <w:r>
              <w:rPr>
                <w:rFonts w:hint="eastAsia" w:ascii="宋体" w:hAnsi="宋体"/>
                <w:szCs w:val="21"/>
              </w:rPr>
              <w:t>投标人据招标文件的需求，制定相应的售后服务方案，包含以下内容：</w:t>
            </w:r>
          </w:p>
          <w:p w14:paraId="48411439">
            <w:pPr>
              <w:pStyle w:val="94"/>
              <w:spacing w:line="360" w:lineRule="exact"/>
              <w:ind w:firstLine="0" w:firstLineChars="0"/>
              <w:rPr>
                <w:rFonts w:hint="eastAsia" w:ascii="宋体" w:hAnsi="宋体"/>
                <w:szCs w:val="21"/>
                <w:lang w:eastAsia="zh-CN"/>
              </w:rPr>
            </w:pPr>
            <w:r>
              <w:rPr>
                <w:rFonts w:hint="eastAsia" w:ascii="宋体" w:hAnsi="宋体"/>
                <w:szCs w:val="21"/>
                <w:lang w:val="en-US" w:eastAsia="zh-CN"/>
              </w:rPr>
              <w:t>1、</w:t>
            </w:r>
            <w:r>
              <w:rPr>
                <w:rFonts w:hint="eastAsia" w:ascii="宋体" w:hAnsi="宋体"/>
                <w:szCs w:val="21"/>
              </w:rPr>
              <w:t>运维响应与故障处理方案：</w:t>
            </w:r>
            <w:r>
              <w:rPr>
                <w:rFonts w:hint="eastAsia" w:ascii="宋体" w:hAnsi="宋体"/>
                <w:szCs w:val="21"/>
                <w:lang w:val="en-US" w:eastAsia="zh-CN"/>
              </w:rPr>
              <w:t>投</w:t>
            </w:r>
            <w:r>
              <w:rPr>
                <w:rFonts w:hint="eastAsia" w:ascii="宋体" w:hAnsi="宋体"/>
                <w:szCs w:val="21"/>
              </w:rPr>
              <w:t>标人应结合本项目建设内容，制定售后运维与故障处理方案，包括服务期限、响应时限、日常运行监控、异常告警、故障响应处理流程及硬件维保协调机制等内容</w:t>
            </w:r>
            <w:r>
              <w:rPr>
                <w:rFonts w:hint="eastAsia" w:ascii="宋体" w:hAnsi="宋体"/>
                <w:szCs w:val="21"/>
                <w:lang w:eastAsia="zh-CN"/>
              </w:rPr>
              <w:t>；</w:t>
            </w:r>
          </w:p>
          <w:p w14:paraId="1A60B147">
            <w:pPr>
              <w:pStyle w:val="94"/>
              <w:spacing w:line="360" w:lineRule="exact"/>
              <w:ind w:firstLine="0" w:firstLineChars="0"/>
              <w:rPr>
                <w:rFonts w:hint="eastAsia" w:ascii="宋体" w:hAnsi="宋体"/>
                <w:szCs w:val="21"/>
                <w:lang w:eastAsia="zh-CN"/>
              </w:rPr>
            </w:pPr>
            <w:r>
              <w:rPr>
                <w:rFonts w:hint="eastAsia" w:ascii="宋体" w:hAnsi="宋体"/>
                <w:szCs w:val="21"/>
                <w:lang w:val="en-US" w:eastAsia="zh-CN"/>
              </w:rPr>
              <w:t>2、</w:t>
            </w:r>
            <w:r>
              <w:rPr>
                <w:rFonts w:hint="eastAsia" w:ascii="宋体" w:hAnsi="宋体"/>
                <w:szCs w:val="21"/>
              </w:rPr>
              <w:t>模型、服务器及知识库维护方案</w:t>
            </w:r>
            <w:r>
              <w:rPr>
                <w:rFonts w:hint="eastAsia" w:ascii="宋体" w:hAnsi="宋体"/>
                <w:szCs w:val="21"/>
                <w:lang w:eastAsia="zh-CN"/>
              </w:rPr>
              <w:t>：</w:t>
            </w:r>
            <w:r>
              <w:rPr>
                <w:rFonts w:hint="eastAsia" w:ascii="宋体" w:hAnsi="宋体"/>
                <w:szCs w:val="21"/>
                <w:lang w:val="en-US" w:eastAsia="zh-CN"/>
              </w:rPr>
              <w:t>包括对</w:t>
            </w:r>
            <w:r>
              <w:rPr>
                <w:rFonts w:hint="eastAsia" w:ascii="宋体" w:hAnsi="宋体"/>
                <w:szCs w:val="21"/>
                <w:lang w:eastAsia="zh-CN"/>
              </w:rPr>
              <w:t>制定模型服务、服务器及知识库维护方案，包括模型版本升级支持、服务器持续维护，知识库内容更新及向量化任务维护等内容。</w:t>
            </w:r>
          </w:p>
          <w:p w14:paraId="74F2BED9">
            <w:pPr>
              <w:pStyle w:val="94"/>
              <w:spacing w:line="360" w:lineRule="exact"/>
              <w:ind w:firstLine="0" w:firstLineChars="0"/>
              <w:rPr>
                <w:rFonts w:hint="eastAsia" w:ascii="宋体" w:hAnsi="宋体"/>
                <w:szCs w:val="21"/>
              </w:rPr>
            </w:pPr>
            <w:r>
              <w:rPr>
                <w:rFonts w:hint="eastAsia" w:ascii="宋体" w:hAnsi="宋体"/>
                <w:szCs w:val="21"/>
                <w:lang w:val="en-US" w:eastAsia="zh-CN"/>
              </w:rPr>
              <w:t>2、</w:t>
            </w:r>
            <w:r>
              <w:rPr>
                <w:rFonts w:hint="eastAsia" w:ascii="宋体" w:hAnsi="宋体"/>
                <w:szCs w:val="21"/>
              </w:rPr>
              <w:t>培训与技术支持方案：包括面向学校教师及技术人员的平台操作培训计划、服务器管理培训、AI智能体教学应用培训，以及培训后的答疑支持服务等内容。</w:t>
            </w:r>
          </w:p>
          <w:p w14:paraId="042BB01A">
            <w:pPr>
              <w:pStyle w:val="94"/>
              <w:spacing w:line="360" w:lineRule="exact"/>
              <w:ind w:firstLine="0" w:firstLineChars="0"/>
              <w:rPr>
                <w:rFonts w:hint="eastAsia" w:ascii="宋体" w:hAnsi="宋体"/>
                <w:szCs w:val="21"/>
              </w:rPr>
            </w:pPr>
            <w:r>
              <w:rPr>
                <w:rFonts w:hint="eastAsia" w:ascii="宋体" w:hAnsi="宋体"/>
                <w:szCs w:val="21"/>
              </w:rPr>
              <w:t>（二）评分标准：</w:t>
            </w:r>
          </w:p>
          <w:p w14:paraId="22E18101">
            <w:pPr>
              <w:spacing w:line="360" w:lineRule="exact"/>
              <w:jc w:val="left"/>
              <w:rPr>
                <w:rFonts w:hint="eastAsia" w:ascii="宋体" w:hAnsi="宋体"/>
                <w:szCs w:val="21"/>
              </w:rPr>
            </w:pPr>
            <w:r>
              <w:rPr>
                <w:rFonts w:hint="eastAsia" w:ascii="宋体" w:hAnsi="宋体" w:cs="仿宋"/>
                <w:szCs w:val="21"/>
              </w:rPr>
              <w:t>方案包含以上三项内容得</w:t>
            </w:r>
            <w:r>
              <w:rPr>
                <w:rFonts w:hint="eastAsia" w:ascii="宋体" w:hAnsi="宋体" w:cs="仿宋"/>
                <w:szCs w:val="21"/>
                <w:lang w:val="en-US" w:eastAsia="zh-CN"/>
              </w:rPr>
              <w:t>1.5</w:t>
            </w:r>
            <w:r>
              <w:rPr>
                <w:rFonts w:hint="eastAsia" w:ascii="宋体" w:hAnsi="宋体" w:cs="仿宋"/>
                <w:szCs w:val="21"/>
              </w:rPr>
              <w:t>分；包含以上二项内容得</w:t>
            </w:r>
            <w:r>
              <w:rPr>
                <w:rFonts w:hint="eastAsia" w:ascii="宋体" w:hAnsi="宋体" w:cs="仿宋"/>
                <w:szCs w:val="21"/>
                <w:lang w:val="en-US" w:eastAsia="zh-CN"/>
              </w:rPr>
              <w:t>1</w:t>
            </w:r>
            <w:r>
              <w:rPr>
                <w:rFonts w:hint="eastAsia" w:ascii="宋体" w:hAnsi="宋体" w:cs="仿宋"/>
                <w:szCs w:val="21"/>
              </w:rPr>
              <w:t>分；包含以上一项内容得</w:t>
            </w:r>
            <w:r>
              <w:rPr>
                <w:rFonts w:hint="eastAsia" w:ascii="宋体" w:hAnsi="宋体" w:cs="仿宋"/>
                <w:szCs w:val="21"/>
                <w:lang w:val="en-US" w:eastAsia="zh-CN"/>
              </w:rPr>
              <w:t>0.5</w:t>
            </w:r>
            <w:r>
              <w:rPr>
                <w:rFonts w:hint="eastAsia" w:ascii="宋体" w:hAnsi="宋体" w:cs="仿宋"/>
                <w:szCs w:val="21"/>
              </w:rPr>
              <w:t>分；其他情况不得分。</w:t>
            </w:r>
          </w:p>
          <w:p w14:paraId="0ABEC470">
            <w:pPr>
              <w:pStyle w:val="94"/>
              <w:spacing w:line="360" w:lineRule="exact"/>
              <w:ind w:firstLine="0" w:firstLineChars="0"/>
              <w:rPr>
                <w:rFonts w:hint="eastAsia" w:ascii="宋体" w:hAnsi="宋体"/>
                <w:szCs w:val="21"/>
              </w:rPr>
            </w:pPr>
            <w:r>
              <w:rPr>
                <w:rFonts w:hint="eastAsia" w:ascii="宋体" w:hAnsi="宋体"/>
                <w:szCs w:val="21"/>
              </w:rPr>
              <w:t>在此基础上，根据投标人实施方案具体响应内容进一步评审：</w:t>
            </w:r>
          </w:p>
          <w:p w14:paraId="60C1A6AE">
            <w:pPr>
              <w:pStyle w:val="94"/>
              <w:spacing w:line="360" w:lineRule="exact"/>
              <w:ind w:firstLine="0" w:firstLineChars="0"/>
              <w:rPr>
                <w:rFonts w:hint="eastAsia" w:ascii="宋体" w:hAnsi="宋体"/>
                <w:szCs w:val="21"/>
              </w:rPr>
            </w:pPr>
            <w:r>
              <w:rPr>
                <w:rFonts w:hint="eastAsia" w:ascii="宋体" w:hAnsi="宋体"/>
                <w:szCs w:val="21"/>
              </w:rPr>
              <w:t>优：以上实施方案的三点内容全面具体、针对性强、可操作性强，培训与技术支持方案</w:t>
            </w:r>
            <w:r>
              <w:rPr>
                <w:rFonts w:hint="eastAsia" w:ascii="宋体" w:hAnsi="宋体"/>
                <w:szCs w:val="21"/>
                <w:lang w:val="en-US" w:eastAsia="zh-CN"/>
              </w:rPr>
              <w:t>不少于4项的，</w:t>
            </w:r>
            <w:r>
              <w:rPr>
                <w:rFonts w:hint="eastAsia" w:ascii="宋体" w:hAnsi="宋体"/>
                <w:szCs w:val="21"/>
              </w:rPr>
              <w:t>加</w:t>
            </w:r>
            <w:r>
              <w:rPr>
                <w:rFonts w:hint="eastAsia" w:ascii="宋体" w:hAnsi="宋体"/>
                <w:szCs w:val="21"/>
                <w:lang w:val="en-US" w:eastAsia="zh-CN"/>
              </w:rPr>
              <w:t>1.5</w:t>
            </w:r>
            <w:r>
              <w:rPr>
                <w:rFonts w:hint="eastAsia" w:ascii="宋体" w:hAnsi="宋体"/>
                <w:szCs w:val="21"/>
              </w:rPr>
              <w:t>分；</w:t>
            </w:r>
          </w:p>
          <w:p w14:paraId="099BA3E2">
            <w:pPr>
              <w:pStyle w:val="94"/>
              <w:spacing w:line="360" w:lineRule="exact"/>
              <w:ind w:firstLine="0" w:firstLineChars="0"/>
              <w:rPr>
                <w:rFonts w:hint="eastAsia" w:ascii="宋体" w:hAnsi="宋体"/>
                <w:szCs w:val="21"/>
              </w:rPr>
            </w:pPr>
            <w:r>
              <w:rPr>
                <w:rFonts w:hint="eastAsia" w:ascii="宋体" w:hAnsi="宋体"/>
                <w:szCs w:val="21"/>
              </w:rPr>
              <w:t>良：以上实施方案的三点内容较全面、针对性较强、可操作性较强，培训与技术支持方案</w:t>
            </w:r>
            <w:r>
              <w:rPr>
                <w:rFonts w:hint="eastAsia" w:ascii="宋体" w:hAnsi="宋体"/>
                <w:szCs w:val="21"/>
                <w:lang w:val="en-US" w:eastAsia="zh-CN"/>
              </w:rPr>
              <w:t>不少于3项的，</w:t>
            </w:r>
            <w:r>
              <w:rPr>
                <w:rFonts w:hint="eastAsia" w:ascii="宋体" w:hAnsi="宋体"/>
                <w:szCs w:val="21"/>
              </w:rPr>
              <w:t>加1分；</w:t>
            </w:r>
          </w:p>
          <w:p w14:paraId="7054CEAC">
            <w:pPr>
              <w:pStyle w:val="94"/>
              <w:spacing w:line="360" w:lineRule="exact"/>
              <w:ind w:firstLine="0" w:firstLineChars="0"/>
              <w:rPr>
                <w:rFonts w:hint="eastAsia" w:ascii="宋体" w:hAnsi="宋体"/>
                <w:szCs w:val="21"/>
              </w:rPr>
            </w:pPr>
            <w:r>
              <w:rPr>
                <w:rFonts w:hint="eastAsia" w:ascii="宋体" w:hAnsi="宋体"/>
                <w:szCs w:val="21"/>
              </w:rPr>
              <w:t>中：以上实施方案的三点内容完整性、针对性、可操作性均一般，培训与技术支持方案</w:t>
            </w:r>
            <w:r>
              <w:rPr>
                <w:rFonts w:hint="eastAsia" w:ascii="宋体" w:hAnsi="宋体"/>
                <w:szCs w:val="21"/>
                <w:lang w:val="en-US" w:eastAsia="zh-CN"/>
              </w:rPr>
              <w:t>不少于2项的，</w:t>
            </w:r>
            <w:r>
              <w:rPr>
                <w:rFonts w:hint="eastAsia" w:ascii="宋体" w:hAnsi="宋体"/>
                <w:szCs w:val="21"/>
              </w:rPr>
              <w:t>加0.5分；</w:t>
            </w:r>
          </w:p>
          <w:p w14:paraId="290D5737">
            <w:pPr>
              <w:pStyle w:val="94"/>
              <w:spacing w:line="360" w:lineRule="exact"/>
              <w:ind w:firstLine="0" w:firstLineChars="0"/>
              <w:rPr>
                <w:rFonts w:hint="eastAsia" w:ascii="宋体" w:hAnsi="宋体"/>
                <w:szCs w:val="21"/>
              </w:rPr>
            </w:pPr>
            <w:r>
              <w:rPr>
                <w:rFonts w:hint="eastAsia" w:ascii="宋体" w:hAnsi="宋体"/>
                <w:szCs w:val="21"/>
              </w:rPr>
              <w:t>差：实施方案内容不科学、不完整、针对性较弱</w:t>
            </w:r>
            <w:r>
              <w:rPr>
                <w:rFonts w:hint="eastAsia" w:ascii="宋体" w:hAnsi="宋体"/>
                <w:szCs w:val="21"/>
                <w:lang w:val="en-US" w:eastAsia="zh-CN"/>
              </w:rPr>
              <w:t>或</w:t>
            </w:r>
            <w:r>
              <w:rPr>
                <w:rFonts w:hint="eastAsia" w:ascii="宋体" w:hAnsi="宋体"/>
                <w:szCs w:val="21"/>
              </w:rPr>
              <w:t>培训与技术支持方案</w:t>
            </w:r>
            <w:r>
              <w:rPr>
                <w:rFonts w:hint="eastAsia" w:ascii="宋体" w:hAnsi="宋体"/>
                <w:szCs w:val="21"/>
                <w:lang w:val="en-US" w:eastAsia="zh-CN"/>
              </w:rPr>
              <w:t>少于2项的，</w:t>
            </w:r>
            <w:r>
              <w:rPr>
                <w:rFonts w:hint="eastAsia" w:ascii="宋体" w:hAnsi="宋体"/>
                <w:szCs w:val="21"/>
              </w:rPr>
              <w:t>加0分；</w:t>
            </w:r>
          </w:p>
          <w:p w14:paraId="71E57DDF">
            <w:pPr>
              <w:pStyle w:val="94"/>
              <w:spacing w:line="360" w:lineRule="exact"/>
              <w:ind w:firstLine="0" w:firstLineChars="0"/>
              <w:rPr>
                <w:rFonts w:hint="eastAsia" w:ascii="宋体" w:hAnsi="宋体"/>
                <w:szCs w:val="21"/>
              </w:rPr>
            </w:pPr>
            <w:r>
              <w:rPr>
                <w:rFonts w:hint="eastAsia" w:ascii="宋体" w:hAnsi="宋体"/>
                <w:szCs w:val="21"/>
              </w:rPr>
              <w:t>如果评审为差，请书面说明理由，并记录存档。</w:t>
            </w:r>
          </w:p>
          <w:p w14:paraId="1544C089">
            <w:pPr>
              <w:pStyle w:val="94"/>
              <w:spacing w:line="360" w:lineRule="exact"/>
              <w:ind w:firstLine="0" w:firstLineChars="0"/>
              <w:rPr>
                <w:rFonts w:ascii="宋体" w:hAnsi="宋体"/>
                <w:szCs w:val="21"/>
              </w:rPr>
            </w:pPr>
            <w:r>
              <w:rPr>
                <w:rFonts w:hint="eastAsia" w:ascii="宋体" w:hAnsi="宋体"/>
                <w:szCs w:val="21"/>
              </w:rPr>
              <w:t>备注：投标人未提供相应方案的，得0分。</w:t>
            </w:r>
          </w:p>
        </w:tc>
        <w:tc>
          <w:tcPr>
            <w:tcW w:w="1187" w:type="dxa"/>
            <w:vAlign w:val="center"/>
          </w:tcPr>
          <w:p w14:paraId="21BA870F">
            <w:pPr>
              <w:spacing w:line="360" w:lineRule="exact"/>
              <w:jc w:val="center"/>
              <w:rPr>
                <w:rFonts w:ascii="宋体" w:hAnsi="宋体" w:cs="仿宋"/>
                <w:szCs w:val="21"/>
                <w:lang w:val="zh-CN"/>
              </w:rPr>
            </w:pPr>
            <w:r>
              <w:rPr>
                <w:rFonts w:hint="eastAsia" w:ascii="宋体" w:hAnsi="宋体" w:cs="仿宋"/>
                <w:szCs w:val="21"/>
              </w:rPr>
              <w:t>评委打分</w:t>
            </w:r>
          </w:p>
        </w:tc>
      </w:tr>
      <w:tr w14:paraId="26CA7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8" w:hRule="atLeast"/>
          <w:jc w:val="center"/>
        </w:trPr>
        <w:tc>
          <w:tcPr>
            <w:tcW w:w="754" w:type="dxa"/>
            <w:vAlign w:val="center"/>
          </w:tcPr>
          <w:p w14:paraId="34CE26F6">
            <w:pPr>
              <w:widowControl/>
              <w:snapToGrid w:val="0"/>
              <w:spacing w:line="360" w:lineRule="exact"/>
              <w:jc w:val="center"/>
              <w:rPr>
                <w:rFonts w:ascii="宋体" w:hAnsi="宋体"/>
                <w:kern w:val="0"/>
                <w:szCs w:val="21"/>
              </w:rPr>
            </w:pPr>
            <w:r>
              <w:rPr>
                <w:rFonts w:hint="eastAsia" w:ascii="宋体" w:hAnsi="宋体"/>
                <w:kern w:val="0"/>
                <w:szCs w:val="21"/>
              </w:rPr>
              <w:t>4</w:t>
            </w:r>
          </w:p>
        </w:tc>
        <w:tc>
          <w:tcPr>
            <w:tcW w:w="1845" w:type="dxa"/>
            <w:vAlign w:val="center"/>
          </w:tcPr>
          <w:p w14:paraId="2F15FD9A">
            <w:pPr>
              <w:widowControl/>
              <w:spacing w:line="360" w:lineRule="exact"/>
              <w:jc w:val="center"/>
              <w:rPr>
                <w:rFonts w:ascii="宋体" w:hAnsi="宋体" w:cs="宋体"/>
                <w:szCs w:val="21"/>
              </w:rPr>
            </w:pPr>
            <w:r>
              <w:rPr>
                <w:rFonts w:hint="eastAsia" w:ascii="宋体" w:hAnsi="宋体" w:cs="宋体"/>
                <w:szCs w:val="21"/>
              </w:rPr>
              <w:t>现场演示</w:t>
            </w:r>
          </w:p>
        </w:tc>
        <w:tc>
          <w:tcPr>
            <w:tcW w:w="676" w:type="dxa"/>
            <w:vAlign w:val="center"/>
          </w:tcPr>
          <w:p w14:paraId="5F4FEAEE">
            <w:pPr>
              <w:widowControl/>
              <w:spacing w:line="360" w:lineRule="exact"/>
              <w:jc w:val="center"/>
              <w:rPr>
                <w:rFonts w:hint="eastAsia" w:ascii="宋体" w:hAnsi="宋体" w:eastAsia="宋体" w:cs="宋体"/>
                <w:kern w:val="0"/>
                <w:szCs w:val="21"/>
                <w:lang w:val="en-US" w:eastAsia="zh-CN"/>
              </w:rPr>
            </w:pPr>
            <w:r>
              <w:rPr>
                <w:rFonts w:hint="eastAsia" w:ascii="宋体" w:hAnsi="宋体" w:cs="宋体"/>
                <w:kern w:val="0"/>
                <w:szCs w:val="21"/>
              </w:rPr>
              <w:t>1</w:t>
            </w:r>
            <w:r>
              <w:rPr>
                <w:rFonts w:hint="eastAsia" w:ascii="宋体" w:hAnsi="宋体" w:cs="宋体"/>
                <w:kern w:val="0"/>
                <w:szCs w:val="21"/>
                <w:lang w:val="en-US" w:eastAsia="zh-CN"/>
              </w:rPr>
              <w:t>0</w:t>
            </w:r>
          </w:p>
        </w:tc>
        <w:tc>
          <w:tcPr>
            <w:tcW w:w="5284" w:type="dxa"/>
            <w:vAlign w:val="center"/>
          </w:tcPr>
          <w:p w14:paraId="615125EB">
            <w:pPr>
              <w:pStyle w:val="94"/>
              <w:spacing w:line="360" w:lineRule="exact"/>
              <w:ind w:firstLine="0" w:firstLineChars="0"/>
              <w:rPr>
                <w:rFonts w:hint="eastAsia" w:ascii="宋体" w:hAnsi="宋体"/>
                <w:szCs w:val="21"/>
              </w:rPr>
            </w:pPr>
            <w:r>
              <w:rPr>
                <w:rFonts w:hint="eastAsia" w:ascii="宋体" w:hAnsi="宋体"/>
                <w:szCs w:val="21"/>
              </w:rPr>
              <w:t>评分内容：</w:t>
            </w:r>
          </w:p>
          <w:p w14:paraId="0CCDA246">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1）Word文档向量化存储演示：演示Word文档上传生成知识图谱形式的结构化及其节点内容，能够将解析到的数据进行向量化存储；同时演示知识图谱节点资源推送功能，通过问答检索到向量库中的文本以及资源，须支持图片、视频、虚拟仿真、链接、交互式网页至少5种类型的资源挂载与推送；</w:t>
            </w:r>
          </w:p>
          <w:p w14:paraId="59CC2EA1">
            <w:pPr>
              <w:pStyle w:val="94"/>
              <w:spacing w:line="360" w:lineRule="exact"/>
              <w:ind w:firstLine="0" w:firstLineChars="0"/>
              <w:rPr>
                <w:rFonts w:hint="eastAsia" w:ascii="宋体" w:hAnsi="宋体"/>
                <w:szCs w:val="21"/>
              </w:rPr>
            </w:pPr>
            <w:r>
              <w:rPr>
                <w:rFonts w:hint="eastAsia" w:ascii="宋体" w:hAnsi="宋体"/>
                <w:szCs w:val="21"/>
                <w:lang w:val="en-US" w:eastAsia="zh-CN"/>
              </w:rPr>
              <w:t>（2）Qwen3-Coder本地部署编码能力演示：演示在智能体上能够调用GLM-5、Qwen3-Coder的模型来进行自然语言问答以及代码生成，能够在终端查看到本次问答或代码生成所调用的模型名称，并调用智启星平台上的skill。</w:t>
            </w:r>
          </w:p>
          <w:p w14:paraId="1350CB9C">
            <w:pPr>
              <w:pStyle w:val="94"/>
              <w:spacing w:line="360" w:lineRule="exact"/>
              <w:ind w:firstLine="0" w:firstLineChars="0"/>
              <w:rPr>
                <w:rFonts w:hint="eastAsia" w:ascii="宋体" w:hAnsi="宋体"/>
                <w:szCs w:val="21"/>
              </w:rPr>
            </w:pPr>
            <w:r>
              <w:rPr>
                <w:rFonts w:hint="eastAsia" w:ascii="宋体" w:hAnsi="宋体"/>
                <w:szCs w:val="21"/>
              </w:rPr>
              <w:t>（二）评分依据：</w:t>
            </w:r>
          </w:p>
          <w:p w14:paraId="61A72CB0">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（1）演示一评分，满分5分：</w:t>
            </w:r>
          </w:p>
          <w:p w14:paraId="42F93729">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能够将Word文当转为知识图谱结构的数据，并在节点下挂载图片、视频类型资源，并将结构化数据及其资源进行向量化存储，得2分；能演示将word文档进行向量化存储并存入向量数据库，单无法挂载资源，得1分；无法演示或演示失败，得0分；</w:t>
            </w:r>
          </w:p>
          <w:p w14:paraId="6C304D10">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能演示节点资源推送，且支持图片、视频、虚拟仿真、链接、交互式网页全部5种资源类型，得3分；支持3-4种资源类型，得2分；支持1-2种资源类型，得1分；无法演示或演示失败，得0分；</w:t>
            </w:r>
          </w:p>
          <w:p w14:paraId="6FBE3E3B">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（2）演示二评分，满分5分：</w:t>
            </w:r>
          </w:p>
          <w:p w14:paraId="620680AA">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能够演示在智能体上调用GLM-5、Qwen3-Coder模型来通过自然语言进行大模型问答以及通过自然语言进行代码生成，并将调用智启星平台的skill，得3分；近能够进行大模型问答，得1分；无法演示或演示失败，得0分；</w:t>
            </w:r>
          </w:p>
          <w:p w14:paraId="12893239">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能够在终端查看到本次问答或代码生成所调用的模型名称，得2分；无法演示或演示失败，得0分；</w:t>
            </w:r>
          </w:p>
          <w:p w14:paraId="3DBDA36C">
            <w:pPr>
              <w:pStyle w:val="94"/>
              <w:spacing w:line="360" w:lineRule="exact"/>
              <w:ind w:firstLine="0" w:firstLineChars="0"/>
              <w:rPr>
                <w:rFonts w:hint="eastAsia" w:ascii="宋体" w:hAnsi="宋体"/>
                <w:szCs w:val="21"/>
                <w:lang w:val="en-US" w:eastAsia="zh-CN"/>
              </w:rPr>
            </w:pPr>
            <w:r>
              <w:rPr>
                <w:rFonts w:hint="eastAsia" w:ascii="宋体" w:hAnsi="宋体"/>
                <w:szCs w:val="21"/>
                <w:lang w:val="en-US" w:eastAsia="zh-CN"/>
              </w:rPr>
              <w:t>（3）投标人应使用真实设备至投标现场演示，不接受PPT、Word、U盘或光盘等视频录制演示，投标人未提供演示或演示结果不完全满足要求或不能正常演示的，视为未达到要求或未演示，该项得0分。</w:t>
            </w:r>
          </w:p>
          <w:p w14:paraId="0F153435">
            <w:pPr>
              <w:pStyle w:val="94"/>
              <w:spacing w:line="360" w:lineRule="exact"/>
              <w:ind w:firstLine="0" w:firstLineChars="0"/>
              <w:rPr>
                <w:rFonts w:ascii="宋体" w:hAnsi="宋体"/>
                <w:szCs w:val="21"/>
              </w:rPr>
            </w:pPr>
            <w:r>
              <w:rPr>
                <w:rFonts w:hint="eastAsia" w:ascii="宋体" w:hAnsi="宋体"/>
                <w:szCs w:val="21"/>
                <w:lang w:val="en-US" w:eastAsia="zh-CN"/>
              </w:rPr>
              <w:t>（4）演示时间：每个投标人演示总时长不得超过10分钟（不含评标委员会提问），投标人应自行合理安排，突出重点做好演示工作，超过演示时间的演示不作为评审依据。</w:t>
            </w:r>
          </w:p>
        </w:tc>
        <w:tc>
          <w:tcPr>
            <w:tcW w:w="1187" w:type="dxa"/>
            <w:vAlign w:val="center"/>
          </w:tcPr>
          <w:p w14:paraId="7299FC23">
            <w:pPr>
              <w:spacing w:line="360" w:lineRule="exact"/>
              <w:jc w:val="center"/>
              <w:rPr>
                <w:rFonts w:ascii="宋体" w:hAnsi="宋体" w:cs="仿宋"/>
                <w:szCs w:val="21"/>
                <w:lang w:val="zh-CN"/>
              </w:rPr>
            </w:pPr>
            <w:r>
              <w:rPr>
                <w:rFonts w:hint="eastAsia" w:ascii="宋体" w:hAnsi="宋体" w:cs="仿宋"/>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4188CA65">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15</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845" w:type="dxa"/>
            <w:vAlign w:val="center"/>
          </w:tcPr>
          <w:p w14:paraId="17372B8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676" w:type="dxa"/>
            <w:vAlign w:val="center"/>
          </w:tcPr>
          <w:p w14:paraId="11CF2D4B">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284" w:type="dxa"/>
            <w:vAlign w:val="center"/>
          </w:tcPr>
          <w:p w14:paraId="3BA6908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340CB73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35BAC7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C83240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845" w:type="dxa"/>
            <w:vAlign w:val="center"/>
          </w:tcPr>
          <w:p w14:paraId="66998310">
            <w:pPr>
              <w:widowControl/>
              <w:spacing w:line="360" w:lineRule="exact"/>
              <w:jc w:val="center"/>
              <w:rPr>
                <w:rFonts w:ascii="宋体" w:hAnsi="宋体" w:cs="仿宋"/>
                <w:kern w:val="0"/>
                <w:szCs w:val="21"/>
              </w:rPr>
            </w:pPr>
            <w:r>
              <w:rPr>
                <w:rFonts w:hint="eastAsia" w:ascii="宋体" w:hAnsi="宋体" w:cs="仿宋"/>
                <w:kern w:val="0"/>
                <w:szCs w:val="21"/>
              </w:rPr>
              <w:t>商务条款响应情况</w:t>
            </w:r>
          </w:p>
        </w:tc>
        <w:tc>
          <w:tcPr>
            <w:tcW w:w="676" w:type="dxa"/>
            <w:vAlign w:val="center"/>
          </w:tcPr>
          <w:p w14:paraId="704CD572">
            <w:pPr>
              <w:widowControl/>
              <w:spacing w:line="360" w:lineRule="exact"/>
              <w:jc w:val="center"/>
              <w:rPr>
                <w:rFonts w:hint="eastAsia" w:ascii="宋体" w:hAnsi="宋体" w:eastAsia="宋体" w:cs="仿宋"/>
                <w:kern w:val="0"/>
                <w:szCs w:val="21"/>
                <w:lang w:eastAsia="zh-CN"/>
              </w:rPr>
            </w:pPr>
            <w:r>
              <w:rPr>
                <w:rFonts w:hint="eastAsia" w:ascii="宋体" w:hAnsi="宋体" w:cs="仿宋"/>
                <w:kern w:val="0"/>
                <w:szCs w:val="21"/>
                <w:lang w:val="en-US" w:eastAsia="zh-CN"/>
              </w:rPr>
              <w:t>1</w:t>
            </w:r>
          </w:p>
        </w:tc>
        <w:tc>
          <w:tcPr>
            <w:tcW w:w="5284" w:type="dxa"/>
            <w:vAlign w:val="center"/>
          </w:tcPr>
          <w:p w14:paraId="11C140FF">
            <w:pPr>
              <w:autoSpaceDE w:val="0"/>
              <w:autoSpaceDN w:val="0"/>
              <w:adjustRightInd w:val="0"/>
              <w:spacing w:line="360" w:lineRule="exact"/>
              <w:jc w:val="left"/>
              <w:rPr>
                <w:rFonts w:ascii="宋体" w:hAnsi="宋体" w:cs="仿宋"/>
                <w:szCs w:val="21"/>
              </w:rPr>
            </w:pPr>
            <w:r>
              <w:rPr>
                <w:rFonts w:hint="eastAsia" w:ascii="宋体" w:hAnsi="宋体" w:cs="仿宋"/>
                <w:szCs w:val="21"/>
              </w:rPr>
              <w:t>投标人应如实填写《商务条款偏离表》，评审委员会根据售后服务条款响应情况进行评审：</w:t>
            </w:r>
          </w:p>
          <w:p w14:paraId="6B4CC4E5">
            <w:pPr>
              <w:widowControl/>
              <w:spacing w:line="360" w:lineRule="exact"/>
              <w:rPr>
                <w:rFonts w:ascii="宋体" w:hAnsi="宋体" w:cs="仿宋"/>
                <w:szCs w:val="21"/>
              </w:rPr>
            </w:pPr>
            <w:r>
              <w:rPr>
                <w:rFonts w:hint="eastAsia" w:ascii="宋体" w:hAnsi="宋体" w:cs="宋体"/>
                <w:kern w:val="0"/>
                <w:szCs w:val="21"/>
              </w:rPr>
              <w:t>非实质性要求全部满足</w:t>
            </w:r>
            <w:r>
              <w:rPr>
                <w:rFonts w:hint="eastAsia" w:ascii="宋体" w:hAnsi="宋体" w:cs="仿宋"/>
                <w:szCs w:val="21"/>
              </w:rPr>
              <w:t>的得</w:t>
            </w:r>
            <w:r>
              <w:rPr>
                <w:rFonts w:hint="eastAsia" w:ascii="宋体" w:hAnsi="宋体" w:cs="仿宋"/>
                <w:szCs w:val="21"/>
                <w:lang w:val="en-US" w:eastAsia="zh-CN"/>
              </w:rPr>
              <w:t>1</w:t>
            </w:r>
            <w:r>
              <w:rPr>
                <w:rFonts w:hint="eastAsia" w:ascii="宋体" w:hAnsi="宋体" w:cs="仿宋"/>
                <w:szCs w:val="21"/>
              </w:rPr>
              <w:t>分，</w:t>
            </w:r>
            <w:r>
              <w:rPr>
                <w:rFonts w:hint="eastAsia" w:ascii="宋体" w:hAnsi="宋体" w:cs="宋体"/>
                <w:szCs w:val="21"/>
              </w:rPr>
              <w:t>每1小项负偏离</w:t>
            </w:r>
            <w:r>
              <w:rPr>
                <w:rFonts w:hint="eastAsia" w:ascii="宋体" w:hAnsi="宋体" w:cs="仿宋"/>
                <w:szCs w:val="21"/>
              </w:rPr>
              <w:t>扣</w:t>
            </w:r>
            <w:r>
              <w:rPr>
                <w:rFonts w:hint="eastAsia" w:ascii="宋体" w:hAnsi="宋体" w:cs="仿宋"/>
                <w:szCs w:val="21"/>
                <w:lang w:val="en-US" w:eastAsia="zh-CN"/>
              </w:rPr>
              <w:t>0.5</w:t>
            </w:r>
            <w:r>
              <w:rPr>
                <w:rFonts w:hint="eastAsia" w:ascii="宋体" w:hAnsi="宋体" w:cs="仿宋"/>
                <w:szCs w:val="21"/>
              </w:rPr>
              <w:t>分，最低得0分。</w:t>
            </w:r>
          </w:p>
          <w:p w14:paraId="0DA5DDF0">
            <w:pPr>
              <w:pStyle w:val="18"/>
              <w:rPr>
                <w:rFonts w:ascii="宋体" w:hAnsi="宋体" w:cs="仿宋"/>
                <w:szCs w:val="21"/>
              </w:rPr>
            </w:pP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w:t>
            </w:r>
            <w:r>
              <w:rPr>
                <w:rFonts w:hint="eastAsia" w:ascii="宋体" w:hAnsi="宋体"/>
                <w:szCs w:val="21"/>
                <w:lang w:eastAsia="zh-CN"/>
              </w:rPr>
              <w:t>商务条款</w:t>
            </w:r>
            <w:r>
              <w:rPr>
                <w:rFonts w:hint="eastAsia" w:ascii="宋体" w:hAnsi="宋体"/>
                <w:szCs w:val="21"/>
              </w:rPr>
              <w:t>（以</w:t>
            </w:r>
            <w:r>
              <w:rPr>
                <w:rFonts w:hint="eastAsia" w:ascii="宋体" w:hAnsi="宋体"/>
                <w:szCs w:val="21"/>
                <w:lang w:eastAsia="zh-CN"/>
              </w:rPr>
              <w:t>招标文件商务要求中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tc>
        <w:tc>
          <w:tcPr>
            <w:tcW w:w="1187" w:type="dxa"/>
            <w:vAlign w:val="center"/>
          </w:tcPr>
          <w:p w14:paraId="724A8567">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4DE9F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0" w:hRule="atLeast"/>
          <w:jc w:val="center"/>
        </w:trPr>
        <w:tc>
          <w:tcPr>
            <w:tcW w:w="754" w:type="dxa"/>
            <w:vAlign w:val="center"/>
          </w:tcPr>
          <w:p w14:paraId="640C973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2</w:t>
            </w:r>
          </w:p>
        </w:tc>
        <w:tc>
          <w:tcPr>
            <w:tcW w:w="1845" w:type="dxa"/>
            <w:vAlign w:val="center"/>
          </w:tcPr>
          <w:p w14:paraId="29B1B0B3">
            <w:pPr>
              <w:widowControl/>
              <w:spacing w:line="360" w:lineRule="exact"/>
              <w:jc w:val="center"/>
              <w:rPr>
                <w:rFonts w:hint="default" w:ascii="宋体" w:hAnsi="宋体" w:cs="宋体"/>
                <w:kern w:val="0"/>
                <w:szCs w:val="21"/>
                <w:lang w:val="en-US"/>
              </w:rPr>
            </w:pPr>
            <w:r>
              <w:rPr>
                <w:rFonts w:hint="eastAsia"/>
                <w:lang w:val="en-US" w:eastAsia="zh-CN"/>
              </w:rPr>
              <w:t>拟安排的售后团队成员情况</w:t>
            </w:r>
          </w:p>
        </w:tc>
        <w:tc>
          <w:tcPr>
            <w:tcW w:w="676" w:type="dxa"/>
            <w:vAlign w:val="center"/>
          </w:tcPr>
          <w:p w14:paraId="5CEF694C">
            <w:pPr>
              <w:widowControl/>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6</w:t>
            </w:r>
          </w:p>
        </w:tc>
        <w:tc>
          <w:tcPr>
            <w:tcW w:w="5284" w:type="dxa"/>
            <w:vAlign w:val="center"/>
          </w:tcPr>
          <w:p w14:paraId="072C949F">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23339D67">
            <w:pPr>
              <w:pStyle w:val="94"/>
              <w:spacing w:line="360" w:lineRule="exact"/>
              <w:ind w:firstLine="0" w:firstLineChars="0"/>
              <w:rPr>
                <w:rFonts w:asciiTheme="minorEastAsia" w:hAnsiTheme="minorEastAsia" w:eastAsiaTheme="minorEastAsia"/>
                <w:szCs w:val="21"/>
              </w:rPr>
            </w:pPr>
            <w:r>
              <w:rPr>
                <w:rFonts w:hint="eastAsia" w:cs="宋体" w:asciiTheme="minorEastAsia" w:hAnsiTheme="minorEastAsia" w:eastAsiaTheme="minorEastAsia"/>
                <w:szCs w:val="21"/>
              </w:rPr>
              <w:t>拟安排的</w:t>
            </w:r>
            <w:r>
              <w:rPr>
                <w:rFonts w:hint="eastAsia"/>
                <w:lang w:val="en-US" w:eastAsia="zh-CN"/>
              </w:rPr>
              <w:t>拟安排的售后服务团队人员</w:t>
            </w:r>
            <w:r>
              <w:rPr>
                <w:rFonts w:hint="eastAsia" w:asciiTheme="minorEastAsia" w:hAnsiTheme="minorEastAsia" w:eastAsiaTheme="minorEastAsia"/>
                <w:szCs w:val="21"/>
              </w:rPr>
              <w:t>需为投标人</w:t>
            </w:r>
            <w:r>
              <w:rPr>
                <w:rFonts w:hint="eastAsia" w:asciiTheme="minorEastAsia" w:hAnsiTheme="minorEastAsia" w:eastAsiaTheme="minorEastAsia"/>
                <w:color w:val="000000" w:themeColor="text1"/>
                <w:szCs w:val="21"/>
                <w14:textFill>
                  <w14:solidFill>
                    <w14:schemeClr w14:val="tx1"/>
                  </w14:solidFill>
                </w14:textFill>
              </w:rPr>
              <w:t>正式聘任</w:t>
            </w:r>
            <w:r>
              <w:rPr>
                <w:rFonts w:hint="eastAsia" w:asciiTheme="minorEastAsia" w:hAnsiTheme="minorEastAsia" w:eastAsiaTheme="minorEastAsia"/>
                <w:szCs w:val="21"/>
              </w:rPr>
              <w:t>员工，否则本项不得分。在此基础上，按以下标准评分：</w:t>
            </w:r>
          </w:p>
          <w:p w14:paraId="430ACE7D">
            <w:pPr>
              <w:autoSpaceDE w:val="0"/>
              <w:autoSpaceDN w:val="0"/>
              <w:adjustRightInd w:val="0"/>
              <w:spacing w:line="360" w:lineRule="exact"/>
              <w:jc w:val="left"/>
              <w:rPr>
                <w:rFonts w:hint="eastAsia" w:ascii="宋体" w:hAnsi="宋体" w:cs="宋体"/>
                <w:kern w:val="0"/>
                <w:szCs w:val="21"/>
                <w:lang w:val="en-US" w:eastAsia="zh-CN"/>
              </w:rPr>
            </w:pPr>
            <w:r>
              <w:rPr>
                <w:rFonts w:hint="eastAsia" w:ascii="宋体" w:hAnsi="宋体" w:cs="宋体"/>
                <w:kern w:val="0"/>
                <w:szCs w:val="21"/>
                <w:lang w:val="en-US" w:eastAsia="zh-CN"/>
              </w:rPr>
              <w:t>1.</w:t>
            </w:r>
            <w:r>
              <w:rPr>
                <w:rFonts w:hint="eastAsia" w:asciiTheme="minorEastAsia" w:hAnsiTheme="minorEastAsia" w:eastAsiaTheme="minorEastAsia"/>
                <w:szCs w:val="21"/>
              </w:rPr>
              <w:t>具有</w:t>
            </w:r>
            <w:r>
              <w:rPr>
                <w:rFonts w:hint="eastAsia" w:ascii="宋体" w:hAnsi="宋体" w:cs="宋体"/>
                <w:kern w:val="0"/>
                <w:szCs w:val="21"/>
                <w:lang w:val="en-US" w:eastAsia="zh-CN"/>
              </w:rPr>
              <w:t>计算机科学与技术或电子信息工程技术或材料科学与工程相关</w:t>
            </w:r>
            <w:r>
              <w:rPr>
                <w:rFonts w:hint="eastAsia" w:asciiTheme="minorEastAsia" w:hAnsiTheme="minorEastAsia" w:eastAsiaTheme="minorEastAsia"/>
                <w:szCs w:val="21"/>
                <w:lang w:val="en-US" w:eastAsia="zh-CN"/>
              </w:rPr>
              <w:t>专业专科或以上学历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每一人满足条件得0.5分，本小项最高的4分。</w:t>
            </w:r>
          </w:p>
          <w:p w14:paraId="4852FEA7">
            <w:pPr>
              <w:autoSpaceDE w:val="0"/>
              <w:autoSpaceDN w:val="0"/>
              <w:adjustRightInd w:val="0"/>
              <w:spacing w:line="360" w:lineRule="exact"/>
              <w:jc w:val="left"/>
              <w:rPr>
                <w:rFonts w:hint="eastAsia" w:ascii="宋体" w:hAnsi="宋体" w:cs="宋体"/>
                <w:kern w:val="0"/>
                <w:szCs w:val="21"/>
                <w:lang w:val="en-US" w:eastAsia="zh-CN"/>
              </w:rPr>
            </w:pPr>
            <w:r>
              <w:rPr>
                <w:rFonts w:hint="eastAsia" w:ascii="宋体" w:hAnsi="宋体" w:cs="宋体"/>
                <w:kern w:val="0"/>
                <w:szCs w:val="21"/>
                <w:lang w:val="en-US" w:eastAsia="zh-CN"/>
              </w:rPr>
              <w:t>2.售后服务人员</w:t>
            </w:r>
            <w:r>
              <w:rPr>
                <w:rFonts w:hint="eastAsia"/>
                <w:lang w:val="en-US" w:eastAsia="zh-CN"/>
              </w:rPr>
              <w:t>不少于</w:t>
            </w:r>
            <w:r>
              <w:rPr>
                <w:rFonts w:hint="eastAsia" w:ascii="宋体" w:hAnsi="宋体" w:cs="宋体"/>
                <w:kern w:val="0"/>
                <w:szCs w:val="21"/>
                <w:lang w:val="en-US" w:eastAsia="zh-CN"/>
              </w:rPr>
              <w:t>1人持有人工智能训练师职业技能等级证书，得1分；不满足不得分。</w:t>
            </w:r>
          </w:p>
          <w:p w14:paraId="0A22300F">
            <w:pPr>
              <w:autoSpaceDE w:val="0"/>
              <w:autoSpaceDN w:val="0"/>
              <w:adjustRightInd w:val="0"/>
              <w:spacing w:line="360" w:lineRule="exact"/>
              <w:jc w:val="left"/>
              <w:rPr>
                <w:rFonts w:hint="eastAsia" w:ascii="宋体" w:hAnsi="宋体" w:cs="宋体"/>
                <w:kern w:val="0"/>
                <w:szCs w:val="21"/>
                <w:lang w:val="en-US" w:eastAsia="zh-CN"/>
              </w:rPr>
            </w:pPr>
            <w:r>
              <w:rPr>
                <w:rFonts w:hint="eastAsia" w:ascii="宋体" w:hAnsi="宋体" w:cs="宋体"/>
                <w:kern w:val="0"/>
                <w:szCs w:val="21"/>
                <w:lang w:val="en-US" w:eastAsia="zh-CN"/>
              </w:rPr>
              <w:t>3.售后服务人员</w:t>
            </w:r>
            <w:r>
              <w:rPr>
                <w:rFonts w:hint="eastAsia"/>
                <w:lang w:val="en-US" w:eastAsia="zh-CN"/>
              </w:rPr>
              <w:t>不少于</w:t>
            </w:r>
            <w:r>
              <w:rPr>
                <w:rFonts w:hint="eastAsia" w:ascii="宋体" w:hAnsi="宋体" w:cs="宋体"/>
                <w:kern w:val="0"/>
                <w:szCs w:val="21"/>
                <w:lang w:val="en-US" w:eastAsia="zh-CN"/>
              </w:rPr>
              <w:t>1人持有人工智能数据标注专项职业能力认证证书，得1分；不满足不得分。</w:t>
            </w:r>
          </w:p>
          <w:p w14:paraId="5F97342F">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（二）评分依据：</w:t>
            </w:r>
          </w:p>
          <w:p w14:paraId="53B01CF5">
            <w:pPr>
              <w:autoSpaceDE w:val="0"/>
              <w:autoSpaceDN w:val="0"/>
              <w:adjustRightInd w:val="0"/>
              <w:spacing w:line="36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提供</w:t>
            </w:r>
            <w:r>
              <w:rPr>
                <w:rFonts w:hint="eastAsia"/>
                <w:lang w:val="en-US" w:eastAsia="zh-CN"/>
              </w:rPr>
              <w:t>售后服务人员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w:t>
            </w:r>
            <w:r>
              <w:rPr>
                <w:rFonts w:hint="eastAsia" w:asciiTheme="minorEastAsia" w:hAnsiTheme="minorEastAsia" w:eastAsiaTheme="minorEastAsia"/>
                <w:szCs w:val="21"/>
                <w:lang w:val="en-US" w:eastAsia="zh-CN"/>
              </w:rPr>
              <w:t>或业务章</w:t>
            </w:r>
            <w:r>
              <w:rPr>
                <w:rFonts w:hint="eastAsia" w:asciiTheme="minorEastAsia" w:hAnsiTheme="minorEastAsia" w:eastAsiaTheme="minorEastAsia"/>
                <w:szCs w:val="21"/>
              </w:rPr>
              <w:t>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Theme="minorEastAsia" w:hAnsiTheme="minorEastAsia" w:eastAsiaTheme="minorEastAsia"/>
                <w:szCs w:val="21"/>
              </w:rPr>
              <w:t>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1DF4E6A6">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val="en-US" w:eastAsia="zh-CN"/>
              </w:rPr>
              <w:t>提供以上人员有效证书扫描件</w:t>
            </w:r>
            <w:r>
              <w:rPr>
                <w:rFonts w:hint="eastAsia" w:ascii="宋体" w:hAnsi="宋体" w:cs="宋体"/>
                <w:kern w:val="0"/>
                <w:szCs w:val="21"/>
              </w:rPr>
              <w:t>。</w:t>
            </w:r>
          </w:p>
          <w:p w14:paraId="288F5779">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4.以上资料均要求提供扫描件（或官方网站截图），原件备查。评分中出现无证明资料或专家无法凭所提供资料判断是否得分的情况，一律作不得分处理。</w:t>
            </w:r>
          </w:p>
        </w:tc>
        <w:tc>
          <w:tcPr>
            <w:tcW w:w="1187" w:type="dxa"/>
            <w:vAlign w:val="center"/>
          </w:tcPr>
          <w:p w14:paraId="52716949">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5E054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1" w:hRule="atLeast"/>
          <w:jc w:val="center"/>
        </w:trPr>
        <w:tc>
          <w:tcPr>
            <w:tcW w:w="754" w:type="dxa"/>
            <w:vAlign w:val="center"/>
          </w:tcPr>
          <w:p w14:paraId="2B679FF2">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3</w:t>
            </w:r>
          </w:p>
        </w:tc>
        <w:tc>
          <w:tcPr>
            <w:tcW w:w="1845" w:type="dxa"/>
            <w:vAlign w:val="center"/>
          </w:tcPr>
          <w:p w14:paraId="323F6061">
            <w:pPr>
              <w:spacing w:line="360" w:lineRule="exact"/>
              <w:jc w:val="center"/>
              <w:rPr>
                <w:rFonts w:ascii="宋体" w:hAnsi="宋体" w:cs="仿宋"/>
                <w:szCs w:val="21"/>
              </w:rPr>
            </w:pPr>
            <w:r>
              <w:rPr>
                <w:rFonts w:hint="eastAsia" w:ascii="宋体" w:hAnsi="宋体" w:cs="仿宋"/>
                <w:szCs w:val="21"/>
              </w:rPr>
              <w:t>投标人同类项目业绩情况</w:t>
            </w:r>
          </w:p>
        </w:tc>
        <w:tc>
          <w:tcPr>
            <w:tcW w:w="676" w:type="dxa"/>
            <w:vAlign w:val="center"/>
          </w:tcPr>
          <w:p w14:paraId="356FE10A">
            <w:pPr>
              <w:spacing w:line="360" w:lineRule="exact"/>
              <w:jc w:val="center"/>
              <w:rPr>
                <w:rFonts w:ascii="宋体" w:hAnsi="宋体" w:cs="仿宋"/>
                <w:szCs w:val="21"/>
              </w:rPr>
            </w:pPr>
            <w:r>
              <w:rPr>
                <w:rFonts w:hint="eastAsia" w:ascii="宋体" w:hAnsi="宋体" w:cs="仿宋"/>
                <w:szCs w:val="21"/>
              </w:rPr>
              <w:t>2</w:t>
            </w:r>
          </w:p>
        </w:tc>
        <w:tc>
          <w:tcPr>
            <w:tcW w:w="5284" w:type="dxa"/>
            <w:vAlign w:val="center"/>
          </w:tcPr>
          <w:p w14:paraId="648A3736">
            <w:pPr>
              <w:widowControl/>
              <w:spacing w:line="360" w:lineRule="exact"/>
              <w:rPr>
                <w:rFonts w:hint="eastAsia" w:ascii="宋体" w:hAnsi="宋体" w:cs="仿宋"/>
                <w:szCs w:val="21"/>
              </w:rPr>
            </w:pPr>
            <w:r>
              <w:rPr>
                <w:rFonts w:hint="eastAsia" w:ascii="宋体" w:hAnsi="宋体" w:cs="仿宋"/>
                <w:szCs w:val="21"/>
              </w:rPr>
              <w:t>（一）评分内容：</w:t>
            </w:r>
          </w:p>
          <w:p w14:paraId="0125E766">
            <w:pPr>
              <w:widowControl/>
              <w:spacing w:line="360" w:lineRule="exact"/>
              <w:rPr>
                <w:rFonts w:hint="default" w:ascii="宋体" w:hAnsi="宋体" w:eastAsia="宋体" w:cs="仿宋"/>
                <w:szCs w:val="21"/>
                <w:lang w:val="en-US" w:eastAsia="zh-CN"/>
              </w:rPr>
            </w:pPr>
            <w:r>
              <w:rPr>
                <w:rFonts w:hint="eastAsia" w:ascii="宋体" w:hAnsi="宋体" w:cs="宋体"/>
                <w:szCs w:val="21"/>
              </w:rPr>
              <w:t>20</w:t>
            </w:r>
            <w:r>
              <w:rPr>
                <w:rFonts w:hint="eastAsia" w:ascii="宋体" w:hAnsi="宋体" w:cs="宋体"/>
                <w:szCs w:val="21"/>
                <w:lang w:val="en-US" w:eastAsia="zh-CN"/>
              </w:rPr>
              <w:t>23</w:t>
            </w:r>
            <w:r>
              <w:rPr>
                <w:rFonts w:hint="eastAsia" w:ascii="宋体" w:hAnsi="宋体" w:cs="宋体"/>
                <w:szCs w:val="21"/>
              </w:rPr>
              <w:t>年1月1日至本项目投标截止日</w:t>
            </w:r>
            <w:r>
              <w:rPr>
                <w:rFonts w:hint="eastAsia" w:ascii="宋体" w:hAnsi="宋体" w:cs="仿宋"/>
                <w:szCs w:val="21"/>
              </w:rPr>
              <w:t>（以合同签订日期为准）</w:t>
            </w:r>
            <w:r>
              <w:rPr>
                <w:rFonts w:hint="eastAsia" w:ascii="宋体" w:hAnsi="宋体" w:cs="仿宋"/>
                <w:szCs w:val="21"/>
                <w:lang w:eastAsia="zh-CN"/>
              </w:rPr>
              <w:t>，</w:t>
            </w:r>
            <w:r>
              <w:rPr>
                <w:rFonts w:hint="eastAsia" w:ascii="宋体" w:hAnsi="宋体" w:cs="仿宋"/>
                <w:szCs w:val="21"/>
                <w:lang w:val="en-US" w:eastAsia="zh-CN"/>
              </w:rPr>
              <w:t>投标人</w:t>
            </w:r>
            <w:r>
              <w:rPr>
                <w:rFonts w:hint="eastAsia" w:ascii="宋体" w:hAnsi="宋体" w:cs="仿宋"/>
                <w:szCs w:val="21"/>
              </w:rPr>
              <w:t>具</w:t>
            </w:r>
            <w:r>
              <w:rPr>
                <w:rFonts w:hint="eastAsia" w:ascii="宋体" w:hAnsi="宋体" w:cs="仿宋"/>
                <w:szCs w:val="21"/>
                <w:lang w:val="en-US" w:eastAsia="zh-CN"/>
              </w:rPr>
              <w:t>有</w:t>
            </w:r>
            <w:r>
              <w:rPr>
                <w:rFonts w:hint="eastAsia" w:ascii="宋体" w:hAnsi="宋体" w:cs="仿宋"/>
                <w:szCs w:val="21"/>
              </w:rPr>
              <w:t>人工智能技术与应用同类业绩</w:t>
            </w:r>
            <w:r>
              <w:rPr>
                <w:rFonts w:hint="eastAsia" w:ascii="宋体" w:hAnsi="宋体" w:cs="仿宋"/>
                <w:szCs w:val="21"/>
                <w:lang w:eastAsia="zh-CN"/>
              </w:rPr>
              <w:t>的，</w:t>
            </w:r>
            <w:r>
              <w:rPr>
                <w:rFonts w:hint="eastAsia" w:ascii="宋体" w:hAnsi="宋体" w:cs="仿宋"/>
                <w:szCs w:val="21"/>
              </w:rPr>
              <w:t>每提供</w:t>
            </w:r>
            <w:r>
              <w:rPr>
                <w:rFonts w:hint="eastAsia" w:ascii="宋体" w:hAnsi="宋体" w:cs="仿宋"/>
                <w:szCs w:val="21"/>
                <w:lang w:val="en-US" w:eastAsia="zh-CN"/>
              </w:rPr>
              <w:t>1</w:t>
            </w:r>
            <w:r>
              <w:rPr>
                <w:rFonts w:hint="eastAsia" w:ascii="宋体" w:hAnsi="宋体" w:cs="仿宋"/>
                <w:szCs w:val="21"/>
              </w:rPr>
              <w:t>个有效业绩项目得1分，本项最高分</w:t>
            </w:r>
            <w:r>
              <w:rPr>
                <w:rFonts w:hint="eastAsia" w:ascii="宋体" w:hAnsi="宋体" w:cs="仿宋"/>
                <w:szCs w:val="21"/>
                <w:lang w:val="en-US" w:eastAsia="zh-CN"/>
              </w:rPr>
              <w:t>2</w:t>
            </w:r>
            <w:r>
              <w:rPr>
                <w:rFonts w:hint="eastAsia" w:ascii="宋体" w:hAnsi="宋体" w:cs="仿宋"/>
                <w:szCs w:val="21"/>
              </w:rPr>
              <w:t>分。</w:t>
            </w:r>
            <w:r>
              <w:rPr>
                <w:rFonts w:hint="eastAsia" w:ascii="宋体" w:hAnsi="宋体" w:cs="仿宋"/>
                <w:szCs w:val="21"/>
                <w:lang w:val="en-US" w:eastAsia="zh-CN"/>
              </w:rPr>
              <w:t>同一项目续签的只计一次分。</w:t>
            </w:r>
          </w:p>
          <w:p w14:paraId="02FCEDF4">
            <w:pPr>
              <w:widowControl/>
              <w:spacing w:line="360" w:lineRule="exact"/>
              <w:rPr>
                <w:rFonts w:hint="eastAsia" w:ascii="宋体" w:hAnsi="宋体" w:cs="仿宋"/>
                <w:szCs w:val="21"/>
              </w:rPr>
            </w:pPr>
            <w:r>
              <w:rPr>
                <w:rFonts w:hint="eastAsia" w:ascii="宋体" w:hAnsi="宋体" w:cs="仿宋"/>
                <w:szCs w:val="21"/>
              </w:rPr>
              <w:t>（二）评分依据：</w:t>
            </w:r>
          </w:p>
          <w:p w14:paraId="5DA892E5">
            <w:pPr>
              <w:widowControl/>
              <w:spacing w:line="360" w:lineRule="exact"/>
              <w:rPr>
                <w:rFonts w:hint="eastAsia" w:ascii="宋体" w:hAnsi="宋体" w:eastAsia="宋体" w:cs="仿宋"/>
                <w:szCs w:val="21"/>
                <w:lang w:eastAsia="zh-CN"/>
              </w:rPr>
            </w:pPr>
            <w:r>
              <w:rPr>
                <w:rFonts w:hint="eastAsia" w:ascii="宋体" w:hAnsi="宋体" w:cs="仿宋"/>
                <w:szCs w:val="21"/>
              </w:rPr>
              <w:t>1.提供合同关键页（至少包含货物清单、采购人名称、合同签订日期和签字盖章页）且各项信息不得有任何遮挡</w:t>
            </w:r>
            <w:r>
              <w:rPr>
                <w:rFonts w:hint="eastAsia" w:ascii="宋体" w:hAnsi="宋体" w:cs="仿宋"/>
                <w:szCs w:val="21"/>
                <w:lang w:eastAsia="zh-CN"/>
              </w:rPr>
              <w:t>。</w:t>
            </w:r>
          </w:p>
          <w:p w14:paraId="49207B7C">
            <w:pPr>
              <w:widowControl/>
              <w:spacing w:line="360" w:lineRule="exact"/>
              <w:rPr>
                <w:rFonts w:ascii="宋体" w:hAnsi="宋体" w:cs="仿宋"/>
                <w:szCs w:val="21"/>
              </w:rPr>
            </w:pPr>
            <w:r>
              <w:rPr>
                <w:rFonts w:hint="eastAsia" w:ascii="宋体" w:hAnsi="宋体" w:cs="仿宋"/>
                <w:szCs w:val="21"/>
                <w:lang w:val="en-US" w:eastAsia="zh-CN"/>
              </w:rPr>
              <w:t>2</w:t>
            </w:r>
            <w:r>
              <w:rPr>
                <w:rFonts w:hint="eastAsia" w:ascii="宋体" w:hAnsi="宋体" w:cs="仿宋"/>
                <w:szCs w:val="21"/>
              </w:rPr>
              <w:t>.以上资料均要求提供扫描件</w:t>
            </w:r>
            <w:r>
              <w:rPr>
                <w:rFonts w:hint="eastAsia" w:ascii="宋体" w:hAnsi="宋体" w:cs="仿宋"/>
                <w:szCs w:val="21"/>
                <w:lang w:val="en-US" w:eastAsia="zh-CN"/>
              </w:rPr>
              <w:t>或复印件并加盖投标人公章</w:t>
            </w:r>
            <w:r>
              <w:rPr>
                <w:rFonts w:hint="eastAsia" w:ascii="宋体" w:hAnsi="宋体" w:cs="仿宋"/>
                <w:szCs w:val="21"/>
              </w:rPr>
              <w:t>。评分中出现无证明资料或专家无法凭所提供资料判断是否得分的情况，一律作不得分处理。</w:t>
            </w:r>
          </w:p>
        </w:tc>
        <w:tc>
          <w:tcPr>
            <w:tcW w:w="1187" w:type="dxa"/>
            <w:vAlign w:val="center"/>
          </w:tcPr>
          <w:p w14:paraId="5648DFC7">
            <w:pPr>
              <w:spacing w:line="360" w:lineRule="exact"/>
              <w:jc w:val="center"/>
              <w:rPr>
                <w:rFonts w:ascii="宋体" w:hAnsi="宋体" w:cs="仿宋"/>
                <w:szCs w:val="21"/>
                <w:lang w:val="zh-CN"/>
              </w:rPr>
            </w:pPr>
            <w:r>
              <w:rPr>
                <w:rFonts w:hint="eastAsia" w:ascii="宋体" w:hAnsi="宋体" w:cs="仿宋"/>
                <w:szCs w:val="21"/>
              </w:rPr>
              <w:t>评委打分</w:t>
            </w:r>
          </w:p>
        </w:tc>
      </w:tr>
      <w:tr w14:paraId="174CDB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02" w:hRule="atLeast"/>
          <w:jc w:val="center"/>
        </w:trPr>
        <w:tc>
          <w:tcPr>
            <w:tcW w:w="754" w:type="dxa"/>
            <w:vAlign w:val="center"/>
          </w:tcPr>
          <w:p w14:paraId="47B485FE">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4</w:t>
            </w:r>
          </w:p>
        </w:tc>
        <w:tc>
          <w:tcPr>
            <w:tcW w:w="1845" w:type="dxa"/>
            <w:vAlign w:val="center"/>
          </w:tcPr>
          <w:p w14:paraId="446F8DBA">
            <w:pPr>
              <w:spacing w:line="360" w:lineRule="exact"/>
              <w:jc w:val="center"/>
              <w:rPr>
                <w:rFonts w:ascii="宋体" w:hAnsi="宋体" w:cs="仿宋"/>
                <w:szCs w:val="21"/>
              </w:rPr>
            </w:pPr>
            <w:r>
              <w:rPr>
                <w:rFonts w:hint="eastAsia" w:ascii="宋体" w:hAnsi="宋体" w:cs="仿宋"/>
                <w:szCs w:val="21"/>
              </w:rPr>
              <w:t>服务网点</w:t>
            </w:r>
          </w:p>
        </w:tc>
        <w:tc>
          <w:tcPr>
            <w:tcW w:w="676" w:type="dxa"/>
            <w:vAlign w:val="center"/>
          </w:tcPr>
          <w:p w14:paraId="6E92AB0B">
            <w:pPr>
              <w:spacing w:line="360" w:lineRule="exact"/>
              <w:jc w:val="center"/>
              <w:rPr>
                <w:rFonts w:ascii="宋体" w:hAnsi="宋体" w:cs="仿宋"/>
                <w:szCs w:val="21"/>
              </w:rPr>
            </w:pPr>
            <w:r>
              <w:rPr>
                <w:rFonts w:hint="eastAsia" w:ascii="宋体" w:hAnsi="宋体" w:cs="仿宋"/>
                <w:szCs w:val="21"/>
              </w:rPr>
              <w:t>1</w:t>
            </w:r>
          </w:p>
        </w:tc>
        <w:tc>
          <w:tcPr>
            <w:tcW w:w="5284" w:type="dxa"/>
            <w:vAlign w:val="center"/>
          </w:tcPr>
          <w:p w14:paraId="69D18EDC">
            <w:pPr>
              <w:pStyle w:val="94"/>
              <w:spacing w:line="360" w:lineRule="exact"/>
              <w:ind w:firstLine="0" w:firstLineChars="0"/>
              <w:rPr>
                <w:rFonts w:hint="eastAsia" w:ascii="宋体" w:hAnsi="宋体"/>
                <w:szCs w:val="21"/>
              </w:rPr>
            </w:pPr>
            <w:r>
              <w:rPr>
                <w:rFonts w:hint="eastAsia" w:ascii="宋体" w:hAnsi="宋体"/>
                <w:szCs w:val="21"/>
              </w:rPr>
              <w:t>（一）评分内容：</w:t>
            </w:r>
          </w:p>
          <w:p w14:paraId="6C16D777">
            <w:pPr>
              <w:pStyle w:val="94"/>
              <w:spacing w:line="360" w:lineRule="exact"/>
              <w:ind w:firstLine="0" w:firstLineChars="0"/>
              <w:rPr>
                <w:rFonts w:hint="eastAsia" w:ascii="宋体" w:hAnsi="宋体"/>
                <w:szCs w:val="21"/>
              </w:rPr>
            </w:pPr>
            <w:r>
              <w:rPr>
                <w:rFonts w:hint="eastAsia" w:ascii="宋体" w:hAnsi="宋体"/>
                <w:szCs w:val="21"/>
                <w:lang w:val="en-US" w:eastAsia="zh-CN"/>
              </w:rPr>
              <w:t>投标人</w:t>
            </w:r>
            <w:r>
              <w:rPr>
                <w:rFonts w:hint="eastAsia" w:ascii="宋体" w:hAnsi="宋体"/>
                <w:szCs w:val="21"/>
              </w:rPr>
              <w:t>已具有或承诺中标后提供本地经营（服务）网点得</w:t>
            </w:r>
            <w:r>
              <w:rPr>
                <w:rFonts w:hint="eastAsia" w:ascii="宋体" w:hAnsi="宋体"/>
                <w:szCs w:val="21"/>
                <w:lang w:val="en-US" w:eastAsia="zh-CN"/>
              </w:rPr>
              <w:t>1</w:t>
            </w:r>
            <w:r>
              <w:rPr>
                <w:rFonts w:hint="eastAsia" w:ascii="宋体" w:hAnsi="宋体"/>
                <w:szCs w:val="21"/>
              </w:rPr>
              <w:t>分。</w:t>
            </w:r>
          </w:p>
          <w:p w14:paraId="069F9368">
            <w:pPr>
              <w:pStyle w:val="94"/>
              <w:spacing w:line="360" w:lineRule="exact"/>
              <w:ind w:firstLine="0" w:firstLineChars="0"/>
              <w:rPr>
                <w:rFonts w:hint="eastAsia" w:ascii="宋体" w:hAnsi="宋体"/>
                <w:szCs w:val="21"/>
              </w:rPr>
            </w:pPr>
            <w:r>
              <w:rPr>
                <w:rFonts w:hint="eastAsia" w:ascii="宋体" w:hAnsi="宋体"/>
                <w:szCs w:val="21"/>
              </w:rPr>
              <w:t>（二）评分依据:</w:t>
            </w:r>
          </w:p>
          <w:p w14:paraId="27975C09">
            <w:pPr>
              <w:pStyle w:val="94"/>
              <w:spacing w:line="360" w:lineRule="exact"/>
              <w:ind w:firstLine="0" w:firstLineChars="0"/>
              <w:rPr>
                <w:rFonts w:ascii="宋体" w:hAnsi="宋体"/>
                <w:szCs w:val="21"/>
              </w:rPr>
            </w:pPr>
            <w:r>
              <w:rPr>
                <w:rFonts w:hint="eastAsia" w:ascii="宋体" w:hAnsi="宋体"/>
                <w:szCs w:val="21"/>
              </w:rPr>
              <w:t>要求提供</w:t>
            </w:r>
            <w:r>
              <w:rPr>
                <w:rFonts w:hint="eastAsia" w:ascii="宋体" w:hAnsi="宋体"/>
                <w:szCs w:val="21"/>
                <w:lang w:eastAsia="zh-CN"/>
              </w:rPr>
              <w:t>《</w:t>
            </w:r>
            <w:r>
              <w:rPr>
                <w:rFonts w:hint="eastAsia" w:ascii="宋体" w:hAnsi="宋体"/>
                <w:szCs w:val="21"/>
                <w:lang w:val="en-US" w:eastAsia="zh-CN"/>
              </w:rPr>
              <w:t>服务网点</w:t>
            </w:r>
            <w:r>
              <w:rPr>
                <w:rFonts w:hint="eastAsia" w:ascii="宋体" w:hAnsi="宋体"/>
                <w:szCs w:val="21"/>
              </w:rPr>
              <w:t>承诺</w:t>
            </w:r>
            <w:r>
              <w:rPr>
                <w:rFonts w:hint="eastAsia" w:ascii="宋体" w:hAnsi="宋体"/>
                <w:szCs w:val="21"/>
                <w:lang w:val="en-US" w:eastAsia="zh-CN"/>
              </w:rPr>
              <w:t>函</w:t>
            </w:r>
            <w:r>
              <w:rPr>
                <w:rFonts w:hint="eastAsia" w:ascii="宋体" w:hAnsi="宋体"/>
                <w:szCs w:val="21"/>
                <w:lang w:eastAsia="zh-CN"/>
              </w:rPr>
              <w:t>》</w:t>
            </w:r>
            <w:r>
              <w:rPr>
                <w:rFonts w:hint="eastAsia" w:ascii="宋体" w:hAnsi="宋体"/>
                <w:szCs w:val="21"/>
              </w:rPr>
              <w:t>（格式自定）</w:t>
            </w:r>
            <w:r>
              <w:rPr>
                <w:rFonts w:hint="eastAsia" w:ascii="宋体" w:hAnsi="宋体"/>
                <w:szCs w:val="21"/>
                <w:lang w:val="en-US" w:eastAsia="zh-CN"/>
              </w:rPr>
              <w:t>加盖投标人公章</w:t>
            </w:r>
            <w:r>
              <w:rPr>
                <w:rFonts w:hint="eastAsia" w:ascii="宋体" w:hAnsi="宋体"/>
                <w:szCs w:val="21"/>
              </w:rPr>
              <w:t>作为得分依据，未提供承诺或承诺内容不满足要求不得分。</w:t>
            </w:r>
          </w:p>
        </w:tc>
        <w:tc>
          <w:tcPr>
            <w:tcW w:w="1187" w:type="dxa"/>
            <w:vAlign w:val="center"/>
          </w:tcPr>
          <w:p w14:paraId="134B001C">
            <w:pPr>
              <w:spacing w:line="360" w:lineRule="exact"/>
              <w:jc w:val="center"/>
              <w:rPr>
                <w:rFonts w:ascii="宋体" w:hAnsi="宋体" w:cs="仿宋"/>
                <w:szCs w:val="21"/>
                <w:lang w:val="zh-CN"/>
              </w:rPr>
            </w:pPr>
            <w:r>
              <w:rPr>
                <w:rFonts w:hint="eastAsia" w:ascii="宋体" w:hAnsi="宋体" w:cs="仿宋"/>
                <w:szCs w:val="21"/>
              </w:rPr>
              <w:t>评委打分</w:t>
            </w:r>
          </w:p>
        </w:tc>
      </w:tr>
      <w:tr w14:paraId="13A1F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03AC690">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u w:val="none"/>
                <w:lang w:val="en-US" w:eastAsia="zh-CN"/>
              </w:rPr>
              <w:t>5</w:t>
            </w:r>
          </w:p>
        </w:tc>
        <w:tc>
          <w:tcPr>
            <w:tcW w:w="1845" w:type="dxa"/>
            <w:vAlign w:val="center"/>
          </w:tcPr>
          <w:p w14:paraId="494B7C60">
            <w:pPr>
              <w:spacing w:line="360" w:lineRule="exact"/>
              <w:jc w:val="center"/>
              <w:rPr>
                <w:rFonts w:ascii="宋体" w:hAnsi="宋体" w:cs="仿宋"/>
                <w:szCs w:val="21"/>
              </w:rPr>
            </w:pPr>
            <w:r>
              <w:rPr>
                <w:rFonts w:hint="eastAsia" w:ascii="宋体" w:hAnsi="宋体" w:cs="仿宋"/>
                <w:szCs w:val="21"/>
              </w:rPr>
              <w:t>诚</w:t>
            </w:r>
            <w:bookmarkStart w:id="114" w:name="_GoBack"/>
            <w:bookmarkEnd w:id="114"/>
            <w:r>
              <w:rPr>
                <w:rFonts w:hint="eastAsia" w:ascii="宋体" w:hAnsi="宋体" w:cs="仿宋"/>
                <w:szCs w:val="21"/>
              </w:rPr>
              <w:t>信评审</w:t>
            </w:r>
          </w:p>
        </w:tc>
        <w:tc>
          <w:tcPr>
            <w:tcW w:w="676" w:type="dxa"/>
            <w:vAlign w:val="center"/>
          </w:tcPr>
          <w:p w14:paraId="66F95B30">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284" w:type="dxa"/>
            <w:vAlign w:val="center"/>
          </w:tcPr>
          <w:p w14:paraId="5F18D315">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A57DB65">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54109F">
            <w:pPr>
              <w:spacing w:line="360" w:lineRule="exact"/>
              <w:jc w:val="center"/>
              <w:rPr>
                <w:rFonts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asciiTheme="minorEastAsia" w:hAnsiTheme="minorEastAsia"/>
          <w:bCs w:val="0"/>
          <w:sz w:val="21"/>
          <w:szCs w:val="21"/>
        </w:rPr>
      </w:pPr>
      <w:bookmarkStart w:id="11" w:name="_Toc44690430"/>
      <w:bookmarkStart w:id="12" w:name="_Toc44690703"/>
      <w:bookmarkStart w:id="13" w:name="_Toc44691162"/>
      <w:bookmarkStart w:id="14" w:name="_Toc135293326"/>
      <w:bookmarkStart w:id="15" w:name="_Toc44691394"/>
      <w:r>
        <w:rPr>
          <w:rFonts w:hint="eastAsia" w:asciiTheme="minorEastAsia" w:hAnsiTheme="minorEastAsia"/>
          <w:bCs w:val="0"/>
          <w:sz w:val="21"/>
          <w:szCs w:val="21"/>
        </w:rPr>
        <w:t>备注：</w:t>
      </w:r>
      <w:bookmarkEnd w:id="11"/>
      <w:bookmarkEnd w:id="12"/>
      <w:bookmarkEnd w:id="13"/>
      <w:bookmarkEnd w:id="14"/>
      <w:bookmarkEnd w:id="1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31C0A1">
      <w:pPr>
        <w:pStyle w:val="3"/>
        <w:spacing w:before="0" w:after="0"/>
      </w:pPr>
      <w:bookmarkStart w:id="16" w:name="_Toc135293327"/>
      <w:r>
        <w:rPr>
          <w:rFonts w:hint="eastAsia"/>
        </w:rPr>
        <w:t>1、资质证书有效期</w:t>
      </w:r>
      <w:bookmarkEnd w:id="16"/>
    </w:p>
    <w:p w14:paraId="53E0DA15">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asciiTheme="minorEastAsia" w:hAnsiTheme="minorEastAsia" w:eastAsiaTheme="minorEastAsia"/>
          <w:b/>
        </w:rPr>
      </w:pPr>
    </w:p>
    <w:p w14:paraId="6E468CD0">
      <w:pPr>
        <w:pStyle w:val="3"/>
        <w:spacing w:before="0" w:after="0"/>
        <w:rPr>
          <w:rFonts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F798194">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asciiTheme="minorEastAsia" w:hAnsiTheme="minorEastAsia" w:eastAsiaTheme="minorEastAsia"/>
          <w:szCs w:val="21"/>
        </w:rPr>
      </w:pPr>
      <w:r>
        <w:rPr>
          <w:rFonts w:hint="eastAsia" w:asciiTheme="minorEastAsia" w:hAnsiTheme="minorEastAsia" w:eastAsiaTheme="minorEastAsia"/>
          <w:lang w:val="en-US"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04E7FEFE">
      <w:pPr>
        <w:spacing w:line="240" w:lineRule="exact"/>
        <w:ind w:firstLine="424" w:firstLineChars="202"/>
        <w:jc w:val="left"/>
        <w:rPr>
          <w:rFonts w:asciiTheme="minorEastAsia" w:hAnsiTheme="minorEastAsia" w:eastAsiaTheme="minorEastAsia"/>
          <w:szCs w:val="21"/>
        </w:rPr>
      </w:pPr>
    </w:p>
    <w:p w14:paraId="1C559AA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Ansi="宋体"/>
              </w:rPr>
            </w:pPr>
            <w:r>
              <w:rPr>
                <w:rFonts w:hint="eastAsia" w:hAnsi="宋体"/>
              </w:rPr>
              <w:t>项号</w:t>
            </w:r>
          </w:p>
        </w:tc>
        <w:tc>
          <w:tcPr>
            <w:tcW w:w="1038" w:type="dxa"/>
            <w:vAlign w:val="center"/>
          </w:tcPr>
          <w:p w14:paraId="1A021A33">
            <w:pPr>
              <w:pStyle w:val="27"/>
              <w:spacing w:line="360" w:lineRule="auto"/>
              <w:jc w:val="center"/>
              <w:rPr>
                <w:rFonts w:hAnsi="宋体"/>
              </w:rPr>
            </w:pPr>
            <w:r>
              <w:rPr>
                <w:rFonts w:hint="eastAsia" w:hAnsi="宋体"/>
              </w:rPr>
              <w:t>条款号</w:t>
            </w:r>
          </w:p>
        </w:tc>
        <w:tc>
          <w:tcPr>
            <w:tcW w:w="1843" w:type="dxa"/>
            <w:vAlign w:val="center"/>
          </w:tcPr>
          <w:p w14:paraId="6C99B8DD">
            <w:pPr>
              <w:pStyle w:val="27"/>
              <w:spacing w:line="360" w:lineRule="auto"/>
              <w:jc w:val="center"/>
              <w:rPr>
                <w:rFonts w:hAnsi="宋体"/>
              </w:rPr>
            </w:pPr>
            <w:r>
              <w:rPr>
                <w:rFonts w:hint="eastAsia" w:hAnsi="宋体"/>
              </w:rPr>
              <w:t>内容</w:t>
            </w:r>
          </w:p>
        </w:tc>
        <w:tc>
          <w:tcPr>
            <w:tcW w:w="6520" w:type="dxa"/>
          </w:tcPr>
          <w:p w14:paraId="79032F6D">
            <w:pPr>
              <w:pStyle w:val="27"/>
              <w:spacing w:line="360" w:lineRule="auto"/>
              <w:jc w:val="center"/>
              <w:rPr>
                <w:rFonts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Ansi="宋体"/>
              </w:rPr>
            </w:pPr>
            <w:r>
              <w:rPr>
                <w:rFonts w:hAnsi="宋体"/>
              </w:rPr>
              <w:t>1</w:t>
            </w:r>
          </w:p>
        </w:tc>
        <w:tc>
          <w:tcPr>
            <w:tcW w:w="1038" w:type="dxa"/>
            <w:vAlign w:val="center"/>
          </w:tcPr>
          <w:p w14:paraId="08DCF3BC">
            <w:pPr>
              <w:pStyle w:val="27"/>
              <w:spacing w:line="360" w:lineRule="auto"/>
              <w:jc w:val="center"/>
              <w:rPr>
                <w:rFonts w:hAnsi="宋体"/>
              </w:rPr>
            </w:pPr>
            <w:r>
              <w:rPr>
                <w:rFonts w:hAnsi="宋体"/>
              </w:rPr>
              <w:t>1.1</w:t>
            </w:r>
          </w:p>
        </w:tc>
        <w:tc>
          <w:tcPr>
            <w:tcW w:w="1843" w:type="dxa"/>
            <w:vAlign w:val="center"/>
          </w:tcPr>
          <w:p w14:paraId="5DB3C0C3">
            <w:pPr>
              <w:pStyle w:val="27"/>
              <w:spacing w:line="360" w:lineRule="exact"/>
              <w:jc w:val="center"/>
              <w:rPr>
                <w:rFonts w:hAnsi="宋体"/>
              </w:rPr>
            </w:pPr>
            <w:r>
              <w:rPr>
                <w:rFonts w:hint="eastAsia" w:hAnsi="宋体"/>
              </w:rPr>
              <w:t>项目名称</w:t>
            </w:r>
          </w:p>
        </w:tc>
        <w:tc>
          <w:tcPr>
            <w:tcW w:w="6520" w:type="dxa"/>
            <w:vAlign w:val="center"/>
          </w:tcPr>
          <w:p w14:paraId="4CD063BC">
            <w:pPr>
              <w:pStyle w:val="27"/>
              <w:spacing w:line="360" w:lineRule="exact"/>
              <w:rPr>
                <w:rFonts w:hint="eastAsia" w:eastAsia="宋体"/>
                <w:lang w:eastAsia="zh-CN"/>
              </w:rPr>
            </w:pPr>
            <w:r>
              <w:rPr>
                <w:rFonts w:hint="eastAsia" w:asciiTheme="minorEastAsia" w:hAnsiTheme="minorEastAsia" w:eastAsiaTheme="minorEastAsia"/>
                <w:lang w:eastAsia="zh-CN"/>
              </w:rPr>
              <w:t>人工智能技术与应用专业算力服务器采购项目</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Ansi="宋体"/>
              </w:rPr>
            </w:pPr>
            <w:r>
              <w:rPr>
                <w:rFonts w:hint="eastAsia" w:hAnsi="宋体"/>
              </w:rPr>
              <w:t>2</w:t>
            </w:r>
          </w:p>
        </w:tc>
        <w:tc>
          <w:tcPr>
            <w:tcW w:w="1038" w:type="dxa"/>
            <w:vAlign w:val="center"/>
          </w:tcPr>
          <w:p w14:paraId="75EDB50D">
            <w:pPr>
              <w:pStyle w:val="27"/>
              <w:spacing w:line="360" w:lineRule="auto"/>
              <w:jc w:val="center"/>
              <w:rPr>
                <w:rFonts w:hAnsi="宋体"/>
              </w:rPr>
            </w:pPr>
            <w:r>
              <w:rPr>
                <w:rFonts w:hAnsi="宋体"/>
              </w:rPr>
              <w:t>2.1</w:t>
            </w:r>
          </w:p>
        </w:tc>
        <w:tc>
          <w:tcPr>
            <w:tcW w:w="1843" w:type="dxa"/>
            <w:vAlign w:val="center"/>
          </w:tcPr>
          <w:p w14:paraId="0DD45AF4">
            <w:pPr>
              <w:pStyle w:val="27"/>
              <w:spacing w:line="360" w:lineRule="exact"/>
              <w:jc w:val="center"/>
              <w:rPr>
                <w:rFonts w:hAnsi="宋体"/>
              </w:rPr>
            </w:pPr>
            <w:r>
              <w:rPr>
                <w:rFonts w:hint="eastAsia" w:hAnsi="宋体"/>
              </w:rPr>
              <w:t>采购人</w:t>
            </w:r>
          </w:p>
        </w:tc>
        <w:tc>
          <w:tcPr>
            <w:tcW w:w="6520" w:type="dxa"/>
            <w:vAlign w:val="center"/>
          </w:tcPr>
          <w:p w14:paraId="522BEA8D">
            <w:pPr>
              <w:pStyle w:val="27"/>
              <w:spacing w:line="360" w:lineRule="exact"/>
              <w:rPr>
                <w:rFonts w:hint="default" w:hAnsi="宋体" w:eastAsia="宋体"/>
                <w:szCs w:val="24"/>
                <w:lang w:val="en-US" w:eastAsia="zh-CN"/>
              </w:rPr>
            </w:pPr>
            <w:r>
              <w:rPr>
                <w:rFonts w:hint="eastAsia" w:hAnsi="宋体"/>
                <w:szCs w:val="24"/>
              </w:rPr>
              <w:t>深圳市</w:t>
            </w:r>
            <w:r>
              <w:rPr>
                <w:rFonts w:hint="eastAsia" w:hAnsi="宋体"/>
                <w:szCs w:val="24"/>
                <w:lang w:val="en-US" w:eastAsia="zh-CN"/>
              </w:rPr>
              <w:t>第一职业技术学校</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Ansi="宋体"/>
              </w:rPr>
            </w:pPr>
            <w:r>
              <w:rPr>
                <w:rFonts w:hint="eastAsia" w:hAnsi="宋体"/>
              </w:rPr>
              <w:t>3</w:t>
            </w:r>
          </w:p>
        </w:tc>
        <w:tc>
          <w:tcPr>
            <w:tcW w:w="1038" w:type="dxa"/>
            <w:vAlign w:val="center"/>
          </w:tcPr>
          <w:p w14:paraId="13B91ECC">
            <w:pPr>
              <w:pStyle w:val="27"/>
              <w:spacing w:line="360" w:lineRule="auto"/>
              <w:jc w:val="center"/>
              <w:rPr>
                <w:rFonts w:hAnsi="宋体"/>
              </w:rPr>
            </w:pPr>
            <w:r>
              <w:rPr>
                <w:rFonts w:hAnsi="宋体"/>
              </w:rPr>
              <w:t>2.2</w:t>
            </w:r>
          </w:p>
        </w:tc>
        <w:tc>
          <w:tcPr>
            <w:tcW w:w="1843" w:type="dxa"/>
            <w:vAlign w:val="center"/>
          </w:tcPr>
          <w:p w14:paraId="132E9C30">
            <w:pPr>
              <w:pStyle w:val="27"/>
              <w:spacing w:line="360" w:lineRule="exact"/>
              <w:jc w:val="center"/>
              <w:rPr>
                <w:rFonts w:hAnsi="宋体"/>
              </w:rPr>
            </w:pPr>
            <w:r>
              <w:rPr>
                <w:rFonts w:hint="eastAsia" w:hAnsi="宋体"/>
              </w:rPr>
              <w:t>采购代理机构</w:t>
            </w:r>
          </w:p>
        </w:tc>
        <w:tc>
          <w:tcPr>
            <w:tcW w:w="6520" w:type="dxa"/>
            <w:vAlign w:val="center"/>
          </w:tcPr>
          <w:p w14:paraId="5B81D321">
            <w:pPr>
              <w:pStyle w:val="27"/>
              <w:spacing w:line="360" w:lineRule="exact"/>
              <w:rPr>
                <w:rFonts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Ansi="宋体"/>
              </w:rPr>
            </w:pPr>
            <w:r>
              <w:rPr>
                <w:rFonts w:hint="eastAsia" w:hAnsi="宋体"/>
              </w:rPr>
              <w:t>4</w:t>
            </w:r>
          </w:p>
        </w:tc>
        <w:tc>
          <w:tcPr>
            <w:tcW w:w="1038" w:type="dxa"/>
            <w:vAlign w:val="center"/>
          </w:tcPr>
          <w:p w14:paraId="31572A4E">
            <w:pPr>
              <w:pStyle w:val="27"/>
              <w:spacing w:line="360" w:lineRule="auto"/>
              <w:jc w:val="center"/>
              <w:rPr>
                <w:rFonts w:hAnsi="宋体"/>
              </w:rPr>
            </w:pPr>
            <w:r>
              <w:rPr>
                <w:rFonts w:hint="eastAsia" w:hAnsi="宋体"/>
              </w:rPr>
              <w:t>3.1</w:t>
            </w:r>
          </w:p>
        </w:tc>
        <w:tc>
          <w:tcPr>
            <w:tcW w:w="1843" w:type="dxa"/>
            <w:vAlign w:val="center"/>
          </w:tcPr>
          <w:p w14:paraId="0405CD55">
            <w:pPr>
              <w:pStyle w:val="27"/>
              <w:spacing w:line="360" w:lineRule="exact"/>
              <w:jc w:val="center"/>
              <w:rPr>
                <w:rFonts w:hAnsi="宋体"/>
              </w:rPr>
            </w:pPr>
            <w:r>
              <w:rPr>
                <w:rFonts w:hint="eastAsia" w:hAnsi="宋体"/>
              </w:rPr>
              <w:t>资金来源</w:t>
            </w:r>
          </w:p>
        </w:tc>
        <w:tc>
          <w:tcPr>
            <w:tcW w:w="6520" w:type="dxa"/>
            <w:vAlign w:val="center"/>
          </w:tcPr>
          <w:p w14:paraId="5817DB0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Ansi="宋体"/>
              </w:rPr>
            </w:pPr>
            <w:r>
              <w:rPr>
                <w:rFonts w:hint="eastAsia" w:hAnsi="宋体"/>
              </w:rPr>
              <w:t>5</w:t>
            </w:r>
          </w:p>
        </w:tc>
        <w:tc>
          <w:tcPr>
            <w:tcW w:w="1038" w:type="dxa"/>
            <w:vAlign w:val="center"/>
          </w:tcPr>
          <w:p w14:paraId="37A4AD37">
            <w:pPr>
              <w:pStyle w:val="27"/>
              <w:spacing w:line="360" w:lineRule="auto"/>
              <w:jc w:val="center"/>
              <w:rPr>
                <w:rFonts w:hAnsi="宋体"/>
              </w:rPr>
            </w:pPr>
            <w:r>
              <w:rPr>
                <w:rFonts w:hint="eastAsia" w:hAnsi="宋体"/>
              </w:rPr>
              <w:t>4.7</w:t>
            </w:r>
          </w:p>
        </w:tc>
        <w:tc>
          <w:tcPr>
            <w:tcW w:w="1843" w:type="dxa"/>
            <w:vAlign w:val="center"/>
          </w:tcPr>
          <w:p w14:paraId="5CB3B1B9">
            <w:pPr>
              <w:pStyle w:val="27"/>
              <w:spacing w:line="360" w:lineRule="auto"/>
              <w:jc w:val="center"/>
              <w:rPr>
                <w:rFonts w:hAnsi="宋体"/>
              </w:rPr>
            </w:pPr>
            <w:r>
              <w:rPr>
                <w:rFonts w:hint="eastAsia" w:hAnsi="宋体"/>
              </w:rPr>
              <w:t>投标人资格要求</w:t>
            </w:r>
          </w:p>
        </w:tc>
        <w:tc>
          <w:tcPr>
            <w:tcW w:w="6520" w:type="dxa"/>
            <w:vAlign w:val="center"/>
          </w:tcPr>
          <w:p w14:paraId="3AB9BA9D">
            <w:pPr>
              <w:pStyle w:val="27"/>
              <w:spacing w:line="360" w:lineRule="auto"/>
              <w:rPr>
                <w:rFonts w:hAnsi="宋体"/>
                <w:szCs w:val="21"/>
              </w:rPr>
            </w:pPr>
            <w:r>
              <w:rPr>
                <w:rFonts w:hint="eastAsia" w:hAnsi="宋体"/>
                <w:szCs w:val="21"/>
              </w:rPr>
              <w:t>详见《第一章 投标邀请》“申请人的资格要求”</w:t>
            </w:r>
          </w:p>
          <w:p w14:paraId="2D25F91C">
            <w:pPr>
              <w:pStyle w:val="27"/>
              <w:spacing w:line="360" w:lineRule="auto"/>
              <w:rPr>
                <w:rFonts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Ansi="宋体"/>
              </w:rPr>
            </w:pPr>
            <w:r>
              <w:rPr>
                <w:rFonts w:hint="eastAsia" w:hAnsi="宋体"/>
              </w:rPr>
              <w:t>6</w:t>
            </w:r>
          </w:p>
        </w:tc>
        <w:tc>
          <w:tcPr>
            <w:tcW w:w="1038" w:type="dxa"/>
            <w:vAlign w:val="center"/>
          </w:tcPr>
          <w:p w14:paraId="02413314">
            <w:pPr>
              <w:pStyle w:val="27"/>
              <w:spacing w:line="360" w:lineRule="auto"/>
              <w:jc w:val="center"/>
              <w:rPr>
                <w:rFonts w:hAnsi="宋体"/>
              </w:rPr>
            </w:pPr>
            <w:r>
              <w:rPr>
                <w:rFonts w:hint="eastAsia" w:hAnsi="宋体"/>
              </w:rPr>
              <w:t>4.8</w:t>
            </w:r>
          </w:p>
        </w:tc>
        <w:tc>
          <w:tcPr>
            <w:tcW w:w="1843" w:type="dxa"/>
            <w:vAlign w:val="center"/>
          </w:tcPr>
          <w:p w14:paraId="4781E7FE">
            <w:pPr>
              <w:pStyle w:val="27"/>
              <w:spacing w:line="360" w:lineRule="auto"/>
              <w:jc w:val="center"/>
              <w:rPr>
                <w:rFonts w:hAnsi="宋体"/>
              </w:rPr>
            </w:pPr>
            <w:r>
              <w:rPr>
                <w:rFonts w:hint="eastAsia" w:hAnsi="宋体"/>
              </w:rPr>
              <w:t>联合体投标</w:t>
            </w:r>
          </w:p>
        </w:tc>
        <w:tc>
          <w:tcPr>
            <w:tcW w:w="6520" w:type="dxa"/>
          </w:tcPr>
          <w:p w14:paraId="1F87C69D">
            <w:pPr>
              <w:pStyle w:val="27"/>
              <w:spacing w:line="360" w:lineRule="auto"/>
              <w:rPr>
                <w:rFonts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Ansi="宋体"/>
              </w:rPr>
            </w:pPr>
            <w:r>
              <w:rPr>
                <w:rFonts w:hint="eastAsia" w:hAnsi="宋体"/>
              </w:rPr>
              <w:t>7</w:t>
            </w:r>
          </w:p>
        </w:tc>
        <w:tc>
          <w:tcPr>
            <w:tcW w:w="1038" w:type="dxa"/>
            <w:vAlign w:val="center"/>
          </w:tcPr>
          <w:p w14:paraId="01F73E4B">
            <w:pPr>
              <w:pStyle w:val="27"/>
              <w:spacing w:line="360" w:lineRule="auto"/>
              <w:jc w:val="center"/>
              <w:rPr>
                <w:rFonts w:hAnsi="宋体"/>
              </w:rPr>
            </w:pPr>
            <w:r>
              <w:rPr>
                <w:rFonts w:hint="eastAsia" w:hAnsi="宋体"/>
              </w:rPr>
              <w:t>6.1</w:t>
            </w:r>
          </w:p>
        </w:tc>
        <w:tc>
          <w:tcPr>
            <w:tcW w:w="1843" w:type="dxa"/>
            <w:vAlign w:val="center"/>
          </w:tcPr>
          <w:p w14:paraId="3F0E5C38">
            <w:pPr>
              <w:pStyle w:val="27"/>
              <w:spacing w:line="360" w:lineRule="auto"/>
              <w:jc w:val="center"/>
              <w:rPr>
                <w:rFonts w:hAnsi="宋体"/>
              </w:rPr>
            </w:pPr>
            <w:r>
              <w:rPr>
                <w:rFonts w:hint="eastAsia" w:hAnsi="宋体"/>
              </w:rPr>
              <w:t>踏勘现场</w:t>
            </w:r>
          </w:p>
        </w:tc>
        <w:tc>
          <w:tcPr>
            <w:tcW w:w="6520" w:type="dxa"/>
          </w:tcPr>
          <w:p w14:paraId="79B31CEC">
            <w:pPr>
              <w:pStyle w:val="27"/>
              <w:spacing w:line="360" w:lineRule="auto"/>
              <w:rPr>
                <w:rFonts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Ansi="宋体"/>
              </w:rPr>
            </w:pPr>
            <w:r>
              <w:rPr>
                <w:rFonts w:hint="eastAsia" w:hAnsi="宋体"/>
              </w:rPr>
              <w:t>8</w:t>
            </w:r>
          </w:p>
        </w:tc>
        <w:tc>
          <w:tcPr>
            <w:tcW w:w="1038" w:type="dxa"/>
            <w:vAlign w:val="center"/>
          </w:tcPr>
          <w:p w14:paraId="18D0FD2A">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Ansi="宋体"/>
              </w:rPr>
            </w:pPr>
            <w:r>
              <w:rPr>
                <w:rFonts w:hint="eastAsia" w:hAnsi="宋体"/>
              </w:rPr>
              <w:t>投标有效期</w:t>
            </w:r>
          </w:p>
        </w:tc>
        <w:tc>
          <w:tcPr>
            <w:tcW w:w="6520" w:type="dxa"/>
          </w:tcPr>
          <w:p w14:paraId="76D6D6FA">
            <w:pPr>
              <w:pStyle w:val="27"/>
              <w:spacing w:line="360" w:lineRule="auto"/>
              <w:rPr>
                <w:rFonts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Ansi="宋体"/>
              </w:rPr>
            </w:pPr>
            <w:r>
              <w:rPr>
                <w:rFonts w:hint="eastAsia" w:hAnsi="宋体"/>
              </w:rPr>
              <w:t>9</w:t>
            </w:r>
          </w:p>
        </w:tc>
        <w:tc>
          <w:tcPr>
            <w:tcW w:w="1038" w:type="dxa"/>
            <w:vAlign w:val="center"/>
          </w:tcPr>
          <w:p w14:paraId="5033C374">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Ansi="宋体"/>
              </w:rPr>
            </w:pPr>
            <w:r>
              <w:rPr>
                <w:rFonts w:hint="eastAsia" w:hAnsi="宋体"/>
              </w:rPr>
              <w:t>投标保证金</w:t>
            </w:r>
          </w:p>
        </w:tc>
        <w:tc>
          <w:tcPr>
            <w:tcW w:w="6520" w:type="dxa"/>
            <w:vAlign w:val="center"/>
          </w:tcPr>
          <w:p w14:paraId="14E4C0AF">
            <w:pPr>
              <w:tabs>
                <w:tab w:val="left" w:pos="915"/>
              </w:tabs>
              <w:spacing w:line="360" w:lineRule="exact"/>
              <w:rPr>
                <w:rFonts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Ansi="宋体"/>
              </w:rPr>
            </w:pPr>
            <w:r>
              <w:rPr>
                <w:rFonts w:hint="eastAsia" w:hAnsi="宋体"/>
              </w:rPr>
              <w:t>10</w:t>
            </w:r>
          </w:p>
        </w:tc>
        <w:tc>
          <w:tcPr>
            <w:tcW w:w="1038" w:type="dxa"/>
            <w:vAlign w:val="center"/>
          </w:tcPr>
          <w:p w14:paraId="7DBEC1C9">
            <w:pPr>
              <w:pStyle w:val="27"/>
              <w:spacing w:line="360" w:lineRule="auto"/>
              <w:jc w:val="center"/>
              <w:rPr>
                <w:rFonts w:hAnsi="宋体"/>
              </w:rPr>
            </w:pPr>
            <w:r>
              <w:rPr>
                <w:rFonts w:hint="eastAsia" w:hAnsi="宋体"/>
              </w:rPr>
              <w:t>16.1</w:t>
            </w:r>
          </w:p>
        </w:tc>
        <w:tc>
          <w:tcPr>
            <w:tcW w:w="1843" w:type="dxa"/>
            <w:vAlign w:val="center"/>
          </w:tcPr>
          <w:p w14:paraId="097D75BC">
            <w:pPr>
              <w:pStyle w:val="27"/>
              <w:spacing w:line="360" w:lineRule="auto"/>
              <w:jc w:val="center"/>
              <w:rPr>
                <w:rFonts w:hAnsi="宋体"/>
              </w:rPr>
            </w:pPr>
            <w:r>
              <w:rPr>
                <w:rFonts w:hint="eastAsia" w:hAnsi="宋体"/>
              </w:rPr>
              <w:t>投标预备会</w:t>
            </w:r>
          </w:p>
          <w:p w14:paraId="46F7F572">
            <w:pPr>
              <w:pStyle w:val="27"/>
              <w:spacing w:line="360" w:lineRule="auto"/>
              <w:jc w:val="center"/>
              <w:rPr>
                <w:rFonts w:hAnsi="宋体"/>
              </w:rPr>
            </w:pPr>
            <w:r>
              <w:rPr>
                <w:rFonts w:hint="eastAsia" w:hAnsi="宋体"/>
              </w:rPr>
              <w:t>（答疑会）</w:t>
            </w:r>
          </w:p>
        </w:tc>
        <w:tc>
          <w:tcPr>
            <w:tcW w:w="6520" w:type="dxa"/>
            <w:vAlign w:val="center"/>
          </w:tcPr>
          <w:p w14:paraId="4F9A2586">
            <w:pPr>
              <w:pStyle w:val="27"/>
              <w:spacing w:line="360" w:lineRule="auto"/>
              <w:rPr>
                <w:rFonts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Ansi="宋体"/>
              </w:rPr>
            </w:pPr>
            <w:r>
              <w:rPr>
                <w:rFonts w:hint="eastAsia" w:hAnsi="宋体"/>
              </w:rPr>
              <w:t>11</w:t>
            </w:r>
          </w:p>
        </w:tc>
        <w:tc>
          <w:tcPr>
            <w:tcW w:w="1038" w:type="dxa"/>
            <w:vAlign w:val="center"/>
          </w:tcPr>
          <w:p w14:paraId="2D0122F2">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Ansi="宋体"/>
              </w:rPr>
            </w:pPr>
            <w:r>
              <w:rPr>
                <w:rFonts w:hint="eastAsia" w:hAnsi="宋体"/>
              </w:rPr>
              <w:t>投标文件数量</w:t>
            </w:r>
          </w:p>
        </w:tc>
        <w:tc>
          <w:tcPr>
            <w:tcW w:w="6520" w:type="dxa"/>
          </w:tcPr>
          <w:p w14:paraId="69A1C2D8">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Ansi="宋体"/>
              </w:rPr>
            </w:pPr>
            <w:r>
              <w:rPr>
                <w:rFonts w:hint="eastAsia" w:hAnsi="宋体"/>
              </w:rPr>
              <w:t>12</w:t>
            </w:r>
          </w:p>
        </w:tc>
        <w:tc>
          <w:tcPr>
            <w:tcW w:w="1038" w:type="dxa"/>
            <w:vAlign w:val="center"/>
          </w:tcPr>
          <w:p w14:paraId="4E188869">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Ansi="宋体"/>
              </w:rPr>
            </w:pPr>
            <w:r>
              <w:rPr>
                <w:rFonts w:hint="eastAsia" w:hAnsi="宋体"/>
              </w:rPr>
              <w:t>开标</w:t>
            </w:r>
          </w:p>
        </w:tc>
        <w:tc>
          <w:tcPr>
            <w:tcW w:w="6520" w:type="dxa"/>
          </w:tcPr>
          <w:p w14:paraId="6D3C1C2E">
            <w:pPr>
              <w:pStyle w:val="27"/>
              <w:spacing w:line="360" w:lineRule="auto"/>
              <w:rPr>
                <w:rFonts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Ansi="宋体"/>
              </w:rPr>
            </w:pPr>
            <w:r>
              <w:rPr>
                <w:rFonts w:hint="eastAsia" w:hAnsi="宋体"/>
              </w:rPr>
              <w:t>13</w:t>
            </w:r>
          </w:p>
        </w:tc>
        <w:tc>
          <w:tcPr>
            <w:tcW w:w="1038" w:type="dxa"/>
            <w:vAlign w:val="center"/>
          </w:tcPr>
          <w:p w14:paraId="74C80F39">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Ansi="宋体"/>
              </w:rPr>
            </w:pPr>
            <w:r>
              <w:rPr>
                <w:rFonts w:hint="eastAsia" w:hAnsi="宋体"/>
              </w:rPr>
              <w:t>投标截止时间</w:t>
            </w:r>
          </w:p>
        </w:tc>
        <w:tc>
          <w:tcPr>
            <w:tcW w:w="6520" w:type="dxa"/>
          </w:tcPr>
          <w:p w14:paraId="11514B42">
            <w:pPr>
              <w:pStyle w:val="27"/>
              <w:spacing w:line="360" w:lineRule="auto"/>
              <w:rPr>
                <w:rFonts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Ansi="宋体"/>
              </w:rPr>
            </w:pPr>
            <w:r>
              <w:rPr>
                <w:rFonts w:hint="eastAsia" w:hAnsi="宋体"/>
              </w:rPr>
              <w:t>14</w:t>
            </w:r>
          </w:p>
        </w:tc>
        <w:tc>
          <w:tcPr>
            <w:tcW w:w="1038" w:type="dxa"/>
            <w:vAlign w:val="center"/>
          </w:tcPr>
          <w:p w14:paraId="61DC3D01">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Ansi="宋体"/>
              </w:rPr>
            </w:pPr>
            <w:r>
              <w:rPr>
                <w:rFonts w:hint="eastAsia" w:hAnsi="宋体"/>
              </w:rPr>
              <w:t>评标办法</w:t>
            </w:r>
          </w:p>
        </w:tc>
        <w:tc>
          <w:tcPr>
            <w:tcW w:w="6520" w:type="dxa"/>
          </w:tcPr>
          <w:p w14:paraId="3F44DD43">
            <w:pPr>
              <w:pStyle w:val="27"/>
              <w:spacing w:line="360" w:lineRule="auto"/>
              <w:rPr>
                <w:rFonts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Ansi="宋体"/>
              </w:rPr>
            </w:pPr>
            <w:r>
              <w:rPr>
                <w:rFonts w:hint="eastAsia" w:hAnsi="宋体"/>
              </w:rPr>
              <w:t>15</w:t>
            </w:r>
          </w:p>
        </w:tc>
        <w:tc>
          <w:tcPr>
            <w:tcW w:w="1038" w:type="dxa"/>
            <w:vAlign w:val="center"/>
          </w:tcPr>
          <w:p w14:paraId="557E05EA">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14:paraId="19C1DD45">
            <w:pPr>
              <w:pStyle w:val="27"/>
              <w:spacing w:line="360" w:lineRule="auto"/>
              <w:jc w:val="center"/>
              <w:rPr>
                <w:rFonts w:hAnsi="宋体"/>
              </w:rPr>
            </w:pPr>
            <w:r>
              <w:rPr>
                <w:rFonts w:hint="eastAsia" w:hAnsi="宋体"/>
              </w:rPr>
              <w:t>16</w:t>
            </w:r>
          </w:p>
        </w:tc>
        <w:tc>
          <w:tcPr>
            <w:tcW w:w="1038" w:type="dxa"/>
            <w:vAlign w:val="center"/>
          </w:tcPr>
          <w:p w14:paraId="065D8B8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7E9BAEC">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4792F84">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%，最低收取人民币7000元。</w:t>
            </w:r>
          </w:p>
          <w:p w14:paraId="3C81C024">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rPr>
          <w:rFonts w:hint="eastAsia"/>
        </w:rPr>
      </w:pPr>
      <w:bookmarkStart w:id="19" w:name="_Toc135293330"/>
    </w:p>
    <w:p w14:paraId="2A13B36B">
      <w:pPr>
        <w:pStyle w:val="2"/>
      </w:pPr>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84FDAD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3BEA38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49163F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482825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2BE88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投标文件数量按前附表第11项所述，须在每一份投标文件上明确注明“正本”或“副本”字样。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 xml:space="preserve">，以正本为准。 </w:t>
      </w:r>
    </w:p>
    <w:p w14:paraId="09D812E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1804E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56E277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448CE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7</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2945A0A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205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EBCFD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3175" t="5715" r="18415" b="24130"/>
                      <wp:wrapNone/>
                      <wp:docPr id="9"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Ft5hC7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6350" r="24130" b="29210"/>
                      <wp:wrapNone/>
                      <wp:docPr id="10"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BMBAiG+wEAAAM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6350" r="0" b="6350"/>
                      <wp:wrapNone/>
                      <wp:docPr id="8"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CmyZSL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ascii="宋体" w:hAnsi="宋体"/>
                <w:b/>
                <w:szCs w:val="21"/>
              </w:rPr>
            </w:pPr>
            <w:r>
              <w:rPr>
                <w:rFonts w:hint="eastAsia" w:ascii="宋体" w:hAnsi="宋体"/>
                <w:b/>
                <w:szCs w:val="21"/>
              </w:rPr>
              <w:t>费率　　　　　</w:t>
            </w:r>
          </w:p>
          <w:p w14:paraId="1A7241D6">
            <w:pPr>
              <w:ind w:firstLine="1054"/>
              <w:rPr>
                <w:rFonts w:ascii="宋体" w:hAnsi="宋体"/>
                <w:b/>
                <w:szCs w:val="21"/>
              </w:rPr>
            </w:pPr>
            <w:r>
              <w:rPr>
                <w:rFonts w:hint="eastAsia" w:ascii="宋体" w:hAnsi="宋体"/>
                <w:b/>
                <w:szCs w:val="21"/>
              </w:rPr>
              <w:t>　　　</w:t>
            </w:r>
          </w:p>
          <w:p w14:paraId="2EF34B87">
            <w:pPr>
              <w:rPr>
                <w:rFonts w:ascii="宋体" w:hAnsi="宋体"/>
                <w:b/>
                <w:szCs w:val="21"/>
              </w:rPr>
            </w:pPr>
            <w:r>
              <w:rPr>
                <w:rFonts w:hint="eastAsia" w:ascii="宋体" w:hAnsi="宋体"/>
                <w:b/>
                <w:szCs w:val="21"/>
              </w:rPr>
              <w:t>中标金额</w:t>
            </w:r>
          </w:p>
        </w:tc>
        <w:tc>
          <w:tcPr>
            <w:tcW w:w="2056" w:type="dxa"/>
            <w:vAlign w:val="center"/>
          </w:tcPr>
          <w:p w14:paraId="2CA6D235">
            <w:pPr>
              <w:jc w:val="center"/>
              <w:rPr>
                <w:rFonts w:ascii="宋体" w:hAnsi="宋体"/>
                <w:b/>
                <w:szCs w:val="21"/>
              </w:rPr>
            </w:pPr>
            <w:r>
              <w:rPr>
                <w:rFonts w:hint="eastAsia" w:ascii="宋体" w:hAnsi="宋体"/>
                <w:b/>
                <w:szCs w:val="21"/>
              </w:rPr>
              <w:t>货物采购</w:t>
            </w:r>
          </w:p>
        </w:tc>
        <w:tc>
          <w:tcPr>
            <w:tcW w:w="2056" w:type="dxa"/>
            <w:vAlign w:val="center"/>
          </w:tcPr>
          <w:p w14:paraId="47C96420">
            <w:pPr>
              <w:jc w:val="center"/>
              <w:rPr>
                <w:rFonts w:ascii="宋体" w:hAnsi="宋体"/>
                <w:b/>
                <w:szCs w:val="21"/>
              </w:rPr>
            </w:pPr>
            <w:r>
              <w:rPr>
                <w:rFonts w:hint="eastAsia" w:ascii="宋体" w:hAnsi="宋体"/>
                <w:b/>
                <w:szCs w:val="21"/>
              </w:rPr>
              <w:t>服务采购</w:t>
            </w:r>
          </w:p>
        </w:tc>
        <w:tc>
          <w:tcPr>
            <w:tcW w:w="2057" w:type="dxa"/>
            <w:vAlign w:val="center"/>
          </w:tcPr>
          <w:p w14:paraId="6B18D154">
            <w:pPr>
              <w:jc w:val="center"/>
              <w:rPr>
                <w:rFonts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按差额定率累进法计算。例如：某货物类项目中标金额为1000万元，计算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4D1D508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0DDDF9B5"/>
    <w:p w14:paraId="79E12185"/>
    <w:p w14:paraId="4D52942B"/>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ascii="仿宋" w:hAnsi="仿宋" w:eastAsia="仿宋"/>
        </w:rPr>
      </w:pPr>
      <w:bookmarkStart w:id="36" w:name="_Toc44690704"/>
      <w:bookmarkStart w:id="37" w:name="_Toc135293339"/>
      <w:bookmarkStart w:id="38" w:name="_Toc44691395"/>
      <w:bookmarkStart w:id="39" w:name="_Toc44691163"/>
      <w:bookmarkStart w:id="40" w:name="_Toc31468"/>
      <w:bookmarkStart w:id="41" w:name="_Toc11772"/>
      <w:bookmarkStart w:id="42" w:name="_Toc44690431"/>
      <w:bookmarkStart w:id="43" w:name="_Toc25194"/>
      <w:bookmarkStart w:id="44" w:name="_Toc14934"/>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asciiTheme="minorEastAsia" w:hAnsiTheme="minorEastAsia" w:eastAsiaTheme="minorEastAsia"/>
        </w:rPr>
      </w:pPr>
    </w:p>
    <w:p w14:paraId="5F8C1F8E">
      <w:pPr>
        <w:spacing w:line="360" w:lineRule="auto"/>
        <w:ind w:firstLine="420" w:firstLineChars="200"/>
        <w:rPr>
          <w:rFonts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73393E35">
      <w:pPr>
        <w:pStyle w:val="4"/>
        <w:spacing w:line="400" w:lineRule="exact"/>
        <w:jc w:val="center"/>
        <w:rPr>
          <w:rFonts w:ascii="仿宋" w:hAnsi="仿宋" w:eastAsia="仿宋"/>
          <w:sz w:val="32"/>
          <w:szCs w:val="32"/>
        </w:rPr>
      </w:pPr>
      <w:r>
        <w:rPr>
          <w:rFonts w:hint="eastAsia" w:ascii="仿宋" w:hAnsi="仿宋" w:eastAsia="仿宋"/>
          <w:sz w:val="32"/>
          <w:szCs w:val="32"/>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02A1A1F3">
      <w:pPr>
        <w:rPr>
          <w:rFonts w:hint="eastAsia"/>
          <w:b/>
          <w:bCs/>
          <w:sz w:val="52"/>
        </w:rPr>
      </w:pPr>
      <w:r>
        <w:rPr>
          <w:rFonts w:hint="eastAsia"/>
          <w:b/>
          <w:bCs/>
          <w:sz w:val="52"/>
        </w:rPr>
        <w:br w:type="page"/>
      </w:r>
    </w:p>
    <w:p w14:paraId="6C977D7B">
      <w:pPr>
        <w:jc w:val="center"/>
        <w:rPr>
          <w:rFonts w:hint="eastAsia"/>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ascii="仿宋" w:hAnsi="仿宋" w:eastAsia="仿宋"/>
        </w:rPr>
      </w:pPr>
      <w:bookmarkStart w:id="45" w:name="_投标文件格式（第一册）"/>
      <w:bookmarkEnd w:id="45"/>
      <w:bookmarkStart w:id="46" w:name="q0"/>
    </w:p>
    <w:p w14:paraId="453EBD81">
      <w:pPr>
        <w:spacing w:line="400" w:lineRule="exact"/>
        <w:rPr>
          <w:rFonts w:ascii="仿宋" w:hAnsi="仿宋" w:eastAsia="仿宋"/>
        </w:rPr>
      </w:pPr>
    </w:p>
    <w:p w14:paraId="7C1E14FD">
      <w:pPr>
        <w:spacing w:line="400" w:lineRule="exact"/>
        <w:rPr>
          <w:rFonts w:ascii="仿宋" w:hAnsi="仿宋" w:eastAsia="仿宋"/>
        </w:rPr>
      </w:pPr>
    </w:p>
    <w:p w14:paraId="0A4CF92C">
      <w:pPr>
        <w:pStyle w:val="4"/>
        <w:spacing w:line="400" w:lineRule="exact"/>
        <w:rPr>
          <w:rFonts w:ascii="仿宋" w:hAnsi="仿宋" w:eastAsia="仿宋"/>
        </w:rPr>
      </w:pPr>
      <w:bookmarkStart w:id="47" w:name="_Toc135293340"/>
      <w:r>
        <w:rPr>
          <w:rFonts w:hint="eastAsia" w:ascii="仿宋" w:hAnsi="仿宋" w:eastAsia="仿宋"/>
        </w:rPr>
        <w:t>投标文件格式</w:t>
      </w:r>
      <w:bookmarkEnd w:id="47"/>
    </w:p>
    <w:bookmarkEnd w:id="46"/>
    <w:p w14:paraId="22EAC92A">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F880319">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ascii="宋体" w:hAnsi="宋体"/>
          <w:snapToGrid w:val="0"/>
          <w:kern w:val="0"/>
          <w:szCs w:val="21"/>
        </w:rPr>
      </w:pPr>
    </w:p>
    <w:p w14:paraId="47B36E85">
      <w:pPr>
        <w:adjustRightInd w:val="0"/>
        <w:spacing w:line="300" w:lineRule="auto"/>
        <w:ind w:left="-2"/>
        <w:rPr>
          <w:rFonts w:ascii="宋体" w:hAnsi="宋体"/>
          <w:snapToGrid w:val="0"/>
          <w:kern w:val="0"/>
          <w:szCs w:val="21"/>
        </w:rPr>
      </w:pPr>
    </w:p>
    <w:p w14:paraId="27F27AA4">
      <w:pPr>
        <w:adjustRightInd w:val="0"/>
        <w:spacing w:line="300" w:lineRule="auto"/>
        <w:ind w:left="-2"/>
        <w:rPr>
          <w:rFonts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9C36EE6">
      <w:pPr>
        <w:widowControl/>
        <w:jc w:val="left"/>
        <w:rPr>
          <w:rFonts w:ascii="宋体" w:hAnsi="宋体"/>
          <w:szCs w:val="21"/>
        </w:rPr>
      </w:pPr>
    </w:p>
    <w:p w14:paraId="5FCF51C9">
      <w:pPr>
        <w:widowControl/>
        <w:jc w:val="left"/>
        <w:rPr>
          <w:rFonts w:ascii="宋体" w:hAnsi="宋体"/>
          <w:szCs w:val="21"/>
        </w:rPr>
      </w:pPr>
    </w:p>
    <w:p w14:paraId="63FE1597">
      <w:pPr>
        <w:widowControl/>
        <w:jc w:val="left"/>
        <w:rPr>
          <w:rFonts w:ascii="宋体" w:hAnsi="宋体"/>
          <w:szCs w:val="21"/>
        </w:rPr>
      </w:pPr>
    </w:p>
    <w:p w14:paraId="56BC61E7">
      <w:pPr>
        <w:widowControl/>
        <w:jc w:val="left"/>
        <w:rPr>
          <w:rFonts w:ascii="宋体" w:hAnsi="宋体"/>
          <w:szCs w:val="21"/>
        </w:rPr>
      </w:pPr>
    </w:p>
    <w:p w14:paraId="43B2BE76">
      <w:pPr>
        <w:widowControl/>
        <w:jc w:val="left"/>
        <w:rPr>
          <w:rFonts w:ascii="宋体" w:hAnsi="宋体"/>
          <w:szCs w:val="21"/>
        </w:rPr>
      </w:pPr>
    </w:p>
    <w:p w14:paraId="59B38C34">
      <w:pPr>
        <w:widowControl/>
        <w:jc w:val="left"/>
        <w:rPr>
          <w:rFonts w:ascii="宋体" w:hAnsi="宋体"/>
          <w:szCs w:val="21"/>
        </w:rPr>
      </w:pPr>
    </w:p>
    <w:p w14:paraId="21724F82">
      <w:pPr>
        <w:widowControl/>
        <w:jc w:val="left"/>
        <w:rPr>
          <w:rFonts w:ascii="宋体" w:hAnsi="宋体"/>
          <w:szCs w:val="21"/>
        </w:rPr>
      </w:pPr>
    </w:p>
    <w:p w14:paraId="55F96348">
      <w:pPr>
        <w:widowControl/>
        <w:jc w:val="left"/>
        <w:rPr>
          <w:rFonts w:ascii="宋体" w:hAnsi="宋体"/>
          <w:szCs w:val="21"/>
        </w:rPr>
      </w:pPr>
    </w:p>
    <w:p w14:paraId="792BAA18">
      <w:pPr>
        <w:widowControl/>
        <w:jc w:val="left"/>
        <w:rPr>
          <w:rFonts w:ascii="宋体" w:hAnsi="宋体"/>
          <w:szCs w:val="21"/>
        </w:rPr>
      </w:pPr>
    </w:p>
    <w:p w14:paraId="73B495A8">
      <w:pPr>
        <w:widowControl/>
        <w:jc w:val="left"/>
        <w:rPr>
          <w:rFonts w:ascii="宋体" w:hAnsi="宋体"/>
          <w:szCs w:val="21"/>
        </w:rPr>
      </w:pPr>
    </w:p>
    <w:p w14:paraId="41EAF637">
      <w:pPr>
        <w:widowControl/>
        <w:jc w:val="left"/>
        <w:rPr>
          <w:rFonts w:ascii="宋体" w:hAnsi="宋体"/>
          <w:szCs w:val="21"/>
        </w:rPr>
      </w:pPr>
    </w:p>
    <w:p w14:paraId="5AC54C77">
      <w:pPr>
        <w:widowControl/>
        <w:jc w:val="left"/>
        <w:rPr>
          <w:rFonts w:ascii="宋体" w:hAnsi="宋体"/>
          <w:szCs w:val="21"/>
        </w:rPr>
      </w:pPr>
    </w:p>
    <w:p w14:paraId="64C8DCEA">
      <w:pPr>
        <w:widowControl/>
        <w:jc w:val="left"/>
        <w:rPr>
          <w:rFonts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Pr>
        <w:rPr>
          <w:rFonts w:hint="eastAsia"/>
        </w:rPr>
      </w:pPr>
    </w:p>
    <w:p w14:paraId="199B2533">
      <w:pPr>
        <w:pStyle w:val="4"/>
        <w:spacing w:line="400" w:lineRule="exact"/>
        <w:rPr>
          <w:rFonts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F379FA7">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ascii="宋体" w:hAnsi="宋体"/>
                <w:b/>
                <w:szCs w:val="21"/>
              </w:rPr>
            </w:pPr>
          </w:p>
        </w:tc>
        <w:tc>
          <w:tcPr>
            <w:tcW w:w="1472" w:type="dxa"/>
            <w:vAlign w:val="center"/>
          </w:tcPr>
          <w:p w14:paraId="425C69E0">
            <w:pPr>
              <w:spacing w:line="360" w:lineRule="exact"/>
              <w:jc w:val="center"/>
              <w:rPr>
                <w:rFonts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ascii="宋体" w:hAnsi="宋体"/>
                <w:szCs w:val="21"/>
              </w:rPr>
            </w:pPr>
            <w:r>
              <w:rPr>
                <w:rFonts w:hint="eastAsia" w:ascii="宋体" w:hAnsi="宋体"/>
                <w:szCs w:val="21"/>
              </w:rPr>
              <w:t>技术部分</w:t>
            </w:r>
          </w:p>
        </w:tc>
        <w:tc>
          <w:tcPr>
            <w:tcW w:w="4854" w:type="dxa"/>
          </w:tcPr>
          <w:p w14:paraId="671FE989">
            <w:pPr>
              <w:spacing w:line="360" w:lineRule="exact"/>
              <w:jc w:val="center"/>
              <w:rPr>
                <w:rFonts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ascii="宋体" w:hAnsi="宋体"/>
                <w:b/>
                <w:szCs w:val="21"/>
              </w:rPr>
            </w:pPr>
          </w:p>
        </w:tc>
        <w:tc>
          <w:tcPr>
            <w:tcW w:w="1472" w:type="dxa"/>
            <w:vAlign w:val="center"/>
          </w:tcPr>
          <w:p w14:paraId="1B4AB4BD">
            <w:pPr>
              <w:spacing w:line="360" w:lineRule="exact"/>
              <w:jc w:val="center"/>
              <w:rPr>
                <w:rFonts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ascii="宋体" w:hAnsi="宋体"/>
                <w:szCs w:val="21"/>
              </w:rPr>
            </w:pPr>
          </w:p>
        </w:tc>
        <w:tc>
          <w:tcPr>
            <w:tcW w:w="4854" w:type="dxa"/>
          </w:tcPr>
          <w:p w14:paraId="3BD7E3A0">
            <w:pPr>
              <w:spacing w:line="360" w:lineRule="exact"/>
              <w:jc w:val="center"/>
              <w:rPr>
                <w:rFonts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ascii="宋体" w:hAnsi="宋体"/>
                <w:b/>
                <w:szCs w:val="21"/>
              </w:rPr>
            </w:pPr>
          </w:p>
        </w:tc>
        <w:tc>
          <w:tcPr>
            <w:tcW w:w="1472" w:type="dxa"/>
            <w:vAlign w:val="center"/>
          </w:tcPr>
          <w:p w14:paraId="1BAA25F4">
            <w:pPr>
              <w:spacing w:line="360" w:lineRule="exact"/>
              <w:jc w:val="center"/>
              <w:rPr>
                <w:rFonts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ascii="宋体" w:hAnsi="宋体"/>
                <w:szCs w:val="21"/>
              </w:rPr>
            </w:pPr>
          </w:p>
        </w:tc>
        <w:tc>
          <w:tcPr>
            <w:tcW w:w="4854" w:type="dxa"/>
          </w:tcPr>
          <w:p w14:paraId="725494B8">
            <w:pPr>
              <w:spacing w:line="360" w:lineRule="exact"/>
              <w:jc w:val="center"/>
              <w:rPr>
                <w:rFonts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ascii="宋体" w:hAnsi="宋体"/>
                <w:b/>
                <w:szCs w:val="21"/>
              </w:rPr>
            </w:pPr>
          </w:p>
        </w:tc>
        <w:tc>
          <w:tcPr>
            <w:tcW w:w="1472" w:type="dxa"/>
            <w:vAlign w:val="center"/>
          </w:tcPr>
          <w:p w14:paraId="06B26574">
            <w:pPr>
              <w:spacing w:line="360" w:lineRule="exact"/>
              <w:jc w:val="center"/>
              <w:rPr>
                <w:rFonts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ascii="宋体" w:hAnsi="宋体"/>
                <w:szCs w:val="21"/>
              </w:rPr>
            </w:pPr>
            <w:r>
              <w:rPr>
                <w:rFonts w:hint="eastAsia" w:ascii="宋体" w:hAnsi="宋体"/>
                <w:szCs w:val="21"/>
              </w:rPr>
              <w:t>商务部分</w:t>
            </w:r>
          </w:p>
        </w:tc>
        <w:tc>
          <w:tcPr>
            <w:tcW w:w="4854" w:type="dxa"/>
          </w:tcPr>
          <w:p w14:paraId="06A84E2A">
            <w:pPr>
              <w:spacing w:line="360" w:lineRule="exact"/>
              <w:jc w:val="center"/>
              <w:rPr>
                <w:rFonts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ascii="宋体" w:hAnsi="宋体"/>
                <w:b/>
                <w:szCs w:val="21"/>
              </w:rPr>
            </w:pPr>
          </w:p>
        </w:tc>
        <w:tc>
          <w:tcPr>
            <w:tcW w:w="1472" w:type="dxa"/>
            <w:vAlign w:val="center"/>
          </w:tcPr>
          <w:p w14:paraId="3E98152C">
            <w:pPr>
              <w:spacing w:line="360" w:lineRule="exact"/>
              <w:jc w:val="center"/>
              <w:rPr>
                <w:rFonts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ascii="宋体" w:hAnsi="宋体"/>
                <w:szCs w:val="21"/>
              </w:rPr>
            </w:pPr>
          </w:p>
        </w:tc>
        <w:tc>
          <w:tcPr>
            <w:tcW w:w="4854" w:type="dxa"/>
          </w:tcPr>
          <w:p w14:paraId="5447E61B">
            <w:pPr>
              <w:spacing w:line="360" w:lineRule="exact"/>
              <w:jc w:val="center"/>
              <w:rPr>
                <w:rFonts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ascii="宋体" w:hAnsi="宋体"/>
                <w:b/>
                <w:szCs w:val="21"/>
              </w:rPr>
            </w:pPr>
          </w:p>
        </w:tc>
        <w:tc>
          <w:tcPr>
            <w:tcW w:w="1472" w:type="dxa"/>
            <w:vAlign w:val="center"/>
          </w:tcPr>
          <w:p w14:paraId="706428B5">
            <w:pPr>
              <w:spacing w:line="360" w:lineRule="exact"/>
              <w:jc w:val="center"/>
              <w:rPr>
                <w:rFonts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ascii="宋体" w:hAnsi="宋体"/>
                <w:szCs w:val="21"/>
              </w:rPr>
            </w:pPr>
          </w:p>
        </w:tc>
        <w:tc>
          <w:tcPr>
            <w:tcW w:w="4854" w:type="dxa"/>
          </w:tcPr>
          <w:p w14:paraId="35BDCB13">
            <w:pPr>
              <w:spacing w:line="360" w:lineRule="exact"/>
              <w:jc w:val="center"/>
              <w:rPr>
                <w:rFonts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ascii="宋体" w:hAnsi="宋体"/>
                <w:b/>
                <w:szCs w:val="21"/>
              </w:rPr>
            </w:pPr>
          </w:p>
        </w:tc>
        <w:tc>
          <w:tcPr>
            <w:tcW w:w="1472" w:type="dxa"/>
            <w:vAlign w:val="center"/>
          </w:tcPr>
          <w:p w14:paraId="0B5570BD">
            <w:pPr>
              <w:spacing w:line="360" w:lineRule="exact"/>
              <w:jc w:val="center"/>
              <w:rPr>
                <w:rFonts w:ascii="宋体" w:hAnsi="宋体"/>
                <w:b/>
                <w:szCs w:val="21"/>
              </w:rPr>
            </w:pPr>
          </w:p>
        </w:tc>
      </w:tr>
    </w:tbl>
    <w:p w14:paraId="404FE65E">
      <w:pPr>
        <w:pStyle w:val="27"/>
        <w:spacing w:line="360" w:lineRule="auto"/>
        <w:ind w:firstLine="424" w:firstLineChars="201"/>
        <w:rPr>
          <w:rFonts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lang w:eastAsia="zh-CN"/>
        </w:rPr>
      </w:pPr>
    </w:p>
    <w:p w14:paraId="76DD2DBC">
      <w:pPr>
        <w:pStyle w:val="4"/>
        <w:spacing w:line="400" w:lineRule="exact"/>
        <w:rPr>
          <w:rFonts w:hint="eastAsia" w:ascii="仿宋" w:hAnsi="仿宋" w:eastAsia="仿宋"/>
          <w:lang w:eastAsia="zh-CN"/>
        </w:rPr>
      </w:pPr>
    </w:p>
    <w:p w14:paraId="00FC759D">
      <w:pPr>
        <w:pStyle w:val="4"/>
        <w:spacing w:line="400" w:lineRule="exact"/>
        <w:rPr>
          <w:rFonts w:hint="eastAsia" w:ascii="仿宋" w:hAnsi="仿宋" w:eastAsia="仿宋"/>
          <w:lang w:eastAsia="zh-CN"/>
        </w:rPr>
      </w:pPr>
    </w:p>
    <w:p w14:paraId="0C99DDD7">
      <w:pPr>
        <w:rPr>
          <w:rFonts w:hint="eastAsia" w:ascii="仿宋" w:hAnsi="仿宋" w:eastAsia="仿宋"/>
          <w:lang w:eastAsia="zh-CN"/>
        </w:rPr>
      </w:pPr>
      <w:r>
        <w:rPr>
          <w:rFonts w:hint="eastAsia" w:ascii="仿宋" w:hAnsi="仿宋" w:eastAsia="仿宋"/>
          <w:lang w:eastAsia="zh-CN"/>
        </w:rPr>
        <w:br w:type="page"/>
      </w:r>
    </w:p>
    <w:p w14:paraId="36479E5D">
      <w:pPr>
        <w:rPr>
          <w:rFonts w:hint="eastAsia"/>
          <w:lang w:eastAsia="zh-CN"/>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BF80CB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418C8EA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C6958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78DA2809">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3024764">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74A52BE9">
            <w:pPr>
              <w:spacing w:line="360" w:lineRule="exact"/>
              <w:jc w:val="center"/>
              <w:rPr>
                <w:rFonts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6B7B9041">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667A880">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E6615B">
            <w:pPr>
              <w:spacing w:line="360" w:lineRule="exact"/>
              <w:jc w:val="center"/>
              <w:rPr>
                <w:rFonts w:ascii="宋体" w:hAnsi="宋体"/>
                <w:b/>
                <w:szCs w:val="21"/>
              </w:rPr>
            </w:pPr>
          </w:p>
        </w:tc>
        <w:tc>
          <w:tcPr>
            <w:tcW w:w="924" w:type="dxa"/>
            <w:noWrap w:val="0"/>
            <w:vAlign w:val="center"/>
          </w:tcPr>
          <w:p w14:paraId="7E9C4910">
            <w:pPr>
              <w:spacing w:line="360" w:lineRule="exact"/>
              <w:jc w:val="center"/>
              <w:rPr>
                <w:rFonts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2712DCD">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6D67B9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C3EE268">
            <w:pPr>
              <w:spacing w:line="360" w:lineRule="exact"/>
              <w:jc w:val="center"/>
              <w:rPr>
                <w:rFonts w:ascii="宋体" w:hAnsi="宋体"/>
                <w:b/>
                <w:szCs w:val="21"/>
              </w:rPr>
            </w:pPr>
          </w:p>
        </w:tc>
        <w:tc>
          <w:tcPr>
            <w:tcW w:w="924" w:type="dxa"/>
            <w:noWrap w:val="0"/>
            <w:vAlign w:val="center"/>
          </w:tcPr>
          <w:p w14:paraId="7A7B9C89">
            <w:pPr>
              <w:spacing w:line="360" w:lineRule="exact"/>
              <w:jc w:val="center"/>
              <w:rPr>
                <w:rFonts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70E7F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105874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EB1D211">
            <w:pPr>
              <w:spacing w:line="360" w:lineRule="exact"/>
              <w:jc w:val="center"/>
              <w:rPr>
                <w:rFonts w:ascii="宋体" w:hAnsi="宋体"/>
                <w:b/>
                <w:szCs w:val="21"/>
              </w:rPr>
            </w:pPr>
          </w:p>
        </w:tc>
        <w:tc>
          <w:tcPr>
            <w:tcW w:w="924" w:type="dxa"/>
            <w:noWrap w:val="0"/>
            <w:vAlign w:val="center"/>
          </w:tcPr>
          <w:p w14:paraId="484A05F2">
            <w:pPr>
              <w:spacing w:line="360" w:lineRule="exact"/>
              <w:jc w:val="center"/>
              <w:rPr>
                <w:rFonts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381671D">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24920A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01DD313">
            <w:pPr>
              <w:spacing w:line="360" w:lineRule="exact"/>
              <w:jc w:val="center"/>
              <w:rPr>
                <w:rFonts w:ascii="宋体" w:hAnsi="宋体"/>
                <w:b/>
                <w:szCs w:val="21"/>
              </w:rPr>
            </w:pPr>
          </w:p>
        </w:tc>
        <w:tc>
          <w:tcPr>
            <w:tcW w:w="924" w:type="dxa"/>
            <w:noWrap w:val="0"/>
            <w:vAlign w:val="center"/>
          </w:tcPr>
          <w:p w14:paraId="3891C72D">
            <w:pPr>
              <w:spacing w:line="360" w:lineRule="exact"/>
              <w:jc w:val="center"/>
              <w:rPr>
                <w:rFonts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17443AF">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3AC4C571">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3E8A2A08">
            <w:pPr>
              <w:spacing w:line="360" w:lineRule="exact"/>
              <w:jc w:val="center"/>
              <w:rPr>
                <w:rFonts w:ascii="宋体" w:hAnsi="宋体"/>
                <w:b/>
                <w:szCs w:val="21"/>
              </w:rPr>
            </w:pPr>
          </w:p>
        </w:tc>
        <w:tc>
          <w:tcPr>
            <w:tcW w:w="924" w:type="dxa"/>
            <w:noWrap w:val="0"/>
            <w:vAlign w:val="center"/>
          </w:tcPr>
          <w:p w14:paraId="7FC5F57D">
            <w:pPr>
              <w:spacing w:line="360" w:lineRule="exact"/>
              <w:jc w:val="center"/>
              <w:rPr>
                <w:rFonts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4421F43C">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E57210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8D63C7A">
            <w:pPr>
              <w:spacing w:line="360" w:lineRule="exact"/>
              <w:jc w:val="center"/>
              <w:rPr>
                <w:rFonts w:ascii="宋体" w:hAnsi="宋体"/>
                <w:b/>
                <w:szCs w:val="21"/>
              </w:rPr>
            </w:pPr>
          </w:p>
        </w:tc>
        <w:tc>
          <w:tcPr>
            <w:tcW w:w="924" w:type="dxa"/>
            <w:noWrap w:val="0"/>
            <w:vAlign w:val="center"/>
          </w:tcPr>
          <w:p w14:paraId="7DD71C9F">
            <w:pPr>
              <w:spacing w:line="360" w:lineRule="exact"/>
              <w:jc w:val="center"/>
              <w:rPr>
                <w:rFonts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0CD09C">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C15577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35A33FD4">
            <w:pPr>
              <w:spacing w:line="360" w:lineRule="exact"/>
              <w:jc w:val="center"/>
              <w:rPr>
                <w:rFonts w:ascii="宋体" w:hAnsi="宋体"/>
                <w:b/>
                <w:szCs w:val="21"/>
              </w:rPr>
            </w:pPr>
          </w:p>
        </w:tc>
        <w:tc>
          <w:tcPr>
            <w:tcW w:w="924" w:type="dxa"/>
            <w:noWrap w:val="0"/>
            <w:vAlign w:val="center"/>
          </w:tcPr>
          <w:p w14:paraId="3379E380">
            <w:pPr>
              <w:spacing w:line="360" w:lineRule="exact"/>
              <w:jc w:val="center"/>
              <w:rPr>
                <w:rFonts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2C94E96">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81B847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707A6E76">
            <w:pPr>
              <w:spacing w:line="360" w:lineRule="exact"/>
              <w:jc w:val="center"/>
              <w:rPr>
                <w:rFonts w:ascii="宋体" w:hAnsi="宋体"/>
                <w:b/>
                <w:szCs w:val="21"/>
              </w:rPr>
            </w:pPr>
          </w:p>
        </w:tc>
        <w:tc>
          <w:tcPr>
            <w:tcW w:w="924" w:type="dxa"/>
            <w:noWrap w:val="0"/>
            <w:vAlign w:val="center"/>
          </w:tcPr>
          <w:p w14:paraId="3E807BB8">
            <w:pPr>
              <w:spacing w:line="360" w:lineRule="exact"/>
              <w:jc w:val="center"/>
              <w:rPr>
                <w:rFonts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80212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037728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033C636">
            <w:pPr>
              <w:spacing w:line="360" w:lineRule="exact"/>
              <w:jc w:val="center"/>
              <w:rPr>
                <w:rFonts w:ascii="宋体" w:hAnsi="宋体"/>
                <w:b/>
                <w:szCs w:val="21"/>
              </w:rPr>
            </w:pPr>
          </w:p>
        </w:tc>
        <w:tc>
          <w:tcPr>
            <w:tcW w:w="924" w:type="dxa"/>
            <w:noWrap w:val="0"/>
            <w:vAlign w:val="center"/>
          </w:tcPr>
          <w:p w14:paraId="58A8E83D">
            <w:pPr>
              <w:spacing w:line="360" w:lineRule="exact"/>
              <w:jc w:val="center"/>
              <w:rPr>
                <w:rFonts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0198D5">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3AF15D6">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852750">
            <w:pPr>
              <w:spacing w:line="360" w:lineRule="exact"/>
              <w:jc w:val="center"/>
              <w:rPr>
                <w:rFonts w:ascii="宋体" w:hAnsi="宋体"/>
                <w:b/>
                <w:szCs w:val="21"/>
              </w:rPr>
            </w:pPr>
          </w:p>
        </w:tc>
        <w:tc>
          <w:tcPr>
            <w:tcW w:w="924" w:type="dxa"/>
            <w:noWrap w:val="0"/>
            <w:vAlign w:val="center"/>
          </w:tcPr>
          <w:p w14:paraId="2F60F8CC">
            <w:pPr>
              <w:spacing w:line="360" w:lineRule="exact"/>
              <w:jc w:val="center"/>
              <w:rPr>
                <w:rFonts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8A05C9">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4AB95301">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5F21B8A">
            <w:pPr>
              <w:spacing w:line="360" w:lineRule="exact"/>
              <w:jc w:val="center"/>
              <w:rPr>
                <w:rFonts w:ascii="宋体" w:hAnsi="宋体"/>
                <w:b/>
                <w:szCs w:val="21"/>
              </w:rPr>
            </w:pPr>
          </w:p>
        </w:tc>
        <w:tc>
          <w:tcPr>
            <w:tcW w:w="924" w:type="dxa"/>
            <w:noWrap w:val="0"/>
            <w:vAlign w:val="center"/>
          </w:tcPr>
          <w:p w14:paraId="315F7CDF">
            <w:pPr>
              <w:spacing w:line="360" w:lineRule="exact"/>
              <w:jc w:val="center"/>
              <w:rPr>
                <w:rFonts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5B72648">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814DD9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FF52C88">
            <w:pPr>
              <w:spacing w:line="360" w:lineRule="exact"/>
              <w:jc w:val="center"/>
              <w:rPr>
                <w:rFonts w:ascii="宋体" w:hAnsi="宋体"/>
                <w:b/>
                <w:szCs w:val="21"/>
              </w:rPr>
            </w:pPr>
          </w:p>
        </w:tc>
        <w:tc>
          <w:tcPr>
            <w:tcW w:w="924" w:type="dxa"/>
            <w:noWrap w:val="0"/>
            <w:vAlign w:val="center"/>
          </w:tcPr>
          <w:p w14:paraId="76452562">
            <w:pPr>
              <w:spacing w:line="360" w:lineRule="exact"/>
              <w:jc w:val="center"/>
              <w:rPr>
                <w:rFonts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C78A4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B58001E">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4C6C681">
            <w:pPr>
              <w:spacing w:line="360" w:lineRule="exact"/>
              <w:jc w:val="center"/>
              <w:rPr>
                <w:rFonts w:ascii="宋体" w:hAnsi="宋体"/>
                <w:b/>
                <w:szCs w:val="21"/>
              </w:rPr>
            </w:pPr>
          </w:p>
        </w:tc>
        <w:tc>
          <w:tcPr>
            <w:tcW w:w="924" w:type="dxa"/>
            <w:noWrap w:val="0"/>
            <w:vAlign w:val="center"/>
          </w:tcPr>
          <w:p w14:paraId="0C4DBA5E">
            <w:pPr>
              <w:spacing w:line="360" w:lineRule="exact"/>
              <w:jc w:val="center"/>
              <w:rPr>
                <w:rFonts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DA0C7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697AF84E">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6831005">
            <w:pPr>
              <w:spacing w:line="360" w:lineRule="exact"/>
              <w:jc w:val="center"/>
              <w:rPr>
                <w:rFonts w:ascii="宋体" w:hAnsi="宋体"/>
                <w:b/>
                <w:szCs w:val="21"/>
              </w:rPr>
            </w:pPr>
          </w:p>
        </w:tc>
        <w:tc>
          <w:tcPr>
            <w:tcW w:w="924" w:type="dxa"/>
            <w:noWrap w:val="0"/>
            <w:vAlign w:val="center"/>
          </w:tcPr>
          <w:p w14:paraId="1E8CCD25">
            <w:pPr>
              <w:spacing w:line="360" w:lineRule="exact"/>
              <w:jc w:val="center"/>
              <w:rPr>
                <w:rFonts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94087C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BD5E4D2">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8FDEA10">
            <w:pPr>
              <w:spacing w:line="360" w:lineRule="exact"/>
              <w:jc w:val="center"/>
              <w:rPr>
                <w:rFonts w:ascii="宋体" w:hAnsi="宋体"/>
                <w:b/>
                <w:szCs w:val="21"/>
              </w:rPr>
            </w:pPr>
          </w:p>
        </w:tc>
        <w:tc>
          <w:tcPr>
            <w:tcW w:w="924" w:type="dxa"/>
            <w:noWrap w:val="0"/>
            <w:vAlign w:val="center"/>
          </w:tcPr>
          <w:p w14:paraId="37220197">
            <w:pPr>
              <w:spacing w:line="360" w:lineRule="exact"/>
              <w:jc w:val="center"/>
              <w:rPr>
                <w:rFonts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0E6471">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1B981B9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1CBF51DD">
            <w:pPr>
              <w:spacing w:line="360" w:lineRule="exact"/>
              <w:jc w:val="center"/>
              <w:rPr>
                <w:rFonts w:ascii="宋体" w:hAnsi="宋体"/>
                <w:b/>
                <w:szCs w:val="21"/>
              </w:rPr>
            </w:pPr>
          </w:p>
        </w:tc>
        <w:tc>
          <w:tcPr>
            <w:tcW w:w="924" w:type="dxa"/>
            <w:noWrap w:val="0"/>
            <w:vAlign w:val="center"/>
          </w:tcPr>
          <w:p w14:paraId="21C0B802">
            <w:pPr>
              <w:spacing w:line="360" w:lineRule="exact"/>
              <w:jc w:val="center"/>
              <w:rPr>
                <w:rFonts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3D8A984">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6E38D6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E7FB6E9">
            <w:pPr>
              <w:spacing w:line="360" w:lineRule="exact"/>
              <w:jc w:val="center"/>
              <w:rPr>
                <w:rFonts w:ascii="宋体" w:hAnsi="宋体"/>
                <w:b/>
                <w:szCs w:val="21"/>
              </w:rPr>
            </w:pPr>
          </w:p>
        </w:tc>
        <w:tc>
          <w:tcPr>
            <w:tcW w:w="924" w:type="dxa"/>
            <w:noWrap w:val="0"/>
            <w:vAlign w:val="center"/>
          </w:tcPr>
          <w:p w14:paraId="02FCB6DC">
            <w:pPr>
              <w:spacing w:line="360" w:lineRule="exact"/>
              <w:jc w:val="center"/>
              <w:rPr>
                <w:rFonts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9D7A6A8">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D834E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DB023AD">
            <w:pPr>
              <w:spacing w:line="360" w:lineRule="exact"/>
              <w:jc w:val="center"/>
              <w:rPr>
                <w:rFonts w:ascii="宋体" w:hAnsi="宋体"/>
                <w:b/>
                <w:szCs w:val="21"/>
              </w:rPr>
            </w:pPr>
          </w:p>
        </w:tc>
        <w:tc>
          <w:tcPr>
            <w:tcW w:w="924" w:type="dxa"/>
            <w:noWrap w:val="0"/>
            <w:vAlign w:val="center"/>
          </w:tcPr>
          <w:p w14:paraId="71463F8F">
            <w:pPr>
              <w:spacing w:line="360" w:lineRule="exact"/>
              <w:jc w:val="center"/>
              <w:rPr>
                <w:rFonts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665057CA">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765FC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FEE1352">
            <w:pPr>
              <w:spacing w:line="360" w:lineRule="exact"/>
              <w:jc w:val="center"/>
              <w:rPr>
                <w:rFonts w:ascii="宋体" w:hAnsi="宋体"/>
                <w:b/>
                <w:szCs w:val="21"/>
              </w:rPr>
            </w:pPr>
          </w:p>
        </w:tc>
        <w:tc>
          <w:tcPr>
            <w:tcW w:w="924" w:type="dxa"/>
            <w:noWrap w:val="0"/>
            <w:vAlign w:val="center"/>
          </w:tcPr>
          <w:p w14:paraId="65B01E6B">
            <w:pPr>
              <w:spacing w:line="360" w:lineRule="exact"/>
              <w:jc w:val="center"/>
              <w:rPr>
                <w:rFonts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25BE0EA">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A7230BC">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FA24524">
            <w:pPr>
              <w:spacing w:line="360" w:lineRule="exact"/>
              <w:jc w:val="center"/>
              <w:rPr>
                <w:rFonts w:ascii="宋体" w:hAnsi="宋体"/>
                <w:b/>
                <w:szCs w:val="21"/>
              </w:rPr>
            </w:pPr>
          </w:p>
        </w:tc>
        <w:tc>
          <w:tcPr>
            <w:tcW w:w="924" w:type="dxa"/>
            <w:noWrap w:val="0"/>
            <w:vAlign w:val="center"/>
          </w:tcPr>
          <w:p w14:paraId="77891AE9">
            <w:pPr>
              <w:spacing w:line="360" w:lineRule="exact"/>
              <w:jc w:val="center"/>
              <w:rPr>
                <w:rFonts w:ascii="宋体" w:hAnsi="宋体"/>
                <w:b/>
                <w:szCs w:val="21"/>
              </w:rPr>
            </w:pPr>
          </w:p>
        </w:tc>
      </w:tr>
    </w:tbl>
    <w:p w14:paraId="174AD5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1A9EE9B5">
      <w:pPr>
        <w:pStyle w:val="4"/>
        <w:spacing w:line="400" w:lineRule="exact"/>
        <w:jc w:val="center"/>
        <w:rPr>
          <w:rFonts w:hint="eastAsia" w:ascii="仿宋" w:hAnsi="仿宋" w:eastAsia="仿宋"/>
          <w:lang w:eastAsia="zh-CN"/>
        </w:rPr>
      </w:pPr>
    </w:p>
    <w:p w14:paraId="3481F4F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5665F8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A5619EA">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D2557B8">
      <w:pPr>
        <w:spacing w:line="360" w:lineRule="auto"/>
        <w:rPr>
          <w:rFonts w:ascii="宋体" w:hAnsi="宋体" w:cs="宋体"/>
          <w:b/>
          <w:bCs/>
        </w:rPr>
      </w:pPr>
      <w:r>
        <w:rPr>
          <w:rFonts w:hint="eastAsia" w:ascii="宋体" w:hAnsi="宋体" w:cs="宋体"/>
          <w:b/>
          <w:bCs/>
        </w:rPr>
        <w:t>填报要求：</w:t>
      </w:r>
    </w:p>
    <w:p w14:paraId="3C86DA2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22650FF">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6688A97B">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4E1D1747">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6C074DA8">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6635A9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ED96AD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489087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8"/>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72BA463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6163C9A"/>
    <w:p w14:paraId="563DB24F">
      <w:pPr>
        <w:rPr>
          <w:rFonts w:hint="eastAsia" w:asciiTheme="minorEastAsia" w:hAnsiTheme="minorEastAsia" w:eastAsiaTheme="minorEastAsia"/>
        </w:rPr>
      </w:pPr>
      <w:bookmarkStart w:id="52" w:name="_Toc44691396"/>
      <w:bookmarkStart w:id="53" w:name="_Toc44690705"/>
      <w:bookmarkStart w:id="54" w:name="_Toc44690432"/>
      <w:bookmarkStart w:id="55" w:name="_Toc44691164"/>
      <w:bookmarkStart w:id="56" w:name="_Toc135293343"/>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68C2ECFD">
      <w:pPr>
        <w:spacing w:line="400" w:lineRule="exact"/>
        <w:ind w:firstLine="420" w:firstLineChars="200"/>
        <w:rPr>
          <w:rFonts w:hint="eastAsia" w:asciiTheme="minorEastAsia" w:hAnsiTheme="minorEastAsia" w:eastAsiaTheme="minorEastAsia"/>
          <w:snapToGrid w:val="0"/>
          <w:color w:val="auto"/>
          <w:sz w:val="21"/>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79E8B109">
      <w:pPr>
        <w:adjustRightInd w:val="0"/>
        <w:snapToGrid w:val="0"/>
        <w:spacing w:line="360" w:lineRule="auto"/>
        <w:ind w:firstLine="600"/>
        <w:jc w:val="right"/>
      </w:pPr>
    </w:p>
    <w:p w14:paraId="45C8307B">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Pr>
        <w:rPr>
          <w:rFonts w:hint="eastAsia"/>
          <w:lang w:eastAsia="zh-CN"/>
        </w:rPr>
      </w:pPr>
    </w:p>
    <w:p w14:paraId="01D4BC50">
      <w:r>
        <w:br w:type="page"/>
      </w:r>
    </w:p>
    <w:p w14:paraId="7922857B"/>
    <w:p w14:paraId="4D9D8BB5">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9DE288">
      <w:pPr>
        <w:spacing w:line="400" w:lineRule="exact"/>
        <w:rPr>
          <w:rFonts w:ascii="宋体" w:hAnsi="宋体"/>
          <w:bCs/>
          <w:sz w:val="28"/>
        </w:rPr>
      </w:pPr>
    </w:p>
    <w:p w14:paraId="7EA9E7D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398CAEC">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59DC47">
      <w:pPr>
        <w:spacing w:line="480" w:lineRule="auto"/>
        <w:ind w:firstLine="420" w:firstLineChars="200"/>
        <w:rPr>
          <w:rFonts w:ascii="宋体" w:hAnsi="宋体"/>
        </w:rPr>
      </w:pPr>
      <w:r>
        <w:rPr>
          <w:rFonts w:hint="eastAsia" w:ascii="宋体" w:hAnsi="宋体"/>
        </w:rPr>
        <w:t>附：</w:t>
      </w:r>
    </w:p>
    <w:p w14:paraId="20072EBA">
      <w:pPr>
        <w:spacing w:line="480" w:lineRule="auto"/>
        <w:ind w:firstLine="840" w:firstLineChars="400"/>
        <w:rPr>
          <w:rFonts w:ascii="宋体" w:hAnsi="宋体"/>
        </w:rPr>
      </w:pPr>
      <w:r>
        <w:rPr>
          <w:rFonts w:hint="eastAsia" w:ascii="宋体" w:hAnsi="宋体"/>
        </w:rPr>
        <w:t xml:space="preserve">营业执照（注册号）：                       </w:t>
      </w:r>
    </w:p>
    <w:p w14:paraId="36DEEA81">
      <w:pPr>
        <w:spacing w:line="480" w:lineRule="auto"/>
        <w:ind w:firstLine="840" w:firstLineChars="400"/>
        <w:rPr>
          <w:rFonts w:ascii="宋体" w:hAnsi="宋体"/>
        </w:rPr>
      </w:pPr>
      <w:r>
        <w:rPr>
          <w:rFonts w:hint="eastAsia" w:ascii="宋体" w:hAnsi="宋体"/>
        </w:rPr>
        <w:t>经济性质：</w:t>
      </w:r>
    </w:p>
    <w:p w14:paraId="632D1DE9">
      <w:pPr>
        <w:spacing w:line="480" w:lineRule="auto"/>
        <w:ind w:firstLine="840" w:firstLineChars="400"/>
        <w:rPr>
          <w:rFonts w:ascii="宋体" w:hAnsi="宋体"/>
        </w:rPr>
      </w:pPr>
      <w:r>
        <w:rPr>
          <w:rFonts w:hint="eastAsia" w:ascii="宋体" w:hAnsi="宋体"/>
        </w:rPr>
        <w:t>主营（产）：</w:t>
      </w:r>
    </w:p>
    <w:p w14:paraId="25CE70AC">
      <w:pPr>
        <w:spacing w:line="480" w:lineRule="auto"/>
        <w:ind w:firstLine="840" w:firstLineChars="400"/>
        <w:rPr>
          <w:rFonts w:ascii="宋体" w:hAnsi="宋体"/>
        </w:rPr>
      </w:pPr>
      <w:r>
        <w:rPr>
          <w:rFonts w:hint="eastAsia" w:ascii="宋体" w:hAnsi="宋体"/>
        </w:rPr>
        <w:t>兼营（产）：</w:t>
      </w:r>
    </w:p>
    <w:p w14:paraId="2B0D061C">
      <w:pPr>
        <w:spacing w:line="480" w:lineRule="auto"/>
        <w:ind w:firstLine="960" w:firstLineChars="400"/>
        <w:rPr>
          <w:rFonts w:ascii="宋体" w:hAnsi="宋体"/>
          <w:sz w:val="24"/>
        </w:rPr>
      </w:pPr>
    </w:p>
    <w:p w14:paraId="6A5BF2CB">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6350" t="6350" r="6350" b="19050"/>
                <wp:wrapNone/>
                <wp:docPr id="7"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RjZh/cBAAAtBAAADgAAAGRycy9lMm9Eb2MueG1srVPL&#10;jtswDLwX6D8Iuje2U2S7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NvwT5wZ0NTwnyQamF4hWyV5Rhdq&#10;inp0D/7sBTIT16nzOv2JBZuypKeLpDhFJmjzY3l7U5WktqCz6u62ohFIqMXzdedD/IpWs2Q03FP6&#10;LCUcv4U4h/4JSdmCVbLdSaWy4/v9Z+XZEai/u/yd0V+FKcPGht+tlisqBGhoOxoWMrUj4sH0Od+r&#10;G+ElcJm/fwGnwrYQhrmAjJDCoNYyos/WgNB+MS2LJ0fiGnpTPBWjseVMIT3BZOXICFJdE0naKUMS&#10;ps7MvUhWnPYTwSRzb9sTdfXgvOw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RjZh/cBAAAtBAAADgAAAAAAAAABACAAAAAnAQAAZHJzL2Uyb0RvYy54&#10;bWxQSwUGAAAAAAYABgBZAQAAkAUAAAAA&#10;">
                <v:fill on="t" focussize="0,0"/>
                <v:stroke color="#000000" joinstyle="miter"/>
                <v:imagedata o:title=""/>
                <o:lock v:ext="edit" aspectratio="f"/>
                <v:textbo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6350" t="6350" r="6350" b="19050"/>
                <wp:wrapNone/>
                <wp:docPr id="6"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Fm2GoD3AQAALQQAAA4AAAAAAAAAAQAgAAAAKAEAAGRycy9lMm9Eb2Mu&#10;eG1sUEsFBgAAAAAGAAYAWQEAAJEFAAAAAA==&#10;">
                <v:fill on="t" focussize="0,0"/>
                <v:stroke color="#000000" joinstyle="miter"/>
                <v:imagedata o:title=""/>
                <o:lock v:ext="edit" aspectratio="f"/>
                <v:textbo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v:textbox>
              </v:rect>
            </w:pict>
          </mc:Fallback>
        </mc:AlternateContent>
      </w:r>
    </w:p>
    <w:p w14:paraId="42F33933">
      <w:pPr>
        <w:spacing w:line="500" w:lineRule="exact"/>
        <w:rPr>
          <w:rFonts w:ascii="宋体"/>
          <w:b/>
          <w:bCs/>
        </w:rPr>
      </w:pPr>
    </w:p>
    <w:p w14:paraId="21BC58CD">
      <w:pPr>
        <w:spacing w:line="500" w:lineRule="exact"/>
        <w:rPr>
          <w:rFonts w:ascii="宋体"/>
          <w:b/>
          <w:bCs/>
        </w:rPr>
      </w:pPr>
    </w:p>
    <w:p w14:paraId="43F92AA0">
      <w:pPr>
        <w:spacing w:line="500" w:lineRule="exact"/>
        <w:rPr>
          <w:rFonts w:ascii="宋体"/>
          <w:b/>
          <w:bCs/>
        </w:rPr>
      </w:pPr>
    </w:p>
    <w:p w14:paraId="5F0CA4F0">
      <w:pPr>
        <w:spacing w:line="500" w:lineRule="exact"/>
        <w:rPr>
          <w:rFonts w:ascii="宋体"/>
          <w:b/>
          <w:bCs/>
        </w:rPr>
      </w:pPr>
    </w:p>
    <w:p w14:paraId="656007A1">
      <w:pPr>
        <w:spacing w:line="500" w:lineRule="exact"/>
        <w:rPr>
          <w:rFonts w:ascii="宋体"/>
          <w:b/>
          <w:bCs/>
        </w:rPr>
      </w:pPr>
    </w:p>
    <w:p w14:paraId="0208CE98">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0BD3FC15">
      <w:pPr>
        <w:spacing w:line="360" w:lineRule="auto"/>
        <w:ind w:firstLine="539" w:firstLineChars="257"/>
      </w:pPr>
    </w:p>
    <w:p w14:paraId="744FCE1F">
      <w:pPr>
        <w:spacing w:line="360" w:lineRule="auto"/>
        <w:ind w:firstLine="539" w:firstLineChars="257"/>
      </w:pPr>
      <w:r>
        <w:rPr>
          <w:rFonts w:hint="eastAsia"/>
        </w:rPr>
        <w:t>单位名称：（公章）</w:t>
      </w:r>
      <w:r>
        <w:rPr>
          <w:rFonts w:hint="eastAsia"/>
          <w:u w:val="single"/>
        </w:rPr>
        <w:t xml:space="preserve">                                         </w:t>
      </w:r>
    </w:p>
    <w:p w14:paraId="3EC9FA9E">
      <w:pPr>
        <w:spacing w:line="360" w:lineRule="auto"/>
        <w:ind w:firstLine="539" w:firstLineChars="257"/>
      </w:pPr>
    </w:p>
    <w:p w14:paraId="6101B23C">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2F5A652">
      <w:pPr>
        <w:ind w:firstLine="2249" w:firstLineChars="800"/>
        <w:rPr>
          <w:b/>
          <w:bCs/>
          <w:sz w:val="28"/>
        </w:rPr>
      </w:pPr>
    </w:p>
    <w:p w14:paraId="02103D56">
      <w:pPr>
        <w:ind w:firstLine="2249" w:firstLineChars="800"/>
        <w:rPr>
          <w:b/>
          <w:bCs/>
          <w:sz w:val="28"/>
        </w:rPr>
      </w:pPr>
    </w:p>
    <w:p w14:paraId="46AE048B">
      <w:pPr>
        <w:jc w:val="center"/>
        <w:rPr>
          <w:rFonts w:hint="eastAsia"/>
          <w:b/>
          <w:bCs/>
          <w:sz w:val="28"/>
        </w:rPr>
      </w:pPr>
    </w:p>
    <w:p w14:paraId="595965DC">
      <w:pPr>
        <w:jc w:val="center"/>
        <w:rPr>
          <w:rFonts w:hint="eastAsia"/>
          <w:b/>
          <w:bCs/>
          <w:sz w:val="28"/>
        </w:rPr>
      </w:pPr>
    </w:p>
    <w:p w14:paraId="59B46C61">
      <w:pPr>
        <w:jc w:val="center"/>
        <w:rPr>
          <w:b/>
          <w:bCs/>
          <w:sz w:val="28"/>
        </w:rPr>
      </w:pPr>
      <w:r>
        <w:rPr>
          <w:rFonts w:hint="eastAsia"/>
          <w:b/>
          <w:bCs/>
          <w:sz w:val="28"/>
        </w:rPr>
        <w:t>法定代表人（负责人）授权委托书（参考）</w:t>
      </w:r>
    </w:p>
    <w:p w14:paraId="58E0AE07"/>
    <w:p w14:paraId="3A9424C1">
      <w:pPr>
        <w:rPr>
          <w:b/>
          <w:bCs/>
        </w:rPr>
      </w:pPr>
      <w:r>
        <w:rPr>
          <w:rFonts w:hint="eastAsia"/>
        </w:rPr>
        <w:t>深圳市中正招标有限公司</w:t>
      </w:r>
      <w:r>
        <w:rPr>
          <w:rFonts w:hint="eastAsia"/>
          <w:b/>
          <w:bCs/>
        </w:rPr>
        <w:t>：</w:t>
      </w:r>
    </w:p>
    <w:p w14:paraId="613DC782">
      <w:pPr>
        <w:ind w:firstLine="630"/>
      </w:pPr>
    </w:p>
    <w:p w14:paraId="55882E75">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0CFA75C">
      <w:pPr>
        <w:adjustRightInd w:val="0"/>
        <w:snapToGrid w:val="0"/>
        <w:spacing w:line="360" w:lineRule="auto"/>
        <w:ind w:firstLine="629"/>
      </w:pPr>
    </w:p>
    <w:p w14:paraId="260C9624">
      <w:pPr>
        <w:adjustRightInd w:val="0"/>
        <w:snapToGrid w:val="0"/>
        <w:spacing w:line="360" w:lineRule="auto"/>
        <w:ind w:firstLine="629"/>
        <w:rPr>
          <w:b/>
          <w:bCs/>
        </w:rPr>
      </w:pPr>
      <w:r>
        <w:rPr>
          <w:rFonts w:hint="eastAsia"/>
          <w:b/>
          <w:bCs/>
        </w:rPr>
        <w:t>附授权代表情况：</w:t>
      </w:r>
    </w:p>
    <w:p w14:paraId="63A590F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2B834D">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1AC08BFC">
      <w:pPr>
        <w:adjustRightInd w:val="0"/>
        <w:snapToGrid w:val="0"/>
        <w:spacing w:line="360" w:lineRule="auto"/>
        <w:ind w:firstLine="629"/>
      </w:pPr>
      <w:r>
        <w:rPr>
          <w:rFonts w:hint="eastAsia"/>
        </w:rPr>
        <w:t>职务：</w:t>
      </w:r>
    </w:p>
    <w:p w14:paraId="281CC1B4">
      <w:pPr>
        <w:adjustRightInd w:val="0"/>
        <w:snapToGrid w:val="0"/>
        <w:spacing w:line="360" w:lineRule="auto"/>
        <w:ind w:firstLine="629"/>
      </w:pPr>
      <w:r>
        <w:rPr>
          <w:rFonts w:hint="eastAsia"/>
        </w:rPr>
        <w:t>身份证号码：</w:t>
      </w:r>
    </w:p>
    <w:p w14:paraId="47906E0D">
      <w:pPr>
        <w:adjustRightInd w:val="0"/>
        <w:snapToGrid w:val="0"/>
        <w:spacing w:line="360" w:lineRule="auto"/>
        <w:ind w:firstLine="629"/>
        <w:rPr>
          <w:b/>
          <w:bCs/>
        </w:rPr>
      </w:pPr>
      <w:r>
        <w:rPr>
          <w:rFonts w:hint="eastAsia"/>
        </w:rPr>
        <w:t>邮编：</w:t>
      </w:r>
      <w:r>
        <w:rPr>
          <w:rFonts w:hint="eastAsia"/>
          <w:b/>
          <w:bCs/>
        </w:rPr>
        <w:t xml:space="preserve"> </w:t>
      </w:r>
    </w:p>
    <w:p w14:paraId="322AB556">
      <w:pPr>
        <w:adjustRightInd w:val="0"/>
        <w:snapToGrid w:val="0"/>
        <w:spacing w:line="360" w:lineRule="auto"/>
        <w:ind w:firstLine="629"/>
      </w:pPr>
      <w:r>
        <w:rPr>
          <w:rFonts w:hint="eastAsia"/>
        </w:rPr>
        <w:t>通讯地址：</w:t>
      </w:r>
      <w:r>
        <w:rPr>
          <w:rFonts w:hint="eastAsia"/>
          <w:b/>
          <w:bCs/>
        </w:rPr>
        <w:t xml:space="preserve"> </w:t>
      </w:r>
    </w:p>
    <w:p w14:paraId="63D27DE0">
      <w:pPr>
        <w:adjustRightInd w:val="0"/>
        <w:snapToGrid w:val="0"/>
        <w:spacing w:line="360" w:lineRule="auto"/>
        <w:ind w:firstLine="629"/>
      </w:pPr>
      <w:r>
        <w:rPr>
          <w:rFonts w:hint="eastAsia"/>
          <w:lang w:val="en-US" w:eastAsia="zh-CN"/>
        </w:rPr>
        <w:t>手机号码</w:t>
      </w:r>
      <w:r>
        <w:rPr>
          <w:rFonts w:hint="eastAsia"/>
        </w:rPr>
        <w:t>：</w:t>
      </w:r>
    </w:p>
    <w:p w14:paraId="43402825">
      <w:pPr>
        <w:adjustRightInd w:val="0"/>
        <w:snapToGrid w:val="0"/>
        <w:spacing w:line="360" w:lineRule="auto"/>
        <w:ind w:firstLine="629"/>
      </w:pPr>
      <w:r>
        <w:rPr>
          <w:rFonts w:hint="eastAsia"/>
        </w:rPr>
        <w:t xml:space="preserve"> </w:t>
      </w:r>
    </w:p>
    <w:p w14:paraId="3942FBA5">
      <w:pPr>
        <w:ind w:firstLine="630"/>
      </w:pPr>
      <w:r>
        <w:rPr>
          <w:rFonts w:hint="eastAsia"/>
        </w:rPr>
        <w:t>单位名称：（公章）</w:t>
      </w:r>
    </w:p>
    <w:p w14:paraId="3861A1F4">
      <w:pPr>
        <w:ind w:firstLine="630"/>
      </w:pPr>
    </w:p>
    <w:p w14:paraId="0D8840D1">
      <w:pPr>
        <w:ind w:firstLine="630"/>
      </w:pPr>
      <w:r>
        <w:rPr>
          <w:rFonts w:hint="eastAsia"/>
        </w:rPr>
        <w:t>法定代表人（</w:t>
      </w:r>
      <w:r>
        <w:rPr>
          <w:rFonts w:hint="eastAsia"/>
          <w:lang w:eastAsia="zh-CN"/>
        </w:rPr>
        <w:t>单位</w:t>
      </w:r>
      <w:r>
        <w:rPr>
          <w:rFonts w:hint="eastAsia"/>
        </w:rPr>
        <w:t>负责人）：（签字）</w:t>
      </w:r>
    </w:p>
    <w:p w14:paraId="27068FBA">
      <w:pPr>
        <w:ind w:firstLine="630"/>
      </w:pPr>
    </w:p>
    <w:p w14:paraId="43F63AC5">
      <w:pPr>
        <w:ind w:firstLine="630"/>
      </w:pPr>
      <w:r>
        <w:rPr>
          <w:rFonts w:hint="eastAsia"/>
        </w:rPr>
        <w:t>授权代表：（</w:t>
      </w:r>
      <w:r>
        <w:rPr>
          <w:snapToGrid w:val="0"/>
          <w:kern w:val="0"/>
        </w:rPr>
        <w:t>签字</w:t>
      </w:r>
      <w:r>
        <w:rPr>
          <w:rFonts w:hint="eastAsia"/>
        </w:rPr>
        <w:t>）</w:t>
      </w:r>
    </w:p>
    <w:p w14:paraId="64CD4DC3">
      <w:pPr>
        <w:ind w:firstLine="630"/>
      </w:pPr>
    </w:p>
    <w:p w14:paraId="6FC1C4A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F889B1F">
      <w:pPr>
        <w:spacing w:line="440" w:lineRule="exact"/>
        <w:rPr>
          <w:rFonts w:ascii="黑体" w:eastAsia="黑体"/>
        </w:rPr>
      </w:pPr>
      <w:bookmarkStart w:id="58"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6350" t="6350" r="6350" b="19050"/>
                <wp:wrapNone/>
                <wp:docPr id="4"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wpy6F2AAAAAoBAAAPAAAAAAAAAAEAIAAAACIAAABkcnMvZG93bnJldi54bWxQ&#10;SwECFAAUAAAACACHTuJAPYIKWfcBAAAtBAAADgAAAAAAAAABACAAAAAnAQAAZHJzL2Uyb0RvYy54&#10;bWxQSwUGAAAAAAYABgBZAQAAkAUAAAAA&#10;">
                <v:fill on="t" focussize="0,0"/>
                <v:stroke color="#000000" joinstyle="miter"/>
                <v:imagedata o:title=""/>
                <o:lock v:ext="edit" aspectratio="f"/>
                <v:textbo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6350" t="6350" r="6350" b="19050"/>
                <wp:wrapNone/>
                <wp:docPr id="5"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HZv67YAAAACgEAAA8AAAAAAAAAAQAgAAAAIgAAAGRycy9kb3ducmV2LnhtbFBL&#10;AQIUABQAAAAIAIdO4kBNLMle9gEAAC0EAAAOAAAAAAAAAAEAIAAAACcBAABkcnMvZTJvRG9jLnht&#10;bFBLBQYAAAAABgAGAFkBAACPBQAAAAA=&#10;">
                <v:fill on="t" focussize="0,0"/>
                <v:stroke color="#000000" joinstyle="miter"/>
                <v:imagedata o:title=""/>
                <o:lock v:ext="edit" aspectratio="f"/>
                <v:textbo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v:textbox>
              </v:rect>
            </w:pict>
          </mc:Fallback>
        </mc:AlternateContent>
      </w:r>
      <w:bookmarkEnd w:id="58"/>
    </w:p>
    <w:p w14:paraId="195D160B">
      <w:pPr>
        <w:spacing w:line="440" w:lineRule="exact"/>
        <w:rPr>
          <w:rFonts w:ascii="黑体" w:eastAsia="黑体"/>
        </w:rPr>
      </w:pPr>
    </w:p>
    <w:p w14:paraId="2695BFC5">
      <w:pPr>
        <w:spacing w:line="440" w:lineRule="exact"/>
        <w:rPr>
          <w:rFonts w:ascii="黑体" w:eastAsia="黑体"/>
        </w:rPr>
      </w:pPr>
    </w:p>
    <w:p w14:paraId="6CB6D873">
      <w:pPr>
        <w:spacing w:line="440" w:lineRule="exact"/>
        <w:rPr>
          <w:rFonts w:ascii="黑体" w:eastAsia="黑体"/>
        </w:rPr>
      </w:pPr>
    </w:p>
    <w:p w14:paraId="2242E3A8">
      <w:pPr>
        <w:spacing w:line="440" w:lineRule="exact"/>
        <w:rPr>
          <w:rFonts w:ascii="黑体" w:eastAsia="黑体"/>
        </w:rPr>
      </w:pPr>
    </w:p>
    <w:p w14:paraId="40F859C9">
      <w:pPr>
        <w:tabs>
          <w:tab w:val="left" w:pos="5115"/>
        </w:tabs>
        <w:spacing w:line="440" w:lineRule="exact"/>
        <w:rPr>
          <w:rFonts w:ascii="黑体" w:eastAsia="黑体"/>
        </w:rPr>
      </w:pPr>
      <w:r>
        <w:rPr>
          <w:rFonts w:ascii="黑体" w:eastAsia="黑体"/>
        </w:rPr>
        <w:tab/>
      </w:r>
    </w:p>
    <w:p w14:paraId="4040CB36">
      <w:pPr>
        <w:spacing w:line="440" w:lineRule="exact"/>
        <w:rPr>
          <w:rFonts w:ascii="黑体" w:eastAsia="黑体"/>
        </w:rPr>
      </w:pPr>
    </w:p>
    <w:p w14:paraId="12E914B7">
      <w:pPr>
        <w:adjustRightInd w:val="0"/>
        <w:snapToGrid w:val="0"/>
        <w:spacing w:line="300" w:lineRule="auto"/>
        <w:ind w:firstLine="5008" w:firstLineChars="2385"/>
      </w:pPr>
    </w:p>
    <w:p w14:paraId="641AA352">
      <w:pPr>
        <w:spacing w:line="360" w:lineRule="auto"/>
        <w:ind w:firstLine="539" w:firstLineChars="257"/>
      </w:pPr>
      <w:r>
        <w:rPr>
          <w:rFonts w:hint="eastAsia"/>
          <w:highlight w:val="yellow"/>
          <w:lang w:eastAsia="zh-CN"/>
        </w:rPr>
        <w:t>注：投标人必须提供有效的身份证件（有效期限未过期）。</w:t>
      </w:r>
    </w:p>
    <w:p w14:paraId="4B4C76A4">
      <w:pPr>
        <w:adjustRightInd w:val="0"/>
        <w:snapToGrid w:val="0"/>
        <w:spacing w:line="300" w:lineRule="auto"/>
      </w:pPr>
    </w:p>
    <w:p w14:paraId="31A85E3A">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D67C9F7">
      <w:pPr>
        <w:widowControl/>
        <w:snapToGrid w:val="0"/>
        <w:spacing w:line="360" w:lineRule="auto"/>
        <w:jc w:val="left"/>
      </w:pPr>
    </w:p>
    <w:p w14:paraId="0457CDD9">
      <w:pPr>
        <w:widowControl/>
        <w:snapToGrid w:val="0"/>
        <w:spacing w:line="360" w:lineRule="auto"/>
        <w:jc w:val="left"/>
        <w:rPr>
          <w:rFonts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asciiTheme="minorEastAsia" w:hAnsiTheme="minorEastAsia" w:eastAsiaTheme="minorEastAsia"/>
        </w:rPr>
      </w:pPr>
      <w:bookmarkStart w:id="59"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9"/>
    </w:p>
    <w:p w14:paraId="524D4C9C">
      <w:pPr>
        <w:adjustRightInd w:val="0"/>
        <w:snapToGrid w:val="0"/>
        <w:spacing w:line="312" w:lineRule="auto"/>
      </w:pPr>
    </w:p>
    <w:p w14:paraId="2A3F685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lang w:eastAsia="zh-CN"/>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0" w:name="_Toc135293346"/>
      <w:r>
        <w:rPr>
          <w:rFonts w:hint="eastAsia" w:asciiTheme="minorEastAsia" w:hAnsiTheme="minorEastAsia" w:eastAsiaTheme="minorEastAsia"/>
        </w:rPr>
        <w:t xml:space="preserve">格式4  </w:t>
      </w:r>
      <w:bookmarkEnd w:id="60"/>
      <w:r>
        <w:rPr>
          <w:rFonts w:hint="eastAsia" w:asciiTheme="minorEastAsia" w:hAnsiTheme="minorEastAsia" w:eastAsiaTheme="minorEastAsia"/>
          <w:lang w:eastAsia="zh-CN"/>
        </w:rPr>
        <w:t>符合政府采购扶持政策的证明材料</w:t>
      </w:r>
    </w:p>
    <w:p w14:paraId="7EF8CB39">
      <w:pPr>
        <w:widowControl/>
        <w:snapToGrid w:val="0"/>
        <w:spacing w:line="360" w:lineRule="auto"/>
        <w:jc w:val="left"/>
        <w:rPr>
          <w:rFonts w:ascii="仿宋" w:hAnsi="仿宋" w:eastAsia="仿宋"/>
          <w:b/>
          <w:bCs/>
          <w:kern w:val="0"/>
          <w:sz w:val="25"/>
          <w:szCs w:val="25"/>
        </w:rPr>
      </w:pPr>
    </w:p>
    <w:p w14:paraId="2EBD4CE0">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1" w:name="_Hlk71925120"/>
      <w:r>
        <w:rPr>
          <w:rFonts w:hint="eastAsia" w:asciiTheme="minorEastAsia" w:hAnsiTheme="minorEastAsia" w:eastAsiaTheme="minorEastAsia"/>
          <w:kern w:val="0"/>
          <w:szCs w:val="21"/>
        </w:rPr>
        <w:t>《关于印发中小企业划型标准规定的通知》（工信部联企业〔2011〕300 号</w:t>
      </w:r>
      <w:bookmarkEnd w:id="61"/>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5FF3B82F">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ascii="宋体" w:hAnsi="宋体" w:eastAsia="宋体"/>
        </w:rPr>
      </w:pPr>
      <w:r>
        <w:rPr>
          <w:rFonts w:hint="eastAsia" w:ascii="宋体" w:hAnsi="宋体" w:eastAsia="宋体"/>
        </w:rPr>
        <w:t>中小企业声明函</w:t>
      </w:r>
    </w:p>
    <w:p w14:paraId="793EBC5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ascii="宋体" w:hAnsi="宋体"/>
          <w:szCs w:val="21"/>
        </w:rPr>
      </w:pPr>
      <w:r>
        <w:rPr>
          <w:rFonts w:hint="eastAsia" w:ascii="宋体" w:hAnsi="宋体"/>
          <w:szCs w:val="21"/>
        </w:rPr>
        <w:t>备注：</w:t>
      </w:r>
    </w:p>
    <w:p w14:paraId="7D0D63F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ascii="宋体" w:hAnsi="宋体" w:eastAsia="宋体"/>
        </w:rPr>
      </w:pPr>
      <w:r>
        <w:rPr>
          <w:rFonts w:hint="eastAsia" w:ascii="宋体" w:hAnsi="宋体" w:eastAsia="宋体"/>
        </w:rPr>
        <w:t>监狱企业声明函</w:t>
      </w:r>
    </w:p>
    <w:p w14:paraId="62C04AA3">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ascii="宋体" w:hAnsi="宋体"/>
          <w:szCs w:val="21"/>
        </w:rPr>
      </w:pPr>
    </w:p>
    <w:p w14:paraId="594CF30F">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56570EA3">
      <w:pPr>
        <w:adjustRightInd w:val="0"/>
        <w:snapToGrid w:val="0"/>
        <w:spacing w:line="360" w:lineRule="auto"/>
        <w:ind w:firstLine="600"/>
        <w:jc w:val="left"/>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bookmarkStart w:id="62" w:name="_Toc44690433"/>
      <w:bookmarkStart w:id="63" w:name="_Toc44691165"/>
      <w:bookmarkStart w:id="64" w:name="_Toc44690706"/>
      <w:bookmarkStart w:id="65" w:name="_Toc135293347"/>
      <w:bookmarkStart w:id="66" w:name="_Toc44691397"/>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367FFC2">
      <w:pPr>
        <w:rPr>
          <w:rFonts w:hint="eastAsia" w:asciiTheme="minorEastAsia" w:hAnsiTheme="minorEastAsia" w:eastAsiaTheme="minorEastAsia"/>
        </w:rPr>
      </w:pPr>
      <w:r>
        <w:rPr>
          <w:rFonts w:hint="eastAsia" w:asciiTheme="minorEastAsia" w:hAnsiTheme="minorEastAsia" w:eastAsiaTheme="minorEastAsia"/>
        </w:rPr>
        <w:br w:type="page"/>
      </w:r>
    </w:p>
    <w:p w14:paraId="231E5171">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2"/>
      <w:bookmarkEnd w:id="63"/>
      <w:bookmarkEnd w:id="64"/>
      <w:bookmarkEnd w:id="65"/>
      <w:bookmarkEnd w:id="66"/>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人工智能技术与应用专业算力服务器采购项目</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asciiTheme="minorEastAsia" w:hAnsiTheme="minorEastAsia" w:eastAsiaTheme="minorEastAsia"/>
        </w:rPr>
      </w:pPr>
      <w:bookmarkStart w:id="67" w:name="_Toc44690707"/>
      <w:bookmarkStart w:id="68" w:name="_Toc44691166"/>
      <w:bookmarkStart w:id="69" w:name="_Toc44691398"/>
      <w:bookmarkStart w:id="70" w:name="_Toc135293348"/>
      <w:bookmarkStart w:id="71" w:name="_Toc44690434"/>
      <w:r>
        <w:rPr>
          <w:rFonts w:hint="eastAsia" w:asciiTheme="minorEastAsia" w:hAnsiTheme="minorEastAsia" w:eastAsiaTheme="minorEastAsia"/>
        </w:rPr>
        <w:t>格式6  报价表</w:t>
      </w:r>
      <w:bookmarkEnd w:id="67"/>
      <w:bookmarkEnd w:id="68"/>
      <w:bookmarkEnd w:id="69"/>
      <w:bookmarkEnd w:id="70"/>
      <w:bookmarkEnd w:id="71"/>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61D0A935">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5、“原产地”是指货物的实际生产加工地，非品牌所在地；“制造商”是指产品品牌厂商，同一品牌国内外均有制造商的，应填写国内制造商；产品代工制造的，应填写接受委托生产制造的制造商等。</w:t>
      </w:r>
    </w:p>
    <w:p w14:paraId="2BE258E9">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4F7BC393">
      <w:pPr>
        <w:adjustRightInd w:val="0"/>
        <w:snapToGrid w:val="0"/>
        <w:spacing w:line="300" w:lineRule="auto"/>
        <w:rPr>
          <w:rFonts w:asciiTheme="minorEastAsia" w:hAnsiTheme="minorEastAsia" w:eastAsiaTheme="minorEastAsia"/>
          <w:snapToGrid w:val="0"/>
          <w:kern w:val="0"/>
        </w:rPr>
      </w:pPr>
    </w:p>
    <w:p w14:paraId="26BB697C">
      <w:pPr>
        <w:adjustRightInd w:val="0"/>
        <w:snapToGrid w:val="0"/>
        <w:spacing w:line="300" w:lineRule="auto"/>
        <w:jc w:val="center"/>
        <w:rPr>
          <w:rFonts w:asciiTheme="minorEastAsia" w:hAnsiTheme="minorEastAsia" w:eastAsiaTheme="minorEastAsia"/>
          <w:snapToGrid w:val="0"/>
          <w:kern w:val="0"/>
        </w:rPr>
      </w:pPr>
    </w:p>
    <w:p w14:paraId="36A847D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val="en-US" w:eastAsia="zh-CN"/>
        </w:rPr>
        <w:t>二</w:t>
      </w:r>
      <w:r>
        <w:rPr>
          <w:rFonts w:hint="eastAsia" w:asciiTheme="minorEastAsia" w:hAnsiTheme="minorEastAsia" w:eastAsiaTheme="minorEastAsia"/>
          <w:snapToGrid w:val="0"/>
          <w:kern w:val="0"/>
        </w:rPr>
        <w:t>）</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asciiTheme="minorEastAsia" w:hAnsiTheme="minorEastAsia" w:eastAsiaTheme="minorEastAsia"/>
          <w:sz w:val="24"/>
        </w:rPr>
      </w:pPr>
      <w:bookmarkStart w:id="72" w:name="_Toc44690708"/>
      <w:bookmarkStart w:id="73" w:name="_Toc44691167"/>
      <w:bookmarkStart w:id="74" w:name="_Toc44690435"/>
      <w:bookmarkStart w:id="75" w:name="_Toc44691399"/>
    </w:p>
    <w:p w14:paraId="6766738A">
      <w:pPr>
        <w:rPr>
          <w:rFonts w:hint="eastAsia" w:asciiTheme="minorEastAsia" w:hAnsiTheme="minorEastAsia" w:eastAsiaTheme="minorEastAsia"/>
        </w:rPr>
      </w:pPr>
      <w:bookmarkStart w:id="76"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2"/>
      <w:bookmarkEnd w:id="73"/>
      <w:bookmarkEnd w:id="74"/>
      <w:bookmarkEnd w:id="75"/>
      <w:bookmarkEnd w:id="76"/>
    </w:p>
    <w:p w14:paraId="5D8787D0">
      <w:pPr>
        <w:pStyle w:val="7"/>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5D208587">
      <w:pPr>
        <w:spacing w:line="360" w:lineRule="auto"/>
        <w:ind w:left="420"/>
        <w:rPr>
          <w:rFonts w:hint="eastAsia" w:ascii="宋体" w:hAnsi="宋体"/>
          <w:lang w:val="en-US" w:eastAsia="zh-CN"/>
        </w:rPr>
      </w:pPr>
      <w:r>
        <w:rPr>
          <w:rFonts w:hint="eastAsia" w:ascii="宋体" w:hAnsi="宋体"/>
        </w:rPr>
        <w:t>6、</w:t>
      </w:r>
      <w:r>
        <w:rPr>
          <w:rFonts w:hint="eastAsia" w:ascii="宋体" w:hAnsi="宋体"/>
          <w:lang w:val="en-US" w:eastAsia="zh-CN"/>
        </w:rPr>
        <w:t>技术保障措施</w:t>
      </w:r>
    </w:p>
    <w:p w14:paraId="3614757B">
      <w:pPr>
        <w:spacing w:line="360" w:lineRule="auto"/>
        <w:ind w:left="420"/>
        <w:rPr>
          <w:rFonts w:hint="eastAsia" w:ascii="宋体" w:hAnsi="宋体"/>
          <w:lang w:val="en-US" w:eastAsia="zh-CN"/>
        </w:rPr>
      </w:pPr>
      <w:r>
        <w:rPr>
          <w:rFonts w:hint="eastAsia" w:ascii="宋体" w:hAnsi="宋体"/>
          <w:lang w:val="en-US" w:eastAsia="zh-CN"/>
        </w:rPr>
        <w:t>7、售后服务方案</w:t>
      </w:r>
    </w:p>
    <w:p w14:paraId="79F43C19">
      <w:pPr>
        <w:spacing w:line="360" w:lineRule="auto"/>
        <w:ind w:left="420"/>
        <w:rPr>
          <w:rFonts w:ascii="宋体" w:hAnsi="宋体"/>
        </w:rPr>
      </w:pPr>
      <w:r>
        <w:rPr>
          <w:rFonts w:hint="eastAsia" w:ascii="宋体" w:hAnsi="宋体"/>
          <w:lang w:val="en-US" w:eastAsia="zh-CN"/>
        </w:rPr>
        <w:t>8、</w:t>
      </w:r>
      <w:r>
        <w:rPr>
          <w:rFonts w:hint="eastAsia" w:ascii="宋体" w:hAnsi="宋体"/>
        </w:rPr>
        <w:t>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jc w:val="both"/>
        <w:rPr>
          <w:snapToGrid w:val="0"/>
          <w:kern w:val="0"/>
        </w:rPr>
      </w:pPr>
    </w:p>
    <w:p w14:paraId="7E48BC26">
      <w:pPr>
        <w:pStyle w:val="3"/>
        <w:tabs>
          <w:tab w:val="left" w:pos="371"/>
        </w:tabs>
        <w:spacing w:before="120" w:after="120"/>
        <w:ind w:left="0" w:leftChars="0" w:firstLine="0"/>
        <w:jc w:val="both"/>
        <w:rPr>
          <w:rFonts w:asciiTheme="minorEastAsia" w:hAnsiTheme="minorEastAsia" w:eastAsiaTheme="minorEastAsia"/>
        </w:rPr>
      </w:pPr>
      <w:bookmarkStart w:id="77" w:name="_Toc135293350"/>
    </w:p>
    <w:p w14:paraId="555465F6"/>
    <w:p w14:paraId="48B9C484">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7"/>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8" w:name="_Toc44691168"/>
      <w:bookmarkStart w:id="79" w:name="_Toc44690709"/>
      <w:bookmarkStart w:id="80" w:name="_Toc44691400"/>
      <w:bookmarkStart w:id="81" w:name="_Toc44690436"/>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3"/>
        <w:tabs>
          <w:tab w:val="left" w:pos="371"/>
        </w:tabs>
        <w:spacing w:before="120" w:after="120"/>
        <w:ind w:left="-1" w:leftChars="-1" w:hanging="1"/>
        <w:jc w:val="center"/>
        <w:rPr>
          <w:rFonts w:asciiTheme="minorEastAsia" w:hAnsiTheme="minorEastAsia" w:eastAsiaTheme="minorEastAsia"/>
        </w:rPr>
      </w:pPr>
      <w:bookmarkStart w:id="82" w:name="_Toc135293351"/>
      <w:r>
        <w:rPr>
          <w:rFonts w:hint="eastAsia" w:asciiTheme="minorEastAsia" w:hAnsiTheme="minorEastAsia" w:eastAsiaTheme="minorEastAsia"/>
        </w:rPr>
        <w:t>格式9  售后服务和质量承诺</w:t>
      </w:r>
      <w:bookmarkEnd w:id="78"/>
      <w:bookmarkEnd w:id="79"/>
      <w:bookmarkEnd w:id="80"/>
      <w:bookmarkEnd w:id="81"/>
      <w:bookmarkEnd w:id="82"/>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asciiTheme="minorEastAsia" w:hAnsiTheme="minorEastAsia" w:eastAsiaTheme="minorEastAsia"/>
        </w:rPr>
      </w:pPr>
      <w:bookmarkStart w:id="83" w:name="q17"/>
      <w:bookmarkEnd w:id="83"/>
      <w:bookmarkStart w:id="84" w:name="_格式5__"/>
      <w:bookmarkEnd w:id="84"/>
      <w:bookmarkStart w:id="85" w:name="_格式4__"/>
      <w:bookmarkEnd w:id="85"/>
      <w:bookmarkStart w:id="86" w:name="q16"/>
      <w:bookmarkEnd w:id="86"/>
      <w:bookmarkStart w:id="87" w:name="_格式3__"/>
      <w:bookmarkEnd w:id="87"/>
      <w:bookmarkStart w:id="88" w:name="q15"/>
      <w:bookmarkEnd w:id="88"/>
      <w:bookmarkStart w:id="89" w:name="_格式2__投标保证金凭证"/>
      <w:bookmarkEnd w:id="89"/>
      <w:r>
        <w:rPr>
          <w:rFonts w:asciiTheme="minorEastAsia" w:hAnsiTheme="minorEastAsia" w:eastAsiaTheme="minorEastAsia"/>
        </w:rPr>
        <w:tab/>
      </w:r>
      <w:bookmarkStart w:id="90" w:name="_Toc44691401"/>
      <w:bookmarkStart w:id="91" w:name="_Toc44691169"/>
      <w:bookmarkStart w:id="92" w:name="_Toc44690710"/>
      <w:bookmarkStart w:id="93" w:name="_Toc135293352"/>
      <w:bookmarkStart w:id="94" w:name="_Toc44690437"/>
      <w:r>
        <w:rPr>
          <w:rFonts w:hint="eastAsia" w:asciiTheme="minorEastAsia" w:hAnsiTheme="minorEastAsia" w:eastAsiaTheme="minorEastAsia"/>
        </w:rPr>
        <w:t>格式10  投标人情况介绍</w:t>
      </w:r>
      <w:bookmarkEnd w:id="90"/>
      <w:bookmarkEnd w:id="91"/>
      <w:bookmarkEnd w:id="92"/>
      <w:bookmarkEnd w:id="93"/>
      <w:bookmarkEnd w:id="94"/>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95" w:name="_格式7__投标人资格声明"/>
      <w:bookmarkEnd w:id="95"/>
      <w:bookmarkStart w:id="96"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asciiTheme="minorEastAsia" w:hAnsiTheme="minorEastAsia" w:eastAsiaTheme="minorEastAsia"/>
        </w:rPr>
      </w:pPr>
      <w:bookmarkStart w:id="97" w:name="_Toc135293353"/>
      <w:r>
        <w:rPr>
          <w:rFonts w:hint="eastAsia" w:asciiTheme="minorEastAsia" w:hAnsiTheme="minorEastAsia" w:eastAsiaTheme="minorEastAsia"/>
        </w:rPr>
        <w:t>格式11  偏离表</w:t>
      </w:r>
      <w:bookmarkEnd w:id="97"/>
    </w:p>
    <w:bookmarkEnd w:id="96"/>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asciiTheme="minorEastAsia" w:hAnsiTheme="minorEastAsia" w:eastAsiaTheme="minorEastAsia"/>
        </w:rPr>
      </w:pPr>
      <w:bookmarkStart w:id="98"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8"/>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9" w:name="_Toc135293355"/>
      <w:r>
        <w:rPr>
          <w:rFonts w:hint="eastAsia"/>
        </w:rPr>
        <w:t>第八章  合同条款</w:t>
      </w:r>
      <w:bookmarkEnd w:id="99"/>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605173E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3D6D692">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ascii="宋体" w:hAnsi="宋体" w:cs="宋体"/>
          <w:bCs/>
          <w:szCs w:val="21"/>
        </w:rPr>
      </w:pPr>
      <w:r>
        <w:rPr>
          <w:rFonts w:ascii="宋体" w:hAnsi="宋体" w:cs="宋体"/>
          <w:bCs/>
          <w:szCs w:val="21"/>
        </w:rPr>
        <w:t>1. 项目信息</w:t>
      </w:r>
    </w:p>
    <w:p w14:paraId="6A8DAFD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ascii="宋体" w:hAnsi="宋体" w:cs="宋体"/>
          <w:bCs/>
          <w:szCs w:val="21"/>
        </w:rPr>
      </w:pPr>
      <w:r>
        <w:rPr>
          <w:rFonts w:ascii="宋体" w:hAnsi="宋体" w:cs="宋体"/>
          <w:bCs/>
          <w:szCs w:val="21"/>
        </w:rPr>
        <w:t>口否</w:t>
      </w:r>
    </w:p>
    <w:p w14:paraId="115E7D09">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ascii="宋体" w:hAnsi="宋体" w:cs="宋体"/>
          <w:bCs/>
          <w:szCs w:val="21"/>
        </w:rPr>
      </w:pPr>
      <w:r>
        <w:rPr>
          <w:rFonts w:ascii="宋体" w:hAnsi="宋体" w:cs="宋体"/>
          <w:bCs/>
          <w:szCs w:val="21"/>
        </w:rPr>
        <w:t>口否</w:t>
      </w:r>
    </w:p>
    <w:p w14:paraId="7B1F2B01">
      <w:pPr>
        <w:spacing w:line="400" w:lineRule="exact"/>
        <w:ind w:firstLine="420" w:firstLineChars="200"/>
        <w:rPr>
          <w:rFonts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ascii="宋体" w:hAnsi="宋体" w:cs="宋体"/>
          <w:bCs/>
          <w:szCs w:val="21"/>
        </w:rPr>
      </w:pPr>
      <w:r>
        <w:rPr>
          <w:rFonts w:ascii="宋体" w:hAnsi="宋体" w:cs="宋体"/>
          <w:bCs/>
          <w:szCs w:val="21"/>
        </w:rPr>
        <w:t>口否</w:t>
      </w:r>
    </w:p>
    <w:p w14:paraId="256C65F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ascii="宋体" w:hAnsi="宋体" w:cs="宋体"/>
          <w:bCs/>
          <w:szCs w:val="21"/>
        </w:rPr>
      </w:pPr>
      <w:r>
        <w:rPr>
          <w:rFonts w:ascii="宋体" w:hAnsi="宋体" w:cs="宋体"/>
          <w:bCs/>
          <w:szCs w:val="21"/>
        </w:rPr>
        <w:t>口否</w:t>
      </w:r>
    </w:p>
    <w:p w14:paraId="75968212">
      <w:pPr>
        <w:spacing w:line="400" w:lineRule="exact"/>
        <w:ind w:firstLine="420" w:firstLineChars="200"/>
        <w:rPr>
          <w:rFonts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ascii="宋体" w:hAnsi="宋体" w:cs="宋体"/>
          <w:bCs/>
          <w:szCs w:val="21"/>
        </w:rPr>
      </w:pPr>
      <w:r>
        <w:rPr>
          <w:rFonts w:ascii="宋体" w:hAnsi="宋体" w:cs="宋体"/>
          <w:bCs/>
          <w:szCs w:val="21"/>
        </w:rPr>
        <w:t>口否</w:t>
      </w:r>
    </w:p>
    <w:p w14:paraId="3EB83A9D">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ascii="宋体" w:hAnsi="宋体" w:cs="宋体"/>
          <w:bCs/>
          <w:szCs w:val="21"/>
        </w:rPr>
      </w:pPr>
      <w:r>
        <w:rPr>
          <w:rFonts w:ascii="宋体" w:hAnsi="宋体" w:cs="宋体"/>
          <w:bCs/>
          <w:szCs w:val="21"/>
        </w:rPr>
        <w:t>2. 合同金额</w:t>
      </w:r>
    </w:p>
    <w:p w14:paraId="32ED396A">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ascii="宋体" w:hAnsi="宋体" w:cs="宋体"/>
          <w:bCs/>
          <w:szCs w:val="21"/>
        </w:rPr>
      </w:pPr>
      <w:r>
        <w:rPr>
          <w:rFonts w:ascii="宋体" w:hAnsi="宋体" w:cs="宋体"/>
          <w:bCs/>
          <w:szCs w:val="21"/>
        </w:rPr>
        <w:t>3. 合同履行</w:t>
      </w:r>
    </w:p>
    <w:p w14:paraId="4FBF6ECA">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ascii="宋体" w:hAnsi="宋体" w:cs="宋体"/>
          <w:bCs/>
          <w:szCs w:val="21"/>
        </w:rPr>
      </w:pPr>
      <w:r>
        <w:rPr>
          <w:rFonts w:ascii="宋体" w:hAnsi="宋体" w:cs="宋体"/>
          <w:bCs/>
          <w:szCs w:val="21"/>
        </w:rPr>
        <w:t>4. 合同验收</w:t>
      </w:r>
    </w:p>
    <w:p w14:paraId="2113B91A">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ascii="宋体" w:hAnsi="宋体" w:cs="宋体"/>
          <w:bCs/>
          <w:szCs w:val="21"/>
        </w:rPr>
      </w:pPr>
      <w:r>
        <w:rPr>
          <w:rFonts w:ascii="宋体" w:hAnsi="宋体" w:cs="宋体"/>
          <w:bCs/>
          <w:szCs w:val="21"/>
        </w:rPr>
        <w:t>(6)采购文件</w:t>
      </w:r>
    </w:p>
    <w:p w14:paraId="40424B6B">
      <w:pPr>
        <w:spacing w:line="400" w:lineRule="exact"/>
        <w:ind w:firstLine="420" w:firstLineChars="200"/>
        <w:rPr>
          <w:rFonts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ascii="宋体" w:hAnsi="宋体" w:cs="宋体"/>
          <w:bCs/>
          <w:szCs w:val="21"/>
        </w:rPr>
      </w:pPr>
      <w:r>
        <w:rPr>
          <w:rFonts w:ascii="宋体" w:hAnsi="宋体" w:cs="宋体"/>
          <w:bCs/>
          <w:szCs w:val="21"/>
        </w:rPr>
        <w:t>6. 合同生效</w:t>
      </w:r>
    </w:p>
    <w:p w14:paraId="61675A4D">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ascii="宋体" w:hAnsi="宋体" w:cs="宋体"/>
          <w:bCs/>
          <w:szCs w:val="21"/>
        </w:rPr>
      </w:pPr>
      <w:r>
        <w:rPr>
          <w:rFonts w:ascii="宋体" w:hAnsi="宋体" w:cs="宋体"/>
          <w:bCs/>
          <w:szCs w:val="21"/>
        </w:rPr>
        <w:t>7. 合同份数</w:t>
      </w:r>
    </w:p>
    <w:p w14:paraId="4E51BA01">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0" w:name="_Toc135293356"/>
      <w:r>
        <w:rPr>
          <w:rFonts w:hint="eastAsia"/>
        </w:rPr>
        <w:t>第九章  附件</w:t>
      </w:r>
      <w:bookmarkEnd w:id="100"/>
    </w:p>
    <w:p w14:paraId="0FD850FA">
      <w:pPr>
        <w:pStyle w:val="4"/>
        <w:spacing w:before="0" w:after="0"/>
      </w:pPr>
      <w:bookmarkStart w:id="101" w:name="_Toc73613644"/>
      <w:bookmarkStart w:id="102" w:name="_Toc135293357"/>
      <w:bookmarkStart w:id="103" w:name="_Toc73610162"/>
      <w:r>
        <w:rPr>
          <w:rFonts w:hint="eastAsia"/>
        </w:rPr>
        <w:t>一、财政部 工业和信息化部关于印发《政府采购促进中小企业发展管理办法》的通知</w:t>
      </w:r>
      <w:bookmarkEnd w:id="101"/>
      <w:bookmarkEnd w:id="102"/>
      <w:bookmarkEnd w:id="103"/>
    </w:p>
    <w:p w14:paraId="160EC0F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40C6C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0F84778">
      <w:pPr>
        <w:spacing w:line="360" w:lineRule="auto"/>
        <w:rPr>
          <w:rFonts w:asciiTheme="minorEastAsia" w:hAnsiTheme="minorEastAsia" w:eastAsiaTheme="minorEastAsia"/>
          <w:szCs w:val="21"/>
        </w:rPr>
      </w:pPr>
    </w:p>
    <w:p w14:paraId="54C6E40D">
      <w:pPr>
        <w:pStyle w:val="4"/>
        <w:spacing w:before="0" w:after="0"/>
      </w:pPr>
      <w:bookmarkStart w:id="104" w:name="_Toc135293358"/>
      <w:bookmarkStart w:id="105" w:name="_Toc73610163"/>
      <w:bookmarkStart w:id="106" w:name="_Toc73613645"/>
      <w:r>
        <w:rPr>
          <w:rFonts w:hint="eastAsia"/>
        </w:rPr>
        <w:t>二、关于印发中小企业划型标准规定的通知</w:t>
      </w:r>
      <w:bookmarkEnd w:id="104"/>
      <w:bookmarkEnd w:id="105"/>
      <w:bookmarkEnd w:id="106"/>
    </w:p>
    <w:p w14:paraId="5EC4CC8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4F2ADF7">
      <w:pPr>
        <w:pStyle w:val="4"/>
        <w:spacing w:before="0" w:after="0"/>
      </w:pPr>
      <w:bookmarkStart w:id="107" w:name="_Toc73613646"/>
      <w:bookmarkStart w:id="108" w:name="_Toc135293359"/>
      <w:bookmarkStart w:id="109" w:name="_Toc73610164"/>
      <w:r>
        <w:rPr>
          <w:rFonts w:hint="eastAsia"/>
        </w:rPr>
        <w:t>三、</w:t>
      </w:r>
      <w:r>
        <w:t>国家统计局关于印发《统计上大中小微型企业划分办法 （2017）》的通知</w:t>
      </w:r>
      <w:bookmarkEnd w:id="107"/>
      <w:bookmarkEnd w:id="108"/>
      <w:bookmarkEnd w:id="109"/>
      <w:r>
        <w:t> </w:t>
      </w:r>
    </w:p>
    <w:p w14:paraId="274E1BE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cs="宋体" w:asciiTheme="minorEastAsia" w:hAnsiTheme="minorEastAsia" w:eastAsiaTheme="minorEastAsia"/>
          <w:b/>
          <w:bCs/>
          <w:kern w:val="0"/>
          <w:szCs w:val="21"/>
        </w:rPr>
      </w:pPr>
    </w:p>
    <w:p w14:paraId="161235A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cs="宋体" w:asciiTheme="minorEastAsia" w:hAnsiTheme="minorEastAsia" w:eastAsiaTheme="minorEastAsia"/>
          <w:kern w:val="0"/>
          <w:szCs w:val="21"/>
        </w:rPr>
      </w:pPr>
    </w:p>
    <w:p w14:paraId="06636E2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cs="宋体" w:asciiTheme="minorEastAsia" w:hAnsiTheme="minorEastAsia" w:eastAsiaTheme="minorEastAsia"/>
          <w:kern w:val="0"/>
          <w:szCs w:val="21"/>
        </w:rPr>
      </w:pPr>
    </w:p>
    <w:p w14:paraId="5202FB5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cs="宋体" w:asciiTheme="minorEastAsia" w:hAnsiTheme="minorEastAsia" w:eastAsiaTheme="minorEastAsia"/>
          <w:kern w:val="0"/>
          <w:szCs w:val="21"/>
        </w:rPr>
      </w:pPr>
    </w:p>
    <w:p w14:paraId="46928F6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cs="宋体" w:asciiTheme="minorEastAsia" w:hAnsiTheme="minorEastAsia" w:eastAsiaTheme="minorEastAsia"/>
          <w:kern w:val="0"/>
          <w:szCs w:val="21"/>
        </w:rPr>
      </w:pPr>
    </w:p>
    <w:p w14:paraId="5A435C9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asciiTheme="minorEastAsia" w:hAnsiTheme="minorEastAsia" w:eastAsiaTheme="minorEastAsia"/>
          <w:szCs w:val="21"/>
        </w:rPr>
      </w:pPr>
    </w:p>
    <w:p w14:paraId="3253AF9F">
      <w:pPr>
        <w:pStyle w:val="4"/>
        <w:spacing w:before="0" w:after="0"/>
      </w:pPr>
      <w:bookmarkStart w:id="110" w:name="_Toc135293360"/>
      <w:bookmarkStart w:id="111" w:name="_Toc73610165"/>
      <w:bookmarkStart w:id="112" w:name="_Toc73613647"/>
      <w:r>
        <w:rPr>
          <w:rFonts w:hint="eastAsia"/>
        </w:rPr>
        <w:t>四、</w:t>
      </w:r>
      <w:r>
        <w:t>财政部 民政部 中国残疾人联合会关于促进残疾人就业 政府采购政策的通知</w:t>
      </w:r>
      <w:bookmarkEnd w:id="110"/>
      <w:bookmarkEnd w:id="111"/>
      <w:bookmarkEnd w:id="112"/>
      <w:r>
        <w:t xml:space="preserve"> </w:t>
      </w:r>
    </w:p>
    <w:p w14:paraId="0A0CFB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cs="宋体" w:asciiTheme="minorEastAsia" w:hAnsiTheme="minorEastAsia" w:eastAsiaTheme="minorEastAsia"/>
          <w:kern w:val="0"/>
          <w:szCs w:val="21"/>
        </w:rPr>
      </w:pPr>
    </w:p>
    <w:p w14:paraId="50DF962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3" w:name="_Toc135293361"/>
      <w:r>
        <w:rPr>
          <w:rFonts w:hint="eastAsia"/>
        </w:rPr>
        <w:t>五、财政部 司法部关于政府采购支持监狱企业发展有关问题的通知</w:t>
      </w:r>
      <w:bookmarkEnd w:id="113"/>
      <w:r>
        <w:rPr>
          <w:rFonts w:hint="eastAsia"/>
        </w:rPr>
        <w:t xml:space="preserve"> </w:t>
      </w:r>
    </w:p>
    <w:p w14:paraId="248C7DC0">
      <w:pPr>
        <w:widowControl/>
        <w:spacing w:line="360" w:lineRule="auto"/>
        <w:jc w:val="center"/>
        <w:rPr>
          <w:rFonts w:cs="宋体" w:asciiTheme="minorEastAsia" w:hAnsiTheme="minorEastAsia" w:eastAsiaTheme="minorEastAsia"/>
          <w:kern w:val="0"/>
          <w:szCs w:val="21"/>
        </w:rPr>
      </w:pPr>
    </w:p>
    <w:p w14:paraId="3A790ED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cs="宋体" w:asciiTheme="minorEastAsia" w:hAnsiTheme="minorEastAsia" w:eastAsiaTheme="minorEastAsia"/>
          <w:kern w:val="0"/>
          <w:szCs w:val="21"/>
        </w:rPr>
      </w:pPr>
    </w:p>
    <w:p w14:paraId="65A7BB6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cs="宋体" w:asciiTheme="minorEastAsia" w:hAnsiTheme="minorEastAsia" w:eastAsiaTheme="minorEastAsia"/>
          <w:kern w:val="0"/>
          <w:szCs w:val="21"/>
        </w:rPr>
      </w:pPr>
    </w:p>
    <w:p w14:paraId="54FBB15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5C8945E3">
      <w:pPr>
        <w:pStyle w:val="4"/>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panose1 w:val="020B0604020202020204"/>
    <w:charset w:val="86"/>
    <w:family w:val="swiss"/>
    <w:pitch w:val="default"/>
    <w:sig w:usb0="F7FFAEFF" w:usb1="F9DFFFFF" w:usb2="0000007F" w:usb3="00000000" w:csb0="203F01FF" w:csb1="DFFF0000"/>
  </w:font>
  <w:font w:name="ˎ̥">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
    <w:altName w:val="Noto Serif SC"/>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人工智能技术与应用专业算力服务器采购项目</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SZZZ2026-QA0086</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F0299B"/>
    <w:rsid w:val="026E4F91"/>
    <w:rsid w:val="02CB7BFB"/>
    <w:rsid w:val="036673EF"/>
    <w:rsid w:val="03B206B2"/>
    <w:rsid w:val="03C5231B"/>
    <w:rsid w:val="03E027B3"/>
    <w:rsid w:val="03E27F04"/>
    <w:rsid w:val="041D095D"/>
    <w:rsid w:val="05684AA7"/>
    <w:rsid w:val="056C33E8"/>
    <w:rsid w:val="059A3767"/>
    <w:rsid w:val="05C018BB"/>
    <w:rsid w:val="05C87DB9"/>
    <w:rsid w:val="065754CA"/>
    <w:rsid w:val="07C531B9"/>
    <w:rsid w:val="07CD7519"/>
    <w:rsid w:val="07EC4BEA"/>
    <w:rsid w:val="08013603"/>
    <w:rsid w:val="08B715FA"/>
    <w:rsid w:val="08DE0889"/>
    <w:rsid w:val="0961739E"/>
    <w:rsid w:val="098E6083"/>
    <w:rsid w:val="0AB84641"/>
    <w:rsid w:val="0B205B2B"/>
    <w:rsid w:val="0B782559"/>
    <w:rsid w:val="0B8A1F62"/>
    <w:rsid w:val="0BBF77AA"/>
    <w:rsid w:val="0BF820F3"/>
    <w:rsid w:val="0C000225"/>
    <w:rsid w:val="0D566BC9"/>
    <w:rsid w:val="0E180322"/>
    <w:rsid w:val="0E8C4995"/>
    <w:rsid w:val="0EE52C10"/>
    <w:rsid w:val="0EF27BFB"/>
    <w:rsid w:val="0F191D67"/>
    <w:rsid w:val="0F676546"/>
    <w:rsid w:val="0F691730"/>
    <w:rsid w:val="0F8B6247"/>
    <w:rsid w:val="0FBC50EF"/>
    <w:rsid w:val="10862725"/>
    <w:rsid w:val="115F3FD7"/>
    <w:rsid w:val="11A259DD"/>
    <w:rsid w:val="11F2218C"/>
    <w:rsid w:val="11F936CD"/>
    <w:rsid w:val="120027E5"/>
    <w:rsid w:val="120474A0"/>
    <w:rsid w:val="12693A35"/>
    <w:rsid w:val="13102ABE"/>
    <w:rsid w:val="14196AC8"/>
    <w:rsid w:val="14C0017C"/>
    <w:rsid w:val="15660BCB"/>
    <w:rsid w:val="162063B0"/>
    <w:rsid w:val="167D280D"/>
    <w:rsid w:val="17047766"/>
    <w:rsid w:val="17771FF6"/>
    <w:rsid w:val="17935895"/>
    <w:rsid w:val="17F52C18"/>
    <w:rsid w:val="184530EF"/>
    <w:rsid w:val="19227A4B"/>
    <w:rsid w:val="19B1624B"/>
    <w:rsid w:val="1A32142F"/>
    <w:rsid w:val="1B3E182A"/>
    <w:rsid w:val="1B4B5195"/>
    <w:rsid w:val="1C0826B8"/>
    <w:rsid w:val="1C174C6F"/>
    <w:rsid w:val="1C7C020D"/>
    <w:rsid w:val="1C8F78BA"/>
    <w:rsid w:val="1C9B0D84"/>
    <w:rsid w:val="1CDD3F3B"/>
    <w:rsid w:val="1CFD6AEF"/>
    <w:rsid w:val="1D4D6869"/>
    <w:rsid w:val="1E3F2E81"/>
    <w:rsid w:val="1E84597F"/>
    <w:rsid w:val="1F725232"/>
    <w:rsid w:val="20586741"/>
    <w:rsid w:val="21760101"/>
    <w:rsid w:val="22B25284"/>
    <w:rsid w:val="22B57AA5"/>
    <w:rsid w:val="22C07D9F"/>
    <w:rsid w:val="22CE4518"/>
    <w:rsid w:val="23056CBA"/>
    <w:rsid w:val="234C1E42"/>
    <w:rsid w:val="23636EA1"/>
    <w:rsid w:val="23786031"/>
    <w:rsid w:val="23C6059E"/>
    <w:rsid w:val="23C95079"/>
    <w:rsid w:val="24031A53"/>
    <w:rsid w:val="24307C26"/>
    <w:rsid w:val="24585280"/>
    <w:rsid w:val="248E5D4C"/>
    <w:rsid w:val="24C47897"/>
    <w:rsid w:val="24CF6320"/>
    <w:rsid w:val="24E337F8"/>
    <w:rsid w:val="256E0C8A"/>
    <w:rsid w:val="258D3B57"/>
    <w:rsid w:val="261E01AA"/>
    <w:rsid w:val="262336EE"/>
    <w:rsid w:val="269E4C0C"/>
    <w:rsid w:val="27024D1A"/>
    <w:rsid w:val="27463B6A"/>
    <w:rsid w:val="28182C3B"/>
    <w:rsid w:val="29A41135"/>
    <w:rsid w:val="2AD85037"/>
    <w:rsid w:val="2B25203D"/>
    <w:rsid w:val="2BD0253B"/>
    <w:rsid w:val="2C444480"/>
    <w:rsid w:val="2C564DC3"/>
    <w:rsid w:val="2CA9220C"/>
    <w:rsid w:val="2D012891"/>
    <w:rsid w:val="2D142E8B"/>
    <w:rsid w:val="2D6C141D"/>
    <w:rsid w:val="2DA973AD"/>
    <w:rsid w:val="2E007232"/>
    <w:rsid w:val="2E4470AA"/>
    <w:rsid w:val="2EB64B4B"/>
    <w:rsid w:val="2EDB590A"/>
    <w:rsid w:val="2F0A29E3"/>
    <w:rsid w:val="2F697D8F"/>
    <w:rsid w:val="306B5DA3"/>
    <w:rsid w:val="30817D6A"/>
    <w:rsid w:val="31367970"/>
    <w:rsid w:val="3157114E"/>
    <w:rsid w:val="31EB07E1"/>
    <w:rsid w:val="31F2037F"/>
    <w:rsid w:val="320A0AF5"/>
    <w:rsid w:val="329B11F6"/>
    <w:rsid w:val="336E087E"/>
    <w:rsid w:val="33C3087D"/>
    <w:rsid w:val="34213F90"/>
    <w:rsid w:val="348B4A67"/>
    <w:rsid w:val="34CC09C2"/>
    <w:rsid w:val="34EB0D54"/>
    <w:rsid w:val="35961B12"/>
    <w:rsid w:val="359C5D0B"/>
    <w:rsid w:val="362E70B0"/>
    <w:rsid w:val="364523AD"/>
    <w:rsid w:val="36700D38"/>
    <w:rsid w:val="36C4673D"/>
    <w:rsid w:val="37455248"/>
    <w:rsid w:val="37741632"/>
    <w:rsid w:val="37B10B63"/>
    <w:rsid w:val="37D17C49"/>
    <w:rsid w:val="388F766F"/>
    <w:rsid w:val="38C464B7"/>
    <w:rsid w:val="390721D7"/>
    <w:rsid w:val="393B510C"/>
    <w:rsid w:val="393F4767"/>
    <w:rsid w:val="39A97E97"/>
    <w:rsid w:val="39BF365D"/>
    <w:rsid w:val="3A260C29"/>
    <w:rsid w:val="3A6A095C"/>
    <w:rsid w:val="3B57268D"/>
    <w:rsid w:val="3B6176CE"/>
    <w:rsid w:val="3B711156"/>
    <w:rsid w:val="3BD24DDA"/>
    <w:rsid w:val="3BDC1949"/>
    <w:rsid w:val="3BF9504C"/>
    <w:rsid w:val="3C8D362E"/>
    <w:rsid w:val="3CF11603"/>
    <w:rsid w:val="3D6F4D41"/>
    <w:rsid w:val="3D7507FB"/>
    <w:rsid w:val="3EB5127A"/>
    <w:rsid w:val="3F503E5E"/>
    <w:rsid w:val="3FC16214"/>
    <w:rsid w:val="402B7147"/>
    <w:rsid w:val="41045A2C"/>
    <w:rsid w:val="41576FF8"/>
    <w:rsid w:val="4193593E"/>
    <w:rsid w:val="41D9164E"/>
    <w:rsid w:val="41DD521D"/>
    <w:rsid w:val="423B7022"/>
    <w:rsid w:val="4389060E"/>
    <w:rsid w:val="43C8028A"/>
    <w:rsid w:val="43D51667"/>
    <w:rsid w:val="43DA2D47"/>
    <w:rsid w:val="443B2C25"/>
    <w:rsid w:val="44811914"/>
    <w:rsid w:val="448421F1"/>
    <w:rsid w:val="45D37D9B"/>
    <w:rsid w:val="46896F24"/>
    <w:rsid w:val="47A914E0"/>
    <w:rsid w:val="48194FD5"/>
    <w:rsid w:val="484514CB"/>
    <w:rsid w:val="48516103"/>
    <w:rsid w:val="48C86EE1"/>
    <w:rsid w:val="49FA6EF8"/>
    <w:rsid w:val="4A234CD8"/>
    <w:rsid w:val="4A784961"/>
    <w:rsid w:val="4ABD2E7A"/>
    <w:rsid w:val="4ACF3A3C"/>
    <w:rsid w:val="4AD62F03"/>
    <w:rsid w:val="4B1700DF"/>
    <w:rsid w:val="4B3C4946"/>
    <w:rsid w:val="4C4030C5"/>
    <w:rsid w:val="4C4966B5"/>
    <w:rsid w:val="4D7D581F"/>
    <w:rsid w:val="4D9E7871"/>
    <w:rsid w:val="4F0F6A19"/>
    <w:rsid w:val="503126A7"/>
    <w:rsid w:val="5151526B"/>
    <w:rsid w:val="51B81C05"/>
    <w:rsid w:val="51D10A66"/>
    <w:rsid w:val="51EB659B"/>
    <w:rsid w:val="528A390F"/>
    <w:rsid w:val="528C6991"/>
    <w:rsid w:val="536743D0"/>
    <w:rsid w:val="54054633"/>
    <w:rsid w:val="540605E4"/>
    <w:rsid w:val="54670726"/>
    <w:rsid w:val="547F0032"/>
    <w:rsid w:val="54A02A20"/>
    <w:rsid w:val="55C87B3E"/>
    <w:rsid w:val="5612444E"/>
    <w:rsid w:val="56583C42"/>
    <w:rsid w:val="56804F1E"/>
    <w:rsid w:val="582964DE"/>
    <w:rsid w:val="58604D9A"/>
    <w:rsid w:val="58D67D8C"/>
    <w:rsid w:val="58E10577"/>
    <w:rsid w:val="59165EF7"/>
    <w:rsid w:val="59702A12"/>
    <w:rsid w:val="5AC11BEA"/>
    <w:rsid w:val="5AED2A9C"/>
    <w:rsid w:val="5BC746C9"/>
    <w:rsid w:val="5BE96D0B"/>
    <w:rsid w:val="5C2B6EE8"/>
    <w:rsid w:val="5CC61F72"/>
    <w:rsid w:val="5CF10C74"/>
    <w:rsid w:val="5CF206F7"/>
    <w:rsid w:val="5E0B3D5F"/>
    <w:rsid w:val="5E455D78"/>
    <w:rsid w:val="5E6415B9"/>
    <w:rsid w:val="5E8F1C6F"/>
    <w:rsid w:val="5EA0340D"/>
    <w:rsid w:val="5ED66C3C"/>
    <w:rsid w:val="5F4A6E89"/>
    <w:rsid w:val="5F843350"/>
    <w:rsid w:val="5F8F25F5"/>
    <w:rsid w:val="5FDD643B"/>
    <w:rsid w:val="607532DC"/>
    <w:rsid w:val="60BA3E42"/>
    <w:rsid w:val="6194383B"/>
    <w:rsid w:val="61A14A39"/>
    <w:rsid w:val="61CB5375"/>
    <w:rsid w:val="623348CA"/>
    <w:rsid w:val="62511574"/>
    <w:rsid w:val="63B82D47"/>
    <w:rsid w:val="64191A38"/>
    <w:rsid w:val="65CA685B"/>
    <w:rsid w:val="65CF34A7"/>
    <w:rsid w:val="65F660EF"/>
    <w:rsid w:val="664A49F2"/>
    <w:rsid w:val="6673798C"/>
    <w:rsid w:val="673905B6"/>
    <w:rsid w:val="67CF1F44"/>
    <w:rsid w:val="67D32E09"/>
    <w:rsid w:val="681C3942"/>
    <w:rsid w:val="682B1E8C"/>
    <w:rsid w:val="68460AAC"/>
    <w:rsid w:val="68AC1CFE"/>
    <w:rsid w:val="68E4579B"/>
    <w:rsid w:val="69C754B6"/>
    <w:rsid w:val="6A5D4A41"/>
    <w:rsid w:val="6A7F580E"/>
    <w:rsid w:val="6B5F32A5"/>
    <w:rsid w:val="6BB4707C"/>
    <w:rsid w:val="6BCD1DE6"/>
    <w:rsid w:val="6C434E84"/>
    <w:rsid w:val="6C505023"/>
    <w:rsid w:val="6D14299F"/>
    <w:rsid w:val="6D36104E"/>
    <w:rsid w:val="6D672A1E"/>
    <w:rsid w:val="6DC237D1"/>
    <w:rsid w:val="6F3B3713"/>
    <w:rsid w:val="6F40725E"/>
    <w:rsid w:val="711172CF"/>
    <w:rsid w:val="71166CCD"/>
    <w:rsid w:val="71FD54DD"/>
    <w:rsid w:val="72025180"/>
    <w:rsid w:val="72D64389"/>
    <w:rsid w:val="73855BD1"/>
    <w:rsid w:val="7410294D"/>
    <w:rsid w:val="741F3809"/>
    <w:rsid w:val="757B0F93"/>
    <w:rsid w:val="7589009F"/>
    <w:rsid w:val="75CC648C"/>
    <w:rsid w:val="75E25B0A"/>
    <w:rsid w:val="764475C6"/>
    <w:rsid w:val="76BD26F7"/>
    <w:rsid w:val="76D71644"/>
    <w:rsid w:val="76DB54DE"/>
    <w:rsid w:val="76F45B53"/>
    <w:rsid w:val="771B43E0"/>
    <w:rsid w:val="776C2FB6"/>
    <w:rsid w:val="77741C69"/>
    <w:rsid w:val="77FD1636"/>
    <w:rsid w:val="780D6D66"/>
    <w:rsid w:val="79982284"/>
    <w:rsid w:val="7998662D"/>
    <w:rsid w:val="79D15C97"/>
    <w:rsid w:val="7A0467A9"/>
    <w:rsid w:val="7A8C5878"/>
    <w:rsid w:val="7B4038F6"/>
    <w:rsid w:val="7B471854"/>
    <w:rsid w:val="7C552333"/>
    <w:rsid w:val="7CA86C55"/>
    <w:rsid w:val="7CF019C1"/>
    <w:rsid w:val="7D461CAD"/>
    <w:rsid w:val="7E28286A"/>
    <w:rsid w:val="7E4401F0"/>
    <w:rsid w:val="7E4515FE"/>
    <w:rsid w:val="7EAD59B2"/>
    <w:rsid w:val="7EB66E8C"/>
    <w:rsid w:val="7F91273C"/>
    <w:rsid w:val="EF7FC421"/>
    <w:rsid w:val="FFABAE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3"/>
    <w:next w:val="5"/>
    <w:link w:val="61"/>
    <w:qFormat/>
    <w:uiPriority w:val="0"/>
    <w:pPr>
      <w:keepNext/>
      <w:keepLines/>
      <w:spacing w:before="260" w:after="260" w:line="416" w:lineRule="auto"/>
      <w:jc w:val="center"/>
      <w:outlineLvl w:val="1"/>
    </w:pPr>
    <w:rPr>
      <w:rFonts w:ascii="Arial" w:hAnsi="Arial" w:eastAsiaTheme="minorEastAsia"/>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2"/>
    <w:qFormat/>
    <w:uiPriority w:val="0"/>
    <w:rPr>
      <w:kern w:val="2"/>
      <w:sz w:val="21"/>
      <w:szCs w:val="24"/>
    </w:rPr>
  </w:style>
  <w:style w:type="character" w:customStyle="1" w:styleId="75">
    <w:name w:val="纯文本 Char"/>
    <w:link w:val="27"/>
    <w:qFormat/>
    <w:uiPriority w:val="0"/>
    <w:rPr>
      <w:rFonts w:ascii="宋体" w:hAnsi="Courier New" w:eastAsia="宋体"/>
      <w:kern w:val="2"/>
      <w:sz w:val="21"/>
      <w:lang w:val="en-US" w:eastAsia="zh-CN" w:bidi="ar-SA"/>
    </w:rPr>
  </w:style>
  <w:style w:type="character" w:customStyle="1" w:styleId="76">
    <w:name w:val="正文文本缩进 2 Char1"/>
    <w:link w:val="30"/>
    <w:qFormat/>
    <w:uiPriority w:val="0"/>
    <w:rPr>
      <w:kern w:val="2"/>
      <w:sz w:val="21"/>
      <w:szCs w:val="24"/>
    </w:rPr>
  </w:style>
  <w:style w:type="character" w:customStyle="1" w:styleId="77">
    <w:name w:val="批注框文本 Char"/>
    <w:basedOn w:val="52"/>
    <w:link w:val="31"/>
    <w:qFormat/>
    <w:uiPriority w:val="99"/>
    <w:rPr>
      <w:kern w:val="2"/>
      <w:sz w:val="18"/>
      <w:szCs w:val="18"/>
    </w:rPr>
  </w:style>
  <w:style w:type="character" w:customStyle="1" w:styleId="78">
    <w:name w:val="页脚 Char"/>
    <w:basedOn w:val="52"/>
    <w:link w:val="32"/>
    <w:qFormat/>
    <w:uiPriority w:val="99"/>
    <w:rPr>
      <w:kern w:val="2"/>
      <w:sz w:val="18"/>
      <w:szCs w:val="18"/>
    </w:rPr>
  </w:style>
  <w:style w:type="character" w:customStyle="1" w:styleId="79">
    <w:name w:val="页眉 Char"/>
    <w:link w:val="33"/>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112</Pages>
  <Words>16268</Words>
  <Characters>17207</Characters>
  <Lines>483</Lines>
  <Paragraphs>136</Paragraphs>
  <TotalTime>4</TotalTime>
  <ScaleCrop>false</ScaleCrop>
  <LinksUpToDate>false</LinksUpToDate>
  <CharactersWithSpaces>17331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2019-11-09T01:16:00Z</dcterms:created>
  <dc:creator>微软用户</dc:creator>
  <cp:lastModifiedBy>Charlie</cp:lastModifiedBy>
  <cp:lastPrinted>2020-05-27T01:03:00Z</cp:lastPrinted>
  <dcterms:modified xsi:type="dcterms:W3CDTF">2026-06-10T08:57:58Z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44FCC19EEB5642D5ACD4D8BB4F2C98D2_13</vt:lpwstr>
  </property>
  <property fmtid="{D5CDD505-2E9C-101B-9397-08002B2CF9AE}" pid="4" name="KSOTemplateDocerSaveRecord">
    <vt:lpwstr>eyJoZGlkIjoiNjkxMGRjZGE2MTQwZmU2OGRiYjdhZjA1ZDNjMWIzOTEiLCJ1c2VySWQiOiI3NzQwMjg2MTUifQ==</vt:lpwstr>
  </property>
</Properties>
</file>