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企业名称审查指南及近似行业表述索引项目（第二次招标）</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项目编号：SZZZ2023-QC0055</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r>
        <w:rPr>
          <w:rFonts w:eastAsia="经典标宋简"/>
          <w:b/>
          <w:snapToGrid w:val="0"/>
          <w:kern w:val="0"/>
          <w:sz w:val="44"/>
        </w:rPr>
        <w:t xml:space="preserve"> </w:t>
      </w:r>
    </w:p>
    <w:p/>
    <w:p/>
    <w:p/>
    <w:p/>
    <w:p/>
    <w:p>
      <w:pPr>
        <w:pStyle w:val="28"/>
        <w:adjustRightInd w:val="0"/>
        <w:snapToGrid w:val="0"/>
        <w:spacing w:line="300" w:lineRule="auto"/>
        <w:ind w:hanging="835"/>
        <w:jc w:val="center"/>
        <w:rPr>
          <w:b/>
          <w:kern w:val="0"/>
          <w:sz w:val="28"/>
          <w:szCs w:val="28"/>
        </w:rPr>
      </w:pPr>
      <w:r>
        <w:rPr>
          <w:rFonts w:hint="eastAsia"/>
          <w:b/>
          <w:snapToGrid w:val="0"/>
          <w:sz w:val="30"/>
        </w:rPr>
        <w:t>二〇二三年</w:t>
      </w:r>
      <w:r>
        <w:rPr>
          <w:rFonts w:hint="eastAsia"/>
          <w:b/>
          <w:snapToGrid w:val="0"/>
          <w:sz w:val="30"/>
          <w:lang w:val="en-US" w:eastAsia="zh-CN"/>
        </w:rPr>
        <w:t>三</w:t>
      </w:r>
      <w:r>
        <w:rPr>
          <w:rFonts w:hint="eastAsia"/>
          <w:b/>
          <w:snapToGrid w:val="0"/>
          <w:sz w:val="30"/>
        </w:rPr>
        <w:t>月</w:t>
      </w:r>
      <w:r>
        <w:rPr>
          <w:b/>
          <w:kern w:val="0"/>
          <w:sz w:val="28"/>
          <w:szCs w:val="28"/>
        </w:rPr>
        <w:br w:type="page"/>
      </w: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widowControl/>
        <w:spacing w:line="360" w:lineRule="auto"/>
        <w:ind w:firstLine="420" w:firstLineChars="200"/>
        <w:jc w:val="left"/>
      </w:pPr>
      <w:r>
        <w:br w:type="page"/>
      </w:r>
    </w:p>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color w:val="000000" w:themeColor="text1"/>
              <w:lang w:val="zh-CN"/>
              <w14:textFill>
                <w14:solidFill>
                  <w14:schemeClr w14:val="tx1"/>
                </w14:solidFill>
              </w14:textFill>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pPr>
            <w:rPr>
              <w:lang w:val="zh-CN"/>
            </w:rPr>
          </w:pPr>
        </w:p>
        <w:p>
          <w:pPr>
            <w:pStyle w:val="34"/>
            <w:tabs>
              <w:tab w:val="right" w:leader="dot" w:pos="9628"/>
            </w:tabs>
            <w:spacing w:line="36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"_Toc110410359"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_Toc110410361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"_Toc110410366"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"_Toc110410367"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"_Toc110410382"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_Toc110410382 \h </w:instrText>
          </w:r>
          <w:r>
            <w:rPr>
              <w:rFonts w:hint="eastAsia" w:ascii="仿宋_GB2312" w:eastAsia="仿宋_GB2312"/>
              <w:sz w:val="24"/>
            </w:rPr>
            <w:fldChar w:fldCharType="separate"/>
          </w:r>
          <w:r>
            <w:rPr>
              <w:rFonts w:hint="eastAsia" w:ascii="仿宋_GB2312" w:eastAsia="仿宋_GB2312"/>
              <w:sz w:val="24"/>
            </w:rPr>
            <w:t>56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"_Toc110410383"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_Toc110410383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_Toc110410384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_Toc110410385 \h </w:instrText>
          </w:r>
          <w:r>
            <w:rPr>
              <w:rFonts w:hint="eastAsia" w:ascii="仿宋_GB2312" w:eastAsia="仿宋_GB2312"/>
              <w:sz w:val="24"/>
            </w:rPr>
            <w:fldChar w:fldCharType="separate"/>
          </w:r>
          <w:r>
            <w:rPr>
              <w:rFonts w:hint="eastAsia" w:ascii="仿宋_GB2312" w:eastAsia="仿宋_GB2312"/>
              <w:sz w:val="24"/>
            </w:rPr>
            <w:t>63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_Toc110410386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fldChar w:fldCharType="begin"/>
          </w:r>
          <w:r>
            <w:instrText xml:space="preserve"> HYPERLINK \l "_Toc110410387"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_Toc110410387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pPr>
        <w:widowControl/>
        <w:jc w:val="left"/>
      </w:pPr>
      <w:r>
        <w:br w:type="page"/>
      </w:r>
    </w:p>
    <w:p/>
    <w:p>
      <w:pPr>
        <w:pStyle w:val="3"/>
      </w:pPr>
      <w:bookmarkStart w:id="0" w:name="_Toc1104103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企业名称审查指南及近似行业表述索引项目（第二次招标）</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3</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31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SZZZ2023-QC0055</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企业名称审查指南及近似行业表述索引项目（第二次招标）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40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40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5"/>
              <w:spacing w:line="360" w:lineRule="auto"/>
              <w:jc w:val="center"/>
              <w:rPr>
                <w:sz w:val="21"/>
              </w:rPr>
            </w:pPr>
            <w:r>
              <w:rPr>
                <w:sz w:val="21"/>
              </w:rPr>
              <w:t>标的名称</w:t>
            </w:r>
          </w:p>
        </w:tc>
        <w:tc>
          <w:tcPr>
            <w:tcW w:w="921"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企业名称审查指南及近似行业表述索引项目（第二次招标）</w:t>
            </w:r>
          </w:p>
        </w:tc>
        <w:tc>
          <w:tcPr>
            <w:tcW w:w="92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（6）本项目不接受联合体投标，不允许非法分包或转包。</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点30分（北京时间）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名称：深圳市企业注册局</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地址：深圳市福田区泰然九路海松大厦A座3A01</w:t>
      </w:r>
    </w:p>
    <w:p>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联系方式：赵工</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lang w:val="en-US" w:eastAsia="zh-CN"/>
        </w:rPr>
        <w:t>0755-23607316</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联系方式：曾工，0755-83026699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项目联系人：曾工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2023年</w:t>
      </w:r>
      <w:r>
        <w:rPr>
          <w:rFonts w:hint="eastAsia" w:ascii="宋体" w:hAnsi="宋体"/>
          <w:snapToGrid w:val="0"/>
          <w:kern w:val="0"/>
          <w:sz w:val="24"/>
          <w:lang w:val="en-US" w:eastAsia="zh-CN"/>
        </w:rPr>
        <w:t>3</w:t>
      </w:r>
      <w:r>
        <w:rPr>
          <w:rFonts w:ascii="宋体" w:hAnsi="宋体"/>
          <w:snapToGrid w:val="0"/>
          <w:kern w:val="0"/>
          <w:sz w:val="24"/>
        </w:rPr>
        <w:t>月</w:t>
      </w:r>
      <w:r>
        <w:rPr>
          <w:rFonts w:hint="eastAsia" w:ascii="宋体" w:hAnsi="宋体"/>
          <w:snapToGrid w:val="0"/>
          <w:kern w:val="0"/>
          <w:sz w:val="24"/>
          <w:lang w:val="en-US" w:eastAsia="zh-CN"/>
        </w:rPr>
        <w:t>20</w:t>
      </w:r>
      <w:bookmarkStart w:id="94" w:name="_GoBack"/>
      <w:bookmarkEnd w:id="94"/>
      <w:r>
        <w:rPr>
          <w:rFonts w:hint="eastAsia" w:ascii="宋体" w:hAnsi="宋体"/>
          <w:snapToGrid w:val="0"/>
          <w:kern w:val="0"/>
          <w:sz w:val="24"/>
        </w:rPr>
        <w:t>日</w:t>
      </w:r>
    </w:p>
    <w:p>
      <w:pPr>
        <w:widowControl/>
        <w:jc w:val="left"/>
      </w:pPr>
    </w:p>
    <w:p/>
    <w:p>
      <w:pPr>
        <w:pStyle w:val="3"/>
      </w:pPr>
      <w:bookmarkStart w:id="1" w:name="_Toc110410360"/>
    </w:p>
    <w:p>
      <w:pPr>
        <w:pStyle w:val="3"/>
      </w:pPr>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1"/>
        <w:ind w:firstLine="0" w:firstLineChars="0"/>
        <w:rPr>
          <w:b/>
        </w:rPr>
      </w:pPr>
    </w:p>
    <w:p>
      <w:pPr>
        <w:pStyle w:val="321"/>
        <w:ind w:firstLine="0" w:firstLineChars="0"/>
        <w:rPr>
          <w:b/>
        </w:rPr>
      </w:pPr>
      <w:r>
        <w:rPr>
          <w:rFonts w:hint="eastAsia"/>
          <w:b/>
        </w:rPr>
        <w:t>一、项目概况</w:t>
      </w:r>
    </w:p>
    <w:p>
      <w:pPr>
        <w:pStyle w:val="321"/>
        <w:ind w:firstLine="420"/>
        <w:rPr>
          <w:b/>
        </w:rPr>
      </w:pPr>
      <w:r>
        <w:rPr>
          <w:rFonts w:hint="eastAsia"/>
          <w:bCs/>
          <w:sz w:val="21"/>
          <w:szCs w:val="21"/>
        </w:rPr>
        <w:t>为落实《企业名称登记管理规定》，充分尊重企业自主选择企业名称权利、进一步释放企业名称资源等文件精神，同时加强企业名称的登记、审查等管理以及对商事主体的商标权、名称权等合法权益的保护，需进一步健全深圳市企业名称登记管理规范与制度体系，持续优化企业名称登记与管理流程，实现名称申报、审查及争议处理等业务的规范化，不断强化登记机关的履职能力以及对企业名称登记的事中事后监管。</w:t>
      </w:r>
    </w:p>
    <w:p>
      <w:pPr>
        <w:pStyle w:val="321"/>
        <w:ind w:firstLine="0" w:firstLineChars="0"/>
        <w:rPr>
          <w:b/>
        </w:rPr>
      </w:pPr>
      <w:r>
        <w:rPr>
          <w:rFonts w:hint="eastAsia"/>
          <w:b/>
        </w:rPr>
        <w:t>二、项目服务要求</w:t>
      </w:r>
    </w:p>
    <w:p>
      <w:pPr>
        <w:pStyle w:val="506"/>
        <w:wordWrap/>
        <w:spacing w:afterLines="0" w:line="360" w:lineRule="auto"/>
        <w:ind w:firstLine="422"/>
        <w:rPr>
          <w:rFonts w:cs="Times New Roman"/>
          <w:b/>
          <w:bCs/>
          <w:snapToGrid/>
          <w:spacing w:val="0"/>
          <w:sz w:val="21"/>
          <w:szCs w:val="21"/>
        </w:rPr>
      </w:pPr>
      <w:r>
        <w:rPr>
          <w:rFonts w:hint="eastAsia" w:cs="Times New Roman"/>
          <w:b/>
          <w:bCs/>
          <w:snapToGrid/>
          <w:spacing w:val="0"/>
          <w:sz w:val="21"/>
          <w:szCs w:val="21"/>
        </w:rPr>
        <w:t>（一）服务范围</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本项目服务（覆盖）范围为深圳市企业注册局所辖区域。</w:t>
      </w:r>
    </w:p>
    <w:p>
      <w:pPr>
        <w:pStyle w:val="321"/>
        <w:ind w:firstLine="420"/>
        <w:rPr>
          <w:bCs/>
          <w:sz w:val="21"/>
          <w:szCs w:val="21"/>
        </w:rPr>
      </w:pPr>
    </w:p>
    <w:p>
      <w:pPr>
        <w:pStyle w:val="321"/>
        <w:ind w:firstLine="422"/>
        <w:rPr>
          <w:b/>
          <w:sz w:val="21"/>
          <w:szCs w:val="21"/>
        </w:rPr>
      </w:pPr>
      <w:r>
        <w:rPr>
          <w:rFonts w:hint="eastAsia"/>
          <w:b/>
          <w:sz w:val="21"/>
          <w:szCs w:val="21"/>
        </w:rPr>
        <w:t>（二）业务规范编制要求</w:t>
      </w:r>
    </w:p>
    <w:p>
      <w:pPr>
        <w:pStyle w:val="321"/>
        <w:ind w:firstLine="420"/>
        <w:rPr>
          <w:bCs/>
          <w:sz w:val="21"/>
          <w:szCs w:val="21"/>
        </w:rPr>
      </w:pPr>
      <w:r>
        <w:rPr>
          <w:rFonts w:hint="eastAsia"/>
          <w:bCs/>
          <w:sz w:val="21"/>
          <w:szCs w:val="21"/>
        </w:rPr>
        <w:t>1.依据企业名称登记有关法律、法规和规范性文件，研究制定《深圳市市场主体名称审查管理指南》，指导登记机关开展市场主体名称审查和名称管理等，为实际工作提供依据与系统、规范的操作指引；</w:t>
      </w:r>
    </w:p>
    <w:p>
      <w:pPr>
        <w:pStyle w:val="321"/>
        <w:ind w:firstLine="420"/>
        <w:rPr>
          <w:bCs/>
          <w:sz w:val="21"/>
          <w:szCs w:val="21"/>
        </w:rPr>
      </w:pPr>
      <w:r>
        <w:rPr>
          <w:rFonts w:hint="eastAsia"/>
          <w:bCs/>
          <w:sz w:val="21"/>
          <w:szCs w:val="21"/>
        </w:rPr>
        <w:t>2.基于对深圳市已登记企业名称中行业表述的梳理归整，研究制定《企业名称近似行业表述索引》，支持名称自主申报系统自动判断和提示企业名称近似行业表述，提高名称审查效率。</w:t>
      </w:r>
    </w:p>
    <w:p>
      <w:pPr>
        <w:pStyle w:val="321"/>
        <w:ind w:firstLine="422"/>
        <w:rPr>
          <w:b/>
          <w:sz w:val="21"/>
          <w:szCs w:val="21"/>
        </w:rPr>
      </w:pPr>
      <w:r>
        <w:rPr>
          <w:rFonts w:hint="eastAsia"/>
          <w:b/>
          <w:sz w:val="21"/>
          <w:szCs w:val="21"/>
        </w:rPr>
        <w:t>（三）业务支撑服务要求</w:t>
      </w:r>
    </w:p>
    <w:p>
      <w:pPr>
        <w:pStyle w:val="321"/>
        <w:ind w:firstLine="420"/>
        <w:rPr>
          <w:bCs/>
          <w:sz w:val="21"/>
          <w:szCs w:val="21"/>
        </w:rPr>
      </w:pPr>
      <w:r>
        <w:rPr>
          <w:rFonts w:hint="eastAsia"/>
          <w:bCs/>
          <w:sz w:val="21"/>
          <w:szCs w:val="21"/>
        </w:rPr>
        <w:t>1.依据《企业名称登记管理规定》等文件要求，提供深圳市各登记窗口已审批企业名称的核查、预警服务；结合国际政治、国家战略、政府政策及社会事件、热点等，提供企业名称舆情监测与深圳市已登记企业名称的巡查预警服务，支撑保障企业名称的规范使用。</w:t>
      </w:r>
    </w:p>
    <w:p>
      <w:pPr>
        <w:pStyle w:val="321"/>
        <w:ind w:firstLine="422"/>
        <w:rPr>
          <w:b/>
          <w:sz w:val="21"/>
          <w:szCs w:val="21"/>
        </w:rPr>
      </w:pPr>
      <w:r>
        <w:rPr>
          <w:rFonts w:hint="eastAsia"/>
          <w:b/>
          <w:sz w:val="21"/>
          <w:szCs w:val="21"/>
        </w:rPr>
        <w:t>（四）业务相关技术支持要求</w:t>
      </w:r>
    </w:p>
    <w:p>
      <w:pPr>
        <w:pStyle w:val="321"/>
        <w:ind w:firstLine="420"/>
        <w:rPr>
          <w:bCs/>
          <w:sz w:val="21"/>
          <w:szCs w:val="21"/>
        </w:rPr>
      </w:pPr>
      <w:r>
        <w:rPr>
          <w:rFonts w:hint="eastAsia"/>
          <w:bCs/>
          <w:sz w:val="21"/>
          <w:szCs w:val="21"/>
        </w:rPr>
        <w:t>1、为保障企业名称登记与管理工作紧跟最新政策与市场动向，在服务期限内，中标人须按照建设单位的要求，开展对企业名称舆情关键词的更新管理、行业表述索引的更新管理、企业名称审查纠正相关情况分析等有关业务支持。</w:t>
      </w:r>
    </w:p>
    <w:p>
      <w:pPr>
        <w:pStyle w:val="321"/>
        <w:ind w:firstLine="422"/>
        <w:rPr>
          <w:b/>
          <w:sz w:val="21"/>
          <w:szCs w:val="21"/>
        </w:rPr>
      </w:pPr>
      <w:r>
        <w:rPr>
          <w:rFonts w:hint="eastAsia"/>
          <w:b/>
          <w:sz w:val="21"/>
          <w:szCs w:val="21"/>
        </w:rPr>
        <w:t>（五）服务人员要求</w:t>
      </w:r>
    </w:p>
    <w:p>
      <w:pPr>
        <w:pStyle w:val="321"/>
        <w:ind w:firstLine="420"/>
        <w:rPr>
          <w:bCs/>
          <w:sz w:val="21"/>
          <w:szCs w:val="21"/>
        </w:rPr>
      </w:pPr>
      <w:r>
        <w:rPr>
          <w:rFonts w:hint="eastAsia"/>
          <w:bCs/>
          <w:sz w:val="21"/>
          <w:szCs w:val="21"/>
        </w:rPr>
        <w:t>1.中标人应组织专业团队，提供项目研究和技术支持服务，</w:t>
      </w:r>
      <w:r>
        <w:rPr>
          <w:rFonts w:hint="eastAsia"/>
          <w:bCs/>
          <w:sz w:val="21"/>
          <w:szCs w:val="21"/>
          <w:lang w:val="en-US" w:eastAsia="zh-CN"/>
        </w:rPr>
        <w:t>配置</w:t>
      </w:r>
      <w:r>
        <w:rPr>
          <w:rFonts w:hint="eastAsia"/>
          <w:bCs/>
          <w:sz w:val="21"/>
          <w:szCs w:val="21"/>
        </w:rPr>
        <w:t>至少</w:t>
      </w:r>
      <w:r>
        <w:rPr>
          <w:rFonts w:hint="eastAsia"/>
          <w:bCs/>
          <w:sz w:val="21"/>
          <w:szCs w:val="21"/>
          <w:lang w:val="en-US" w:eastAsia="zh-CN"/>
        </w:rPr>
        <w:t>5名项目成员</w:t>
      </w:r>
      <w:r>
        <w:rPr>
          <w:rFonts w:hint="eastAsia"/>
          <w:bCs/>
          <w:sz w:val="21"/>
          <w:szCs w:val="21"/>
        </w:rPr>
        <w:t>，其中至少2名高级工程师。</w:t>
      </w:r>
    </w:p>
    <w:p>
      <w:pPr>
        <w:pStyle w:val="321"/>
        <w:ind w:firstLine="422"/>
        <w:rPr>
          <w:b/>
          <w:sz w:val="21"/>
          <w:szCs w:val="21"/>
        </w:rPr>
      </w:pPr>
      <w:r>
        <w:rPr>
          <w:rFonts w:hint="eastAsia"/>
          <w:b/>
          <w:sz w:val="21"/>
          <w:szCs w:val="21"/>
        </w:rPr>
        <w:t>（六）保密要求</w:t>
      </w:r>
    </w:p>
    <w:p>
      <w:pPr>
        <w:pStyle w:val="321"/>
        <w:ind w:firstLine="420"/>
        <w:rPr>
          <w:bCs/>
          <w:sz w:val="21"/>
          <w:szCs w:val="21"/>
        </w:rPr>
      </w:pPr>
      <w:r>
        <w:rPr>
          <w:rFonts w:hint="eastAsia"/>
          <w:bCs/>
          <w:sz w:val="21"/>
          <w:szCs w:val="21"/>
        </w:rPr>
        <w:t>1.中标人参与项目的所有人员应严格遵守建设单位的保密要求签订保密协议，并由中标人担保；</w:t>
      </w:r>
    </w:p>
    <w:p>
      <w:pPr>
        <w:pStyle w:val="321"/>
        <w:ind w:firstLine="0" w:firstLineChars="0"/>
        <w:rPr>
          <w:bCs/>
          <w:sz w:val="21"/>
          <w:szCs w:val="21"/>
        </w:rPr>
      </w:pPr>
      <w:r>
        <w:rPr>
          <w:rFonts w:hint="eastAsia"/>
          <w:bCs/>
          <w:sz w:val="21"/>
          <w:szCs w:val="21"/>
        </w:rPr>
        <w:t>中标人对于建设单位提供的资料，不得以任何形式向第三方传播。保密期限不受本项目期限的限制，在本项目履行完毕后，保密信息接受方仍应承担保密义务。</w:t>
      </w:r>
    </w:p>
    <w:p>
      <w:pPr>
        <w:pStyle w:val="321"/>
        <w:ind w:firstLine="0" w:firstLineChars="0"/>
        <w:rPr>
          <w:b/>
        </w:rPr>
      </w:pPr>
    </w:p>
    <w:p>
      <w:pPr>
        <w:pStyle w:val="321"/>
        <w:ind w:firstLine="0" w:firstLineChars="0"/>
        <w:rPr>
          <w:b/>
        </w:rPr>
      </w:pPr>
      <w:r>
        <w:rPr>
          <w:rFonts w:hint="eastAsia"/>
          <w:b/>
        </w:rPr>
        <w:t>三、项目商务要求</w:t>
      </w:r>
    </w:p>
    <w:p>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自合同签订之日起至2023年11月30日前完成。本项目为长期服务项目，合同累计履行期限最长不得超过三十六个月。服务期满后采购人可根据项目需求和中标供应商的履约情况确定合同期限是否延长，最多续签两次，合同一年一签。</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采购人指定地点。</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pPr>
        <w:spacing w:line="360" w:lineRule="auto"/>
        <w:ind w:firstLine="420" w:firstLineChars="200"/>
        <w:jc w:val="left"/>
        <w:rPr>
          <w:rFonts w:ascii="宋体" w:hAnsi="宋体"/>
          <w:szCs w:val="21"/>
        </w:rPr>
      </w:pPr>
      <w:r>
        <w:rPr>
          <w:rFonts w:hint="eastAsia" w:ascii="宋体" w:hAnsi="宋体"/>
          <w:szCs w:val="21"/>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360" w:lineRule="auto"/>
        <w:ind w:firstLine="420" w:firstLineChars="200"/>
        <w:jc w:val="left"/>
        <w:rPr>
          <w:rFonts w:ascii="宋体" w:hAnsi="宋体"/>
          <w:szCs w:val="21"/>
        </w:rPr>
      </w:pPr>
      <w:r>
        <w:rPr>
          <w:rFonts w:hint="eastAsia" w:ascii="宋体" w:hAnsi="宋体"/>
          <w:szCs w:val="21"/>
        </w:rPr>
        <w:t>2.投标供应商应当根据本企业的成本自行决定报价，但不得以低于其企业成本的报价投标。</w:t>
      </w:r>
    </w:p>
    <w:p>
      <w:pPr>
        <w:spacing w:line="360" w:lineRule="auto"/>
        <w:ind w:firstLine="420" w:firstLineChars="200"/>
        <w:jc w:val="left"/>
        <w:rPr>
          <w:rFonts w:ascii="宋体" w:hAnsi="宋体"/>
          <w:szCs w:val="21"/>
        </w:rPr>
      </w:pPr>
      <w:r>
        <w:rPr>
          <w:rFonts w:hint="eastAsia" w:ascii="宋体" w:hAnsi="宋体"/>
          <w:szCs w:val="21"/>
        </w:rPr>
        <w:t>3.投标供应商的报价不得超过项目预算金额。</w:t>
      </w:r>
    </w:p>
    <w:p>
      <w:pPr>
        <w:spacing w:line="360" w:lineRule="auto"/>
        <w:ind w:firstLine="420" w:firstLineChars="200"/>
        <w:jc w:val="left"/>
        <w:rPr>
          <w:rFonts w:ascii="宋体" w:hAnsi="宋体"/>
          <w:szCs w:val="21"/>
        </w:rPr>
      </w:pPr>
      <w:r>
        <w:rPr>
          <w:rFonts w:hint="eastAsia" w:ascii="宋体" w:hAnsi="宋体"/>
          <w:szCs w:val="21"/>
        </w:rPr>
        <w:t>4.投标供应商的报价，应当是本项目采购范围和采购文件及合同条款上所列的各项内容中所述的全部，不得以任何理由予以重复。</w:t>
      </w:r>
    </w:p>
    <w:p>
      <w:pPr>
        <w:spacing w:line="360" w:lineRule="auto"/>
        <w:ind w:firstLine="420" w:firstLineChars="200"/>
        <w:jc w:val="left"/>
        <w:rPr>
          <w:rFonts w:ascii="宋体" w:hAnsi="宋体"/>
          <w:szCs w:val="21"/>
        </w:rPr>
      </w:pPr>
      <w:r>
        <w:rPr>
          <w:rFonts w:hint="eastAsia" w:ascii="宋体" w:hAnsi="宋体"/>
          <w:szCs w:val="21"/>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360" w:lineRule="auto"/>
        <w:ind w:firstLine="420" w:firstLineChars="200"/>
        <w:jc w:val="left"/>
        <w:rPr>
          <w:rFonts w:ascii="宋体" w:hAnsi="宋体"/>
          <w:szCs w:val="21"/>
        </w:rPr>
      </w:pPr>
      <w:r>
        <w:rPr>
          <w:rFonts w:hint="eastAsia" w:ascii="宋体" w:hAnsi="宋体"/>
          <w:szCs w:val="21"/>
          <w:lang w:val="en-US" w:eastAsia="zh-CN"/>
        </w:rPr>
        <w:t>6</w:t>
      </w:r>
      <w:r>
        <w:rPr>
          <w:rFonts w:hint="eastAsia" w:ascii="宋体" w:hAnsi="宋体"/>
          <w:szCs w:val="21"/>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pPr>
        <w:pStyle w:val="255"/>
        <w:spacing w:beforeLines="0" w:line="360" w:lineRule="auto"/>
        <w:ind w:firstLine="0" w:firstLineChars="0"/>
        <w:rPr>
          <w:rFonts w:ascii="宋体" w:hAnsi="宋体" w:eastAsia="宋体"/>
          <w:szCs w:val="21"/>
        </w:rPr>
      </w:pPr>
      <w:r>
        <w:rPr>
          <w:rFonts w:hint="eastAsia" w:ascii="宋体" w:hAnsi="宋体" w:eastAsia="宋体"/>
          <w:szCs w:val="21"/>
        </w:rPr>
        <w:t>1．签订合同后，投标人提供全额发票并经采购人审核通过后，支付合同金额的50%；；</w:t>
      </w:r>
    </w:p>
    <w:p>
      <w:pPr>
        <w:pStyle w:val="255"/>
        <w:spacing w:beforeLines="0" w:line="360" w:lineRule="auto"/>
        <w:ind w:firstLine="0" w:firstLineChars="0"/>
        <w:rPr>
          <w:rFonts w:ascii="宋体" w:hAnsi="宋体" w:eastAsia="宋体"/>
          <w:szCs w:val="21"/>
        </w:rPr>
      </w:pPr>
      <w:r>
        <w:rPr>
          <w:rFonts w:hint="eastAsia" w:ascii="宋体" w:hAnsi="宋体" w:eastAsia="宋体"/>
          <w:szCs w:val="21"/>
        </w:rPr>
        <w:t>2．投标人按要求开展工作，提交成果资料并经采购人验收通过，在合同结束后支付合同金额的50%。</w:t>
      </w:r>
    </w:p>
    <w:p>
      <w:pPr>
        <w:pStyle w:val="255"/>
        <w:spacing w:beforeLines="0" w:line="360" w:lineRule="auto"/>
        <w:ind w:firstLine="0" w:firstLineChars="0"/>
        <w:rPr>
          <w:rFonts w:ascii="宋体" w:hAnsi="宋体" w:eastAsia="宋体"/>
          <w:b/>
          <w:bCs/>
          <w:szCs w:val="21"/>
        </w:rPr>
      </w:pPr>
      <w:r>
        <w:rPr>
          <w:rFonts w:hint="eastAsia" w:ascii="宋体" w:hAnsi="宋体" w:eastAsia="宋体"/>
          <w:b/>
          <w:bCs/>
          <w:szCs w:val="21"/>
        </w:rPr>
        <w:t>（五）违约责任：</w:t>
      </w:r>
    </w:p>
    <w:p>
      <w:pPr>
        <w:pStyle w:val="255"/>
        <w:spacing w:beforeLines="0" w:line="360" w:lineRule="auto"/>
        <w:ind w:firstLine="0" w:firstLineChars="0"/>
        <w:rPr>
          <w:rFonts w:ascii="宋体" w:hAnsi="宋体" w:eastAsia="宋体"/>
          <w:b/>
          <w:bCs/>
          <w:szCs w:val="21"/>
        </w:rPr>
      </w:pPr>
      <w:r>
        <w:rPr>
          <w:rFonts w:hint="eastAsia" w:ascii="宋体" w:hAnsi="宋体" w:eastAsia="宋体"/>
          <w:b/>
          <w:bCs/>
          <w:szCs w:val="21"/>
        </w:rPr>
        <w:t>1.不可抗力</w:t>
      </w:r>
    </w:p>
    <w:p>
      <w:pPr>
        <w:pStyle w:val="255"/>
        <w:spacing w:beforeLines="0" w:line="360" w:lineRule="auto"/>
        <w:ind w:firstLine="0" w:firstLineChars="0"/>
        <w:rPr>
          <w:rFonts w:ascii="宋体" w:hAnsi="宋体" w:eastAsia="宋体"/>
          <w:szCs w:val="21"/>
        </w:rPr>
      </w:pPr>
      <w:r>
        <w:rPr>
          <w:rFonts w:hint="eastAsia" w:ascii="宋体" w:hAnsi="宋体" w:eastAsia="宋体"/>
          <w:szCs w:val="21"/>
        </w:rPr>
        <w:t>1.1.发生诸如自然灾害、战争、地震突发事件等人力不可抗拒的情况时，乙方应积极采取措施，减少损失，并及时报告受害情况，甲乙双方承担各自的损失。由于其中一方延迟履行合同义务后发生不可抗力的，不能免除责任。</w:t>
      </w:r>
    </w:p>
    <w:p>
      <w:pPr>
        <w:pStyle w:val="255"/>
        <w:spacing w:beforeLines="0" w:line="360" w:lineRule="auto"/>
        <w:ind w:firstLine="0" w:firstLineChars="0"/>
        <w:rPr>
          <w:rFonts w:ascii="宋体" w:hAnsi="宋体" w:eastAsia="宋体"/>
          <w:szCs w:val="21"/>
        </w:rPr>
      </w:pPr>
      <w:r>
        <w:rPr>
          <w:rFonts w:hint="eastAsia" w:ascii="宋体" w:hAnsi="宋体" w:eastAsia="宋体"/>
          <w:szCs w:val="21"/>
        </w:rPr>
        <w:t>1.2.任何一方由于法定事由以及不可抗力的原因不能履行合同时，应及时向对方通报不能履行或不能完全履行的理由，在取得有关主管机关证明后，双方友好协商允许延期履行、部分履行或者不履行合同，签订相应的补充协议，并根据法律规定或协议约定可部分或全部免除其责任。</w:t>
      </w:r>
    </w:p>
    <w:p>
      <w:pPr>
        <w:pStyle w:val="255"/>
        <w:spacing w:beforeLines="0" w:line="360" w:lineRule="auto"/>
        <w:ind w:firstLine="0" w:firstLineChars="0"/>
        <w:rPr>
          <w:rFonts w:ascii="宋体" w:hAnsi="宋体" w:eastAsia="宋体"/>
          <w:b/>
          <w:bCs/>
          <w:szCs w:val="21"/>
        </w:rPr>
      </w:pPr>
      <w:r>
        <w:rPr>
          <w:rFonts w:hint="eastAsia" w:ascii="宋体" w:hAnsi="宋体" w:eastAsia="宋体"/>
          <w:b/>
          <w:bCs/>
          <w:szCs w:val="21"/>
        </w:rPr>
        <w:t>2.甲方的违约责任</w:t>
      </w:r>
    </w:p>
    <w:p>
      <w:pPr>
        <w:pStyle w:val="255"/>
        <w:spacing w:beforeLines="0" w:line="360" w:lineRule="auto"/>
        <w:ind w:firstLine="0" w:firstLineChars="0"/>
        <w:rPr>
          <w:rFonts w:ascii="宋体" w:hAnsi="宋体" w:eastAsia="宋体"/>
          <w:szCs w:val="21"/>
        </w:rPr>
      </w:pPr>
      <w:r>
        <w:rPr>
          <w:rFonts w:hint="eastAsia" w:ascii="宋体" w:hAnsi="宋体" w:eastAsia="宋体"/>
          <w:szCs w:val="21"/>
        </w:rPr>
        <w:t>2.1.若甲方未按合同约定单方面终止合同，乙方有权要求甲方支付合同总额 5 %的违约金或赔偿乙方损失。</w:t>
      </w:r>
    </w:p>
    <w:p>
      <w:pPr>
        <w:pStyle w:val="255"/>
        <w:spacing w:beforeLines="0" w:line="360" w:lineRule="auto"/>
        <w:ind w:firstLine="0" w:firstLineChars="0"/>
        <w:rPr>
          <w:rFonts w:ascii="宋体" w:hAnsi="宋体" w:eastAsia="宋体"/>
          <w:szCs w:val="21"/>
        </w:rPr>
      </w:pPr>
      <w:r>
        <w:rPr>
          <w:rFonts w:hint="eastAsia" w:ascii="宋体" w:hAnsi="宋体" w:eastAsia="宋体"/>
          <w:szCs w:val="21"/>
        </w:rPr>
        <w:t>2.2.若甲方不履行合同或履行合同义务不符合约定的条件，经乙方书面通知后 10 个日历日内仍未履行或履行仍不符合约定的，甲方即为违约。甲方应向乙方支付合同价款总额的 5 %作为违约金，并且负责赔偿因其违约给乙方造成的相应损失，赔偿金额一般不超过合同价款总额的 50 %。</w:t>
      </w:r>
    </w:p>
    <w:p>
      <w:pPr>
        <w:pStyle w:val="255"/>
        <w:spacing w:beforeLines="0" w:line="360" w:lineRule="auto"/>
        <w:ind w:firstLine="0" w:firstLineChars="0"/>
        <w:rPr>
          <w:rFonts w:ascii="宋体" w:hAnsi="宋体" w:eastAsia="宋体"/>
          <w:b/>
          <w:bCs/>
          <w:szCs w:val="21"/>
        </w:rPr>
      </w:pPr>
      <w:r>
        <w:rPr>
          <w:rFonts w:hint="eastAsia" w:ascii="宋体" w:hAnsi="宋体" w:eastAsia="宋体"/>
          <w:b/>
          <w:bCs/>
          <w:szCs w:val="21"/>
        </w:rPr>
        <w:t>3.乙方的违约责任</w:t>
      </w:r>
    </w:p>
    <w:p>
      <w:pPr>
        <w:pStyle w:val="255"/>
        <w:spacing w:beforeLines="0" w:line="360" w:lineRule="auto"/>
        <w:ind w:firstLine="0" w:firstLineChars="0"/>
        <w:rPr>
          <w:rFonts w:ascii="宋体" w:hAnsi="宋体" w:eastAsia="宋体"/>
          <w:szCs w:val="21"/>
        </w:rPr>
      </w:pPr>
      <w:r>
        <w:rPr>
          <w:rFonts w:hint="eastAsia" w:ascii="宋体" w:hAnsi="宋体" w:eastAsia="宋体"/>
          <w:szCs w:val="21"/>
        </w:rPr>
        <w:t>3.1.若乙方未按合同约定单方面终止合同，甲方有权要求乙方支付合同总额 5 %的违约金或赔偿甲方损失。</w:t>
      </w:r>
    </w:p>
    <w:p>
      <w:pPr>
        <w:pStyle w:val="255"/>
        <w:spacing w:beforeLines="0" w:line="360" w:lineRule="auto"/>
        <w:ind w:firstLine="0" w:firstLineChars="0"/>
        <w:rPr>
          <w:rFonts w:ascii="宋体" w:hAnsi="宋体" w:eastAsia="宋体"/>
          <w:szCs w:val="21"/>
        </w:rPr>
      </w:pPr>
      <w:r>
        <w:rPr>
          <w:rFonts w:hint="eastAsia" w:ascii="宋体" w:hAnsi="宋体" w:eastAsia="宋体"/>
          <w:szCs w:val="21"/>
        </w:rPr>
        <w:t>3.2.若乙方不履行合同或履行合同义务不符合约定的条件，经甲方书面通知后 10 个日历日内仍未履行或履行仍不符合约定的，乙方即为违约。乙方应向甲方支付合同价款总额的 5 %作为违约金，并且负责赔偿因其违约给甲方造成的相应损失，赔偿金额一般不超过合同价款总额的 50 %。</w:t>
      </w:r>
    </w:p>
    <w:p>
      <w:pPr>
        <w:pStyle w:val="255"/>
        <w:spacing w:beforeLines="0" w:line="360" w:lineRule="auto"/>
        <w:ind w:firstLine="0" w:firstLineChars="0"/>
        <w:rPr>
          <w:rFonts w:ascii="宋体" w:hAnsi="宋体" w:eastAsia="宋体"/>
          <w:szCs w:val="21"/>
        </w:rPr>
      </w:pPr>
      <w:r>
        <w:rPr>
          <w:rFonts w:hint="eastAsia" w:ascii="宋体" w:hAnsi="宋体" w:eastAsia="宋体"/>
          <w:szCs w:val="21"/>
        </w:rPr>
        <w:t>3.3.实施本项目过程中，因乙方侵犯第三人合法权益或者违约导致甲方承担赔偿责任的，甲方有权向乙方追偿并有权解除合同。</w:t>
      </w:r>
    </w:p>
    <w:p>
      <w:pPr>
        <w:pStyle w:val="255"/>
        <w:spacing w:beforeLines="0" w:line="360" w:lineRule="auto"/>
        <w:ind w:firstLine="0" w:firstLineChars="0"/>
        <w:rPr>
          <w:rFonts w:ascii="宋体" w:hAnsi="宋体" w:eastAsia="宋体"/>
          <w:szCs w:val="21"/>
        </w:rPr>
      </w:pPr>
      <w:r>
        <w:rPr>
          <w:rFonts w:hint="eastAsia" w:ascii="宋体" w:hAnsi="宋体" w:eastAsia="宋体"/>
          <w:szCs w:val="21"/>
        </w:rPr>
        <w:t>3.4.乙方未在约定期限内完成项目内容并提交成果的，每延迟一日按照合同总金额千分之一的标准向甲方支付违约金。若因甲方的原因导致未在约定期限内完成项目内容并提交成果的，则乙方不需支付违约金。</w:t>
      </w:r>
    </w:p>
    <w:p>
      <w:pPr>
        <w:pStyle w:val="255"/>
        <w:spacing w:beforeLines="0" w:line="360" w:lineRule="auto"/>
        <w:ind w:firstLine="0" w:firstLineChars="0"/>
        <w:rPr>
          <w:rFonts w:ascii="宋体" w:hAnsi="宋体" w:cs="宋体"/>
          <w:kern w:val="0"/>
          <w:szCs w:val="21"/>
        </w:rPr>
      </w:pPr>
      <w:r>
        <w:rPr>
          <w:rFonts w:hint="eastAsia" w:ascii="宋体" w:hAnsi="宋体" w:eastAsia="宋体"/>
          <w:szCs w:val="21"/>
        </w:rPr>
        <w:t>3.5.乙方交付的成果验收不合格的，甲方有权要求整改，整改后再次验收仍不合格的，甲方有权解除合同并拒绝支付剩余款项。</w:t>
      </w:r>
    </w:p>
    <w:p>
      <w:pPr>
        <w:pStyle w:val="456"/>
        <w:spacing w:before="0" w:beforeAutospacing="0" w:after="0" w:afterAutospacing="0" w:line="360" w:lineRule="auto"/>
        <w:rPr>
          <w:sz w:val="21"/>
          <w:szCs w:val="21"/>
        </w:rPr>
      </w:pPr>
    </w:p>
    <w:p>
      <w:pPr>
        <w:widowControl/>
        <w:jc w:val="left"/>
        <w:rPr>
          <w:rFonts w:eastAsiaTheme="minorEastAsia"/>
          <w:b/>
          <w:kern w:val="44"/>
          <w:sz w:val="44"/>
          <w:szCs w:val="28"/>
        </w:rPr>
      </w:pPr>
      <w:bookmarkStart w:id="2" w:name="_Toc110410361"/>
      <w:r>
        <w:br w:type="page"/>
      </w:r>
    </w:p>
    <w:p>
      <w:pPr>
        <w:pStyle w:val="3"/>
        <w:rPr>
          <w:rFonts w:hint="eastAsia"/>
        </w:rPr>
      </w:pPr>
    </w:p>
    <w:p>
      <w:pPr>
        <w:pStyle w:val="3"/>
      </w:pPr>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Pr>
        <w:widowControl/>
        <w:jc w:val="left"/>
      </w:pPr>
      <w:r>
        <w:br w:type="page"/>
      </w:r>
    </w:p>
    <w:p/>
    <w:p>
      <w:pPr>
        <w:pStyle w:val="3"/>
        <w:spacing w:after="0"/>
      </w:pPr>
      <w:bookmarkStart w:id="3" w:name="_Toc110410362"/>
      <w:r>
        <w:rPr>
          <w:rFonts w:hint="eastAsia"/>
        </w:rPr>
        <w:t>第四章  评标方法和标准</w:t>
      </w:r>
      <w:bookmarkEnd w:id="3"/>
    </w:p>
    <w:p/>
    <w:p>
      <w:pPr>
        <w:pStyle w:val="4"/>
        <w:spacing w:before="0" w:after="0"/>
      </w:pPr>
      <w:bookmarkStart w:id="4" w:name="_Toc44691393"/>
      <w:bookmarkStart w:id="5" w:name="_Toc44690429"/>
      <w:bookmarkStart w:id="6" w:name="_Toc44691161"/>
      <w:bookmarkStart w:id="7" w:name="_Toc44690702"/>
      <w:bookmarkStart w:id="8" w:name="_Toc110410363"/>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9" w:name="_Toc1104103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×权重</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政府采购扶持政策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0"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kern w:val="0"/>
                <w:szCs w:val="21"/>
              </w:rPr>
            </w:pPr>
            <w:r>
              <w:rPr>
                <w:rFonts w:hint="eastAsia" w:ascii="宋体" w:hAnsi="宋体" w:cs="宋体"/>
                <w:szCs w:val="21"/>
              </w:rPr>
              <w:t>服务方案</w:t>
            </w:r>
          </w:p>
        </w:tc>
        <w:tc>
          <w:tcPr>
            <w:tcW w:w="709" w:type="dxa"/>
            <w:vAlign w:val="center"/>
          </w:tcPr>
          <w:p>
            <w:pPr>
              <w:widowControl/>
              <w:spacing w:line="360" w:lineRule="exact"/>
              <w:jc w:val="center"/>
              <w:rPr>
                <w:rFonts w:ascii="宋体" w:hAnsi="宋体"/>
                <w:kern w:val="0"/>
                <w:szCs w:val="21"/>
              </w:rPr>
            </w:pPr>
            <w:r>
              <w:rPr>
                <w:rFonts w:hint="eastAsia" w:ascii="宋体" w:hAnsi="宋体" w:cs="宋体"/>
                <w:kern w:val="0"/>
                <w:szCs w:val="21"/>
              </w:rPr>
              <w:t>12</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(1)考察投标单位对本项目服务内容、范围及业务需求的理解。</w:t>
            </w:r>
          </w:p>
          <w:p>
            <w:pPr>
              <w:spacing w:line="36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(2)考察投标单位对项目实施方案中工作措施、工作方法、工作手段、工作流程和项目管理服务承诺情况</w:t>
            </w:r>
            <w:r>
              <w:rPr>
                <w:rFonts w:hint="eastAsia" w:asciiTheme="minorEastAsia" w:hAnsiTheme="minorEastAsia" w:eastAsiaTheme="minorEastAsia"/>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autoSpaceDE w:val="0"/>
              <w:autoSpaceDN w:val="0"/>
              <w:adjustRightInd w:val="0"/>
              <w:spacing w:line="360" w:lineRule="exact"/>
              <w:rPr>
                <w:rFonts w:ascii="宋体" w:hAnsi="宋体" w:cs="宋体"/>
                <w:szCs w:val="21"/>
              </w:rPr>
            </w:pPr>
            <w:r>
              <w:rPr>
                <w:rFonts w:hint="eastAsia" w:ascii="宋体" w:hAnsi="宋体" w:cs="宋体"/>
                <w:szCs w:val="21"/>
              </w:rPr>
              <w:t>（1）服务方案根据招标文件服务需求编写，方案内容完整、详细、具体；</w:t>
            </w:r>
          </w:p>
          <w:p>
            <w:pPr>
              <w:autoSpaceDE w:val="0"/>
              <w:autoSpaceDN w:val="0"/>
              <w:adjustRightInd w:val="0"/>
              <w:spacing w:line="360" w:lineRule="exact"/>
              <w:rPr>
                <w:rFonts w:ascii="宋体" w:hAnsi="宋体" w:cs="宋体"/>
                <w:szCs w:val="21"/>
              </w:rPr>
            </w:pPr>
            <w:r>
              <w:rPr>
                <w:rFonts w:hint="eastAsia" w:ascii="宋体" w:hAnsi="宋体" w:cs="宋体"/>
                <w:szCs w:val="21"/>
              </w:rPr>
              <w:t>（2）</w:t>
            </w:r>
            <w:r>
              <w:rPr>
                <w:rFonts w:hint="eastAsia" w:cs="宋体" w:asciiTheme="minorEastAsia" w:hAnsiTheme="minorEastAsia" w:eastAsiaTheme="minorEastAsia"/>
                <w:szCs w:val="21"/>
              </w:rPr>
              <w:t>工作措施、工作方法科学</w:t>
            </w:r>
            <w:r>
              <w:rPr>
                <w:rFonts w:hint="eastAsia" w:ascii="宋体" w:hAnsi="宋体" w:cs="宋体"/>
                <w:szCs w:val="21"/>
              </w:rPr>
              <w:t>完善，可实施性强；</w:t>
            </w:r>
          </w:p>
          <w:p>
            <w:pPr>
              <w:autoSpaceDE w:val="0"/>
              <w:autoSpaceDN w:val="0"/>
              <w:adjustRightInd w:val="0"/>
              <w:spacing w:line="360" w:lineRule="exact"/>
              <w:rPr>
                <w:rFonts w:ascii="宋体" w:hAnsi="宋体" w:cs="宋体"/>
                <w:szCs w:val="21"/>
              </w:rPr>
            </w:pPr>
            <w:r>
              <w:rPr>
                <w:rFonts w:hint="eastAsia" w:ascii="宋体" w:hAnsi="宋体" w:cs="宋体"/>
                <w:szCs w:val="21"/>
              </w:rPr>
              <w:t>（3）</w:t>
            </w:r>
            <w:r>
              <w:rPr>
                <w:rFonts w:hint="eastAsia" w:cs="宋体" w:asciiTheme="minorEastAsia" w:hAnsiTheme="minorEastAsia" w:eastAsiaTheme="minorEastAsia"/>
                <w:szCs w:val="21"/>
              </w:rPr>
              <w:t>工作手段、工作流程</w:t>
            </w:r>
            <w:r>
              <w:rPr>
                <w:rFonts w:hint="eastAsia" w:ascii="宋体" w:hAnsi="宋体" w:cs="宋体"/>
                <w:szCs w:val="21"/>
              </w:rPr>
              <w:t>能根据各项工作的内容及特点编写，工作计划合理；</w:t>
            </w:r>
          </w:p>
          <w:p>
            <w:pPr>
              <w:spacing w:line="360" w:lineRule="exact"/>
              <w:jc w:val="left"/>
              <w:rPr>
                <w:rFonts w:ascii="宋体" w:hAnsi="宋体"/>
                <w:szCs w:val="21"/>
              </w:rPr>
            </w:pPr>
            <w:r>
              <w:rPr>
                <w:rFonts w:hint="eastAsia" w:ascii="宋体" w:hAnsi="宋体" w:cs="宋体"/>
                <w:szCs w:val="21"/>
              </w:rPr>
              <w:t>（4）根据项目需求提供切实可行的</w:t>
            </w:r>
            <w:r>
              <w:rPr>
                <w:rFonts w:hint="eastAsia" w:cs="宋体" w:asciiTheme="minorEastAsia" w:hAnsiTheme="minorEastAsia" w:eastAsiaTheme="minorEastAsia"/>
                <w:szCs w:val="21"/>
              </w:rPr>
              <w:t>项目管理服务承诺</w:t>
            </w:r>
            <w:r>
              <w:rPr>
                <w:rFonts w:hint="eastAsia" w:ascii="宋体" w:hAnsi="宋体"/>
                <w:szCs w:val="21"/>
              </w:rPr>
              <w:t>。</w:t>
            </w:r>
          </w:p>
          <w:p>
            <w:pPr>
              <w:pStyle w:val="94"/>
              <w:spacing w:line="360" w:lineRule="exact"/>
              <w:ind w:firstLine="0" w:firstLineChars="0"/>
              <w:rPr>
                <w:rFonts w:ascii="宋体" w:hAnsi="宋体"/>
                <w:kern w:val="0"/>
                <w:szCs w:val="21"/>
              </w:rPr>
            </w:pPr>
            <w:r>
              <w:rPr>
                <w:rFonts w:hint="eastAsia"/>
              </w:rPr>
              <w:t>满足以</w:t>
            </w:r>
            <w:r>
              <w:rPr>
                <w:rFonts w:hint="eastAsia" w:asciiTheme="minorEastAsia" w:hAnsiTheme="minorEastAsia" w:eastAsiaTheme="minorEastAsia"/>
              </w:rPr>
              <w:t>上四项要求的得12分，满足其中三项要求的得8分，满足其中二项要求的得4分，其他情况不得分。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4"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项目重点难点分析、应对措施及相关的合理化建议</w:t>
            </w:r>
          </w:p>
        </w:tc>
        <w:tc>
          <w:tcPr>
            <w:tcW w:w="709" w:type="dxa"/>
            <w:vAlign w:val="center"/>
          </w:tcPr>
          <w:p>
            <w:pPr>
              <w:widowControl/>
              <w:spacing w:line="360" w:lineRule="exact"/>
              <w:jc w:val="center"/>
              <w:rPr>
                <w:rFonts w:ascii="宋体" w:hAnsi="宋体"/>
                <w:kern w:val="0"/>
                <w:szCs w:val="21"/>
              </w:rPr>
            </w:pPr>
            <w:r>
              <w:rPr>
                <w:rFonts w:hint="eastAsia" w:ascii="宋体" w:hAnsi="宋体"/>
                <w:szCs w:val="21"/>
              </w:rPr>
              <w:t>5</w:t>
            </w:r>
          </w:p>
        </w:tc>
        <w:tc>
          <w:tcPr>
            <w:tcW w:w="5953"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（一）评分内容：</w:t>
            </w:r>
          </w:p>
          <w:p>
            <w:pPr>
              <w:autoSpaceDE w:val="0"/>
              <w:autoSpaceDN w:val="0"/>
              <w:adjustRightInd w:val="0"/>
              <w:spacing w:line="360" w:lineRule="auto"/>
              <w:rPr>
                <w:rFonts w:ascii="宋体" w:hAnsi="宋体" w:cs="宋体"/>
                <w:szCs w:val="21"/>
              </w:rPr>
            </w:pPr>
            <w:r>
              <w:rPr>
                <w:rFonts w:hint="eastAsia" w:ascii="宋体" w:hAnsi="宋体" w:cs="宋体"/>
                <w:szCs w:val="21"/>
              </w:rPr>
              <w:t>分析本项目工作的重点、难点，并根据分析的结果制定相应的工作规划和应对措施，制定的规划、措施能够对后续开展本项目工作进行有针对性的指导。</w:t>
            </w:r>
          </w:p>
          <w:p>
            <w:pPr>
              <w:autoSpaceDE w:val="0"/>
              <w:autoSpaceDN w:val="0"/>
              <w:adjustRightInd w:val="0"/>
              <w:spacing w:line="360" w:lineRule="auto"/>
              <w:rPr>
                <w:rFonts w:ascii="宋体" w:hAnsi="宋体" w:cs="宋体"/>
                <w:szCs w:val="21"/>
              </w:rPr>
            </w:pPr>
            <w:r>
              <w:rPr>
                <w:rFonts w:hint="eastAsia" w:ascii="宋体" w:hAnsi="宋体" w:cs="宋体"/>
                <w:szCs w:val="21"/>
              </w:rPr>
              <w:t>（二）评分标准：</w:t>
            </w:r>
          </w:p>
          <w:p>
            <w:pPr>
              <w:autoSpaceDE w:val="0"/>
              <w:autoSpaceDN w:val="0"/>
              <w:adjustRightInd w:val="0"/>
              <w:spacing w:line="360" w:lineRule="auto"/>
              <w:rPr>
                <w:rFonts w:ascii="宋体" w:hAnsi="宋体" w:cs="宋体"/>
                <w:szCs w:val="21"/>
              </w:rPr>
            </w:pPr>
            <w:r>
              <w:rPr>
                <w:rFonts w:hint="eastAsia" w:ascii="宋体" w:hAnsi="宋体" w:cs="宋体"/>
                <w:szCs w:val="21"/>
              </w:rPr>
              <w:t>（1）对项目重点难点分析全面、清晰到位；</w:t>
            </w:r>
          </w:p>
          <w:p>
            <w:pPr>
              <w:autoSpaceDE w:val="0"/>
              <w:autoSpaceDN w:val="0"/>
              <w:adjustRightInd w:val="0"/>
              <w:spacing w:line="360" w:lineRule="auto"/>
              <w:rPr>
                <w:rFonts w:ascii="宋体" w:hAnsi="宋体" w:cs="宋体"/>
                <w:szCs w:val="21"/>
              </w:rPr>
            </w:pPr>
            <w:r>
              <w:rPr>
                <w:rFonts w:hint="eastAsia" w:ascii="宋体" w:hAnsi="宋体" w:cs="宋体"/>
                <w:szCs w:val="21"/>
              </w:rPr>
              <w:t>（2）能针对项目重点难点提出应对措施及相关的合理化建议；</w:t>
            </w:r>
          </w:p>
          <w:p>
            <w:pPr>
              <w:autoSpaceDE w:val="0"/>
              <w:autoSpaceDN w:val="0"/>
              <w:adjustRightInd w:val="0"/>
              <w:spacing w:line="360" w:lineRule="auto"/>
              <w:rPr>
                <w:rFonts w:ascii="宋体" w:hAnsi="宋体" w:cs="宋体"/>
                <w:szCs w:val="21"/>
              </w:rPr>
            </w:pPr>
            <w:r>
              <w:rPr>
                <w:rFonts w:hint="eastAsia" w:ascii="宋体" w:hAnsi="宋体" w:cs="宋体"/>
                <w:szCs w:val="21"/>
              </w:rPr>
              <w:t>满足以上两项要求的得5分，满足其中一项要求的得</w:t>
            </w:r>
            <w:r>
              <w:rPr>
                <w:rFonts w:ascii="宋体" w:hAnsi="宋体" w:cs="宋体"/>
                <w:szCs w:val="21"/>
              </w:rPr>
              <w:t>2</w:t>
            </w:r>
            <w:r>
              <w:rPr>
                <w:rFonts w:hint="eastAsia" w:ascii="宋体" w:hAnsi="宋体" w:cs="宋体"/>
                <w:szCs w:val="21"/>
              </w:rPr>
              <w:t>分，其他情况不得分。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质量保障措施及方案</w:t>
            </w:r>
          </w:p>
        </w:tc>
        <w:tc>
          <w:tcPr>
            <w:tcW w:w="709" w:type="dxa"/>
            <w:vAlign w:val="center"/>
          </w:tcPr>
          <w:p>
            <w:pPr>
              <w:widowControl/>
              <w:spacing w:line="360" w:lineRule="exact"/>
              <w:jc w:val="center"/>
              <w:rPr>
                <w:rFonts w:ascii="宋体" w:hAnsi="宋体"/>
                <w:kern w:val="0"/>
                <w:szCs w:val="21"/>
              </w:rPr>
            </w:pPr>
            <w:r>
              <w:rPr>
                <w:rFonts w:hint="eastAsia" w:ascii="宋体" w:hAnsi="宋体"/>
                <w:kern w:val="0"/>
                <w:szCs w:val="21"/>
              </w:rPr>
              <w:t>5</w:t>
            </w:r>
          </w:p>
        </w:tc>
        <w:tc>
          <w:tcPr>
            <w:tcW w:w="5953" w:type="dxa"/>
            <w:vAlign w:val="center"/>
          </w:tcPr>
          <w:p>
            <w:pPr>
              <w:widowControl/>
              <w:snapToGrid w:val="0"/>
              <w:spacing w:line="360" w:lineRule="auto"/>
              <w:jc w:val="left"/>
              <w:rPr>
                <w:rFonts w:ascii="宋体" w:hAnsi="宋体"/>
                <w:kern w:val="0"/>
                <w:szCs w:val="21"/>
              </w:rPr>
            </w:pPr>
            <w:r>
              <w:rPr>
                <w:rFonts w:hint="eastAsia" w:ascii="宋体" w:hAnsi="宋体"/>
                <w:kern w:val="0"/>
                <w:szCs w:val="21"/>
              </w:rPr>
              <w:t>（一）评分内容：</w:t>
            </w:r>
          </w:p>
          <w:p>
            <w:pPr>
              <w:widowControl/>
              <w:snapToGrid w:val="0"/>
              <w:spacing w:line="360" w:lineRule="auto"/>
              <w:jc w:val="left"/>
              <w:rPr>
                <w:rFonts w:ascii="宋体" w:hAnsi="宋体"/>
                <w:kern w:val="0"/>
                <w:szCs w:val="21"/>
              </w:rPr>
            </w:pPr>
            <w:r>
              <w:rPr>
                <w:rFonts w:hint="eastAsia" w:ascii="宋体" w:hAnsi="宋体"/>
                <w:kern w:val="0"/>
                <w:szCs w:val="21"/>
              </w:rPr>
              <w:t>阐述项目质量管理制度措施；阐述项目团队及人员的稳定、保证服务进度及质量、保障成果安全性等措施。</w:t>
            </w:r>
          </w:p>
          <w:p>
            <w:pPr>
              <w:widowControl/>
              <w:snapToGrid w:val="0"/>
              <w:spacing w:line="360" w:lineRule="auto"/>
              <w:jc w:val="left"/>
              <w:rPr>
                <w:rFonts w:ascii="宋体" w:hAnsi="宋体"/>
                <w:kern w:val="0"/>
                <w:szCs w:val="21"/>
              </w:rPr>
            </w:pPr>
            <w:r>
              <w:rPr>
                <w:rFonts w:hint="eastAsia" w:ascii="宋体" w:hAnsi="宋体"/>
                <w:kern w:val="0"/>
                <w:szCs w:val="21"/>
              </w:rPr>
              <w:t>（二）评分标准：</w:t>
            </w:r>
          </w:p>
          <w:p>
            <w:pPr>
              <w:widowControl/>
              <w:snapToGrid w:val="0"/>
              <w:spacing w:line="360" w:lineRule="auto"/>
              <w:jc w:val="left"/>
              <w:rPr>
                <w:rFonts w:ascii="宋体" w:hAnsi="宋体"/>
                <w:kern w:val="0"/>
                <w:szCs w:val="21"/>
              </w:rPr>
            </w:pPr>
            <w:r>
              <w:rPr>
                <w:rFonts w:hint="eastAsia" w:ascii="宋体" w:hAnsi="宋体"/>
                <w:kern w:val="0"/>
                <w:szCs w:val="21"/>
              </w:rPr>
              <w:t>（1）服务质量保障方案完整、详细；</w:t>
            </w:r>
          </w:p>
          <w:p>
            <w:pPr>
              <w:widowControl/>
              <w:snapToGrid w:val="0"/>
              <w:spacing w:line="360" w:lineRule="auto"/>
              <w:jc w:val="left"/>
              <w:rPr>
                <w:rFonts w:ascii="宋体" w:hAnsi="宋体"/>
                <w:kern w:val="0"/>
                <w:szCs w:val="21"/>
              </w:rPr>
            </w:pPr>
            <w:r>
              <w:rPr>
                <w:rFonts w:hint="eastAsia" w:ascii="宋体" w:hAnsi="宋体"/>
                <w:kern w:val="0"/>
                <w:szCs w:val="21"/>
              </w:rPr>
              <w:t>（2）项目实施过程中服务人员稳定，保障措施成熟可靠。</w:t>
            </w:r>
          </w:p>
          <w:p>
            <w:pPr>
              <w:widowControl/>
              <w:snapToGrid w:val="0"/>
              <w:spacing w:line="360" w:lineRule="auto"/>
              <w:jc w:val="left"/>
              <w:rPr>
                <w:rFonts w:ascii="宋体" w:hAnsi="宋体"/>
                <w:kern w:val="0"/>
                <w:szCs w:val="21"/>
              </w:rPr>
            </w:pPr>
            <w:r>
              <w:rPr>
                <w:rFonts w:hint="eastAsia" w:ascii="宋体" w:hAnsi="宋体"/>
                <w:kern w:val="0"/>
                <w:szCs w:val="21"/>
              </w:rPr>
              <w:t>满足以上两项要求的得5分，满足其中一项要求的得</w:t>
            </w:r>
            <w:r>
              <w:rPr>
                <w:rFonts w:ascii="宋体" w:hAnsi="宋体"/>
                <w:kern w:val="0"/>
                <w:szCs w:val="21"/>
              </w:rPr>
              <w:t>2</w:t>
            </w:r>
            <w:r>
              <w:rPr>
                <w:rFonts w:hint="eastAsia" w:ascii="宋体" w:hAnsi="宋体"/>
                <w:kern w:val="0"/>
                <w:szCs w:val="21"/>
              </w:rPr>
              <w:t>分，其他情况不得分。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ascii="宋体" w:hAnsi="宋体"/>
                <w:kern w:val="0"/>
                <w:szCs w:val="21"/>
              </w:rPr>
              <w:t>4</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项目完成（服务期满）后的服务承诺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（一）评分内容：</w:t>
            </w:r>
          </w:p>
          <w:p>
            <w:pPr>
              <w:autoSpaceDE w:val="0"/>
              <w:autoSpaceDN w:val="0"/>
              <w:adjustRightInd w:val="0"/>
              <w:spacing w:line="360" w:lineRule="auto"/>
              <w:rPr>
                <w:rFonts w:ascii="宋体" w:hAnsi="宋体" w:cs="宋体"/>
                <w:szCs w:val="21"/>
              </w:rPr>
            </w:pPr>
            <w:r>
              <w:rPr>
                <w:rFonts w:hint="eastAsia" w:ascii="宋体" w:hAnsi="宋体" w:cs="宋体"/>
                <w:szCs w:val="21"/>
              </w:rPr>
              <w:t>投标人提供服务期满后的服务承诺，</w:t>
            </w:r>
            <w:r>
              <w:rPr>
                <w:rFonts w:ascii="宋体" w:hAnsi="宋体" w:cs="宋体"/>
                <w:szCs w:val="21"/>
              </w:rPr>
              <w:t>承诺以下</w:t>
            </w:r>
            <w:r>
              <w:rPr>
                <w:rFonts w:hint="eastAsia" w:ascii="宋体" w:hAnsi="宋体" w:cs="宋体"/>
                <w:szCs w:val="21"/>
              </w:rPr>
              <w:t>全部内容</w:t>
            </w:r>
            <w:r>
              <w:rPr>
                <w:rFonts w:ascii="宋体" w:hAnsi="宋体" w:cs="宋体"/>
                <w:szCs w:val="21"/>
              </w:rPr>
              <w:t>的得</w:t>
            </w:r>
            <w:r>
              <w:rPr>
                <w:rFonts w:hint="eastAsia" w:ascii="宋体" w:hAnsi="宋体" w:cs="宋体"/>
                <w:szCs w:val="21"/>
              </w:rPr>
              <w:t>5</w:t>
            </w:r>
            <w:r>
              <w:rPr>
                <w:rFonts w:ascii="宋体" w:hAnsi="宋体" w:cs="宋体"/>
                <w:szCs w:val="21"/>
              </w:rPr>
              <w:t>分，否则不得分。</w:t>
            </w:r>
          </w:p>
          <w:p>
            <w:pPr>
              <w:autoSpaceDE w:val="0"/>
              <w:autoSpaceDN w:val="0"/>
              <w:adjustRightInd w:val="0"/>
              <w:spacing w:line="360" w:lineRule="auto"/>
              <w:rPr>
                <w:rFonts w:ascii="宋体" w:hAnsi="宋体" w:cs="宋体"/>
                <w:szCs w:val="21"/>
              </w:rPr>
            </w:pPr>
            <w:r>
              <w:rPr>
                <w:rFonts w:hint="eastAsia" w:ascii="宋体" w:hAnsi="宋体" w:cs="宋体"/>
                <w:szCs w:val="21"/>
              </w:rPr>
              <w:t xml:space="preserve">（1）服务期满后与采购单位进行交接； </w:t>
            </w:r>
          </w:p>
          <w:p>
            <w:pPr>
              <w:autoSpaceDE w:val="0"/>
              <w:autoSpaceDN w:val="0"/>
              <w:adjustRightInd w:val="0"/>
              <w:spacing w:line="360" w:lineRule="auto"/>
              <w:rPr>
                <w:rFonts w:ascii="宋体" w:hAnsi="宋体" w:cs="宋体"/>
                <w:szCs w:val="21"/>
              </w:rPr>
            </w:pPr>
            <w:r>
              <w:rPr>
                <w:rFonts w:hint="eastAsia" w:ascii="宋体" w:hAnsi="宋体" w:cs="宋体"/>
                <w:szCs w:val="21"/>
              </w:rPr>
              <w:t>（2）与项目成果内容有关的疑问投标人予以解释与回复。</w:t>
            </w:r>
          </w:p>
          <w:p>
            <w:pPr>
              <w:autoSpaceDE w:val="0"/>
              <w:autoSpaceDN w:val="0"/>
              <w:adjustRightInd w:val="0"/>
              <w:spacing w:line="360" w:lineRule="auto"/>
              <w:rPr>
                <w:rFonts w:ascii="宋体" w:hAnsi="宋体" w:cs="宋体"/>
                <w:szCs w:val="21"/>
              </w:rPr>
            </w:pPr>
            <w:r>
              <w:rPr>
                <w:rFonts w:hint="eastAsia" w:ascii="宋体" w:hAnsi="宋体" w:cs="宋体"/>
                <w:szCs w:val="21"/>
              </w:rPr>
              <w:t>（二）评分依据：</w:t>
            </w:r>
          </w:p>
          <w:p>
            <w:pPr>
              <w:autoSpaceDE w:val="0"/>
              <w:autoSpaceDN w:val="0"/>
              <w:adjustRightInd w:val="0"/>
              <w:spacing w:line="360" w:lineRule="auto"/>
              <w:rPr>
                <w:rFonts w:ascii="宋体" w:hAnsi="宋体" w:cs="宋体"/>
                <w:szCs w:val="21"/>
              </w:rPr>
            </w:pPr>
            <w:r>
              <w:rPr>
                <w:rFonts w:hint="eastAsia" w:ascii="宋体" w:hAnsi="宋体" w:cs="宋体"/>
                <w:szCs w:val="21"/>
              </w:rPr>
              <w:t>提供《项目完成（服务期满）后的服务承诺函》（格式自定）并加盖投标人公章作为得分依据，未提供承诺或承诺内容不满足要求不得分。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5</w:t>
            </w:r>
          </w:p>
        </w:tc>
        <w:tc>
          <w:tcPr>
            <w:tcW w:w="1143" w:type="dxa"/>
            <w:vAlign w:val="center"/>
          </w:tcPr>
          <w:p>
            <w:pPr>
              <w:widowControl/>
              <w:spacing w:line="360" w:lineRule="exact"/>
              <w:jc w:val="center"/>
              <w:rPr>
                <w:rFonts w:ascii="宋体" w:hAnsi="宋体" w:cs="宋体"/>
                <w:szCs w:val="21"/>
              </w:rPr>
            </w:pPr>
            <w:r>
              <w:rPr>
                <w:rFonts w:hint="eastAsia" w:ascii="宋体" w:hAnsi="宋体"/>
                <w:szCs w:val="21"/>
              </w:rPr>
              <w:t>违约承诺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pStyle w:val="94"/>
              <w:spacing w:line="360" w:lineRule="auto"/>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auto"/>
              <w:rPr>
                <w:rFonts w:ascii="宋体" w:hAnsi="宋体"/>
                <w:szCs w:val="21"/>
              </w:rPr>
            </w:pPr>
            <w:r>
              <w:rPr>
                <w:rFonts w:hint="eastAsia" w:ascii="宋体" w:hAnsi="宋体"/>
                <w:szCs w:val="21"/>
              </w:rPr>
              <w:t>投标人提供项目违约承诺</w:t>
            </w:r>
            <w:r>
              <w:rPr>
                <w:rFonts w:ascii="宋体" w:hAnsi="宋体" w:cs="宋体"/>
                <w:szCs w:val="21"/>
              </w:rPr>
              <w:t>，</w:t>
            </w:r>
            <w:r>
              <w:rPr>
                <w:rFonts w:hint="eastAsia" w:ascii="宋体" w:hAnsi="宋体" w:cs="宋体"/>
                <w:szCs w:val="21"/>
              </w:rPr>
              <w:t>满足</w:t>
            </w:r>
            <w:r>
              <w:rPr>
                <w:rFonts w:ascii="宋体" w:hAnsi="宋体" w:cs="宋体"/>
                <w:szCs w:val="21"/>
              </w:rPr>
              <w:t>以下</w:t>
            </w:r>
            <w:r>
              <w:rPr>
                <w:rFonts w:hint="eastAsia" w:ascii="宋体" w:hAnsi="宋体" w:cs="宋体"/>
                <w:szCs w:val="21"/>
              </w:rPr>
              <w:t>全部要求</w:t>
            </w:r>
            <w:r>
              <w:rPr>
                <w:rFonts w:ascii="宋体" w:hAnsi="宋体"/>
                <w:szCs w:val="21"/>
              </w:rPr>
              <w:t>的得5分，否则不得分。</w:t>
            </w:r>
          </w:p>
          <w:p>
            <w:pPr>
              <w:autoSpaceDE w:val="0"/>
              <w:autoSpaceDN w:val="0"/>
              <w:adjustRightInd w:val="0"/>
              <w:spacing w:line="360" w:lineRule="auto"/>
              <w:rPr>
                <w:rFonts w:ascii="宋体" w:hAnsi="宋体"/>
                <w:szCs w:val="21"/>
              </w:rPr>
            </w:pPr>
            <w:r>
              <w:rPr>
                <w:rFonts w:ascii="宋体" w:hAnsi="宋体"/>
                <w:szCs w:val="21"/>
              </w:rPr>
              <w:t>（1）</w:t>
            </w:r>
            <w:r>
              <w:rPr>
                <w:rFonts w:hint="eastAsia" w:ascii="宋体" w:hAnsi="宋体" w:cs="宋体"/>
                <w:szCs w:val="21"/>
              </w:rPr>
              <w:t>人员严格按照招标文件及投标承诺配置</w:t>
            </w:r>
            <w:r>
              <w:rPr>
                <w:rFonts w:ascii="宋体" w:hAnsi="宋体"/>
                <w:szCs w:val="21"/>
              </w:rPr>
              <w:t xml:space="preserve">； </w:t>
            </w:r>
          </w:p>
          <w:p>
            <w:pPr>
              <w:autoSpaceDE w:val="0"/>
              <w:autoSpaceDN w:val="0"/>
              <w:adjustRightInd w:val="0"/>
              <w:spacing w:line="360" w:lineRule="auto"/>
              <w:rPr>
                <w:rFonts w:ascii="宋体" w:hAnsi="宋体"/>
                <w:szCs w:val="21"/>
              </w:rPr>
            </w:pPr>
            <w:r>
              <w:rPr>
                <w:rFonts w:ascii="宋体" w:hAnsi="宋体"/>
                <w:szCs w:val="21"/>
              </w:rPr>
              <w:t>（2）</w:t>
            </w:r>
            <w:r>
              <w:rPr>
                <w:rFonts w:hint="eastAsia" w:ascii="宋体" w:hAnsi="宋体" w:cs="宋体"/>
                <w:szCs w:val="21"/>
              </w:rPr>
              <w:t>服务质量达到招标文件要求</w:t>
            </w:r>
            <w:r>
              <w:rPr>
                <w:rFonts w:ascii="宋体" w:hAnsi="宋体"/>
                <w:szCs w:val="21"/>
              </w:rPr>
              <w:t xml:space="preserve">； </w:t>
            </w:r>
          </w:p>
          <w:p>
            <w:pPr>
              <w:autoSpaceDE w:val="0"/>
              <w:autoSpaceDN w:val="0"/>
              <w:adjustRightInd w:val="0"/>
              <w:spacing w:line="360" w:lineRule="auto"/>
              <w:rPr>
                <w:rFonts w:ascii="宋体" w:hAnsi="宋体"/>
                <w:szCs w:val="21"/>
              </w:rPr>
            </w:pPr>
            <w:r>
              <w:rPr>
                <w:rFonts w:ascii="宋体" w:hAnsi="宋体"/>
                <w:szCs w:val="21"/>
              </w:rPr>
              <w:t>（3）</w:t>
            </w:r>
            <w:r>
              <w:rPr>
                <w:rFonts w:hint="eastAsia" w:ascii="宋体" w:hAnsi="宋体" w:cs="宋体"/>
                <w:szCs w:val="21"/>
              </w:rPr>
              <w:t>对未能达到的管理要求承担管理责任</w:t>
            </w:r>
            <w:r>
              <w:rPr>
                <w:rFonts w:ascii="宋体" w:hAnsi="宋体"/>
                <w:szCs w:val="21"/>
              </w:rPr>
              <w:t>。</w:t>
            </w: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auto"/>
              <w:rPr>
                <w:rFonts w:ascii="宋体" w:hAnsi="宋体" w:cs="宋体"/>
                <w:szCs w:val="21"/>
              </w:rPr>
            </w:pPr>
            <w:r>
              <w:rPr>
                <w:rFonts w:hint="eastAsia" w:ascii="宋体" w:hAnsi="宋体"/>
                <w:szCs w:val="21"/>
              </w:rPr>
              <w:t>提供《违约承诺函》（格式自定）并加盖投标人公章作为得分依据，未提供承诺或承诺内容不满足要求不得分。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pPr>
              <w:widowControl/>
              <w:snapToGrid w:val="0"/>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6</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拟安排的项目团队成员情况</w:t>
            </w:r>
          </w:p>
        </w:tc>
        <w:tc>
          <w:tcPr>
            <w:tcW w:w="709" w:type="dxa"/>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pStyle w:val="94"/>
              <w:spacing w:line="360" w:lineRule="auto"/>
              <w:ind w:firstLine="0" w:firstLineChars="0"/>
              <w:rPr>
                <w:rFonts w:ascii="宋体" w:hAnsi="宋体"/>
                <w:szCs w:val="21"/>
              </w:rPr>
            </w:pPr>
            <w:r>
              <w:rPr>
                <w:rFonts w:hint="eastAsia" w:ascii="宋体" w:hAnsi="宋体"/>
                <w:szCs w:val="21"/>
              </w:rPr>
              <w:t>拟安排的项目团队成员</w:t>
            </w:r>
            <w:r>
              <w:rPr>
                <w:rFonts w:hint="eastAsia" w:ascii="宋体" w:hAnsi="宋体"/>
                <w:szCs w:val="21"/>
                <w:lang w:val="en-US" w:eastAsia="zh-CN"/>
              </w:rPr>
              <w:t>不</w:t>
            </w:r>
            <w:r>
              <w:rPr>
                <w:rFonts w:hint="eastAsia" w:ascii="宋体" w:hAnsi="宋体"/>
                <w:szCs w:val="21"/>
              </w:rPr>
              <w:t>少</w:t>
            </w:r>
            <w:r>
              <w:rPr>
                <w:rFonts w:hint="eastAsia" w:ascii="宋体" w:hAnsi="宋体"/>
                <w:szCs w:val="21"/>
                <w:lang w:val="en-US" w:eastAsia="zh-CN"/>
              </w:rPr>
              <w:t>于5</w:t>
            </w:r>
            <w:r>
              <w:rPr>
                <w:rFonts w:hint="eastAsia" w:ascii="宋体" w:hAnsi="宋体"/>
                <w:szCs w:val="21"/>
              </w:rPr>
              <w:t>名，</w:t>
            </w:r>
            <w:r>
              <w:rPr>
                <w:rFonts w:hint="eastAsia" w:ascii="宋体" w:hAnsi="宋体"/>
                <w:szCs w:val="21"/>
                <w:lang w:val="en-US" w:eastAsia="zh-CN"/>
              </w:rPr>
              <w:t>否则</w:t>
            </w:r>
            <w:r>
              <w:rPr>
                <w:rFonts w:hint="eastAsia" w:ascii="宋体" w:hAnsi="宋体"/>
                <w:szCs w:val="21"/>
              </w:rPr>
              <w:t>本项不得分</w:t>
            </w:r>
            <w:r>
              <w:rPr>
                <w:rFonts w:hint="eastAsia" w:ascii="宋体" w:hAnsi="宋体"/>
                <w:szCs w:val="21"/>
                <w:lang w:eastAsia="zh-CN"/>
              </w:rPr>
              <w:t>；</w:t>
            </w:r>
            <w:r>
              <w:rPr>
                <w:rFonts w:hint="eastAsia" w:ascii="宋体" w:hAnsi="宋体"/>
                <w:szCs w:val="21"/>
              </w:rPr>
              <w:t>拟安排的项目团队成员需为投标人</w:t>
            </w:r>
            <w:r>
              <w:rPr>
                <w:rFonts w:hint="eastAsia" w:ascii="宋体" w:hAnsi="宋体"/>
                <w:color w:val="000000" w:themeColor="text1"/>
                <w:szCs w:val="21"/>
                <w14:textFill>
                  <w14:solidFill>
                    <w14:schemeClr w14:val="tx1"/>
                  </w14:solidFill>
                </w14:textFill>
              </w:rPr>
              <w:t>正式聘任</w:t>
            </w:r>
            <w:r>
              <w:rPr>
                <w:rFonts w:hint="eastAsia" w:ascii="宋体" w:hAnsi="宋体"/>
                <w:szCs w:val="21"/>
              </w:rPr>
              <w:t>员工，否则本项不得分。在此基础上，按以下标准评分：</w:t>
            </w:r>
          </w:p>
          <w:p>
            <w:pPr>
              <w:pStyle w:val="94"/>
              <w:spacing w:line="360" w:lineRule="exact"/>
              <w:ind w:firstLine="0" w:firstLineChars="0"/>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成员</w:t>
            </w:r>
            <w:r>
              <w:rPr>
                <w:rFonts w:hint="eastAsia" w:ascii="宋体" w:hAnsi="宋体"/>
                <w:szCs w:val="21"/>
                <w:lang w:val="en-US" w:eastAsia="zh-CN"/>
              </w:rPr>
              <w:t>人数等于5人，得1分；成员人数大于5人</w:t>
            </w:r>
            <w:r>
              <w:rPr>
                <w:rFonts w:hint="eastAsia" w:ascii="宋体" w:hAnsi="宋体"/>
                <w:szCs w:val="21"/>
              </w:rPr>
              <w:t>，</w:t>
            </w:r>
            <w:r>
              <w:rPr>
                <w:rFonts w:hint="eastAsia" w:ascii="宋体" w:hAnsi="宋体"/>
                <w:szCs w:val="21"/>
                <w:lang w:val="en-US" w:eastAsia="zh-CN"/>
              </w:rPr>
              <w:t>得2分。</w:t>
            </w:r>
          </w:p>
          <w:p>
            <w:pPr>
              <w:pStyle w:val="94"/>
              <w:spacing w:line="360" w:lineRule="auto"/>
              <w:ind w:firstLine="0" w:firstLineChars="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项目组成员具有职称的，标准化高级（含副高）职称每1人得3分，标准化中级职称每1人得2分，其他专业</w:t>
            </w:r>
            <w:r>
              <w:rPr>
                <w:rFonts w:hint="eastAsia" w:ascii="宋体" w:hAnsi="宋体"/>
                <w:szCs w:val="21"/>
                <w:lang w:val="en-US" w:eastAsia="zh-CN"/>
              </w:rPr>
              <w:t>中级或以上</w:t>
            </w:r>
            <w:r>
              <w:rPr>
                <w:rFonts w:hint="eastAsia" w:ascii="宋体" w:hAnsi="宋体"/>
                <w:szCs w:val="21"/>
              </w:rPr>
              <w:t>职称每1人得1分，累计最高得</w:t>
            </w:r>
            <w:r>
              <w:rPr>
                <w:rFonts w:ascii="宋体" w:hAnsi="宋体"/>
                <w:szCs w:val="21"/>
              </w:rPr>
              <w:t>9</w:t>
            </w:r>
            <w:r>
              <w:rPr>
                <w:rFonts w:hint="eastAsia" w:ascii="宋体" w:hAnsi="宋体"/>
                <w:szCs w:val="21"/>
              </w:rPr>
              <w:t>分。</w:t>
            </w:r>
            <w:r>
              <w:rPr>
                <w:rFonts w:hint="eastAsia" w:ascii="宋体" w:hAnsi="宋体"/>
                <w:szCs w:val="21"/>
                <w:lang w:eastAsia="zh-CN"/>
              </w:rPr>
              <w:t>（同一人员具有</w:t>
            </w:r>
            <w:r>
              <w:rPr>
                <w:rFonts w:hint="eastAsia" w:ascii="宋体" w:hAnsi="宋体"/>
                <w:szCs w:val="21"/>
                <w:lang w:val="en-US" w:eastAsia="zh-CN"/>
              </w:rPr>
              <w:t>多</w:t>
            </w:r>
            <w:r>
              <w:rPr>
                <w:rFonts w:hint="eastAsia" w:ascii="宋体" w:hAnsi="宋体"/>
                <w:szCs w:val="21"/>
                <w:lang w:eastAsia="zh-CN"/>
              </w:rPr>
              <w:t>个职称证书的，不可累计得分</w:t>
            </w:r>
            <w:r>
              <w:rPr>
                <w:rFonts w:hint="eastAsia"/>
                <w:lang w:val="en-US" w:eastAsia="zh-CN"/>
              </w:rPr>
              <w:t>，按得分最优情况计分。</w:t>
            </w:r>
            <w:r>
              <w:rPr>
                <w:rFonts w:hint="eastAsia" w:ascii="宋体" w:hAnsi="宋体"/>
                <w:szCs w:val="21"/>
                <w:lang w:eastAsia="zh-CN"/>
              </w:rPr>
              <w:t>）</w:t>
            </w:r>
          </w:p>
          <w:p>
            <w:pPr>
              <w:pStyle w:val="94"/>
              <w:numPr>
                <w:ilvl w:val="0"/>
                <w:numId w:val="4"/>
              </w:numPr>
              <w:spacing w:line="360" w:lineRule="auto"/>
              <w:ind w:firstLine="0" w:firstLineChars="0"/>
              <w:rPr>
                <w:rFonts w:hint="eastAsia" w:ascii="宋体" w:hAnsi="宋体"/>
                <w:szCs w:val="21"/>
                <w:lang w:eastAsia="zh-CN"/>
              </w:rPr>
            </w:pPr>
            <w:r>
              <w:rPr>
                <w:rFonts w:hint="eastAsia" w:ascii="宋体" w:hAnsi="宋体"/>
                <w:szCs w:val="21"/>
              </w:rPr>
              <w:t>项目组成员中具有研究生及以上学历的，每提供一人得2分；本科学历的，每提供一人得1分</w:t>
            </w:r>
            <w:r>
              <w:rPr>
                <w:rFonts w:hint="eastAsia" w:ascii="宋体" w:hAnsi="宋体"/>
                <w:szCs w:val="21"/>
                <w:lang w:eastAsia="zh-CN"/>
              </w:rPr>
              <w:t>，</w:t>
            </w:r>
            <w:r>
              <w:rPr>
                <w:rFonts w:hint="eastAsia" w:ascii="宋体" w:hAnsi="宋体"/>
                <w:szCs w:val="21"/>
              </w:rPr>
              <w:t>累计最高</w:t>
            </w:r>
            <w:r>
              <w:rPr>
                <w:rFonts w:hint="eastAsia" w:ascii="宋体" w:hAnsi="宋体"/>
                <w:szCs w:val="21"/>
                <w:lang w:val="en-US" w:eastAsia="zh-CN"/>
              </w:rPr>
              <w:t>得</w:t>
            </w:r>
            <w:r>
              <w:rPr>
                <w:rFonts w:ascii="宋体" w:hAnsi="宋体"/>
                <w:szCs w:val="21"/>
              </w:rPr>
              <w:t>6</w:t>
            </w:r>
            <w:r>
              <w:rPr>
                <w:rFonts w:hint="eastAsia" w:ascii="宋体" w:hAnsi="宋体"/>
                <w:szCs w:val="21"/>
              </w:rPr>
              <w:t>分。</w:t>
            </w:r>
            <w:r>
              <w:rPr>
                <w:rFonts w:hint="eastAsia" w:ascii="宋体" w:hAnsi="宋体"/>
                <w:szCs w:val="21"/>
                <w:lang w:eastAsia="zh-CN"/>
              </w:rPr>
              <w:t>（同一人员具有多个学历证书的，不可累计得分</w:t>
            </w:r>
            <w:r>
              <w:rPr>
                <w:rFonts w:hint="eastAsia"/>
                <w:lang w:val="en-US" w:eastAsia="zh-CN"/>
              </w:rPr>
              <w:t>，按得分最优情况计分。</w:t>
            </w:r>
            <w:r>
              <w:rPr>
                <w:rFonts w:hint="eastAsia" w:ascii="宋体" w:hAnsi="宋体"/>
                <w:szCs w:val="21"/>
                <w:lang w:eastAsia="zh-CN"/>
              </w:rPr>
              <w:t>）</w:t>
            </w:r>
          </w:p>
          <w:p>
            <w:pPr>
              <w:pStyle w:val="94"/>
              <w:spacing w:line="360" w:lineRule="auto"/>
              <w:ind w:firstLine="0" w:firstLineChars="0"/>
              <w:rPr>
                <w:rFonts w:ascii="宋体" w:hAnsi="宋体"/>
                <w:szCs w:val="21"/>
              </w:rPr>
            </w:pPr>
            <w:r>
              <w:rPr>
                <w:rFonts w:hint="eastAsia" w:ascii="宋体" w:hAnsi="宋体"/>
                <w:szCs w:val="21"/>
              </w:rPr>
              <w:t>（二）评分依据：</w:t>
            </w:r>
          </w:p>
          <w:p>
            <w:pPr>
              <w:pStyle w:val="94"/>
              <w:spacing w:line="360" w:lineRule="auto"/>
              <w:ind w:firstLine="0" w:firstLineChars="0"/>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提供项目团队成员清单以及通过投标单位缴纳的载有社保部门公章的近三个月内任意一个月的个人社保证明，如供应商为新成立单位且成立时间不足一个月的，可提供加盖公章的情况说明。如为退休返聘人员则提供劳动合同或返聘协议；</w:t>
            </w:r>
          </w:p>
          <w:p>
            <w:pPr>
              <w:pStyle w:val="94"/>
              <w:spacing w:line="360" w:lineRule="auto"/>
              <w:ind w:firstLine="0" w:firstLineChars="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提供上述职称证书、毕业证书（或学位证书）以及学信网查询记录，对于较早颁发的学历学位证书，学信网无法查询的，还需提供毕业院校或者人社部门或者教育部门出具的证明，否则无效；</w:t>
            </w:r>
          </w:p>
          <w:p>
            <w:pPr>
              <w:pStyle w:val="94"/>
              <w:spacing w:line="360" w:lineRule="auto"/>
              <w:ind w:firstLine="0" w:firstLineChars="0"/>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以上证明文件均提供复印件或扫描件（或官方网站截图）加盖投标人公章，原件备查。未按要求提供有效证明材料或提供不清晰导致评委无法识别的不计得分。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1</w:t>
            </w:r>
          </w:p>
        </w:tc>
        <w:tc>
          <w:tcPr>
            <w:tcW w:w="1143"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cs="宋体"/>
                <w:color w:val="000000"/>
                <w:kern w:val="0"/>
                <w:szCs w:val="21"/>
              </w:rPr>
              <w:t>同类项目业绩情况</w:t>
            </w:r>
          </w:p>
        </w:tc>
        <w:tc>
          <w:tcPr>
            <w:tcW w:w="709" w:type="dxa"/>
            <w:vAlign w:val="center"/>
          </w:tcPr>
          <w:p>
            <w:pPr>
              <w:adjustRightInd w:val="0"/>
              <w:snapToGrid w:val="0"/>
              <w:spacing w:line="360" w:lineRule="exact"/>
              <w:jc w:val="center"/>
              <w:rPr>
                <w:rFonts w:hint="default" w:ascii="宋体" w:hAnsi="宋体" w:eastAsia="宋体"/>
                <w:snapToGrid w:val="0"/>
                <w:kern w:val="0"/>
                <w:szCs w:val="21"/>
                <w:lang w:val="en-US" w:eastAsia="zh-CN"/>
              </w:rPr>
            </w:pPr>
            <w:r>
              <w:rPr>
                <w:rFonts w:hint="eastAsia" w:ascii="宋体" w:hAnsi="宋体"/>
                <w:snapToGrid w:val="0"/>
                <w:kern w:val="0"/>
                <w:szCs w:val="21"/>
                <w:lang w:val="en-US" w:eastAsia="zh-CN"/>
              </w:rPr>
              <w:t>15</w:t>
            </w:r>
          </w:p>
        </w:tc>
        <w:tc>
          <w:tcPr>
            <w:tcW w:w="5953" w:type="dxa"/>
            <w:vAlign w:val="center"/>
          </w:tcPr>
          <w:p>
            <w:pPr>
              <w:pStyle w:val="94"/>
              <w:spacing w:line="360" w:lineRule="auto"/>
              <w:ind w:firstLine="0" w:firstLineChars="0"/>
              <w:rPr>
                <w:rFonts w:ascii="宋体" w:hAnsi="宋体"/>
                <w:szCs w:val="21"/>
              </w:rPr>
            </w:pPr>
            <w:r>
              <w:rPr>
                <w:rFonts w:hint="eastAsia" w:ascii="宋体" w:hAnsi="宋体"/>
                <w:szCs w:val="21"/>
              </w:rPr>
              <w:t>（一）评分内容：</w:t>
            </w:r>
          </w:p>
          <w:p>
            <w:pPr>
              <w:pStyle w:val="94"/>
              <w:ind w:firstLine="0" w:firstLineChars="0"/>
              <w:rPr>
                <w:rFonts w:hint="eastAsia" w:ascii="宋体" w:hAnsi="宋体" w:eastAsia="宋体" w:cs="宋体"/>
                <w:szCs w:val="21"/>
                <w:lang w:eastAsia="zh-CN"/>
              </w:rPr>
            </w:pPr>
            <w:r>
              <w:rPr>
                <w:rFonts w:hint="eastAsia" w:ascii="宋体" w:hAnsi="宋体" w:cs="宋体"/>
                <w:szCs w:val="21"/>
              </w:rPr>
              <w:t>考察投标人近三年（</w:t>
            </w:r>
            <w:r>
              <w:rPr>
                <w:rFonts w:hint="eastAsia"/>
                <w:lang w:val="en-US" w:eastAsia="zh-CN"/>
              </w:rPr>
              <w:t>2020年1月1日</w:t>
            </w:r>
            <w:r>
              <w:rPr>
                <w:rFonts w:hint="eastAsia" w:ascii="宋体" w:hAnsi="宋体" w:cs="宋体"/>
                <w:szCs w:val="21"/>
              </w:rPr>
              <w:t>至本项目投标截止日，以合同签订日期为准）的</w:t>
            </w:r>
            <w:r>
              <w:rPr>
                <w:rFonts w:hint="eastAsia" w:ascii="宋体" w:hAnsi="宋体" w:cs="宋体"/>
                <w:bCs/>
                <w:szCs w:val="21"/>
              </w:rPr>
              <w:t>同类项目业绩情况</w:t>
            </w:r>
            <w:r>
              <w:rPr>
                <w:rFonts w:hint="eastAsia" w:ascii="宋体" w:hAnsi="宋体" w:cs="宋体"/>
                <w:szCs w:val="21"/>
              </w:rPr>
              <w:t>（同类业绩指商事登记业务或商事制度改革相关项目、业务流程标准化相关标准规范编制项目</w:t>
            </w:r>
            <w:r>
              <w:rPr>
                <w:rFonts w:hint="eastAsia" w:ascii="宋体" w:hAnsi="宋体" w:cs="宋体"/>
                <w:szCs w:val="21"/>
                <w:lang w:val="en-US" w:eastAsia="zh-CN"/>
              </w:rPr>
              <w:t>等</w:t>
            </w:r>
            <w:r>
              <w:rPr>
                <w:rFonts w:hint="eastAsia" w:ascii="宋体" w:hAnsi="宋体" w:cs="宋体"/>
                <w:szCs w:val="21"/>
              </w:rPr>
              <w:t>）</w:t>
            </w:r>
            <w:r>
              <w:rPr>
                <w:rFonts w:hint="eastAsia" w:ascii="宋体" w:hAnsi="宋体" w:cs="宋体"/>
                <w:szCs w:val="21"/>
                <w:lang w:eastAsia="zh-CN"/>
              </w:rPr>
              <w:t>；</w:t>
            </w:r>
          </w:p>
          <w:p>
            <w:pPr>
              <w:pStyle w:val="94"/>
              <w:ind w:firstLine="0" w:firstLineChars="0"/>
              <w:rPr>
                <w:rFonts w:ascii="宋体" w:hAnsi="宋体" w:cs="宋体"/>
                <w:szCs w:val="21"/>
              </w:rPr>
            </w:pPr>
            <w:r>
              <w:rPr>
                <w:rFonts w:hint="eastAsia" w:ascii="宋体" w:hAnsi="宋体" w:cs="宋体"/>
                <w:szCs w:val="21"/>
              </w:rPr>
              <w:t>每个有效业绩得</w:t>
            </w:r>
            <w:r>
              <w:rPr>
                <w:rFonts w:hint="eastAsia" w:ascii="宋体" w:hAnsi="宋体" w:cs="宋体"/>
                <w:szCs w:val="21"/>
                <w:lang w:val="en-US" w:eastAsia="zh-CN"/>
              </w:rPr>
              <w:t>3</w:t>
            </w:r>
            <w:r>
              <w:rPr>
                <w:rFonts w:hint="eastAsia" w:ascii="宋体" w:hAnsi="宋体" w:cs="宋体"/>
                <w:szCs w:val="21"/>
              </w:rPr>
              <w:t>分，满分</w:t>
            </w:r>
            <w:r>
              <w:rPr>
                <w:rFonts w:hint="eastAsia" w:ascii="宋体" w:hAnsi="宋体" w:cs="宋体"/>
                <w:szCs w:val="21"/>
                <w:lang w:val="en-US" w:eastAsia="zh-CN"/>
              </w:rPr>
              <w:t>15</w:t>
            </w:r>
            <w:r>
              <w:rPr>
                <w:rFonts w:hint="eastAsia" w:ascii="宋体" w:hAnsi="宋体" w:cs="宋体"/>
                <w:szCs w:val="21"/>
              </w:rPr>
              <w:t>分。</w:t>
            </w:r>
          </w:p>
          <w:p>
            <w:pPr>
              <w:pStyle w:val="94"/>
              <w:ind w:firstLine="0" w:firstLineChars="0"/>
              <w:rPr>
                <w:rFonts w:ascii="宋体" w:hAnsi="宋体"/>
                <w:kern w:val="0"/>
                <w:szCs w:val="21"/>
              </w:rPr>
            </w:pPr>
            <w:r>
              <w:rPr>
                <w:rFonts w:hint="eastAsia" w:ascii="宋体" w:hAnsi="宋体"/>
                <w:kern w:val="0"/>
                <w:szCs w:val="21"/>
              </w:rPr>
              <w:t>（二）评分依据：</w:t>
            </w:r>
          </w:p>
          <w:p>
            <w:pPr>
              <w:pStyle w:val="94"/>
              <w:ind w:firstLine="0" w:firstLineChars="0"/>
              <w:rPr>
                <w:rFonts w:ascii="宋体" w:hAnsi="宋体"/>
                <w:szCs w:val="21"/>
              </w:rPr>
            </w:pPr>
            <w:r>
              <w:rPr>
                <w:rFonts w:hint="eastAsia" w:ascii="宋体" w:hAnsi="宋体" w:cs="仿宋"/>
                <w:szCs w:val="21"/>
                <w:lang w:eastAsia="zh-CN"/>
              </w:rPr>
              <w:t>（</w:t>
            </w:r>
            <w:r>
              <w:rPr>
                <w:rFonts w:hint="eastAsia" w:ascii="宋体" w:hAnsi="宋体" w:cs="仿宋"/>
                <w:szCs w:val="21"/>
                <w:lang w:val="en-US" w:eastAsia="zh-CN"/>
              </w:rPr>
              <w:t>1）</w:t>
            </w:r>
            <w:r>
              <w:rPr>
                <w:rFonts w:hint="eastAsia" w:ascii="宋体" w:hAnsi="宋体" w:cs="仿宋"/>
                <w:szCs w:val="21"/>
              </w:rPr>
              <w:t>提供合同关键页</w:t>
            </w:r>
            <w:r>
              <w:rPr>
                <w:rFonts w:cs="宋体" w:asciiTheme="minorEastAsia" w:hAnsiTheme="minorEastAsia" w:eastAsiaTheme="minorEastAsia"/>
                <w:szCs w:val="21"/>
              </w:rPr>
              <w:t>（关键信息包括但不仅限于合同的项目名称、服务内容、合同服务期限、合同签订日期</w:t>
            </w:r>
            <w:r>
              <w:rPr>
                <w:rFonts w:hint="eastAsia" w:cs="宋体" w:asciiTheme="minorEastAsia" w:hAnsiTheme="minorEastAsia" w:eastAsiaTheme="minorEastAsia"/>
                <w:szCs w:val="21"/>
              </w:rPr>
              <w:t>、</w:t>
            </w:r>
            <w:r>
              <w:rPr>
                <w:rFonts w:cs="宋体" w:asciiTheme="minorEastAsia" w:hAnsiTheme="minorEastAsia" w:eastAsiaTheme="minorEastAsia"/>
                <w:szCs w:val="21"/>
              </w:rPr>
              <w:t>甲乙双方签字盖章页）</w:t>
            </w:r>
            <w:r>
              <w:rPr>
                <w:rFonts w:hint="eastAsia" w:asciiTheme="minorEastAsia" w:hAnsiTheme="minorEastAsia" w:eastAsiaTheme="minorEastAsia"/>
                <w:bCs/>
                <w:szCs w:val="21"/>
              </w:rPr>
              <w:t>且提供的材料各项信息不得有任何遮挡</w:t>
            </w:r>
            <w:r>
              <w:rPr>
                <w:rFonts w:hint="eastAsia" w:ascii="宋体" w:hAnsi="宋体"/>
                <w:szCs w:val="21"/>
              </w:rPr>
              <w:t>；</w:t>
            </w:r>
          </w:p>
          <w:p>
            <w:pPr>
              <w:pStyle w:val="94"/>
              <w:ind w:firstLine="0" w:firstLineChars="0"/>
              <w:rPr>
                <w:rFonts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rPr>
              <w:t>通过合同关键信息无法判断是否得分的，也可以提供能证明得分的其它证明资料，如项目报告或合同甲方出具的证明文件；</w:t>
            </w:r>
          </w:p>
          <w:p>
            <w:pPr>
              <w:pStyle w:val="94"/>
              <w:spacing w:line="360" w:lineRule="auto"/>
              <w:ind w:firstLine="0" w:firstLineChars="0"/>
              <w:rPr>
                <w:rFonts w:ascii="宋体" w:hAnsi="宋体"/>
                <w:b/>
                <w:bCs/>
                <w:kern w:val="0"/>
                <w:szCs w:val="21"/>
              </w:rPr>
            </w:pPr>
            <w:r>
              <w:rPr>
                <w:rFonts w:hint="eastAsia" w:ascii="宋体" w:hAnsi="宋体"/>
                <w:kern w:val="0"/>
                <w:szCs w:val="21"/>
                <w:lang w:eastAsia="zh-CN"/>
              </w:rPr>
              <w:t>（</w:t>
            </w:r>
            <w:r>
              <w:rPr>
                <w:rFonts w:hint="eastAsia" w:ascii="宋体" w:hAnsi="宋体"/>
                <w:kern w:val="0"/>
                <w:szCs w:val="21"/>
                <w:lang w:val="en-US" w:eastAsia="zh-CN"/>
              </w:rPr>
              <w:t>3）</w:t>
            </w:r>
            <w:r>
              <w:rPr>
                <w:rFonts w:hint="eastAsia" w:ascii="宋体" w:hAnsi="宋体"/>
                <w:kern w:val="0"/>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2</w:t>
            </w:r>
          </w:p>
        </w:tc>
        <w:tc>
          <w:tcPr>
            <w:tcW w:w="1143" w:type="dxa"/>
            <w:vAlign w:val="center"/>
          </w:tcPr>
          <w:p>
            <w:pPr>
              <w:spacing w:line="360" w:lineRule="exact"/>
              <w:jc w:val="center"/>
              <w:rPr>
                <w:rFonts w:ascii="宋体" w:hAnsi="宋体"/>
                <w:kern w:val="0"/>
                <w:szCs w:val="21"/>
              </w:rPr>
            </w:pPr>
            <w:r>
              <w:rPr>
                <w:rFonts w:hint="eastAsia" w:ascii="宋体" w:hAnsi="宋体"/>
                <w:kern w:val="0"/>
                <w:szCs w:val="21"/>
                <w:lang w:val="zh-CN"/>
              </w:rPr>
              <w:t>获奖（荣誉）情况</w:t>
            </w:r>
          </w:p>
        </w:tc>
        <w:tc>
          <w:tcPr>
            <w:tcW w:w="709" w:type="dxa"/>
            <w:vAlign w:val="center"/>
          </w:tcPr>
          <w:p>
            <w:pPr>
              <w:spacing w:line="360" w:lineRule="exact"/>
              <w:jc w:val="center"/>
              <w:rPr>
                <w:rFonts w:ascii="宋体" w:hAnsi="宋体"/>
                <w:kern w:val="0"/>
                <w:szCs w:val="21"/>
              </w:rPr>
            </w:pPr>
            <w:r>
              <w:rPr>
                <w:rFonts w:hint="eastAsia" w:ascii="宋体" w:hAnsi="宋体"/>
                <w:kern w:val="0"/>
                <w:szCs w:val="21"/>
              </w:rPr>
              <w:t>10</w:t>
            </w:r>
          </w:p>
        </w:tc>
        <w:tc>
          <w:tcPr>
            <w:tcW w:w="5953" w:type="dxa"/>
            <w:vAlign w:val="center"/>
          </w:tcPr>
          <w:p>
            <w:pPr>
              <w:pStyle w:val="94"/>
              <w:spacing w:line="360" w:lineRule="auto"/>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2018年1月1日至本项目投标截止日（以证书颁发日期为准），投标人获得标准研制方面相关以下荣誉或奖项</w:t>
            </w:r>
            <w:r>
              <w:rPr>
                <w:rFonts w:hint="eastAsia" w:ascii="宋体" w:hAnsi="宋体"/>
                <w:kern w:val="0"/>
                <w:szCs w:val="21"/>
                <w:lang w:val="en-US" w:eastAsia="zh-CN"/>
              </w:rPr>
              <w:t>:</w:t>
            </w:r>
          </w:p>
          <w:p>
            <w:pPr>
              <w:autoSpaceDE w:val="0"/>
              <w:autoSpaceDN w:val="0"/>
              <w:adjustRightInd w:val="0"/>
              <w:spacing w:line="360" w:lineRule="auto"/>
              <w:jc w:val="left"/>
              <w:rPr>
                <w:rFonts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1）</w:t>
            </w:r>
            <w:r>
              <w:rPr>
                <w:rFonts w:hint="eastAsia" w:ascii="宋体" w:hAnsi="宋体"/>
                <w:kern w:val="0"/>
                <w:szCs w:val="21"/>
              </w:rPr>
              <w:t>国家级奖项每提供一</w:t>
            </w:r>
            <w:r>
              <w:rPr>
                <w:rFonts w:hint="eastAsia" w:ascii="宋体" w:hAnsi="宋体"/>
                <w:kern w:val="0"/>
                <w:szCs w:val="21"/>
                <w:lang w:val="en-US" w:eastAsia="zh-CN"/>
              </w:rPr>
              <w:t>个</w:t>
            </w:r>
            <w:r>
              <w:rPr>
                <w:rFonts w:hint="eastAsia" w:ascii="宋体" w:hAnsi="宋体"/>
                <w:kern w:val="0"/>
                <w:szCs w:val="21"/>
              </w:rPr>
              <w:t>得</w:t>
            </w:r>
            <w:r>
              <w:rPr>
                <w:rFonts w:hint="eastAsia" w:ascii="宋体" w:hAnsi="宋体"/>
                <w:kern w:val="0"/>
                <w:szCs w:val="21"/>
                <w:lang w:val="en-US" w:eastAsia="zh-CN"/>
              </w:rPr>
              <w:t>5</w:t>
            </w:r>
            <w:r>
              <w:rPr>
                <w:rFonts w:hint="eastAsia" w:ascii="宋体" w:hAnsi="宋体"/>
                <w:kern w:val="0"/>
                <w:szCs w:val="21"/>
              </w:rPr>
              <w:t>分，最高得10分；</w:t>
            </w:r>
          </w:p>
          <w:p>
            <w:pPr>
              <w:autoSpaceDE w:val="0"/>
              <w:autoSpaceDN w:val="0"/>
              <w:adjustRightInd w:val="0"/>
              <w:spacing w:line="360" w:lineRule="auto"/>
              <w:jc w:val="left"/>
              <w:rPr>
                <w:rFonts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rPr>
              <w:t>省级</w:t>
            </w:r>
            <w:r>
              <w:rPr>
                <w:rFonts w:hint="eastAsia" w:ascii="宋体" w:hAnsi="宋体" w:cs="宋体"/>
                <w:bCs/>
                <w:kern w:val="0"/>
                <w:szCs w:val="21"/>
              </w:rPr>
              <w:t>或以上</w:t>
            </w:r>
            <w:r>
              <w:rPr>
                <w:rFonts w:hint="eastAsia" w:ascii="宋体" w:hAnsi="宋体"/>
                <w:kern w:val="0"/>
                <w:szCs w:val="21"/>
              </w:rPr>
              <w:t>奖项每提供一</w:t>
            </w:r>
            <w:r>
              <w:rPr>
                <w:rFonts w:hint="eastAsia" w:ascii="宋体" w:hAnsi="宋体"/>
                <w:kern w:val="0"/>
                <w:szCs w:val="21"/>
                <w:lang w:val="en-US" w:eastAsia="zh-CN"/>
              </w:rPr>
              <w:t>个</w:t>
            </w:r>
            <w:r>
              <w:rPr>
                <w:rFonts w:hint="eastAsia" w:ascii="宋体" w:hAnsi="宋体"/>
                <w:kern w:val="0"/>
                <w:szCs w:val="21"/>
              </w:rPr>
              <w:t>得4分，最高得8分；</w:t>
            </w:r>
          </w:p>
          <w:p>
            <w:pPr>
              <w:autoSpaceDE w:val="0"/>
              <w:autoSpaceDN w:val="0"/>
              <w:adjustRightInd w:val="0"/>
              <w:spacing w:line="360" w:lineRule="auto"/>
              <w:jc w:val="left"/>
              <w:rPr>
                <w:rFonts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3）</w:t>
            </w:r>
            <w:r>
              <w:rPr>
                <w:rFonts w:hint="eastAsia" w:ascii="宋体" w:hAnsi="宋体"/>
                <w:kern w:val="0"/>
                <w:szCs w:val="21"/>
              </w:rPr>
              <w:t>市级</w:t>
            </w:r>
            <w:r>
              <w:rPr>
                <w:rFonts w:hint="eastAsia" w:ascii="宋体" w:hAnsi="宋体" w:cs="宋体"/>
                <w:bCs/>
                <w:kern w:val="0"/>
                <w:szCs w:val="21"/>
              </w:rPr>
              <w:t>或以上</w:t>
            </w:r>
            <w:r>
              <w:rPr>
                <w:rFonts w:hint="eastAsia" w:ascii="宋体" w:hAnsi="宋体"/>
                <w:kern w:val="0"/>
                <w:szCs w:val="21"/>
              </w:rPr>
              <w:t>奖项每提供一</w:t>
            </w:r>
            <w:r>
              <w:rPr>
                <w:rFonts w:hint="eastAsia" w:ascii="宋体" w:hAnsi="宋体"/>
                <w:kern w:val="0"/>
                <w:szCs w:val="21"/>
                <w:lang w:val="en-US" w:eastAsia="zh-CN"/>
              </w:rPr>
              <w:t>个</w:t>
            </w:r>
            <w:r>
              <w:rPr>
                <w:rFonts w:hint="eastAsia" w:ascii="宋体" w:hAnsi="宋体"/>
                <w:kern w:val="0"/>
                <w:szCs w:val="21"/>
              </w:rPr>
              <w:t>得2分，最高得6分。</w:t>
            </w:r>
          </w:p>
          <w:p>
            <w:pPr>
              <w:autoSpaceDE w:val="0"/>
              <w:autoSpaceDN w:val="0"/>
              <w:adjustRightInd w:val="0"/>
              <w:spacing w:line="360" w:lineRule="auto"/>
              <w:jc w:val="left"/>
              <w:rPr>
                <w:rFonts w:hint="eastAsia" w:ascii="宋体" w:hAnsi="宋体"/>
                <w:kern w:val="0"/>
                <w:szCs w:val="21"/>
              </w:rPr>
            </w:pPr>
            <w:r>
              <w:rPr>
                <w:rFonts w:hint="eastAsia" w:ascii="宋体" w:hAnsi="宋体"/>
                <w:kern w:val="0"/>
                <w:szCs w:val="21"/>
                <w:lang w:val="en-US" w:eastAsia="zh-CN"/>
              </w:rPr>
              <w:t>（4）</w:t>
            </w:r>
            <w:r>
              <w:rPr>
                <w:rFonts w:hint="eastAsia" w:ascii="宋体" w:hAnsi="宋体"/>
                <w:kern w:val="0"/>
                <w:szCs w:val="21"/>
              </w:rPr>
              <w:t>以上三项累加计分，</w:t>
            </w:r>
            <w:r>
              <w:rPr>
                <w:rFonts w:hint="eastAsia" w:ascii="宋体" w:hAnsi="宋体"/>
                <w:kern w:val="0"/>
                <w:szCs w:val="21"/>
                <w:lang w:val="en-US" w:eastAsia="zh-CN"/>
              </w:rPr>
              <w:t>累计</w:t>
            </w:r>
            <w:r>
              <w:rPr>
                <w:rFonts w:hint="eastAsia" w:ascii="宋体" w:hAnsi="宋体"/>
                <w:kern w:val="0"/>
                <w:szCs w:val="21"/>
              </w:rPr>
              <w:t>最高得10分。</w:t>
            </w:r>
          </w:p>
          <w:p>
            <w:pPr>
              <w:autoSpaceDE w:val="0"/>
              <w:autoSpaceDN w:val="0"/>
              <w:adjustRightInd w:val="0"/>
              <w:spacing w:line="360" w:lineRule="exact"/>
              <w:jc w:val="left"/>
              <w:rPr>
                <w:rFonts w:ascii="宋体" w:hAnsi="宋体" w:cs="宋体"/>
                <w:bCs/>
                <w:kern w:val="0"/>
                <w:szCs w:val="21"/>
              </w:rPr>
            </w:pPr>
            <w:r>
              <w:rPr>
                <w:rFonts w:hint="eastAsia" w:ascii="宋体" w:hAnsi="宋体" w:cs="宋体"/>
                <w:bCs/>
                <w:kern w:val="0"/>
                <w:szCs w:val="21"/>
              </w:rPr>
              <w:t>国家级奖项要求奖项颁发单位为国务院、国家部委或相关的全国性行业协会（学会）；省级奖项要求奖项颁发单位为省（自治区、直辖市）人民政府（或行业主管行政机关）或相应区域的行业协会（学会），市级奖项要求奖项颁发单位为市级人民政府（或行业主管行政机关）或相应区域的行业协会（学会）。</w:t>
            </w: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auto"/>
              <w:jc w:val="left"/>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1）</w:t>
            </w:r>
            <w:r>
              <w:rPr>
                <w:rFonts w:hint="eastAsia" w:ascii="宋体" w:hAnsi="宋体"/>
                <w:kern w:val="0"/>
                <w:szCs w:val="21"/>
              </w:rPr>
              <w:t>要求提供奖项照片或获奖（荣誉）证书作为得分依据；</w:t>
            </w:r>
          </w:p>
          <w:p>
            <w:pPr>
              <w:autoSpaceDE w:val="0"/>
              <w:autoSpaceDN w:val="0"/>
              <w:adjustRightInd w:val="0"/>
              <w:spacing w:line="360" w:lineRule="auto"/>
              <w:jc w:val="left"/>
              <w:rPr>
                <w:rFonts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autoSpaceDE w:val="0"/>
              <w:autoSpaceDN w:val="0"/>
              <w:adjustRightInd w:val="0"/>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3</w:t>
            </w:r>
          </w:p>
        </w:tc>
        <w:tc>
          <w:tcPr>
            <w:tcW w:w="1143" w:type="dxa"/>
            <w:vAlign w:val="center"/>
          </w:tcPr>
          <w:p>
            <w:pPr>
              <w:adjustRightInd w:val="0"/>
              <w:snapToGrid w:val="0"/>
              <w:spacing w:line="36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供应商自主知识产权</w:t>
            </w:r>
            <w:r>
              <w:rPr>
                <w:rFonts w:hint="eastAsia" w:ascii="宋体" w:hAnsi="宋体"/>
                <w:szCs w:val="21"/>
              </w:rPr>
              <w:t>产品（创新、设计）</w:t>
            </w:r>
            <w:r>
              <w:rPr>
                <w:rFonts w:hint="eastAsia" w:ascii="宋体" w:hAnsi="宋体" w:cs="宋体"/>
                <w:color w:val="000000"/>
                <w:kern w:val="0"/>
                <w:szCs w:val="21"/>
                <w:lang w:val="en-US" w:eastAsia="zh-CN"/>
              </w:rPr>
              <w:t>情况</w:t>
            </w:r>
          </w:p>
        </w:tc>
        <w:tc>
          <w:tcPr>
            <w:tcW w:w="709" w:type="dxa"/>
            <w:vAlign w:val="center"/>
          </w:tcPr>
          <w:p>
            <w:pPr>
              <w:adjustRightInd w:val="0"/>
              <w:snapToGrid w:val="0"/>
              <w:spacing w:line="360" w:lineRule="exact"/>
              <w:jc w:val="center"/>
              <w:rPr>
                <w:rFonts w:hint="eastAsia" w:ascii="宋体" w:hAnsi="宋体" w:eastAsia="宋体"/>
                <w:snapToGrid w:val="0"/>
                <w:kern w:val="0"/>
                <w:szCs w:val="21"/>
                <w:lang w:val="en-US" w:eastAsia="zh-CN"/>
              </w:rPr>
            </w:pPr>
            <w:r>
              <w:rPr>
                <w:rFonts w:hint="eastAsia" w:ascii="宋体" w:hAnsi="宋体"/>
                <w:snapToGrid w:val="0"/>
                <w:kern w:val="0"/>
                <w:szCs w:val="21"/>
                <w:lang w:val="en-US" w:eastAsia="zh-CN"/>
              </w:rPr>
              <w:t>6</w:t>
            </w:r>
          </w:p>
        </w:tc>
        <w:tc>
          <w:tcPr>
            <w:tcW w:w="5953" w:type="dxa"/>
            <w:vAlign w:val="center"/>
          </w:tcPr>
          <w:p>
            <w:pPr>
              <w:keepNext w:val="0"/>
              <w:keepLines w:val="0"/>
              <w:pageBreakBefore w:val="0"/>
              <w:kinsoku/>
              <w:wordWrap/>
              <w:overflowPunct/>
              <w:topLinePunct w:val="0"/>
              <w:bidi w:val="0"/>
              <w:spacing w:line="360" w:lineRule="exact"/>
              <w:jc w:val="left"/>
              <w:textAlignment w:val="auto"/>
              <w:rPr>
                <w:rFonts w:hint="eastAsia" w:ascii="宋体" w:hAnsi="宋体" w:cs="仿宋"/>
                <w:szCs w:val="21"/>
              </w:rPr>
            </w:pPr>
            <w:r>
              <w:rPr>
                <w:rFonts w:hint="eastAsia" w:ascii="宋体" w:hAnsi="宋体" w:cs="仿宋"/>
                <w:szCs w:val="21"/>
              </w:rPr>
              <w:t>（一）评分内容：</w:t>
            </w:r>
          </w:p>
          <w:p>
            <w:pPr>
              <w:keepNext w:val="0"/>
              <w:keepLines w:val="0"/>
              <w:pageBreakBefore w:val="0"/>
              <w:kinsoku/>
              <w:wordWrap/>
              <w:overflowPunct/>
              <w:topLinePunct w:val="0"/>
              <w:bidi w:val="0"/>
              <w:spacing w:line="360" w:lineRule="exact"/>
              <w:jc w:val="left"/>
              <w:textAlignment w:val="auto"/>
              <w:rPr>
                <w:rFonts w:hint="eastAsia" w:ascii="宋体" w:hAnsi="宋体" w:cs="仿宋"/>
                <w:szCs w:val="21"/>
              </w:rPr>
            </w:pPr>
            <w:r>
              <w:rPr>
                <w:rFonts w:hint="eastAsia" w:ascii="宋体" w:hAnsi="宋体" w:cs="仿宋"/>
                <w:szCs w:val="21"/>
                <w:lang w:eastAsia="zh-CN"/>
              </w:rPr>
              <w:t>（</w:t>
            </w:r>
            <w:r>
              <w:rPr>
                <w:rFonts w:hint="eastAsia" w:ascii="宋体" w:hAnsi="宋体" w:cs="仿宋"/>
                <w:szCs w:val="21"/>
                <w:lang w:val="en-US" w:eastAsia="zh-CN"/>
              </w:rPr>
              <w:t>1）</w:t>
            </w:r>
            <w:r>
              <w:rPr>
                <w:rFonts w:hint="eastAsia" w:ascii="宋体" w:hAnsi="宋体" w:cs="仿宋"/>
                <w:szCs w:val="21"/>
              </w:rPr>
              <w:t>投标人具有</w:t>
            </w:r>
            <w:r>
              <w:rPr>
                <w:rFonts w:hint="eastAsia" w:ascii="宋体" w:hAnsi="宋体" w:cs="仿宋"/>
                <w:szCs w:val="21"/>
                <w:lang w:val="en-US" w:eastAsia="zh-CN"/>
              </w:rPr>
              <w:t>商事登记或数据统计分析</w:t>
            </w:r>
            <w:r>
              <w:rPr>
                <w:rFonts w:hint="eastAsia" w:ascii="宋体" w:hAnsi="宋体" w:cs="仿宋"/>
                <w:szCs w:val="21"/>
              </w:rPr>
              <w:t>领域相关专利权的，得</w:t>
            </w:r>
            <w:r>
              <w:rPr>
                <w:rFonts w:hint="eastAsia" w:ascii="宋体" w:hAnsi="宋体" w:cs="仿宋"/>
                <w:szCs w:val="21"/>
                <w:lang w:val="en-US" w:eastAsia="zh-CN"/>
              </w:rPr>
              <w:t>3</w:t>
            </w:r>
            <w:r>
              <w:rPr>
                <w:rFonts w:hint="eastAsia" w:ascii="宋体" w:hAnsi="宋体" w:cs="仿宋"/>
                <w:szCs w:val="21"/>
              </w:rPr>
              <w:t>分。</w:t>
            </w:r>
          </w:p>
          <w:p>
            <w:pPr>
              <w:keepNext w:val="0"/>
              <w:keepLines w:val="0"/>
              <w:pageBreakBefore w:val="0"/>
              <w:kinsoku/>
              <w:wordWrap/>
              <w:overflowPunct/>
              <w:topLinePunct w:val="0"/>
              <w:bidi w:val="0"/>
              <w:spacing w:line="360" w:lineRule="exact"/>
              <w:jc w:val="left"/>
              <w:textAlignment w:val="auto"/>
              <w:rPr>
                <w:rFonts w:hint="eastAsia" w:ascii="宋体" w:hAnsi="宋体" w:cs="仿宋"/>
                <w:szCs w:val="21"/>
              </w:rPr>
            </w:pPr>
            <w:r>
              <w:rPr>
                <w:rFonts w:hint="eastAsia" w:ascii="宋体" w:hAnsi="宋体" w:cs="仿宋"/>
                <w:szCs w:val="21"/>
                <w:lang w:eastAsia="zh-CN"/>
              </w:rPr>
              <w:t>（</w:t>
            </w:r>
            <w:r>
              <w:rPr>
                <w:rFonts w:hint="eastAsia" w:ascii="宋体" w:hAnsi="宋体" w:cs="仿宋"/>
                <w:szCs w:val="21"/>
                <w:lang w:val="en-US" w:eastAsia="zh-CN"/>
              </w:rPr>
              <w:t>2）</w:t>
            </w:r>
            <w:r>
              <w:rPr>
                <w:rFonts w:hint="eastAsia" w:ascii="宋体" w:hAnsi="宋体" w:cs="仿宋"/>
                <w:szCs w:val="21"/>
              </w:rPr>
              <w:t>投标人具有</w:t>
            </w:r>
            <w:r>
              <w:rPr>
                <w:rFonts w:hint="eastAsia" w:ascii="宋体" w:hAnsi="宋体" w:cs="仿宋"/>
                <w:szCs w:val="21"/>
                <w:lang w:val="en-US" w:eastAsia="zh-CN"/>
              </w:rPr>
              <w:t>商事登记或数据统计分析领域相关</w:t>
            </w:r>
            <w:r>
              <w:rPr>
                <w:rFonts w:hint="eastAsia" w:ascii="宋体" w:hAnsi="宋体" w:cs="仿宋"/>
                <w:szCs w:val="21"/>
              </w:rPr>
              <w:t>著作权的，得</w:t>
            </w:r>
            <w:r>
              <w:rPr>
                <w:rFonts w:hint="eastAsia" w:ascii="宋体" w:hAnsi="宋体" w:cs="仿宋"/>
                <w:szCs w:val="21"/>
                <w:lang w:val="en-US" w:eastAsia="zh-CN"/>
              </w:rPr>
              <w:t>3</w:t>
            </w:r>
            <w:r>
              <w:rPr>
                <w:rFonts w:hint="eastAsia" w:ascii="宋体" w:hAnsi="宋体" w:cs="仿宋"/>
                <w:szCs w:val="21"/>
              </w:rPr>
              <w:t>分。</w:t>
            </w:r>
          </w:p>
          <w:p>
            <w:pPr>
              <w:keepNext w:val="0"/>
              <w:keepLines w:val="0"/>
              <w:pageBreakBefore w:val="0"/>
              <w:kinsoku/>
              <w:wordWrap/>
              <w:overflowPunct/>
              <w:topLinePunct w:val="0"/>
              <w:bidi w:val="0"/>
              <w:spacing w:line="360" w:lineRule="exact"/>
              <w:jc w:val="left"/>
              <w:textAlignment w:val="auto"/>
              <w:rPr>
                <w:rFonts w:hint="eastAsia" w:ascii="宋体" w:hAnsi="宋体" w:cs="仿宋"/>
                <w:szCs w:val="21"/>
              </w:rPr>
            </w:pPr>
            <w:r>
              <w:rPr>
                <w:rFonts w:hint="eastAsia" w:ascii="宋体" w:hAnsi="宋体" w:cs="仿宋"/>
                <w:szCs w:val="21"/>
              </w:rPr>
              <w:t>以上2项累加计分，满分</w:t>
            </w:r>
            <w:r>
              <w:rPr>
                <w:rFonts w:hint="eastAsia" w:ascii="宋体" w:hAnsi="宋体" w:cs="仿宋"/>
                <w:szCs w:val="21"/>
                <w:lang w:val="en-US" w:eastAsia="zh-CN"/>
              </w:rPr>
              <w:t>6</w:t>
            </w:r>
            <w:r>
              <w:rPr>
                <w:rFonts w:hint="eastAsia" w:ascii="宋体" w:hAnsi="宋体" w:cs="仿宋"/>
                <w:szCs w:val="21"/>
              </w:rPr>
              <w:t>分。不可重复计分。</w:t>
            </w:r>
          </w:p>
          <w:p>
            <w:pPr>
              <w:keepNext w:val="0"/>
              <w:keepLines w:val="0"/>
              <w:pageBreakBefore w:val="0"/>
              <w:kinsoku/>
              <w:wordWrap/>
              <w:overflowPunct/>
              <w:topLinePunct w:val="0"/>
              <w:bidi w:val="0"/>
              <w:spacing w:line="360" w:lineRule="exact"/>
              <w:jc w:val="left"/>
              <w:textAlignment w:val="auto"/>
              <w:rPr>
                <w:rFonts w:hint="eastAsia" w:ascii="宋体" w:hAnsi="宋体" w:cs="仿宋"/>
                <w:szCs w:val="21"/>
              </w:rPr>
            </w:pPr>
            <w:r>
              <w:rPr>
                <w:rFonts w:hint="eastAsia" w:ascii="宋体" w:hAnsi="宋体" w:cs="仿宋"/>
                <w:szCs w:val="21"/>
              </w:rPr>
              <w:t>（二）评分依据:</w:t>
            </w:r>
          </w:p>
          <w:p>
            <w:pPr>
              <w:keepNext w:val="0"/>
              <w:keepLines w:val="0"/>
              <w:pageBreakBefore w:val="0"/>
              <w:kinsoku/>
              <w:wordWrap/>
              <w:overflowPunct/>
              <w:topLinePunct w:val="0"/>
              <w:bidi w:val="0"/>
              <w:spacing w:line="360" w:lineRule="exact"/>
              <w:jc w:val="left"/>
              <w:textAlignment w:val="auto"/>
              <w:rPr>
                <w:rFonts w:hint="eastAsia" w:ascii="宋体" w:hAnsi="宋体" w:cs="仿宋"/>
                <w:szCs w:val="21"/>
              </w:rPr>
            </w:pPr>
            <w:r>
              <w:rPr>
                <w:rFonts w:hint="eastAsia" w:ascii="宋体" w:hAnsi="宋体" w:cs="仿宋"/>
                <w:szCs w:val="21"/>
                <w:lang w:eastAsia="zh-CN"/>
              </w:rPr>
              <w:t>（</w:t>
            </w:r>
            <w:r>
              <w:rPr>
                <w:rFonts w:hint="eastAsia" w:ascii="宋体" w:hAnsi="宋体" w:cs="仿宋"/>
                <w:szCs w:val="21"/>
                <w:lang w:val="en-US" w:eastAsia="zh-CN"/>
              </w:rPr>
              <w:t>1）</w:t>
            </w:r>
            <w:r>
              <w:rPr>
                <w:rFonts w:hint="eastAsia" w:ascii="宋体" w:hAnsi="宋体" w:cs="仿宋"/>
                <w:szCs w:val="21"/>
              </w:rPr>
              <w:t>要求提供有效的产权（专利</w:t>
            </w:r>
            <w:r>
              <w:rPr>
                <w:rFonts w:hint="eastAsia" w:ascii="宋体" w:hAnsi="宋体" w:cs="仿宋"/>
                <w:szCs w:val="21"/>
                <w:lang w:val="en-US" w:eastAsia="zh-CN"/>
              </w:rPr>
              <w:t>或著作</w:t>
            </w:r>
            <w:r>
              <w:rPr>
                <w:rFonts w:hint="eastAsia" w:ascii="宋体" w:hAnsi="宋体" w:cs="仿宋"/>
                <w:szCs w:val="21"/>
              </w:rPr>
              <w:t>）证书等证明材料作为得分依据。</w:t>
            </w:r>
          </w:p>
          <w:p>
            <w:pPr>
              <w:pStyle w:val="94"/>
              <w:spacing w:line="360" w:lineRule="exact"/>
              <w:ind w:firstLine="0" w:firstLineChars="0"/>
            </w:pPr>
            <w:r>
              <w:rPr>
                <w:rFonts w:hint="eastAsia" w:ascii="宋体" w:hAnsi="宋体" w:cs="仿宋"/>
                <w:szCs w:val="21"/>
                <w:lang w:eastAsia="zh-CN"/>
              </w:rPr>
              <w:t>（</w:t>
            </w:r>
            <w:r>
              <w:rPr>
                <w:rFonts w:hint="eastAsia" w:ascii="宋体" w:hAnsi="宋体" w:cs="仿宋"/>
                <w:szCs w:val="21"/>
                <w:lang w:val="en-US" w:eastAsia="zh-CN"/>
              </w:rPr>
              <w:t>2）</w:t>
            </w:r>
            <w:r>
              <w:rPr>
                <w:rFonts w:hint="eastAsia" w:ascii="宋体" w:hAnsi="宋体" w:cs="仿宋"/>
                <w:szCs w:val="21"/>
              </w:rPr>
              <w:t>以上资料均要求提供</w:t>
            </w:r>
            <w:r>
              <w:rPr>
                <w:rFonts w:hint="eastAsia" w:ascii="宋体" w:hAnsi="宋体"/>
                <w:szCs w:val="21"/>
              </w:rPr>
              <w:t>复印件或</w:t>
            </w:r>
            <w:r>
              <w:rPr>
                <w:rFonts w:hint="eastAsia" w:ascii="宋体" w:hAnsi="宋体" w:cs="仿宋"/>
                <w:szCs w:val="21"/>
              </w:rPr>
              <w:t>扫描件（或官方网站截图），原件备查。评分中出现无证明资料或专家无法凭所提供资料判断是否得分的情况，一律作不得分处理。</w:t>
            </w:r>
          </w:p>
        </w:tc>
        <w:tc>
          <w:tcPr>
            <w:tcW w:w="1187" w:type="dxa"/>
            <w:vAlign w:val="center"/>
          </w:tcPr>
          <w:p>
            <w:pPr>
              <w:spacing w:line="360" w:lineRule="exact"/>
              <w:jc w:val="center"/>
              <w:rPr>
                <w:rFonts w:hint="eastAsia"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4" w:hRule="atLeast"/>
          <w:jc w:val="center"/>
        </w:trPr>
        <w:tc>
          <w:tcPr>
            <w:tcW w:w="754" w:type="dxa"/>
            <w:vAlign w:val="center"/>
          </w:tcPr>
          <w:p>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4</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auto"/>
              <w:ind w:firstLine="0" w:firstLineChars="0"/>
              <w:rPr>
                <w:rFonts w:ascii="宋体" w:hAnsi="宋体"/>
                <w:szCs w:val="21"/>
              </w:rPr>
            </w:pPr>
            <w:r>
              <w:rPr>
                <w:rFonts w:hint="eastAsia" w:ascii="宋体" w:hAnsi="宋体"/>
                <w:szCs w:val="21"/>
              </w:rPr>
              <w:t>（一）评分内容：</w:t>
            </w:r>
          </w:p>
          <w:p>
            <w:pPr>
              <w:adjustRightInd w:val="0"/>
              <w:snapToGrid w:val="0"/>
              <w:spacing w:line="360" w:lineRule="auto"/>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（二）评分依据：</w:t>
            </w:r>
          </w:p>
          <w:p>
            <w:pPr>
              <w:tabs>
                <w:tab w:val="left" w:pos="175"/>
              </w:tabs>
              <w:spacing w:line="360" w:lineRule="auto"/>
              <w:ind w:left="33"/>
              <w:jc w:val="left"/>
              <w:rPr>
                <w:rFonts w:ascii="宋体" w:hAnsi="宋体" w:cs="仿宋"/>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bl>
    <w:p>
      <w:pPr>
        <w:pStyle w:val="4"/>
        <w:spacing w:before="0" w:after="0"/>
        <w:jc w:val="left"/>
        <w:rPr>
          <w:rFonts w:asciiTheme="minorEastAsia" w:hAnsiTheme="minorEastAsia"/>
          <w:bCs w:val="0"/>
          <w:sz w:val="21"/>
          <w:szCs w:val="21"/>
        </w:rPr>
      </w:pPr>
      <w:bookmarkStart w:id="10" w:name="_Toc110410365"/>
      <w:bookmarkStart w:id="11" w:name="_Toc44690703"/>
      <w:bookmarkStart w:id="12" w:name="_Toc44691162"/>
      <w:bookmarkStart w:id="13" w:name="_Toc44691394"/>
      <w:bookmarkStart w:id="14" w:name="_Toc44690430"/>
      <w:r>
        <w:rPr>
          <w:rFonts w:hint="eastAsia" w:asciiTheme="minorEastAsia" w:hAnsiTheme="minorEastAsia"/>
          <w:bCs w:val="0"/>
          <w:sz w:val="21"/>
          <w:szCs w:val="21"/>
        </w:rPr>
        <w:t>备注：</w:t>
      </w:r>
      <w:bookmarkEnd w:id="10"/>
      <w:bookmarkEnd w:id="11"/>
      <w:bookmarkEnd w:id="12"/>
      <w:bookmarkEnd w:id="13"/>
      <w:bookmarkEnd w:id="14"/>
    </w:p>
    <w:p>
      <w:pPr>
        <w:pStyle w:val="2"/>
        <w:spacing w:before="0" w:after="0"/>
      </w:pPr>
      <w:bookmarkStart w:id="15" w:name="_Toc110410366"/>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2"/>
        <w:spacing w:before="0" w:after="0"/>
        <w:rPr>
          <w:rFonts w:asciiTheme="minorEastAsia" w:hAnsiTheme="minorEastAsia" w:eastAsiaTheme="minorEastAsia"/>
        </w:rPr>
      </w:pPr>
      <w:bookmarkStart w:id="16" w:name="_Toc110410367"/>
      <w:r>
        <w:rPr>
          <w:rFonts w:hint="eastAsia" w:asciiTheme="minorEastAsia" w:hAnsiTheme="minorEastAsia" w:eastAsiaTheme="minorEastAsia"/>
        </w:rPr>
        <w:t>2、政府采购扶持政策</w:t>
      </w:r>
      <w:bookmarkEnd w:id="16"/>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spacing w:line="360" w:lineRule="auto"/>
        <w:ind w:firstLine="426" w:firstLineChars="202"/>
        <w:rPr>
          <w:rFonts w:asciiTheme="minorEastAsia" w:hAnsiTheme="minorEastAsia" w:eastAsiaTheme="minorEastAsia"/>
        </w:rPr>
      </w:pPr>
      <w:r>
        <w:rPr>
          <w:rFonts w:hint="eastAsia" w:asciiTheme="minorEastAsia" w:hAnsiTheme="minorEastAsia" w:eastAsiaTheme="minorEastAsia"/>
          <w:b/>
          <w:highlight w:val="yellow"/>
        </w:rPr>
        <w:t>本项目所属行业为</w:t>
      </w:r>
      <w:r>
        <w:rPr>
          <w:rFonts w:hint="eastAsia" w:asciiTheme="minorEastAsia" w:hAnsiTheme="minorEastAsia" w:eastAsiaTheme="minorEastAsia"/>
          <w:b/>
          <w:highlight w:val="yellow"/>
          <w:u w:val="single"/>
        </w:rPr>
        <w:t xml:space="preserve">  其他未列明行业  </w:t>
      </w:r>
      <w:r>
        <w:rPr>
          <w:rFonts w:hint="eastAsia" w:asciiTheme="minorEastAsia" w:hAnsiTheme="minorEastAsia" w:eastAsiaTheme="minorEastAsia"/>
          <w:b/>
          <w:highlight w:val="yellow"/>
        </w:rPr>
        <w:t>。</w:t>
      </w:r>
      <w:r>
        <w:rPr>
          <w:rFonts w:hint="eastAsia" w:asciiTheme="minorEastAsia" w:hAnsiTheme="minorEastAsia" w:eastAsiaTheme="minorEastAsia"/>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rPr>
          <w:rFonts w:ascii="宋体" w:hAnsi="宋体"/>
          <w:snapToGrid w:val="0"/>
          <w:szCs w:val="21"/>
        </w:rPr>
      </w:pPr>
      <w:r>
        <w:rPr>
          <w:rFonts w:hint="eastAsia" w:ascii="宋体" w:hAnsi="宋体"/>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pPr>
      <w:r>
        <w:rPr>
          <w:rFonts w:hint="eastAsia" w:ascii="宋体" w:hAnsi="宋体"/>
          <w:snapToGrid w:val="0"/>
          <w:szCs w:val="21"/>
        </w:rPr>
        <w:t>（4）为缓解中小企业融资难题，深圳市推出政府采购订单融资改革举措。订单融资具体流程及试点金融机构订单融资服务承诺可参阅深圳市政府采购监管网（www.zfcg.sz.gov.cn）信息公开栏目。</w:t>
      </w:r>
    </w:p>
    <w:p/>
    <w:p>
      <w:pPr>
        <w:widowControl/>
        <w:jc w:val="left"/>
      </w:pPr>
      <w:r>
        <w:br w:type="page"/>
      </w:r>
    </w:p>
    <w:p/>
    <w:p>
      <w:pPr>
        <w:pStyle w:val="3"/>
        <w:spacing w:before="0"/>
      </w:pPr>
      <w:bookmarkStart w:id="17" w:name="_Toc110410368"/>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rPr>
                <w:rFonts w:hint="eastAsia" w:eastAsia="宋体"/>
                <w:lang w:eastAsia="zh-CN"/>
              </w:rPr>
            </w:pPr>
            <w:r>
              <w:rPr>
                <w:rFonts w:hint="eastAsia"/>
                <w:lang w:eastAsia="zh-CN"/>
              </w:rPr>
              <w:t>企业名称审查指南及近似行业表述索引项目（第二次招标）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napToGrid w:val="0"/>
                <w:szCs w:val="21"/>
              </w:rPr>
              <w:t>深圳市企业注册局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2023年</w:t>
            </w:r>
            <w:r>
              <w:rPr>
                <w:rFonts w:hint="eastAsia" w:hAnsi="宋体"/>
                <w:b/>
                <w:snapToGrid w:val="0"/>
                <w:szCs w:val="18"/>
                <w:lang w:val="en-US" w:eastAsia="zh-CN"/>
              </w:rPr>
              <w:t>3</w:t>
            </w:r>
            <w:r>
              <w:rPr>
                <w:rFonts w:hint="eastAsia" w:hAnsi="宋体"/>
                <w:b/>
                <w:snapToGrid w:val="0"/>
                <w:szCs w:val="18"/>
              </w:rPr>
              <w:t>月</w:t>
            </w:r>
            <w:r>
              <w:rPr>
                <w:rFonts w:hint="eastAsia" w:hAnsi="宋体"/>
                <w:b/>
                <w:snapToGrid w:val="0"/>
                <w:szCs w:val="18"/>
                <w:lang w:val="en-US" w:eastAsia="zh-CN"/>
              </w:rPr>
              <w:t>31</w:t>
            </w:r>
            <w:r>
              <w:rPr>
                <w:rFonts w:hint="eastAsia" w:hAnsi="宋体"/>
                <w:b/>
                <w:snapToGrid w:val="0"/>
                <w:szCs w:val="18"/>
              </w:rPr>
              <w:t>日</w:t>
            </w:r>
            <w:r>
              <w:rPr>
                <w:rFonts w:hint="eastAsia" w:hAnsi="宋体"/>
                <w:b/>
                <w:snapToGrid w:val="0"/>
                <w:szCs w:val="18"/>
                <w:lang w:val="en-US" w:eastAsia="zh-CN"/>
              </w:rPr>
              <w:t>14</w:t>
            </w:r>
            <w:r>
              <w:rPr>
                <w:rFonts w:hint="eastAsia" w:hAnsi="宋体"/>
                <w:b/>
                <w:snapToGrid w:val="0"/>
                <w:szCs w:val="18"/>
              </w:rPr>
              <w:t>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2023年</w:t>
            </w:r>
            <w:r>
              <w:rPr>
                <w:rFonts w:hint="eastAsia" w:hAnsi="宋体"/>
                <w:b/>
                <w:snapToGrid w:val="0"/>
                <w:szCs w:val="18"/>
                <w:lang w:val="en-US" w:eastAsia="zh-CN"/>
              </w:rPr>
              <w:t>3</w:t>
            </w:r>
            <w:r>
              <w:rPr>
                <w:rFonts w:hint="eastAsia" w:hAnsi="宋体"/>
                <w:b/>
                <w:snapToGrid w:val="0"/>
                <w:szCs w:val="18"/>
              </w:rPr>
              <w:t>月</w:t>
            </w:r>
            <w:r>
              <w:rPr>
                <w:rFonts w:hint="eastAsia" w:hAnsi="宋体"/>
                <w:b/>
                <w:snapToGrid w:val="0"/>
                <w:szCs w:val="18"/>
                <w:lang w:val="en-US" w:eastAsia="zh-CN"/>
              </w:rPr>
              <w:t>31</w:t>
            </w:r>
            <w:r>
              <w:rPr>
                <w:rFonts w:hint="eastAsia" w:hAnsi="宋体"/>
                <w:b/>
                <w:snapToGrid w:val="0"/>
                <w:szCs w:val="18"/>
              </w:rPr>
              <w:t>日</w:t>
            </w:r>
            <w:r>
              <w:rPr>
                <w:rFonts w:hint="eastAsia" w:hAnsi="宋体"/>
                <w:b/>
                <w:snapToGrid w:val="0"/>
                <w:szCs w:val="18"/>
                <w:lang w:val="en-US" w:eastAsia="zh-CN"/>
              </w:rPr>
              <w:t>14</w:t>
            </w:r>
            <w:r>
              <w:rPr>
                <w:rFonts w:hint="eastAsia" w:hAnsi="宋体"/>
                <w:b/>
                <w:snapToGrid w:val="0"/>
                <w:szCs w:val="18"/>
              </w:rPr>
              <w:t>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，最低收取人民币7000元。</w:t>
            </w:r>
          </w:p>
        </w:tc>
      </w:tr>
    </w:tbl>
    <w:p>
      <w:pPr>
        <w:pStyle w:val="3"/>
        <w:spacing w:before="0" w:after="0"/>
        <w:rPr>
          <w:sz w:val="21"/>
          <w:szCs w:val="21"/>
        </w:rPr>
      </w:pPr>
    </w:p>
    <w:p>
      <w:pPr>
        <w:rPr>
          <w:rFonts w:eastAsiaTheme="minorEastAsia"/>
          <w:kern w:val="44"/>
        </w:rPr>
      </w:pPr>
      <w:r>
        <w:rPr>
          <w:szCs w:val="21"/>
        </w:rPr>
        <w:br w:type="page"/>
      </w:r>
    </w:p>
    <w:p>
      <w:pPr>
        <w:pStyle w:val="3"/>
        <w:spacing w:before="0" w:after="0"/>
        <w:rPr>
          <w:sz w:val="21"/>
          <w:szCs w:val="21"/>
        </w:rPr>
      </w:pPr>
    </w:p>
    <w:p>
      <w:pPr>
        <w:pStyle w:val="3"/>
      </w:pPr>
      <w:bookmarkStart w:id="18" w:name="_Toc110410369"/>
      <w:r>
        <w:rPr>
          <w:rFonts w:hint="eastAsia"/>
        </w:rPr>
        <w:t>第六章  投标人须知</w:t>
      </w:r>
      <w:bookmarkEnd w:id="18"/>
    </w:p>
    <w:p>
      <w:pPr>
        <w:pStyle w:val="4"/>
        <w:spacing w:before="0" w:after="0"/>
      </w:pPr>
      <w:bookmarkStart w:id="19" w:name="_Toc110410370"/>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采购人和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4"/>
        <w:spacing w:before="0" w:after="0"/>
      </w:pPr>
      <w:bookmarkStart w:id="21" w:name="_Toc110410371"/>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2" w:name="q6"/>
      <w:bookmarkEnd w:id="22"/>
      <w:bookmarkStart w:id="23" w:name="_Toc110410372"/>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4" w:name="q7"/>
      <w:bookmarkEnd w:id="24"/>
      <w:bookmarkStart w:id="25" w:name="_Toc110410373"/>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7" w:name="q8"/>
      <w:bookmarkEnd w:id="27"/>
      <w:bookmarkStart w:id="28" w:name="_Toc110410374"/>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4"/>
        <w:spacing w:before="0" w:after="0"/>
      </w:pPr>
      <w:bookmarkStart w:id="30" w:name="_Toc110410375"/>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中标（成交）金额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4"/>
        <w:spacing w:before="0" w:after="0"/>
      </w:pPr>
      <w:bookmarkStart w:id="31" w:name="_Toc110410376"/>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
    <w:p/>
    <w:p/>
    <w:p/>
    <w:p/>
    <w:p/>
    <w:p>
      <w:pPr>
        <w:pStyle w:val="3"/>
      </w:pPr>
      <w:bookmarkStart w:id="34" w:name="_Toc110410377"/>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14934"/>
      <w:bookmarkStart w:id="36" w:name="_Toc110410378"/>
      <w:bookmarkStart w:id="37" w:name="_Toc31468"/>
      <w:bookmarkStart w:id="38" w:name="_Toc44690431"/>
      <w:bookmarkStart w:id="39" w:name="_Toc25194"/>
      <w:bookmarkStart w:id="40" w:name="_Toc44691395"/>
      <w:bookmarkStart w:id="41" w:name="_Toc44691163"/>
      <w:bookmarkStart w:id="42" w:name="_Toc11772"/>
      <w:bookmarkStart w:id="43" w:name="_Toc44690704"/>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rPr>
          <w:b/>
          <w:bCs/>
        </w:rPr>
      </w:pPr>
      <w:bookmarkStart w:id="44" w:name="_投标文件格式（第一册）"/>
      <w:bookmarkEnd w:id="44"/>
      <w:bookmarkStart w:id="45" w:name="q0"/>
      <w:r>
        <w:rPr>
          <w:rFonts w:ascii="仿宋" w:hAnsi="仿宋" w:eastAsia="仿宋"/>
        </w:rPr>
        <w:br w:type="page"/>
      </w:r>
    </w:p>
    <w:p>
      <w:pPr>
        <w:pStyle w:val="4"/>
        <w:spacing w:line="400" w:lineRule="exact"/>
        <w:rPr>
          <w:rFonts w:ascii="仿宋" w:hAnsi="仿宋" w:eastAsia="仿宋"/>
        </w:rPr>
      </w:pPr>
    </w:p>
    <w:p>
      <w:pPr>
        <w:pStyle w:val="4"/>
        <w:spacing w:line="400" w:lineRule="exact"/>
        <w:rPr>
          <w:rFonts w:ascii="仿宋" w:hAnsi="仿宋" w:eastAsia="仿宋"/>
        </w:rPr>
      </w:pPr>
      <w:bookmarkStart w:id="46" w:name="_Toc110410379"/>
      <w:r>
        <w:rPr>
          <w:rFonts w:hint="eastAsia" w:ascii="仿宋" w:hAnsi="仿宋" w:eastAsia="仿宋"/>
        </w:rPr>
        <w:t>投标文件格式</w:t>
      </w:r>
      <w:bookmarkEnd w:id="46"/>
    </w:p>
    <w:bookmarkEnd w:id="45"/>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r>
        <w:br w:type="page"/>
      </w:r>
    </w:p>
    <w:p>
      <w:pPr>
        <w:adjustRightInd w:val="0"/>
        <w:snapToGrid w:val="0"/>
        <w:spacing w:line="300" w:lineRule="auto"/>
        <w:jc w:val="center"/>
      </w:pPr>
    </w:p>
    <w:p>
      <w:pPr>
        <w:pStyle w:val="4"/>
        <w:spacing w:line="400" w:lineRule="exact"/>
        <w:rPr>
          <w:rFonts w:ascii="仿宋" w:hAnsi="仿宋" w:eastAsia="仿宋"/>
        </w:rPr>
      </w:pPr>
      <w:bookmarkStart w:id="48" w:name="_Toc110410380"/>
      <w:bookmarkStart w:id="49" w:name="_Toc73613640"/>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Pr>
        <w:widowControl/>
        <w:jc w:val="left"/>
      </w:pPr>
      <w:r>
        <w:br w:type="page"/>
      </w:r>
    </w:p>
    <w:p/>
    <w:p>
      <w:pPr>
        <w:pStyle w:val="4"/>
        <w:spacing w:line="400" w:lineRule="exact"/>
        <w:rPr>
          <w:rFonts w:ascii="仿宋" w:hAnsi="仿宋" w:eastAsia="仿宋"/>
        </w:rPr>
      </w:pPr>
      <w:bookmarkStart w:id="50" w:name="_Toc110410381"/>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188"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2"/>
        <w:jc w:val="center"/>
      </w:pPr>
    </w:p>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1" w:name="_Toc44690705"/>
      <w:bookmarkStart w:id="52" w:name="_Toc44691396"/>
      <w:bookmarkStart w:id="53" w:name="_Toc44691164"/>
      <w:bookmarkStart w:id="54" w:name="_Toc44690432"/>
      <w:r>
        <w:rPr>
          <w:rFonts w:hint="eastAsia" w:asciiTheme="minorEastAsia" w:hAnsiTheme="minorEastAsia" w:eastAsiaTheme="minorEastAsia"/>
          <w:sz w:val="24"/>
        </w:rPr>
        <w:t>格式1  投标人资格证明文件</w:t>
      </w:r>
      <w:bookmarkEnd w:id="51"/>
      <w:bookmarkEnd w:id="52"/>
      <w:bookmarkEnd w:id="53"/>
      <w:bookmarkEnd w:id="54"/>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widowControl/>
        <w:jc w:val="left"/>
        <w:rPr>
          <w:b/>
          <w:snapToGrid w:val="0"/>
          <w:kern w:val="0"/>
          <w:sz w:val="28"/>
        </w:rPr>
      </w:pPr>
      <w:r>
        <w:rPr>
          <w:b/>
          <w:snapToGrid w:val="0"/>
          <w:kern w:val="0"/>
          <w:sz w:val="28"/>
        </w:rPr>
        <w:br w:type="page"/>
      </w: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60" w:lineRule="auto"/>
        <w:ind w:firstLine="600"/>
        <w:jc w:val="right"/>
      </w:pPr>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5"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5"/>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widowControl/>
        <w:jc w:val="left"/>
      </w:pPr>
      <w:r>
        <w:br w:type="page"/>
      </w:r>
    </w:p>
    <w:p>
      <w:pPr>
        <w:tabs>
          <w:tab w:val="left" w:pos="720"/>
        </w:tabs>
        <w:adjustRightInd w:val="0"/>
        <w:snapToGrid w:val="0"/>
        <w:spacing w:line="300" w:lineRule="auto"/>
        <w:rPr>
          <w:b/>
          <w:snapToGrid w:val="0"/>
          <w:kern w:val="0"/>
          <w:sz w:val="28"/>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adjustRightInd w:val="0"/>
        <w:snapToGrid w:val="0"/>
        <w:spacing w:line="360" w:lineRule="auto"/>
        <w:ind w:firstLine="600"/>
        <w:jc w:val="right"/>
      </w:pPr>
      <w:r>
        <w:t xml:space="preserve">                                          </w:t>
      </w:r>
      <w:r>
        <w:rPr>
          <w:b/>
          <w:bCs/>
        </w:rPr>
        <w:t xml:space="preserve">  </w:t>
      </w:r>
    </w:p>
    <w:p>
      <w:pPr>
        <w:adjustRightInd w:val="0"/>
        <w:snapToGrid w:val="0"/>
        <w:spacing w:line="360" w:lineRule="auto"/>
        <w:ind w:firstLine="600"/>
        <w:jc w:val="right"/>
      </w:pPr>
    </w:p>
    <w:p>
      <w:pPr>
        <w:widowControl/>
        <w:jc w:val="left"/>
      </w:pPr>
      <w:r>
        <w:br w:type="page"/>
      </w:r>
    </w:p>
    <w:p>
      <w:pPr>
        <w:adjustRightInd w:val="0"/>
        <w:snapToGrid w:val="0"/>
        <w:spacing w:line="360" w:lineRule="auto"/>
        <w:ind w:firstLine="600"/>
        <w:jc w:val="lef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6" w:name="_Toc44691165"/>
      <w:bookmarkStart w:id="57" w:name="_Toc44691397"/>
      <w:bookmarkStart w:id="58" w:name="_Toc44690433"/>
      <w:bookmarkStart w:id="59" w:name="_Toc44690706"/>
      <w:r>
        <w:rPr>
          <w:rFonts w:hint="eastAsia" w:asciiTheme="minorEastAsia" w:hAnsiTheme="minorEastAsia" w:eastAsiaTheme="minorEastAsia"/>
          <w:sz w:val="24"/>
        </w:rPr>
        <w:t>格式5  开标一览表</w:t>
      </w:r>
      <w:bookmarkEnd w:id="56"/>
      <w:bookmarkEnd w:id="57"/>
      <w:bookmarkEnd w:id="58"/>
      <w:bookmarkEnd w:id="59"/>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433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3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315" w:type="dxa"/>
            <w:tcBorders>
              <w:top w:val="single" w:color="auto" w:sz="4" w:space="0"/>
            </w:tcBorders>
            <w:vAlign w:val="center"/>
          </w:tcPr>
          <w:p>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企业名称审查指南及近似行业表述索引项目（第二次招标）</w:t>
            </w:r>
          </w:p>
        </w:tc>
        <w:tc>
          <w:tcPr>
            <w:tcW w:w="4330"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0" w:name="_Toc44690707"/>
      <w:bookmarkStart w:id="61" w:name="_Toc44690434"/>
      <w:bookmarkStart w:id="62" w:name="_Toc44691398"/>
      <w:bookmarkStart w:id="63" w:name="_Toc44691166"/>
      <w:r>
        <w:rPr>
          <w:rFonts w:hint="eastAsia" w:asciiTheme="minorEastAsia" w:hAnsiTheme="minorEastAsia" w:eastAsiaTheme="minorEastAsia"/>
          <w:sz w:val="24"/>
        </w:rPr>
        <w:t>格式6  报价表</w:t>
      </w:r>
      <w:bookmarkEnd w:id="60"/>
      <w:bookmarkEnd w:id="61"/>
      <w:bookmarkEnd w:id="62"/>
      <w:bookmarkEnd w:id="63"/>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Pr>
        <w:pStyle w:val="28"/>
        <w:adjustRightInd w:val="0"/>
        <w:snapToGrid w:val="0"/>
        <w:spacing w:line="312" w:lineRule="auto"/>
        <w:jc w:val="center"/>
        <w:rPr>
          <w:rFonts w:ascii="Times New Roman" w:hAnsi="Times New Roman"/>
          <w:b/>
          <w:sz w:val="28"/>
        </w:rPr>
      </w:pPr>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4" w:name="_Toc44691167"/>
      <w:bookmarkStart w:id="65" w:name="_Toc44690708"/>
      <w:bookmarkStart w:id="66" w:name="_Toc44690435"/>
      <w:bookmarkStart w:id="67" w:name="_Toc44691399"/>
      <w:r>
        <w:rPr>
          <w:rFonts w:hint="eastAsia" w:asciiTheme="minorEastAsia" w:hAnsiTheme="minorEastAsia" w:eastAsiaTheme="minorEastAsia"/>
          <w:sz w:val="24"/>
        </w:rPr>
        <w:t>格式7  服务方案</w:t>
      </w:r>
      <w:bookmarkEnd w:id="64"/>
      <w:bookmarkEnd w:id="65"/>
      <w:bookmarkEnd w:id="66"/>
      <w:bookmarkEnd w:id="67"/>
    </w:p>
    <w:p>
      <w:pPr>
        <w:pStyle w:val="7"/>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pPr>
        <w:spacing w:line="360" w:lineRule="auto"/>
        <w:ind w:firstLine="420" w:firstLineChars="200"/>
        <w:rPr>
          <w:rFonts w:ascii="宋体" w:hAnsi="宋体" w:cs="宋体"/>
          <w:szCs w:val="21"/>
        </w:rPr>
      </w:pPr>
      <w:r>
        <w:rPr>
          <w:rFonts w:hint="eastAsia" w:ascii="宋体" w:hAnsi="宋体" w:cs="宋体"/>
          <w:szCs w:val="21"/>
        </w:rPr>
        <w:t>4、项目完成（服务期满）后的服务承诺</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szCs w:val="21"/>
        </w:rPr>
        <w:t>违约承诺</w:t>
      </w:r>
    </w:p>
    <w:p>
      <w:pPr>
        <w:spacing w:line="360" w:lineRule="auto"/>
        <w:ind w:firstLine="420" w:firstLineChars="200"/>
        <w:rPr>
          <w:rFonts w:ascii="宋体" w:hAnsi="宋体"/>
          <w:szCs w:val="21"/>
        </w:rPr>
      </w:pPr>
      <w:r>
        <w:rPr>
          <w:rFonts w:hint="eastAsia" w:ascii="宋体" w:hAnsi="宋体"/>
          <w:szCs w:val="21"/>
        </w:rPr>
        <w:t>6、拟投入人员情况：包括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ascii="宋体" w:hAnsi="宋体"/>
          <w:bCs/>
        </w:rPr>
      </w:pPr>
      <w:r>
        <w:rPr>
          <w:rFonts w:hint="eastAsia" w:ascii="宋体" w:hAnsi="宋体"/>
          <w:bCs/>
        </w:rPr>
        <w:t>7、投标人认为必要的其他方案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widowControl/>
        <w:jc w:val="left"/>
        <w:rPr>
          <w:snapToGrid w:val="0"/>
          <w:kern w:val="0"/>
        </w:rPr>
      </w:pPr>
      <w:r>
        <w:rPr>
          <w:snapToGrid w:val="0"/>
          <w:kern w:val="0"/>
        </w:rPr>
        <w:br w:type="page"/>
      </w:r>
    </w:p>
    <w:p>
      <w:pPr>
        <w:adjustRightInd w:val="0"/>
        <w:snapToGrid w:val="0"/>
        <w:spacing w:line="300" w:lineRule="auto"/>
        <w:jc w:val="lef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w:t>
      </w:r>
      <w:r>
        <w:rPr>
          <w:rFonts w:hint="eastAsia" w:asciiTheme="minorEastAsia" w:hAnsiTheme="minorEastAsia" w:eastAsiaTheme="minorEastAsia"/>
          <w:sz w:val="24"/>
        </w:rPr>
        <w:t>投标人情况介绍</w:t>
      </w:r>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2"/>
        <w:spacing w:before="0"/>
        <w:rPr>
          <w:rFonts w:ascii="宋体" w:hAnsi="宋体"/>
          <w:sz w:val="28"/>
        </w:rPr>
      </w:pPr>
    </w:p>
    <w:p/>
    <w:p/>
    <w:p/>
    <w:p/>
    <w:p/>
    <w:p/>
    <w:p/>
    <w:p/>
    <w:p/>
    <w:p/>
    <w:p/>
    <w:p/>
    <w:p/>
    <w:p/>
    <w:p/>
    <w:p/>
    <w:p/>
    <w:p/>
    <w:p/>
    <w:p/>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8" w:name="_Toc44690436"/>
      <w:bookmarkStart w:id="69" w:name="_Toc44691400"/>
      <w:bookmarkStart w:id="70" w:name="_Toc44690709"/>
      <w:bookmarkStart w:id="71" w:name="_Toc44691168"/>
      <w:r>
        <w:rPr>
          <w:rFonts w:hint="eastAsia" w:asciiTheme="minorEastAsia" w:hAnsiTheme="minorEastAsia" w:eastAsiaTheme="minorEastAsia"/>
          <w:sz w:val="24"/>
        </w:rPr>
        <w:t>格式9  偏离表</w:t>
      </w:r>
      <w:bookmarkEnd w:id="68"/>
      <w:bookmarkEnd w:id="69"/>
      <w:bookmarkEnd w:id="70"/>
      <w:bookmarkEnd w:id="71"/>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2" w:name="_格式4__"/>
      <w:bookmarkEnd w:id="72"/>
      <w:bookmarkStart w:id="73" w:name="_格式5__"/>
      <w:bookmarkEnd w:id="73"/>
      <w:bookmarkStart w:id="74" w:name="_格式2__投标保证金凭证"/>
      <w:bookmarkEnd w:id="74"/>
      <w:bookmarkStart w:id="75" w:name="q15"/>
      <w:bookmarkEnd w:id="75"/>
      <w:bookmarkStart w:id="76" w:name="_格式3__"/>
      <w:bookmarkEnd w:id="76"/>
      <w:bookmarkStart w:id="77" w:name="q16"/>
      <w:bookmarkEnd w:id="77"/>
      <w:bookmarkStart w:id="78" w:name="q17"/>
      <w:bookmarkEnd w:id="78"/>
      <w:r>
        <w:rPr>
          <w:rFonts w:asciiTheme="minorEastAsia" w:hAnsiTheme="minorEastAsia" w:eastAsiaTheme="minorEastAsia"/>
          <w:sz w:val="24"/>
        </w:rPr>
        <w:tab/>
      </w:r>
      <w:bookmarkStart w:id="79" w:name="_Toc44690437"/>
      <w:bookmarkStart w:id="80" w:name="_Toc44691169"/>
      <w:bookmarkStart w:id="81" w:name="_Toc44691401"/>
      <w:bookmarkStart w:id="82" w:name="_Toc44690710"/>
      <w:r>
        <w:rPr>
          <w:rFonts w:hint="eastAsia" w:asciiTheme="minorEastAsia" w:hAnsiTheme="minorEastAsia" w:eastAsiaTheme="minorEastAsia"/>
          <w:sz w:val="24"/>
        </w:rPr>
        <w:t xml:space="preserve">格式10  </w:t>
      </w:r>
      <w:bookmarkEnd w:id="79"/>
      <w:bookmarkEnd w:id="80"/>
      <w:bookmarkEnd w:id="81"/>
      <w:bookmarkEnd w:id="82"/>
      <w:r>
        <w:rPr>
          <w:rFonts w:hint="eastAsia" w:asciiTheme="minorEastAsia" w:hAnsiTheme="minorEastAsia" w:eastAsiaTheme="minorEastAsia"/>
          <w:sz w:val="24"/>
        </w:rPr>
        <w:t>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3"/>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pStyle w:val="3"/>
      </w:pPr>
      <w:bookmarkStart w:id="83" w:name="_Toc110410382"/>
      <w:r>
        <w:rPr>
          <w:rFonts w:hint="eastAsia"/>
        </w:rPr>
        <w:t>第八章  合同条款</w:t>
      </w:r>
      <w:bookmarkEnd w:id="83"/>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6"/>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6"/>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6"/>
        <w:snapToGrid w:val="0"/>
        <w:spacing w:line="360" w:lineRule="auto"/>
        <w:ind w:firstLine="422" w:firstLineChars="200"/>
        <w:rPr>
          <w:rFonts w:hAnsi="宋体"/>
          <w:b/>
          <w:szCs w:val="21"/>
        </w:rPr>
      </w:pPr>
      <w:r>
        <w:rPr>
          <w:rFonts w:hint="eastAsia" w:hAnsi="宋体"/>
          <w:b/>
          <w:szCs w:val="21"/>
        </w:rPr>
        <w:t>二、合同金额</w:t>
      </w:r>
    </w:p>
    <w:p>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6"/>
        <w:snapToGrid w:val="0"/>
        <w:spacing w:line="360" w:lineRule="auto"/>
        <w:ind w:firstLine="422" w:firstLineChars="200"/>
        <w:rPr>
          <w:rFonts w:hAnsi="宋体"/>
          <w:b/>
          <w:szCs w:val="21"/>
        </w:rPr>
      </w:pPr>
      <w:r>
        <w:rPr>
          <w:rFonts w:hint="eastAsia" w:hAnsi="宋体"/>
          <w:b/>
          <w:szCs w:val="21"/>
        </w:rPr>
        <w:t>三、技术资料</w:t>
      </w:r>
    </w:p>
    <w:p>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6"/>
        <w:snapToGrid w:val="0"/>
        <w:spacing w:line="360" w:lineRule="auto"/>
        <w:ind w:firstLine="422" w:firstLineChars="200"/>
        <w:rPr>
          <w:rFonts w:hAnsi="宋体"/>
          <w:b/>
          <w:szCs w:val="21"/>
        </w:rPr>
      </w:pPr>
      <w:r>
        <w:rPr>
          <w:rFonts w:hint="eastAsia" w:hAnsi="宋体"/>
          <w:b/>
          <w:szCs w:val="21"/>
        </w:rPr>
        <w:t>四、知识产权</w:t>
      </w:r>
    </w:p>
    <w:p>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6"/>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6"/>
        <w:snapToGrid w:val="0"/>
        <w:spacing w:line="360" w:lineRule="auto"/>
        <w:ind w:firstLine="422" w:firstLineChars="200"/>
        <w:rPr>
          <w:rFonts w:hAnsi="宋体"/>
          <w:b/>
          <w:szCs w:val="21"/>
        </w:rPr>
      </w:pPr>
      <w:r>
        <w:rPr>
          <w:rFonts w:hint="eastAsia" w:hAnsi="宋体"/>
          <w:b/>
          <w:szCs w:val="21"/>
        </w:rPr>
        <w:t>十、付款方式和税费</w:t>
      </w:r>
    </w:p>
    <w:p>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6"/>
        <w:snapToGrid w:val="0"/>
        <w:spacing w:line="360" w:lineRule="auto"/>
        <w:ind w:firstLine="422" w:firstLineChars="200"/>
        <w:rPr>
          <w:rFonts w:hAnsi="宋体"/>
          <w:b/>
          <w:szCs w:val="21"/>
        </w:rPr>
      </w:pPr>
      <w:r>
        <w:rPr>
          <w:rFonts w:hint="eastAsia" w:hAnsi="宋体"/>
          <w:b/>
          <w:szCs w:val="21"/>
        </w:rPr>
        <w:t>十二、违约责任</w:t>
      </w:r>
    </w:p>
    <w:p>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3"/>
      </w:pPr>
      <w:bookmarkStart w:id="84" w:name="_Toc73610161"/>
      <w:bookmarkStart w:id="85" w:name="_Toc110410383"/>
      <w:r>
        <w:rPr>
          <w:rFonts w:hint="eastAsia"/>
        </w:rPr>
        <w:t>第九章  附件</w:t>
      </w:r>
      <w:bookmarkEnd w:id="84"/>
      <w:bookmarkEnd w:id="85"/>
    </w:p>
    <w:p>
      <w:pPr>
        <w:pStyle w:val="4"/>
        <w:spacing w:before="0" w:after="0"/>
      </w:pPr>
      <w:bookmarkStart w:id="86" w:name="_Toc110410384"/>
      <w:bookmarkStart w:id="87" w:name="_Toc73610162"/>
      <w:r>
        <w:rPr>
          <w:rFonts w:hint="eastAsia"/>
        </w:rPr>
        <w:t>一、财政部 工业和信息化部关于印发《政府采购促进中小企业发展管理办法》的通知</w:t>
      </w:r>
      <w:bookmarkEnd w:id="86"/>
      <w:bookmarkEnd w:id="87"/>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4"/>
        <w:spacing w:before="0" w:after="0"/>
      </w:pPr>
      <w:bookmarkStart w:id="88" w:name="_Toc110410385"/>
      <w:bookmarkStart w:id="89" w:name="_Toc73610163"/>
      <w:r>
        <w:rPr>
          <w:rFonts w:hint="eastAsia"/>
        </w:rPr>
        <w:t>二、关于印发中小企业划型标准规定的通知</w:t>
      </w:r>
      <w:bookmarkEnd w:id="88"/>
      <w:bookmarkEnd w:id="89"/>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4"/>
        <w:spacing w:before="0" w:after="0"/>
      </w:pPr>
      <w:bookmarkStart w:id="90" w:name="_Toc73610164"/>
      <w:bookmarkStart w:id="91" w:name="_Toc110410386"/>
      <w:r>
        <w:rPr>
          <w:rFonts w:hint="eastAsia"/>
        </w:rPr>
        <w:t>三、</w:t>
      </w:r>
      <w:r>
        <w:t>国家统计局关于印发《统计上大中小微型企业划分办法 （2017）》的通知</w:t>
      </w:r>
      <w:bookmarkEnd w:id="90"/>
      <w:bookmarkEnd w:id="91"/>
      <w: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pPr>
      <w:bookmarkStart w:id="92" w:name="_Toc73610165"/>
      <w:bookmarkStart w:id="93" w:name="_Toc110410387"/>
      <w:r>
        <w:rPr>
          <w:rFonts w:hint="eastAsia"/>
        </w:rPr>
        <w:t>四、</w:t>
      </w:r>
      <w:r>
        <w:t>财政部 民政部 中国残疾人联合会关于促进残疾人就业 政府采购政策的通知</w:t>
      </w:r>
      <w:bookmarkEnd w:id="92"/>
      <w:bookmarkEnd w:id="93"/>
      <w:r>
        <w:t xml:space="preserve"> </w:t>
      </w:r>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u w:val="single"/>
      </w:rPr>
    </w:pPr>
    <w:r>
      <w:rPr>
        <w:rFonts w:hint="eastAsia"/>
      </w:rPr>
      <w:t>项目名称：</w:t>
    </w:r>
    <w:r>
      <w:rPr>
        <w:rFonts w:hint="eastAsia" w:asciiTheme="minorEastAsia" w:hAnsiTheme="minorEastAsia" w:eastAsiaTheme="minorEastAsia"/>
        <w:lang w:eastAsia="zh-CN"/>
      </w:rPr>
      <w:t>企业名称审查指南及近似行业表述索引项目（第二次招标）</w:t>
    </w:r>
    <w:r>
      <w:rPr>
        <w:rFonts w:hint="eastAsia" w:asciiTheme="minorEastAsia" w:hAnsiTheme="minorEastAsia" w:eastAsiaTheme="minorEastAsia"/>
      </w:rPr>
      <w:t xml:space="preserve">       </w:t>
    </w:r>
    <w:r>
      <w:rPr>
        <w:rFonts w:hint="eastAsia"/>
      </w:rPr>
      <w:t xml:space="preserve">             项目编号：</w:t>
    </w:r>
    <w:r>
      <w:rPr>
        <w:rFonts w:hint="eastAsia" w:asciiTheme="minorEastAsia" w:hAnsiTheme="minorEastAsia" w:eastAsiaTheme="minorEastAsia"/>
      </w:rPr>
      <w:t>SZZZ2023-QC0055</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785472D0"/>
    <w:multiLevelType w:val="singleLevel"/>
    <w:tmpl w:val="785472D0"/>
    <w:lvl w:ilvl="0" w:tentative="0">
      <w:start w:val="3"/>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ZGVkYTNiOTU2NTQ1Nzc0OTI5NDMzOTUxZDg0ZWIifQ=="/>
  </w:docVars>
  <w:rsids>
    <w:rsidRoot w:val="00172A27"/>
    <w:rsid w:val="0000134D"/>
    <w:rsid w:val="00001F1C"/>
    <w:rsid w:val="000036D6"/>
    <w:rsid w:val="00003A46"/>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3D2B"/>
    <w:rsid w:val="000442CB"/>
    <w:rsid w:val="000447F6"/>
    <w:rsid w:val="00045923"/>
    <w:rsid w:val="00045EB5"/>
    <w:rsid w:val="00046595"/>
    <w:rsid w:val="00046998"/>
    <w:rsid w:val="0004741F"/>
    <w:rsid w:val="00047612"/>
    <w:rsid w:val="00047852"/>
    <w:rsid w:val="00050F73"/>
    <w:rsid w:val="00051378"/>
    <w:rsid w:val="0005271F"/>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5967"/>
    <w:rsid w:val="00066813"/>
    <w:rsid w:val="000668F4"/>
    <w:rsid w:val="0006745C"/>
    <w:rsid w:val="00067D3F"/>
    <w:rsid w:val="00067DC4"/>
    <w:rsid w:val="000700C5"/>
    <w:rsid w:val="00070384"/>
    <w:rsid w:val="00071507"/>
    <w:rsid w:val="0007211D"/>
    <w:rsid w:val="00072BD7"/>
    <w:rsid w:val="000730F3"/>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0910"/>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E6C3B"/>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CCC"/>
    <w:rsid w:val="00115E6A"/>
    <w:rsid w:val="0012030F"/>
    <w:rsid w:val="00120AB4"/>
    <w:rsid w:val="00120BE1"/>
    <w:rsid w:val="0012174B"/>
    <w:rsid w:val="00121A55"/>
    <w:rsid w:val="00121B3C"/>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4BC"/>
    <w:rsid w:val="00187B3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C91"/>
    <w:rsid w:val="001B0220"/>
    <w:rsid w:val="001B0850"/>
    <w:rsid w:val="001B1281"/>
    <w:rsid w:val="001B1D39"/>
    <w:rsid w:val="001B2126"/>
    <w:rsid w:val="001B2329"/>
    <w:rsid w:val="001B23F5"/>
    <w:rsid w:val="001B2666"/>
    <w:rsid w:val="001B2909"/>
    <w:rsid w:val="001B2A31"/>
    <w:rsid w:val="001B2D49"/>
    <w:rsid w:val="001B2E91"/>
    <w:rsid w:val="001B5B42"/>
    <w:rsid w:val="001B606A"/>
    <w:rsid w:val="001B6DDB"/>
    <w:rsid w:val="001B7078"/>
    <w:rsid w:val="001B7491"/>
    <w:rsid w:val="001B75CF"/>
    <w:rsid w:val="001B7A8D"/>
    <w:rsid w:val="001B7EBE"/>
    <w:rsid w:val="001C06C0"/>
    <w:rsid w:val="001C0AC9"/>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1C18"/>
    <w:rsid w:val="001E208F"/>
    <w:rsid w:val="001E233C"/>
    <w:rsid w:val="001E4950"/>
    <w:rsid w:val="001E5014"/>
    <w:rsid w:val="001E630A"/>
    <w:rsid w:val="001E7838"/>
    <w:rsid w:val="001E7A22"/>
    <w:rsid w:val="001E7D19"/>
    <w:rsid w:val="001F0C50"/>
    <w:rsid w:val="001F0CFA"/>
    <w:rsid w:val="001F0ECC"/>
    <w:rsid w:val="001F1464"/>
    <w:rsid w:val="001F1897"/>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316C"/>
    <w:rsid w:val="00233EA8"/>
    <w:rsid w:val="00233EE9"/>
    <w:rsid w:val="002344D9"/>
    <w:rsid w:val="00234CA0"/>
    <w:rsid w:val="00235237"/>
    <w:rsid w:val="002356F7"/>
    <w:rsid w:val="0023573C"/>
    <w:rsid w:val="00235CCD"/>
    <w:rsid w:val="0023602F"/>
    <w:rsid w:val="00236048"/>
    <w:rsid w:val="002362ED"/>
    <w:rsid w:val="00237036"/>
    <w:rsid w:val="002372AC"/>
    <w:rsid w:val="002375DA"/>
    <w:rsid w:val="00237A33"/>
    <w:rsid w:val="00237F7F"/>
    <w:rsid w:val="002402E8"/>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506EE"/>
    <w:rsid w:val="00250E42"/>
    <w:rsid w:val="00250E89"/>
    <w:rsid w:val="0025197E"/>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10D"/>
    <w:rsid w:val="00261B4C"/>
    <w:rsid w:val="00261C50"/>
    <w:rsid w:val="00261C71"/>
    <w:rsid w:val="00261E06"/>
    <w:rsid w:val="0026249A"/>
    <w:rsid w:val="002625B4"/>
    <w:rsid w:val="00263090"/>
    <w:rsid w:val="00263146"/>
    <w:rsid w:val="00264D98"/>
    <w:rsid w:val="00265054"/>
    <w:rsid w:val="0026523F"/>
    <w:rsid w:val="00265EBC"/>
    <w:rsid w:val="0026696D"/>
    <w:rsid w:val="00266BE6"/>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615B"/>
    <w:rsid w:val="00286DFC"/>
    <w:rsid w:val="00287102"/>
    <w:rsid w:val="00290002"/>
    <w:rsid w:val="0029069C"/>
    <w:rsid w:val="0029244F"/>
    <w:rsid w:val="00293B82"/>
    <w:rsid w:val="00293DA4"/>
    <w:rsid w:val="002965D8"/>
    <w:rsid w:val="0029715E"/>
    <w:rsid w:val="002A00F2"/>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D0724"/>
    <w:rsid w:val="002D13DF"/>
    <w:rsid w:val="002D3B6B"/>
    <w:rsid w:val="002D41A4"/>
    <w:rsid w:val="002D603D"/>
    <w:rsid w:val="002D62E1"/>
    <w:rsid w:val="002E00AD"/>
    <w:rsid w:val="002E032F"/>
    <w:rsid w:val="002E075F"/>
    <w:rsid w:val="002E08C1"/>
    <w:rsid w:val="002E0B56"/>
    <w:rsid w:val="002E0B5D"/>
    <w:rsid w:val="002E1192"/>
    <w:rsid w:val="002E1650"/>
    <w:rsid w:val="002E1DA6"/>
    <w:rsid w:val="002E1FD4"/>
    <w:rsid w:val="002E2087"/>
    <w:rsid w:val="002E214F"/>
    <w:rsid w:val="002E24BD"/>
    <w:rsid w:val="002E3C98"/>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7017C"/>
    <w:rsid w:val="003703D0"/>
    <w:rsid w:val="003706B3"/>
    <w:rsid w:val="003709F9"/>
    <w:rsid w:val="00372447"/>
    <w:rsid w:val="00372522"/>
    <w:rsid w:val="003728C9"/>
    <w:rsid w:val="00373353"/>
    <w:rsid w:val="00373923"/>
    <w:rsid w:val="003744B5"/>
    <w:rsid w:val="003745F2"/>
    <w:rsid w:val="00374BA5"/>
    <w:rsid w:val="003756AA"/>
    <w:rsid w:val="00376309"/>
    <w:rsid w:val="00376E0D"/>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19DA"/>
    <w:rsid w:val="00391BFD"/>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6D0"/>
    <w:rsid w:val="003D27FB"/>
    <w:rsid w:val="003D3FDB"/>
    <w:rsid w:val="003D482D"/>
    <w:rsid w:val="003D53DC"/>
    <w:rsid w:val="003D54FA"/>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3C4"/>
    <w:rsid w:val="00410BE7"/>
    <w:rsid w:val="00410D26"/>
    <w:rsid w:val="0041105B"/>
    <w:rsid w:val="004110C4"/>
    <w:rsid w:val="004124E8"/>
    <w:rsid w:val="00412773"/>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BEB"/>
    <w:rsid w:val="00425DDC"/>
    <w:rsid w:val="00426433"/>
    <w:rsid w:val="00426BE7"/>
    <w:rsid w:val="00427383"/>
    <w:rsid w:val="00427BF1"/>
    <w:rsid w:val="004304D3"/>
    <w:rsid w:val="00430640"/>
    <w:rsid w:val="00430E30"/>
    <w:rsid w:val="00431315"/>
    <w:rsid w:val="00431CAB"/>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365F"/>
    <w:rsid w:val="00474CD6"/>
    <w:rsid w:val="00474D62"/>
    <w:rsid w:val="004751E7"/>
    <w:rsid w:val="0047562B"/>
    <w:rsid w:val="00475D1D"/>
    <w:rsid w:val="00477276"/>
    <w:rsid w:val="004776B9"/>
    <w:rsid w:val="00477C17"/>
    <w:rsid w:val="00480837"/>
    <w:rsid w:val="004813C6"/>
    <w:rsid w:val="00481B7C"/>
    <w:rsid w:val="00482480"/>
    <w:rsid w:val="00482C64"/>
    <w:rsid w:val="00482DF6"/>
    <w:rsid w:val="00485168"/>
    <w:rsid w:val="0048578C"/>
    <w:rsid w:val="00485872"/>
    <w:rsid w:val="00485915"/>
    <w:rsid w:val="00485EA4"/>
    <w:rsid w:val="00486C08"/>
    <w:rsid w:val="0048757E"/>
    <w:rsid w:val="00487C54"/>
    <w:rsid w:val="00487F2E"/>
    <w:rsid w:val="00490561"/>
    <w:rsid w:val="0049059F"/>
    <w:rsid w:val="00490F6B"/>
    <w:rsid w:val="00492CA8"/>
    <w:rsid w:val="004932D3"/>
    <w:rsid w:val="0049351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1447"/>
    <w:rsid w:val="004C15CD"/>
    <w:rsid w:val="004C166F"/>
    <w:rsid w:val="004C262D"/>
    <w:rsid w:val="004C2758"/>
    <w:rsid w:val="004C3CB6"/>
    <w:rsid w:val="004C4B56"/>
    <w:rsid w:val="004C57D7"/>
    <w:rsid w:val="004C586A"/>
    <w:rsid w:val="004C6802"/>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3EB"/>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ABD"/>
    <w:rsid w:val="00507FA4"/>
    <w:rsid w:val="005100BF"/>
    <w:rsid w:val="00510424"/>
    <w:rsid w:val="00510505"/>
    <w:rsid w:val="00510D49"/>
    <w:rsid w:val="0051105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20D7"/>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E68"/>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3E8"/>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58B"/>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DF2"/>
    <w:rsid w:val="005F1192"/>
    <w:rsid w:val="005F1569"/>
    <w:rsid w:val="005F1684"/>
    <w:rsid w:val="005F186F"/>
    <w:rsid w:val="005F2A09"/>
    <w:rsid w:val="005F30AF"/>
    <w:rsid w:val="005F3287"/>
    <w:rsid w:val="005F354D"/>
    <w:rsid w:val="005F36B8"/>
    <w:rsid w:val="005F41E6"/>
    <w:rsid w:val="005F4F63"/>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2EB"/>
    <w:rsid w:val="00605593"/>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FF5"/>
    <w:rsid w:val="00647366"/>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522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FCC"/>
    <w:rsid w:val="006E1450"/>
    <w:rsid w:val="006E28B4"/>
    <w:rsid w:val="006E42A9"/>
    <w:rsid w:val="006E4C76"/>
    <w:rsid w:val="006E556E"/>
    <w:rsid w:val="006E5C0D"/>
    <w:rsid w:val="006E67A9"/>
    <w:rsid w:val="006E6FF8"/>
    <w:rsid w:val="006E7584"/>
    <w:rsid w:val="006F0B48"/>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7DA"/>
    <w:rsid w:val="00700FC6"/>
    <w:rsid w:val="00701022"/>
    <w:rsid w:val="00701092"/>
    <w:rsid w:val="007016CB"/>
    <w:rsid w:val="0070184D"/>
    <w:rsid w:val="00701876"/>
    <w:rsid w:val="00701DDF"/>
    <w:rsid w:val="00702247"/>
    <w:rsid w:val="007033F1"/>
    <w:rsid w:val="00704B50"/>
    <w:rsid w:val="00704CBD"/>
    <w:rsid w:val="0070597A"/>
    <w:rsid w:val="007059E9"/>
    <w:rsid w:val="00705DC2"/>
    <w:rsid w:val="0070655B"/>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30F1"/>
    <w:rsid w:val="00733153"/>
    <w:rsid w:val="00733B22"/>
    <w:rsid w:val="00734D7F"/>
    <w:rsid w:val="00734F3D"/>
    <w:rsid w:val="007356DE"/>
    <w:rsid w:val="00735C72"/>
    <w:rsid w:val="007362C7"/>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530D"/>
    <w:rsid w:val="00825530"/>
    <w:rsid w:val="00827280"/>
    <w:rsid w:val="008275A6"/>
    <w:rsid w:val="00827773"/>
    <w:rsid w:val="00827B06"/>
    <w:rsid w:val="00827E2A"/>
    <w:rsid w:val="00830148"/>
    <w:rsid w:val="00830AF2"/>
    <w:rsid w:val="00830BFC"/>
    <w:rsid w:val="00830D20"/>
    <w:rsid w:val="00830EAB"/>
    <w:rsid w:val="008310D2"/>
    <w:rsid w:val="00831F24"/>
    <w:rsid w:val="00832458"/>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2D"/>
    <w:rsid w:val="008568C5"/>
    <w:rsid w:val="00856B2E"/>
    <w:rsid w:val="008576E8"/>
    <w:rsid w:val="008610C6"/>
    <w:rsid w:val="00861804"/>
    <w:rsid w:val="00862584"/>
    <w:rsid w:val="00862D18"/>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D0D6B"/>
    <w:rsid w:val="008D0E73"/>
    <w:rsid w:val="008D14B9"/>
    <w:rsid w:val="008D1648"/>
    <w:rsid w:val="008D16DD"/>
    <w:rsid w:val="008D2745"/>
    <w:rsid w:val="008D2A84"/>
    <w:rsid w:val="008D4D1D"/>
    <w:rsid w:val="008D50BF"/>
    <w:rsid w:val="008D5D67"/>
    <w:rsid w:val="008D5F2F"/>
    <w:rsid w:val="008D6448"/>
    <w:rsid w:val="008D66D8"/>
    <w:rsid w:val="008D682A"/>
    <w:rsid w:val="008D751E"/>
    <w:rsid w:val="008D7E7E"/>
    <w:rsid w:val="008E02A6"/>
    <w:rsid w:val="008E02FA"/>
    <w:rsid w:val="008E1751"/>
    <w:rsid w:val="008E1922"/>
    <w:rsid w:val="008E1CD3"/>
    <w:rsid w:val="008E1F25"/>
    <w:rsid w:val="008E27CB"/>
    <w:rsid w:val="008E2AE3"/>
    <w:rsid w:val="008E449D"/>
    <w:rsid w:val="008E5072"/>
    <w:rsid w:val="008E57B4"/>
    <w:rsid w:val="008E58A8"/>
    <w:rsid w:val="008E6374"/>
    <w:rsid w:val="008E6791"/>
    <w:rsid w:val="008E72A7"/>
    <w:rsid w:val="008E7C43"/>
    <w:rsid w:val="008F0232"/>
    <w:rsid w:val="008F04AE"/>
    <w:rsid w:val="008F0682"/>
    <w:rsid w:val="008F06E3"/>
    <w:rsid w:val="008F23FE"/>
    <w:rsid w:val="008F279E"/>
    <w:rsid w:val="008F2C96"/>
    <w:rsid w:val="008F3767"/>
    <w:rsid w:val="008F3AB4"/>
    <w:rsid w:val="008F432B"/>
    <w:rsid w:val="008F43F9"/>
    <w:rsid w:val="008F4452"/>
    <w:rsid w:val="008F4F69"/>
    <w:rsid w:val="008F4FFD"/>
    <w:rsid w:val="008F53DF"/>
    <w:rsid w:val="008F54DD"/>
    <w:rsid w:val="008F6E39"/>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863"/>
    <w:rsid w:val="00992AD4"/>
    <w:rsid w:val="00992B33"/>
    <w:rsid w:val="00992B8E"/>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C0631"/>
    <w:rsid w:val="009C0C86"/>
    <w:rsid w:val="009C1008"/>
    <w:rsid w:val="009C1809"/>
    <w:rsid w:val="009C1AFF"/>
    <w:rsid w:val="009C218C"/>
    <w:rsid w:val="009C21E3"/>
    <w:rsid w:val="009C222F"/>
    <w:rsid w:val="009C25F1"/>
    <w:rsid w:val="009C2C60"/>
    <w:rsid w:val="009C372E"/>
    <w:rsid w:val="009C3B12"/>
    <w:rsid w:val="009C3DBD"/>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F8C"/>
    <w:rsid w:val="00A22977"/>
    <w:rsid w:val="00A23A82"/>
    <w:rsid w:val="00A23B89"/>
    <w:rsid w:val="00A241F9"/>
    <w:rsid w:val="00A24437"/>
    <w:rsid w:val="00A252B6"/>
    <w:rsid w:val="00A2544C"/>
    <w:rsid w:val="00A25FFF"/>
    <w:rsid w:val="00A2607B"/>
    <w:rsid w:val="00A26CCB"/>
    <w:rsid w:val="00A27980"/>
    <w:rsid w:val="00A27A38"/>
    <w:rsid w:val="00A27B3B"/>
    <w:rsid w:val="00A27C3C"/>
    <w:rsid w:val="00A27D03"/>
    <w:rsid w:val="00A27DB4"/>
    <w:rsid w:val="00A30E89"/>
    <w:rsid w:val="00A314A0"/>
    <w:rsid w:val="00A31598"/>
    <w:rsid w:val="00A31ADE"/>
    <w:rsid w:val="00A31C7D"/>
    <w:rsid w:val="00A320DB"/>
    <w:rsid w:val="00A3249C"/>
    <w:rsid w:val="00A32A75"/>
    <w:rsid w:val="00A33C93"/>
    <w:rsid w:val="00A3410E"/>
    <w:rsid w:val="00A35201"/>
    <w:rsid w:val="00A35ACD"/>
    <w:rsid w:val="00A35AFF"/>
    <w:rsid w:val="00A36A84"/>
    <w:rsid w:val="00A370B4"/>
    <w:rsid w:val="00A37836"/>
    <w:rsid w:val="00A40288"/>
    <w:rsid w:val="00A406E6"/>
    <w:rsid w:val="00A409A3"/>
    <w:rsid w:val="00A41771"/>
    <w:rsid w:val="00A41B17"/>
    <w:rsid w:val="00A421B2"/>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20"/>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DFD"/>
    <w:rsid w:val="00A95EE0"/>
    <w:rsid w:val="00A96EF6"/>
    <w:rsid w:val="00AA0925"/>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A94"/>
    <w:rsid w:val="00AC322C"/>
    <w:rsid w:val="00AC33E2"/>
    <w:rsid w:val="00AC3674"/>
    <w:rsid w:val="00AC3F97"/>
    <w:rsid w:val="00AC4466"/>
    <w:rsid w:val="00AC4A20"/>
    <w:rsid w:val="00AC4FEA"/>
    <w:rsid w:val="00AC5213"/>
    <w:rsid w:val="00AC53F3"/>
    <w:rsid w:val="00AC584E"/>
    <w:rsid w:val="00AC5B6E"/>
    <w:rsid w:val="00AC5E1A"/>
    <w:rsid w:val="00AC7B80"/>
    <w:rsid w:val="00AC7D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F013B"/>
    <w:rsid w:val="00AF0A66"/>
    <w:rsid w:val="00AF0CF8"/>
    <w:rsid w:val="00AF1658"/>
    <w:rsid w:val="00AF262C"/>
    <w:rsid w:val="00AF2A5A"/>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F04"/>
    <w:rsid w:val="00B13082"/>
    <w:rsid w:val="00B134E7"/>
    <w:rsid w:val="00B13A79"/>
    <w:rsid w:val="00B14075"/>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7E57"/>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607"/>
    <w:rsid w:val="00B81787"/>
    <w:rsid w:val="00B81E23"/>
    <w:rsid w:val="00B8280A"/>
    <w:rsid w:val="00B83280"/>
    <w:rsid w:val="00B83638"/>
    <w:rsid w:val="00B838AA"/>
    <w:rsid w:val="00B839BC"/>
    <w:rsid w:val="00B84738"/>
    <w:rsid w:val="00B84B83"/>
    <w:rsid w:val="00B85057"/>
    <w:rsid w:val="00B85087"/>
    <w:rsid w:val="00B853F9"/>
    <w:rsid w:val="00B860D7"/>
    <w:rsid w:val="00B868DC"/>
    <w:rsid w:val="00B86FAD"/>
    <w:rsid w:val="00B87B8A"/>
    <w:rsid w:val="00B9190B"/>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55CC"/>
    <w:rsid w:val="00C15941"/>
    <w:rsid w:val="00C160D1"/>
    <w:rsid w:val="00C168BD"/>
    <w:rsid w:val="00C16B20"/>
    <w:rsid w:val="00C16E20"/>
    <w:rsid w:val="00C170CD"/>
    <w:rsid w:val="00C175D6"/>
    <w:rsid w:val="00C17EE4"/>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F77"/>
    <w:rsid w:val="00C348FF"/>
    <w:rsid w:val="00C34CC3"/>
    <w:rsid w:val="00C34F30"/>
    <w:rsid w:val="00C363E7"/>
    <w:rsid w:val="00C3640A"/>
    <w:rsid w:val="00C36F96"/>
    <w:rsid w:val="00C3796D"/>
    <w:rsid w:val="00C4006C"/>
    <w:rsid w:val="00C4057F"/>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A7A"/>
    <w:rsid w:val="00C56BC5"/>
    <w:rsid w:val="00C56DB7"/>
    <w:rsid w:val="00C572FF"/>
    <w:rsid w:val="00C57991"/>
    <w:rsid w:val="00C60B64"/>
    <w:rsid w:val="00C60D23"/>
    <w:rsid w:val="00C6101E"/>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680"/>
    <w:rsid w:val="00CD57E1"/>
    <w:rsid w:val="00CD59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6768"/>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71C8"/>
    <w:rsid w:val="00D17C55"/>
    <w:rsid w:val="00D20137"/>
    <w:rsid w:val="00D208E6"/>
    <w:rsid w:val="00D20B09"/>
    <w:rsid w:val="00D21A55"/>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2AEF"/>
    <w:rsid w:val="00DB2B51"/>
    <w:rsid w:val="00DB341C"/>
    <w:rsid w:val="00DB382B"/>
    <w:rsid w:val="00DB40CF"/>
    <w:rsid w:val="00DB4525"/>
    <w:rsid w:val="00DB47A5"/>
    <w:rsid w:val="00DB4D17"/>
    <w:rsid w:val="00DB614A"/>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357"/>
    <w:rsid w:val="00E0667E"/>
    <w:rsid w:val="00E06F09"/>
    <w:rsid w:val="00E06FAA"/>
    <w:rsid w:val="00E073FE"/>
    <w:rsid w:val="00E07916"/>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38A"/>
    <w:rsid w:val="00E4324D"/>
    <w:rsid w:val="00E433F1"/>
    <w:rsid w:val="00E4443F"/>
    <w:rsid w:val="00E44935"/>
    <w:rsid w:val="00E4496D"/>
    <w:rsid w:val="00E4579A"/>
    <w:rsid w:val="00E46771"/>
    <w:rsid w:val="00E46958"/>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73D"/>
    <w:rsid w:val="00E81A7E"/>
    <w:rsid w:val="00E81B11"/>
    <w:rsid w:val="00E82FC8"/>
    <w:rsid w:val="00E83069"/>
    <w:rsid w:val="00E834BF"/>
    <w:rsid w:val="00E83987"/>
    <w:rsid w:val="00E84CC4"/>
    <w:rsid w:val="00E855B1"/>
    <w:rsid w:val="00E86621"/>
    <w:rsid w:val="00E87BD5"/>
    <w:rsid w:val="00E87C5D"/>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81C"/>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84D"/>
    <w:rsid w:val="00EC2BE5"/>
    <w:rsid w:val="00EC2CCA"/>
    <w:rsid w:val="00EC2E57"/>
    <w:rsid w:val="00EC2E71"/>
    <w:rsid w:val="00EC3A46"/>
    <w:rsid w:val="00EC3AA0"/>
    <w:rsid w:val="00EC4D53"/>
    <w:rsid w:val="00EC5347"/>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0AF"/>
    <w:rsid w:val="00EF5363"/>
    <w:rsid w:val="00EF59B1"/>
    <w:rsid w:val="00EF59F2"/>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14B1"/>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496"/>
    <w:rsid w:val="00F45854"/>
    <w:rsid w:val="00F45D0C"/>
    <w:rsid w:val="00F460F1"/>
    <w:rsid w:val="00F468F2"/>
    <w:rsid w:val="00F4697F"/>
    <w:rsid w:val="00F46B56"/>
    <w:rsid w:val="00F46C8A"/>
    <w:rsid w:val="00F46D54"/>
    <w:rsid w:val="00F46DBE"/>
    <w:rsid w:val="00F46E13"/>
    <w:rsid w:val="00F50DC4"/>
    <w:rsid w:val="00F524C0"/>
    <w:rsid w:val="00F52A72"/>
    <w:rsid w:val="00F53483"/>
    <w:rsid w:val="00F53548"/>
    <w:rsid w:val="00F540C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A01D4"/>
    <w:rsid w:val="00FA2BD7"/>
    <w:rsid w:val="00FA3BAD"/>
    <w:rsid w:val="00FA3F06"/>
    <w:rsid w:val="00FA4744"/>
    <w:rsid w:val="00FA6DE6"/>
    <w:rsid w:val="00FA6F37"/>
    <w:rsid w:val="00FA6FA7"/>
    <w:rsid w:val="00FA77CA"/>
    <w:rsid w:val="00FB0862"/>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DBD"/>
    <w:rsid w:val="00FF4204"/>
    <w:rsid w:val="00FF4314"/>
    <w:rsid w:val="00FF456E"/>
    <w:rsid w:val="00FF4A19"/>
    <w:rsid w:val="00FF4CE2"/>
    <w:rsid w:val="00FF5D14"/>
    <w:rsid w:val="00FF7533"/>
    <w:rsid w:val="01F0299B"/>
    <w:rsid w:val="026E4F91"/>
    <w:rsid w:val="041D095D"/>
    <w:rsid w:val="0422003D"/>
    <w:rsid w:val="05C87DB9"/>
    <w:rsid w:val="078534BB"/>
    <w:rsid w:val="08BE4506"/>
    <w:rsid w:val="0961739E"/>
    <w:rsid w:val="098E6083"/>
    <w:rsid w:val="0B205B2B"/>
    <w:rsid w:val="0B782559"/>
    <w:rsid w:val="0D566BC9"/>
    <w:rsid w:val="0E180322"/>
    <w:rsid w:val="0E8C4995"/>
    <w:rsid w:val="0EF27BFB"/>
    <w:rsid w:val="0FBC50EF"/>
    <w:rsid w:val="115F3FD7"/>
    <w:rsid w:val="11845095"/>
    <w:rsid w:val="11933DF3"/>
    <w:rsid w:val="11A259DD"/>
    <w:rsid w:val="120474A0"/>
    <w:rsid w:val="13102ABE"/>
    <w:rsid w:val="147246C9"/>
    <w:rsid w:val="15657D89"/>
    <w:rsid w:val="167D280D"/>
    <w:rsid w:val="17047766"/>
    <w:rsid w:val="17935895"/>
    <w:rsid w:val="17F52C18"/>
    <w:rsid w:val="184530EF"/>
    <w:rsid w:val="19227A4B"/>
    <w:rsid w:val="1B3E182A"/>
    <w:rsid w:val="1B4B5195"/>
    <w:rsid w:val="1B91692B"/>
    <w:rsid w:val="1BAD531B"/>
    <w:rsid w:val="1C174C6F"/>
    <w:rsid w:val="1C7C020D"/>
    <w:rsid w:val="1C8F78BA"/>
    <w:rsid w:val="1C9B0D84"/>
    <w:rsid w:val="1CDD3F3B"/>
    <w:rsid w:val="1D4D6869"/>
    <w:rsid w:val="207F4FAF"/>
    <w:rsid w:val="21760101"/>
    <w:rsid w:val="224156DA"/>
    <w:rsid w:val="22B25284"/>
    <w:rsid w:val="22C07D9F"/>
    <w:rsid w:val="23056CBA"/>
    <w:rsid w:val="234C1E42"/>
    <w:rsid w:val="23C6059E"/>
    <w:rsid w:val="23C95079"/>
    <w:rsid w:val="24031A53"/>
    <w:rsid w:val="24307C26"/>
    <w:rsid w:val="248E5D4C"/>
    <w:rsid w:val="24C47897"/>
    <w:rsid w:val="24E337F8"/>
    <w:rsid w:val="258D3B57"/>
    <w:rsid w:val="262336EE"/>
    <w:rsid w:val="267C59D7"/>
    <w:rsid w:val="269E4C0C"/>
    <w:rsid w:val="27024D1A"/>
    <w:rsid w:val="270A54AA"/>
    <w:rsid w:val="28A54A5F"/>
    <w:rsid w:val="29DF4CA7"/>
    <w:rsid w:val="2AD85037"/>
    <w:rsid w:val="2B9A7DBA"/>
    <w:rsid w:val="2BCD6D63"/>
    <w:rsid w:val="2BD0253B"/>
    <w:rsid w:val="2C1909A4"/>
    <w:rsid w:val="2C444480"/>
    <w:rsid w:val="2C564DC3"/>
    <w:rsid w:val="2D1A0311"/>
    <w:rsid w:val="2D6C141D"/>
    <w:rsid w:val="2EB64B4B"/>
    <w:rsid w:val="2EDB590A"/>
    <w:rsid w:val="2F0A29E3"/>
    <w:rsid w:val="30817D6A"/>
    <w:rsid w:val="3157114E"/>
    <w:rsid w:val="31F2037F"/>
    <w:rsid w:val="329B11F6"/>
    <w:rsid w:val="336E087E"/>
    <w:rsid w:val="33C3087D"/>
    <w:rsid w:val="35961B12"/>
    <w:rsid w:val="364523AD"/>
    <w:rsid w:val="36700D38"/>
    <w:rsid w:val="367D3A65"/>
    <w:rsid w:val="36C4673D"/>
    <w:rsid w:val="37B10B63"/>
    <w:rsid w:val="37D17C49"/>
    <w:rsid w:val="37E86CEC"/>
    <w:rsid w:val="38950836"/>
    <w:rsid w:val="38DD6086"/>
    <w:rsid w:val="390721D7"/>
    <w:rsid w:val="393B510C"/>
    <w:rsid w:val="393F4767"/>
    <w:rsid w:val="39A97E97"/>
    <w:rsid w:val="3A260C29"/>
    <w:rsid w:val="3B57268D"/>
    <w:rsid w:val="3B6176CE"/>
    <w:rsid w:val="3BF9504C"/>
    <w:rsid w:val="3C011D0B"/>
    <w:rsid w:val="3CF11603"/>
    <w:rsid w:val="3D1B504E"/>
    <w:rsid w:val="3D5824EF"/>
    <w:rsid w:val="3D7507FB"/>
    <w:rsid w:val="3EB5127A"/>
    <w:rsid w:val="3F503E5E"/>
    <w:rsid w:val="3FC16214"/>
    <w:rsid w:val="41576FF8"/>
    <w:rsid w:val="41D9164E"/>
    <w:rsid w:val="41DD521D"/>
    <w:rsid w:val="423B7022"/>
    <w:rsid w:val="4389060E"/>
    <w:rsid w:val="43C8028A"/>
    <w:rsid w:val="43D51667"/>
    <w:rsid w:val="443B2C25"/>
    <w:rsid w:val="448421F1"/>
    <w:rsid w:val="44F248E6"/>
    <w:rsid w:val="45D37D9B"/>
    <w:rsid w:val="47252EC1"/>
    <w:rsid w:val="48194FD5"/>
    <w:rsid w:val="484514CB"/>
    <w:rsid w:val="48A62294"/>
    <w:rsid w:val="48B2547E"/>
    <w:rsid w:val="48C86EE1"/>
    <w:rsid w:val="491B5B8B"/>
    <w:rsid w:val="49FA6EF8"/>
    <w:rsid w:val="4A784961"/>
    <w:rsid w:val="4ACF3A3C"/>
    <w:rsid w:val="4B1700DF"/>
    <w:rsid w:val="4B29302C"/>
    <w:rsid w:val="4C8C3872"/>
    <w:rsid w:val="4F0F6A19"/>
    <w:rsid w:val="5077103F"/>
    <w:rsid w:val="51D10A66"/>
    <w:rsid w:val="528A390F"/>
    <w:rsid w:val="528C6991"/>
    <w:rsid w:val="52C3297B"/>
    <w:rsid w:val="54054633"/>
    <w:rsid w:val="540605E4"/>
    <w:rsid w:val="547F0032"/>
    <w:rsid w:val="54A02A20"/>
    <w:rsid w:val="55C87B3E"/>
    <w:rsid w:val="588635BA"/>
    <w:rsid w:val="58B24A28"/>
    <w:rsid w:val="58D67D8C"/>
    <w:rsid w:val="58E10577"/>
    <w:rsid w:val="59165EF7"/>
    <w:rsid w:val="591B0C02"/>
    <w:rsid w:val="594669FB"/>
    <w:rsid w:val="59625B9B"/>
    <w:rsid w:val="59702A12"/>
    <w:rsid w:val="5AED2A9C"/>
    <w:rsid w:val="5BC746C9"/>
    <w:rsid w:val="5CC61F72"/>
    <w:rsid w:val="5CF206F7"/>
    <w:rsid w:val="5EA0340D"/>
    <w:rsid w:val="5ED66C3C"/>
    <w:rsid w:val="5FDD643B"/>
    <w:rsid w:val="603728C5"/>
    <w:rsid w:val="60BA3E42"/>
    <w:rsid w:val="6194383B"/>
    <w:rsid w:val="61CB5375"/>
    <w:rsid w:val="61D373F6"/>
    <w:rsid w:val="623348CA"/>
    <w:rsid w:val="654933A5"/>
    <w:rsid w:val="65CA685B"/>
    <w:rsid w:val="65CF34A7"/>
    <w:rsid w:val="65F660EF"/>
    <w:rsid w:val="6673798C"/>
    <w:rsid w:val="673905B6"/>
    <w:rsid w:val="67F5160A"/>
    <w:rsid w:val="681C3942"/>
    <w:rsid w:val="68460AAC"/>
    <w:rsid w:val="68AC1CFE"/>
    <w:rsid w:val="6A6164CE"/>
    <w:rsid w:val="6AA06A0F"/>
    <w:rsid w:val="6BCD1DE6"/>
    <w:rsid w:val="6C505023"/>
    <w:rsid w:val="6CAA7E23"/>
    <w:rsid w:val="6D14299F"/>
    <w:rsid w:val="6D672A1E"/>
    <w:rsid w:val="6DC237D1"/>
    <w:rsid w:val="6EDC5B3C"/>
    <w:rsid w:val="6F40725E"/>
    <w:rsid w:val="6F4C2770"/>
    <w:rsid w:val="6F974134"/>
    <w:rsid w:val="6FD131C7"/>
    <w:rsid w:val="70985FB7"/>
    <w:rsid w:val="70B623BC"/>
    <w:rsid w:val="711172CF"/>
    <w:rsid w:val="71FD54DD"/>
    <w:rsid w:val="732B1741"/>
    <w:rsid w:val="734B3290"/>
    <w:rsid w:val="739A7F5B"/>
    <w:rsid w:val="7410294D"/>
    <w:rsid w:val="758962F1"/>
    <w:rsid w:val="761517D1"/>
    <w:rsid w:val="76D71644"/>
    <w:rsid w:val="77096D12"/>
    <w:rsid w:val="776C2FB6"/>
    <w:rsid w:val="79501600"/>
    <w:rsid w:val="79982284"/>
    <w:rsid w:val="7998662D"/>
    <w:rsid w:val="7A8C5878"/>
    <w:rsid w:val="7B471854"/>
    <w:rsid w:val="7C2C5863"/>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2"/>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2">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99"/>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标题 3 Char"/>
    <w:basedOn w:val="52"/>
    <w:link w:val="2"/>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2"/>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0736D-21F2-4AAA-8AE3-FB026078326B}">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74</Pages>
  <Words>42193</Words>
  <Characters>45199</Characters>
  <Lines>363</Lines>
  <Paragraphs>102</Paragraphs>
  <TotalTime>25</TotalTime>
  <ScaleCrop>false</ScaleCrop>
  <LinksUpToDate>false</LinksUpToDate>
  <CharactersWithSpaces>47448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ZLB </cp:lastModifiedBy>
  <cp:lastPrinted>2020-05-26T01:03:00Z</cp:lastPrinted>
  <dcterms:modified xsi:type="dcterms:W3CDTF">2023-03-21T02:28:13Z</dcterms:modified>
  <dc:title>招标编号：UHO2010-G0029</dc:title>
  <cp:revision>595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75A8B94E9C2A4BBCA0402F01F9F11816</vt:lpwstr>
  </property>
</Properties>
</file>