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260" w:after="260" w:line="415" w:lineRule="auto"/>
        <w:jc w:val="center"/>
        <w:outlineLvl w:val="1"/>
        <w:rPr>
          <w:rFonts w:hint="eastAsia" w:ascii="Arial" w:hAnsi="Arial" w:eastAsia="宋体" w:cs="Times New Roman"/>
          <w:b/>
          <w:bCs/>
          <w:snapToGrid w:val="0"/>
          <w:kern w:val="0"/>
          <w:sz w:val="32"/>
          <w:szCs w:val="32"/>
          <w:lang w:val="en-US" w:eastAsia="zh-CN" w:bidi="ar-SA"/>
        </w:rPr>
      </w:pPr>
      <w:r>
        <w:rPr>
          <w:rFonts w:hint="eastAsia" w:ascii="Arial" w:hAnsi="Arial" w:eastAsia="宋体" w:cs="Times New Roman"/>
          <w:b/>
          <w:bCs/>
          <w:snapToGrid w:val="0"/>
          <w:kern w:val="0"/>
          <w:sz w:val="32"/>
          <w:szCs w:val="32"/>
          <w:lang w:val="en-US" w:eastAsia="zh-CN" w:bidi="ar-SA"/>
        </w:rPr>
        <w:t>招标项目要求</w:t>
      </w:r>
    </w:p>
    <w:p>
      <w:pPr>
        <w:widowControl w:val="0"/>
        <w:adjustRightInd w:val="0"/>
        <w:snapToGrid w:val="0"/>
        <w:spacing w:line="300" w:lineRule="auto"/>
        <w:ind w:firstLine="420" w:firstLineChars="200"/>
        <w:jc w:val="both"/>
        <w:rPr>
          <w:rFonts w:hint="eastAsia" w:ascii="宋体" w:hAnsi="Times New Roman" w:eastAsia="宋体" w:cs="Times New Roman"/>
          <w:b/>
          <w:snapToGrid w:val="0"/>
          <w:kern w:val="0"/>
          <w:sz w:val="21"/>
          <w:szCs w:val="24"/>
          <w:lang w:val="en-US" w:eastAsia="zh-CN" w:bidi="ar-SA"/>
        </w:rPr>
      </w:pPr>
      <w:r>
        <w:rPr>
          <w:rFonts w:hint="eastAsia" w:ascii="宋体" w:hAnsi="Times New Roman" w:eastAsia="宋体" w:cs="Times New Roman"/>
          <w:kern w:val="2"/>
          <w:sz w:val="21"/>
          <w:szCs w:val="24"/>
          <w:lang w:val="en-US" w:eastAsia="zh-CN" w:bidi="ar-SA"/>
        </w:rPr>
        <w:t>本招标文件在技术要求中指出的工艺、材料、设备，参照的商标或产地仅作为说明并没有限制性，投标人可以在其提供的文件资料中选用替代标准，但这些替代标准要优于或相当于技术规格中要求的标准。</w:t>
      </w:r>
    </w:p>
    <w:p>
      <w:pPr>
        <w:widowControl w:val="0"/>
        <w:adjustRightInd w:val="0"/>
        <w:snapToGrid w:val="0"/>
        <w:spacing w:after="0" w:line="360" w:lineRule="auto"/>
        <w:jc w:val="both"/>
        <w:rPr>
          <w:rFonts w:hint="eastAsia" w:ascii="Times New Roman" w:hAnsi="Times New Roman" w:eastAsia="黑体" w:cs="Times New Roman"/>
          <w:b/>
          <w:bCs/>
          <w:snapToGrid w:val="0"/>
          <w:color w:val="000000"/>
          <w:kern w:val="0"/>
          <w:sz w:val="24"/>
          <w:szCs w:val="24"/>
        </w:rPr>
      </w:pPr>
    </w:p>
    <w:p>
      <w:pPr>
        <w:widowControl w:val="0"/>
        <w:adjustRightInd w:val="0"/>
        <w:snapToGrid w:val="0"/>
        <w:spacing w:line="360" w:lineRule="auto"/>
        <w:ind w:firstLine="0" w:firstLineChars="0"/>
        <w:jc w:val="both"/>
        <w:rPr>
          <w:rFonts w:ascii="Times New Roman" w:hAnsi="Times New Roman" w:eastAsia="宋体" w:cs="Times New Roman"/>
          <w:b/>
          <w:kern w:val="2"/>
          <w:sz w:val="21"/>
          <w:szCs w:val="24"/>
          <w:lang w:val="en-US" w:eastAsia="zh-CN" w:bidi="ar-SA"/>
        </w:rPr>
      </w:pPr>
      <w:r>
        <w:rPr>
          <w:rFonts w:hint="eastAsia" w:ascii="Times New Roman" w:hAnsi="Times New Roman" w:eastAsia="宋体" w:cs="Times New Roman"/>
          <w:b/>
          <w:kern w:val="2"/>
          <w:sz w:val="21"/>
          <w:szCs w:val="24"/>
          <w:lang w:val="en-US" w:eastAsia="zh-CN" w:bidi="ar-SA"/>
        </w:rPr>
        <w:t>一、总则</w:t>
      </w:r>
    </w:p>
    <w:p>
      <w:pPr>
        <w:widowControl w:val="0"/>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1、本次改造招标技术文件提出的是最低限度的技术要求。凡本招标技术文件中未规定，但在相关设备的行业标准、国家标准或</w:t>
      </w:r>
      <w:r>
        <w:rPr>
          <w:rFonts w:ascii="Times New Roman" w:hAnsi="Times New Roman" w:eastAsia="宋体" w:cs="Times New Roman"/>
          <w:kern w:val="2"/>
          <w:sz w:val="21"/>
          <w:szCs w:val="24"/>
        </w:rPr>
        <w:t>IEC</w:t>
      </w:r>
      <w:r>
        <w:rPr>
          <w:rFonts w:hint="eastAsia" w:ascii="Times New Roman" w:hAnsi="Times New Roman" w:eastAsia="宋体" w:cs="Times New Roman"/>
          <w:kern w:val="2"/>
          <w:sz w:val="21"/>
          <w:szCs w:val="24"/>
        </w:rPr>
        <w:t>标准中有规定的规范条文，投标方应按相应标准的条文进行设备设计、制造、试验和安装。对国家有关安全、环保等强制性标准，必须满足其要求（如断路器外壳等）。</w:t>
      </w:r>
    </w:p>
    <w:p>
      <w:pPr>
        <w:widowControl w:val="0"/>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2、本招标技术文件所使用的标准如遇与投标方所执行的标准不一致时，按较高标准执行。</w:t>
      </w:r>
    </w:p>
    <w:p>
      <w:pPr>
        <w:widowControl w:val="0"/>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3、本招标技术文件经招标、投标双方确认后作为订货合同的技术附件，与合同正文具有同等的法律效力。若本标书涉及有关商务方面内容，如与招标文件的商务部分矛盾时，以商务部分为准。</w:t>
      </w:r>
    </w:p>
    <w:p>
      <w:pPr>
        <w:widowControl w:val="0"/>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4、本招标技术文件未尽事宜，由招标、投标双方协商确定。</w:t>
      </w:r>
    </w:p>
    <w:p>
      <w:pPr>
        <w:widowControl w:val="0"/>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5、投标方在应标招标技术文件中应如实反映应标产品与本招标技术文件的技术差异。如果投标方没有提出技术差异，而在执行合同的过程中，招标方发现投标方提供的产品与其应标招标技术文件的条文存在差异，招标方有权利要求退货。</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p>
    <w:p>
      <w:pPr>
        <w:widowControl w:val="0"/>
        <w:tabs>
          <w:tab w:val="left" w:pos="420"/>
        </w:tabs>
        <w:adjustRightInd/>
        <w:snapToGrid/>
        <w:spacing w:after="0" w:line="360" w:lineRule="auto"/>
        <w:jc w:val="both"/>
        <w:rPr>
          <w:rFonts w:hint="eastAsia" w:ascii="Times New Roman" w:hAnsi="Times New Roman" w:eastAsia="宋体" w:cs="Times New Roman"/>
          <w:b/>
          <w:kern w:val="2"/>
          <w:sz w:val="21"/>
          <w:szCs w:val="24"/>
        </w:rPr>
      </w:pPr>
      <w:r>
        <w:rPr>
          <w:rFonts w:hint="eastAsia" w:ascii="Times New Roman" w:hAnsi="Times New Roman" w:eastAsia="宋体" w:cs="Times New Roman"/>
          <w:kern w:val="2"/>
          <w:sz w:val="21"/>
          <w:szCs w:val="24"/>
        </w:rPr>
        <w:t>二、</w:t>
      </w:r>
      <w:r>
        <w:rPr>
          <w:rFonts w:hint="eastAsia" w:ascii="Times New Roman" w:hAnsi="Times New Roman" w:eastAsia="宋体" w:cs="Times New Roman"/>
          <w:b/>
          <w:kern w:val="2"/>
          <w:sz w:val="21"/>
          <w:szCs w:val="24"/>
        </w:rPr>
        <w:t>项目概况</w:t>
      </w:r>
    </w:p>
    <w:p>
      <w:pPr>
        <w:widowControl w:val="0"/>
        <w:tabs>
          <w:tab w:val="left" w:pos="420"/>
        </w:tabs>
        <w:adjustRightInd/>
        <w:snapToGrid/>
        <w:spacing w:after="0" w:line="360" w:lineRule="auto"/>
        <w:ind w:firstLine="420" w:firstLineChars="200"/>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招标人配电房内的ABB Emax框架空气断路器由厦门ABB低压电器设备有限公司生产，已投入使用15年，随着开关内部机械部件,储能电机,摇杆机构等元器件老化，绝缘性能下降、故障率上升等因素，对设备电源供电存在一定的安全隐患；同时该系列断路器已于2009年停产，在后续维修更换时存在无备件风险。本项目拟计划对13台包括低压主供、空调除尘等重要负荷的框架空气断路器进行改造更换，以满足招标人安全可靠用电的需求。</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p>
    <w:p>
      <w:pPr>
        <w:widowControl w:val="0"/>
        <w:tabs>
          <w:tab w:val="left" w:pos="420"/>
        </w:tabs>
        <w:adjustRightInd/>
        <w:snapToGrid/>
        <w:spacing w:after="0" w:line="360" w:lineRule="auto"/>
        <w:jc w:val="both"/>
        <w:rPr>
          <w:rFonts w:ascii="Times New Roman" w:hAnsi="Times New Roman" w:eastAsia="宋体" w:cs="Times New Roman"/>
          <w:b/>
          <w:bCs/>
          <w:kern w:val="2"/>
          <w:sz w:val="21"/>
          <w:szCs w:val="24"/>
        </w:rPr>
      </w:pPr>
      <w:r>
        <w:rPr>
          <w:rFonts w:hint="eastAsia" w:ascii="Times New Roman" w:hAnsi="Times New Roman" w:eastAsia="宋体" w:cs="Times New Roman"/>
          <w:kern w:val="2"/>
          <w:sz w:val="21"/>
          <w:szCs w:val="24"/>
        </w:rPr>
        <w:t>三、</w:t>
      </w:r>
      <w:r>
        <w:rPr>
          <w:rFonts w:hint="eastAsia" w:ascii="Times New Roman" w:hAnsi="Times New Roman" w:eastAsia="宋体" w:cs="Times New Roman"/>
          <w:b/>
          <w:bCs/>
          <w:kern w:val="2"/>
          <w:sz w:val="21"/>
          <w:szCs w:val="24"/>
        </w:rPr>
        <w:t>项目一览表</w:t>
      </w:r>
    </w:p>
    <w:tbl>
      <w:tblPr>
        <w:tblStyle w:val="10"/>
        <w:tblW w:w="9161" w:type="dxa"/>
        <w:jc w:val="center"/>
        <w:tblBorders>
          <w:top w:val="single" w:color="auto" w:sz="4" w:space="0"/>
          <w:left w:val="single" w:color="auto" w:sz="4" w:space="0"/>
          <w:bottom w:val="single" w:color="auto" w:sz="2" w:space="0"/>
          <w:right w:val="single" w:color="auto" w:sz="4" w:space="0"/>
          <w:insideH w:val="single" w:color="auto" w:sz="2" w:space="0"/>
          <w:insideV w:val="single" w:color="auto" w:sz="4" w:space="0"/>
        </w:tblBorders>
        <w:tblLayout w:type="autofit"/>
        <w:tblCellMar>
          <w:top w:w="0" w:type="dxa"/>
          <w:left w:w="108" w:type="dxa"/>
          <w:bottom w:w="0" w:type="dxa"/>
          <w:right w:w="108" w:type="dxa"/>
        </w:tblCellMar>
      </w:tblPr>
      <w:tblGrid>
        <w:gridCol w:w="2542"/>
        <w:gridCol w:w="850"/>
        <w:gridCol w:w="3395"/>
        <w:gridCol w:w="2374"/>
      </w:tblGrid>
      <w:tr>
        <w:tblPrEx>
          <w:tblBorders>
            <w:top w:val="single" w:color="auto" w:sz="4" w:space="0"/>
            <w:left w:val="single" w:color="auto" w:sz="4" w:space="0"/>
            <w:bottom w:val="single" w:color="auto" w:sz="2" w:space="0"/>
            <w:right w:val="single" w:color="auto" w:sz="4" w:space="0"/>
            <w:insideH w:val="single" w:color="auto" w:sz="2" w:space="0"/>
            <w:insideV w:val="single" w:color="auto" w:sz="4" w:space="0"/>
          </w:tblBorders>
          <w:tblCellMar>
            <w:top w:w="0" w:type="dxa"/>
            <w:left w:w="108" w:type="dxa"/>
            <w:bottom w:w="0" w:type="dxa"/>
            <w:right w:w="108" w:type="dxa"/>
          </w:tblCellMar>
        </w:tblPrEx>
        <w:trPr>
          <w:trHeight w:val="488" w:hRule="atLeast"/>
          <w:jc w:val="center"/>
        </w:trPr>
        <w:tc>
          <w:tcPr>
            <w:tcW w:w="2542" w:type="dxa"/>
            <w:shd w:val="clear" w:color="auto" w:fill="EEECE1"/>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采购内容</w:t>
            </w:r>
          </w:p>
        </w:tc>
        <w:tc>
          <w:tcPr>
            <w:tcW w:w="850" w:type="dxa"/>
            <w:shd w:val="clear" w:color="auto" w:fill="EEECE1"/>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数量</w:t>
            </w:r>
          </w:p>
        </w:tc>
        <w:tc>
          <w:tcPr>
            <w:tcW w:w="3395" w:type="dxa"/>
            <w:shd w:val="clear" w:color="auto" w:fill="EEECE1"/>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交货期</w:t>
            </w:r>
          </w:p>
        </w:tc>
        <w:tc>
          <w:tcPr>
            <w:tcW w:w="2374" w:type="dxa"/>
            <w:shd w:val="clear" w:color="auto" w:fill="EEECE1"/>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b/>
                <w:kern w:val="2"/>
                <w:sz w:val="21"/>
                <w:szCs w:val="21"/>
              </w:rPr>
              <w:t>最高限价</w:t>
            </w:r>
          </w:p>
        </w:tc>
      </w:tr>
      <w:tr>
        <w:tblPrEx>
          <w:tblBorders>
            <w:top w:val="single" w:color="auto" w:sz="4" w:space="0"/>
            <w:left w:val="single" w:color="auto" w:sz="4" w:space="0"/>
            <w:bottom w:val="single" w:color="auto" w:sz="2" w:space="0"/>
            <w:right w:val="single" w:color="auto" w:sz="4" w:space="0"/>
            <w:insideH w:val="single" w:color="auto" w:sz="2" w:space="0"/>
            <w:insideV w:val="single" w:color="auto" w:sz="4" w:space="0"/>
          </w:tblBorders>
          <w:tblCellMar>
            <w:top w:w="0" w:type="dxa"/>
            <w:left w:w="108" w:type="dxa"/>
            <w:bottom w:w="0" w:type="dxa"/>
            <w:right w:w="108" w:type="dxa"/>
          </w:tblCellMar>
        </w:tblPrEx>
        <w:trPr>
          <w:trHeight w:val="639" w:hRule="atLeast"/>
          <w:jc w:val="center"/>
        </w:trPr>
        <w:tc>
          <w:tcPr>
            <w:tcW w:w="2542"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Arial Unicode MS"/>
                <w:snapToGrid w:val="0"/>
                <w:kern w:val="0"/>
                <w:sz w:val="21"/>
                <w:szCs w:val="18"/>
              </w:rPr>
              <w:t>框架空气断路器改造</w:t>
            </w:r>
          </w:p>
        </w:tc>
        <w:tc>
          <w:tcPr>
            <w:tcW w:w="850"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1项</w:t>
            </w:r>
          </w:p>
        </w:tc>
        <w:tc>
          <w:tcPr>
            <w:tcW w:w="3395"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ascii="宋体" w:hAnsi="宋体" w:eastAsia="宋体" w:cs="Times New Roman"/>
                <w:kern w:val="2"/>
                <w:sz w:val="21"/>
                <w:szCs w:val="21"/>
              </w:rPr>
              <w:t>签</w:t>
            </w:r>
            <w:r>
              <w:rPr>
                <w:rFonts w:hint="eastAsia" w:ascii="宋体" w:hAnsi="宋体" w:eastAsia="宋体" w:cs="Times New Roman"/>
                <w:kern w:val="2"/>
                <w:sz w:val="21"/>
                <w:szCs w:val="21"/>
              </w:rPr>
              <w:t>订</w:t>
            </w:r>
            <w:r>
              <w:rPr>
                <w:rFonts w:ascii="宋体" w:hAnsi="宋体" w:eastAsia="宋体" w:cs="Times New Roman"/>
                <w:kern w:val="2"/>
                <w:sz w:val="21"/>
                <w:szCs w:val="21"/>
              </w:rPr>
              <w:t>合同</w:t>
            </w:r>
            <w:r>
              <w:rPr>
                <w:rFonts w:hint="eastAsia" w:ascii="宋体" w:hAnsi="宋体" w:eastAsia="宋体" w:cs="Times New Roman"/>
                <w:kern w:val="2"/>
                <w:sz w:val="21"/>
                <w:szCs w:val="21"/>
              </w:rPr>
              <w:t>之日起</w:t>
            </w:r>
            <w:r>
              <w:rPr>
                <w:rFonts w:hint="eastAsia" w:ascii="宋体" w:hAnsi="宋体" w:eastAsia="宋体" w:cs="Times New Roman"/>
                <w:kern w:val="2"/>
                <w:sz w:val="21"/>
                <w:szCs w:val="21"/>
                <w:u w:val="single"/>
              </w:rPr>
              <w:t>150</w:t>
            </w:r>
            <w:r>
              <w:rPr>
                <w:rFonts w:ascii="宋体" w:hAnsi="宋体" w:eastAsia="宋体" w:cs="Times New Roman"/>
                <w:kern w:val="2"/>
                <w:sz w:val="21"/>
                <w:szCs w:val="21"/>
              </w:rPr>
              <w:t>天内（日历日）</w:t>
            </w:r>
          </w:p>
        </w:tc>
        <w:tc>
          <w:tcPr>
            <w:tcW w:w="2374"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人民币</w:t>
            </w:r>
            <w:r>
              <w:rPr>
                <w:rFonts w:hint="eastAsia" w:ascii="宋体" w:hAnsi="宋体" w:eastAsia="宋体" w:cs="Times New Roman"/>
                <w:kern w:val="2"/>
                <w:sz w:val="21"/>
                <w:szCs w:val="21"/>
                <w:u w:val="single"/>
              </w:rPr>
              <w:t xml:space="preserve"> 98</w:t>
            </w:r>
            <w:r>
              <w:rPr>
                <w:rFonts w:hint="eastAsia" w:ascii="宋体" w:hAnsi="宋体" w:eastAsia="宋体" w:cs="Times New Roman"/>
                <w:kern w:val="2"/>
                <w:sz w:val="21"/>
                <w:szCs w:val="21"/>
              </w:rPr>
              <w:t>万元（含税）</w:t>
            </w:r>
          </w:p>
        </w:tc>
      </w:tr>
    </w:tbl>
    <w:p>
      <w:pPr>
        <w:widowControl w:val="0"/>
        <w:tabs>
          <w:tab w:val="left" w:pos="420"/>
        </w:tabs>
        <w:adjustRightInd/>
        <w:snapToGrid/>
        <w:spacing w:after="0" w:line="360" w:lineRule="auto"/>
        <w:ind w:firstLine="420" w:firstLineChars="200"/>
        <w:jc w:val="both"/>
        <w:rPr>
          <w:rFonts w:hint="eastAsia" w:ascii="Times New Roman" w:hAnsi="Times New Roman" w:eastAsia="宋体" w:cs="Times New Roman"/>
          <w:bCs/>
          <w:kern w:val="2"/>
          <w:sz w:val="21"/>
          <w:szCs w:val="24"/>
        </w:rPr>
      </w:pPr>
      <w:r>
        <w:rPr>
          <w:rFonts w:hint="eastAsia" w:ascii="Times New Roman" w:hAnsi="Times New Roman" w:eastAsia="宋体" w:cs="Times New Roman"/>
          <w:kern w:val="2"/>
          <w:sz w:val="21"/>
          <w:szCs w:val="24"/>
        </w:rPr>
        <w:t>本项目最高限价金额为人民币980,000.00元。超出此金额的投标报价作废标处理。</w:t>
      </w:r>
      <w:r>
        <w:rPr>
          <w:rFonts w:hint="eastAsia" w:ascii="Times New Roman" w:hAnsi="Times New Roman" w:eastAsia="宋体" w:cs="Times New Roman"/>
          <w:bCs/>
          <w:kern w:val="2"/>
          <w:sz w:val="21"/>
          <w:szCs w:val="24"/>
        </w:rPr>
        <w:t>最高限价为含税总价，投标人于分项报价表中列入税费金额。当国家税收政策调整导致增值税率发生变化时，以不含税价为准，根据政策规定的适用税率调整情况，调整增值税税率、税额、含税价格及合同结算金额。</w:t>
      </w:r>
    </w:p>
    <w:p>
      <w:pPr>
        <w:widowControl w:val="0"/>
        <w:tabs>
          <w:tab w:val="left" w:pos="420"/>
        </w:tabs>
        <w:adjustRightInd/>
        <w:snapToGrid/>
        <w:spacing w:after="0" w:line="360" w:lineRule="auto"/>
        <w:jc w:val="both"/>
        <w:rPr>
          <w:rFonts w:hint="eastAsia" w:ascii="Times New Roman" w:hAnsi="Times New Roman" w:eastAsia="宋体" w:cs="Times New Roman"/>
          <w:bCs/>
          <w:kern w:val="2"/>
          <w:sz w:val="21"/>
          <w:szCs w:val="24"/>
        </w:rPr>
      </w:pPr>
    </w:p>
    <w:p>
      <w:pPr>
        <w:widowControl w:val="0"/>
        <w:tabs>
          <w:tab w:val="left" w:pos="420"/>
        </w:tabs>
        <w:adjustRightInd/>
        <w:snapToGrid/>
        <w:spacing w:after="0" w:line="360" w:lineRule="auto"/>
        <w:jc w:val="both"/>
        <w:rPr>
          <w:rFonts w:hint="eastAsia" w:ascii="Times New Roman" w:hAnsi="Times New Roman" w:eastAsia="宋体" w:cs="Times New Roman"/>
          <w:b/>
          <w:bCs w:val="0"/>
          <w:kern w:val="2"/>
          <w:sz w:val="21"/>
          <w:szCs w:val="24"/>
        </w:rPr>
      </w:pPr>
      <w:r>
        <w:rPr>
          <w:rFonts w:hint="eastAsia" w:ascii="Times New Roman" w:hAnsi="Times New Roman" w:eastAsia="宋体" w:cs="Times New Roman"/>
          <w:b/>
          <w:bCs w:val="0"/>
          <w:kern w:val="2"/>
          <w:sz w:val="21"/>
          <w:szCs w:val="24"/>
        </w:rPr>
        <w:t>四、改造范围：</w:t>
      </w:r>
    </w:p>
    <w:tbl>
      <w:tblPr>
        <w:tblStyle w:val="10"/>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62"/>
        <w:gridCol w:w="1701"/>
        <w:gridCol w:w="709"/>
        <w:gridCol w:w="709"/>
        <w:gridCol w:w="1843"/>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5" w:type="dxa"/>
            <w:shd w:val="clear" w:color="auto" w:fill="EEECE1"/>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序号</w:t>
            </w:r>
          </w:p>
        </w:tc>
        <w:tc>
          <w:tcPr>
            <w:tcW w:w="1362" w:type="dxa"/>
            <w:shd w:val="clear" w:color="auto" w:fill="EEECE1"/>
            <w:noWrap w:val="0"/>
            <w:vAlign w:val="center"/>
          </w:tcPr>
          <w:p>
            <w:pPr>
              <w:widowControl w:val="0"/>
              <w:adjustRightInd/>
              <w:snapToGrid/>
              <w:spacing w:after="0" w:line="24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设备名称</w:t>
            </w:r>
          </w:p>
        </w:tc>
        <w:tc>
          <w:tcPr>
            <w:tcW w:w="1701" w:type="dxa"/>
            <w:shd w:val="clear" w:color="auto" w:fill="EEECE1"/>
            <w:noWrap w:val="0"/>
            <w:vAlign w:val="center"/>
          </w:tcPr>
          <w:p>
            <w:pPr>
              <w:widowControl w:val="0"/>
              <w:adjustRightInd/>
              <w:snapToGrid/>
              <w:spacing w:after="0" w:line="24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规格型号</w:t>
            </w:r>
          </w:p>
        </w:tc>
        <w:tc>
          <w:tcPr>
            <w:tcW w:w="709" w:type="dxa"/>
            <w:shd w:val="clear" w:color="auto" w:fill="EEECE1"/>
            <w:noWrap w:val="0"/>
            <w:vAlign w:val="center"/>
          </w:tcPr>
          <w:p>
            <w:pPr>
              <w:widowControl w:val="0"/>
              <w:adjustRightInd/>
              <w:snapToGrid/>
              <w:spacing w:after="0" w:line="24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单位</w:t>
            </w:r>
          </w:p>
        </w:tc>
        <w:tc>
          <w:tcPr>
            <w:tcW w:w="709" w:type="dxa"/>
            <w:shd w:val="clear" w:color="auto" w:fill="EEECE1"/>
            <w:noWrap w:val="0"/>
            <w:vAlign w:val="center"/>
          </w:tcPr>
          <w:p>
            <w:pPr>
              <w:widowControl w:val="0"/>
              <w:adjustRightInd/>
              <w:snapToGrid/>
              <w:spacing w:after="0" w:line="24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数量</w:t>
            </w:r>
          </w:p>
        </w:tc>
        <w:tc>
          <w:tcPr>
            <w:tcW w:w="1843" w:type="dxa"/>
            <w:shd w:val="clear" w:color="auto" w:fill="EEECE1"/>
            <w:noWrap w:val="0"/>
            <w:vAlign w:val="center"/>
          </w:tcPr>
          <w:p>
            <w:pPr>
              <w:widowControl w:val="0"/>
              <w:adjustRightInd/>
              <w:snapToGrid/>
              <w:spacing w:after="0" w:line="24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原生产厂家</w:t>
            </w:r>
          </w:p>
        </w:tc>
        <w:tc>
          <w:tcPr>
            <w:tcW w:w="1842" w:type="dxa"/>
            <w:shd w:val="clear" w:color="auto" w:fill="EEECE1"/>
            <w:noWrap w:val="0"/>
            <w:vAlign w:val="center"/>
          </w:tcPr>
          <w:p>
            <w:pPr>
              <w:widowControl w:val="0"/>
              <w:adjustRightInd/>
              <w:snapToGrid/>
              <w:spacing w:after="0" w:line="24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安装位置</w:t>
            </w:r>
          </w:p>
        </w:tc>
        <w:tc>
          <w:tcPr>
            <w:tcW w:w="709" w:type="dxa"/>
            <w:shd w:val="clear" w:color="auto" w:fill="EEECE1"/>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w:t>
            </w:r>
          </w:p>
        </w:tc>
        <w:tc>
          <w:tcPr>
            <w:tcW w:w="1362" w:type="dxa"/>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kern w:val="2"/>
                <w:sz w:val="21"/>
                <w:szCs w:val="21"/>
              </w:rPr>
              <w:t>Emax框架空气断路器</w:t>
            </w:r>
          </w:p>
        </w:tc>
        <w:tc>
          <w:tcPr>
            <w:tcW w:w="1701" w:type="dxa"/>
            <w:noWrap w:val="0"/>
            <w:vAlign w:val="center"/>
          </w:tcPr>
          <w:p>
            <w:pPr>
              <w:widowControl w:val="0"/>
              <w:adjustRightInd/>
              <w:snapToGrid/>
              <w:spacing w:after="0" w:line="360" w:lineRule="auto"/>
              <w:jc w:val="center"/>
              <w:rPr>
                <w:rFonts w:ascii="宋体" w:hAnsi="宋体" w:eastAsia="宋体" w:cs="Arial Unicode MS"/>
                <w:kern w:val="2"/>
                <w:sz w:val="21"/>
                <w:szCs w:val="21"/>
              </w:rPr>
            </w:pPr>
            <w:r>
              <w:rPr>
                <w:rFonts w:hint="eastAsia" w:ascii="宋体" w:hAnsi="宋体" w:eastAsia="宋体" w:cs="Arial Unicode MS"/>
                <w:kern w:val="2"/>
                <w:sz w:val="21"/>
                <w:szCs w:val="21"/>
              </w:rPr>
              <w:t>E3N32 3200A</w:t>
            </w:r>
          </w:p>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Arial Unicode MS"/>
                <w:kern w:val="2"/>
                <w:sz w:val="21"/>
                <w:szCs w:val="21"/>
              </w:rPr>
              <w:t>(含零序互感器)</w:t>
            </w:r>
          </w:p>
        </w:tc>
        <w:tc>
          <w:tcPr>
            <w:tcW w:w="709"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台</w:t>
            </w:r>
          </w:p>
        </w:tc>
        <w:tc>
          <w:tcPr>
            <w:tcW w:w="709"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w:t>
            </w:r>
          </w:p>
        </w:tc>
        <w:tc>
          <w:tcPr>
            <w:tcW w:w="1843" w:type="dxa"/>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kern w:val="2"/>
                <w:sz w:val="21"/>
                <w:szCs w:val="21"/>
              </w:rPr>
              <w:t>厦门ABB低压电器设备有限公司</w:t>
            </w:r>
          </w:p>
        </w:tc>
        <w:tc>
          <w:tcPr>
            <w:tcW w:w="1842" w:type="dxa"/>
            <w:noWrap w:val="0"/>
            <w:vAlign w:val="center"/>
          </w:tcPr>
          <w:p>
            <w:pPr>
              <w:widowControl w:val="0"/>
              <w:adjustRightInd/>
              <w:snapToGrid/>
              <w:spacing w:after="0" w:line="360" w:lineRule="auto"/>
              <w:jc w:val="center"/>
              <w:rPr>
                <w:rFonts w:ascii="宋体" w:hAnsi="宋体" w:eastAsia="宋体" w:cs="Times New Roman"/>
                <w:kern w:val="2"/>
                <w:sz w:val="24"/>
                <w:szCs w:val="24"/>
              </w:rPr>
            </w:pPr>
            <w:r>
              <w:rPr>
                <w:rFonts w:hint="eastAsia" w:ascii="宋体" w:hAnsi="宋体" w:eastAsia="宋体" w:cs="Times New Roman"/>
                <w:kern w:val="2"/>
                <w:sz w:val="21"/>
                <w:szCs w:val="24"/>
              </w:rPr>
              <w:t>3#变低压进线柜</w:t>
            </w:r>
          </w:p>
        </w:tc>
        <w:tc>
          <w:tcPr>
            <w:tcW w:w="709" w:type="dxa"/>
            <w:noWrap w:val="0"/>
            <w:vAlign w:val="top"/>
          </w:tcPr>
          <w:p>
            <w:pPr>
              <w:widowControl w:val="0"/>
              <w:adjustRightInd/>
              <w:snapToGrid/>
              <w:spacing w:after="0" w:line="240" w:lineRule="auto"/>
              <w:jc w:val="center"/>
              <w:rPr>
                <w:rFonts w:ascii="宋体" w:hAnsi="宋体" w:eastAsia="宋体" w:cs="Times New Roman"/>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362" w:type="dxa"/>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kern w:val="2"/>
                <w:sz w:val="21"/>
                <w:szCs w:val="21"/>
              </w:rPr>
              <w:t>Emax框架空气断路器</w:t>
            </w:r>
          </w:p>
        </w:tc>
        <w:tc>
          <w:tcPr>
            <w:tcW w:w="1701" w:type="dxa"/>
            <w:noWrap w:val="0"/>
            <w:vAlign w:val="center"/>
          </w:tcPr>
          <w:p>
            <w:pPr>
              <w:widowControl w:val="0"/>
              <w:adjustRightInd/>
              <w:snapToGrid/>
              <w:spacing w:after="0" w:line="360" w:lineRule="auto"/>
              <w:jc w:val="center"/>
              <w:rPr>
                <w:rFonts w:ascii="宋体" w:hAnsi="宋体" w:eastAsia="宋体" w:cs="Arial Unicode MS"/>
                <w:kern w:val="2"/>
                <w:sz w:val="21"/>
                <w:szCs w:val="21"/>
              </w:rPr>
            </w:pPr>
            <w:r>
              <w:rPr>
                <w:rFonts w:hint="eastAsia" w:ascii="宋体" w:hAnsi="宋体" w:eastAsia="宋体" w:cs="Arial Unicode MS"/>
                <w:kern w:val="2"/>
                <w:sz w:val="21"/>
                <w:szCs w:val="21"/>
              </w:rPr>
              <w:t>E3N25 2500A</w:t>
            </w:r>
          </w:p>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Arial Unicode MS"/>
                <w:kern w:val="2"/>
                <w:sz w:val="21"/>
                <w:szCs w:val="21"/>
              </w:rPr>
              <w:t>(含零序互感器)</w:t>
            </w:r>
          </w:p>
        </w:tc>
        <w:tc>
          <w:tcPr>
            <w:tcW w:w="709"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台</w:t>
            </w:r>
          </w:p>
        </w:tc>
        <w:tc>
          <w:tcPr>
            <w:tcW w:w="709"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3</w:t>
            </w:r>
          </w:p>
        </w:tc>
        <w:tc>
          <w:tcPr>
            <w:tcW w:w="1843" w:type="dxa"/>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kern w:val="2"/>
                <w:sz w:val="21"/>
                <w:szCs w:val="21"/>
              </w:rPr>
              <w:t>厦门ABB低压电器设备有限公司</w:t>
            </w:r>
          </w:p>
        </w:tc>
        <w:tc>
          <w:tcPr>
            <w:tcW w:w="1842" w:type="dxa"/>
            <w:noWrap w:val="0"/>
            <w:vAlign w:val="center"/>
          </w:tcPr>
          <w:p>
            <w:pPr>
              <w:widowControl w:val="0"/>
              <w:adjustRightInd/>
              <w:snapToGrid/>
              <w:spacing w:after="0" w:line="360" w:lineRule="auto"/>
              <w:jc w:val="center"/>
              <w:rPr>
                <w:rFonts w:ascii="宋体" w:hAnsi="宋体" w:eastAsia="宋体" w:cs="Times New Roman"/>
                <w:b/>
                <w:kern w:val="2"/>
                <w:sz w:val="24"/>
                <w:szCs w:val="24"/>
              </w:rPr>
            </w:pPr>
            <w:r>
              <w:rPr>
                <w:rFonts w:hint="eastAsia" w:ascii="宋体" w:hAnsi="宋体" w:eastAsia="宋体" w:cs="Times New Roman"/>
                <w:kern w:val="2"/>
                <w:sz w:val="21"/>
                <w:szCs w:val="24"/>
              </w:rPr>
              <w:t>2#变、9#变低压进线柜、9AA04柜</w:t>
            </w:r>
          </w:p>
        </w:tc>
        <w:tc>
          <w:tcPr>
            <w:tcW w:w="709" w:type="dxa"/>
            <w:noWrap w:val="0"/>
            <w:vAlign w:val="top"/>
          </w:tcPr>
          <w:p>
            <w:pPr>
              <w:widowControl w:val="0"/>
              <w:adjustRightInd/>
              <w:snapToGrid/>
              <w:spacing w:after="0" w:line="240" w:lineRule="auto"/>
              <w:jc w:val="center"/>
              <w:rPr>
                <w:rFonts w:ascii="宋体" w:hAnsi="宋体" w:eastAsia="宋体" w:cs="Times New Roman"/>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3</w:t>
            </w:r>
          </w:p>
        </w:tc>
        <w:tc>
          <w:tcPr>
            <w:tcW w:w="1362" w:type="dxa"/>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kern w:val="2"/>
                <w:sz w:val="21"/>
                <w:szCs w:val="21"/>
              </w:rPr>
              <w:t>Emax框架空气断路器</w:t>
            </w:r>
          </w:p>
        </w:tc>
        <w:tc>
          <w:tcPr>
            <w:tcW w:w="1701" w:type="dxa"/>
            <w:noWrap w:val="0"/>
            <w:vAlign w:val="center"/>
          </w:tcPr>
          <w:p>
            <w:pPr>
              <w:widowControl w:val="0"/>
              <w:adjustRightInd/>
              <w:snapToGrid/>
              <w:spacing w:after="0" w:line="360" w:lineRule="auto"/>
              <w:jc w:val="center"/>
              <w:rPr>
                <w:rFonts w:ascii="宋体" w:hAnsi="宋体" w:eastAsia="宋体" w:cs="Arial Unicode MS"/>
                <w:kern w:val="2"/>
                <w:sz w:val="21"/>
                <w:szCs w:val="21"/>
              </w:rPr>
            </w:pPr>
            <w:r>
              <w:rPr>
                <w:rFonts w:hint="eastAsia" w:ascii="宋体" w:hAnsi="宋体" w:eastAsia="宋体" w:cs="Arial Unicode MS"/>
                <w:kern w:val="2"/>
                <w:sz w:val="21"/>
                <w:szCs w:val="21"/>
              </w:rPr>
              <w:t>E2N20 1250A</w:t>
            </w:r>
          </w:p>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Arial Unicode MS"/>
                <w:kern w:val="2"/>
                <w:sz w:val="21"/>
                <w:szCs w:val="21"/>
              </w:rPr>
              <w:t>(含零序互感器)</w:t>
            </w:r>
          </w:p>
        </w:tc>
        <w:tc>
          <w:tcPr>
            <w:tcW w:w="709"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台</w:t>
            </w:r>
          </w:p>
        </w:tc>
        <w:tc>
          <w:tcPr>
            <w:tcW w:w="709" w:type="dxa"/>
            <w:noWrap w:val="0"/>
            <w:vAlign w:val="center"/>
          </w:tcPr>
          <w:p>
            <w:pPr>
              <w:widowControl w:val="0"/>
              <w:adjustRightInd/>
              <w:snapToGrid/>
              <w:spacing w:after="0" w:line="36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9</w:t>
            </w:r>
          </w:p>
        </w:tc>
        <w:tc>
          <w:tcPr>
            <w:tcW w:w="1843" w:type="dxa"/>
            <w:noWrap w:val="0"/>
            <w:vAlign w:val="center"/>
          </w:tcPr>
          <w:p>
            <w:pPr>
              <w:widowControl w:val="0"/>
              <w:adjustRightInd/>
              <w:snapToGrid/>
              <w:spacing w:after="0" w:line="360" w:lineRule="auto"/>
              <w:jc w:val="center"/>
              <w:rPr>
                <w:rFonts w:ascii="宋体" w:hAnsi="宋体" w:eastAsia="宋体" w:cs="Times New Roman"/>
                <w:b/>
                <w:kern w:val="2"/>
                <w:sz w:val="21"/>
                <w:szCs w:val="21"/>
              </w:rPr>
            </w:pPr>
            <w:r>
              <w:rPr>
                <w:rFonts w:hint="eastAsia" w:ascii="宋体" w:hAnsi="宋体" w:eastAsia="宋体" w:cs="Times New Roman"/>
                <w:kern w:val="2"/>
                <w:sz w:val="21"/>
                <w:szCs w:val="21"/>
              </w:rPr>
              <w:t>厦门ABB低压电器设备有限公司</w:t>
            </w:r>
          </w:p>
        </w:tc>
        <w:tc>
          <w:tcPr>
            <w:tcW w:w="1842" w:type="dxa"/>
            <w:noWrap w:val="0"/>
            <w:vAlign w:val="center"/>
          </w:tcPr>
          <w:p>
            <w:pPr>
              <w:widowControl w:val="0"/>
              <w:adjustRightInd/>
              <w:snapToGrid/>
              <w:spacing w:after="0" w:line="360" w:lineRule="auto"/>
              <w:jc w:val="center"/>
              <w:rPr>
                <w:rFonts w:ascii="宋体" w:hAnsi="宋体" w:eastAsia="宋体" w:cs="Times New Roman"/>
                <w:kern w:val="2"/>
                <w:sz w:val="24"/>
                <w:szCs w:val="24"/>
              </w:rPr>
            </w:pPr>
            <w:r>
              <w:rPr>
                <w:rFonts w:hint="eastAsia" w:ascii="宋体" w:hAnsi="宋体" w:eastAsia="宋体" w:cs="Times New Roman"/>
                <w:kern w:val="2"/>
                <w:sz w:val="21"/>
                <w:szCs w:val="24"/>
              </w:rPr>
              <w:t>1031ap、3066ap、1AA03、3AA06、5AA05、5AA06、5AA07、6AA05、6AA06柜</w:t>
            </w:r>
          </w:p>
        </w:tc>
        <w:tc>
          <w:tcPr>
            <w:tcW w:w="709" w:type="dxa"/>
            <w:noWrap w:val="0"/>
            <w:vAlign w:val="top"/>
          </w:tcPr>
          <w:p>
            <w:pPr>
              <w:widowControl w:val="0"/>
              <w:adjustRightInd/>
              <w:snapToGrid/>
              <w:spacing w:after="0" w:line="240" w:lineRule="auto"/>
              <w:jc w:val="center"/>
              <w:rPr>
                <w:rFonts w:ascii="宋体" w:hAnsi="宋体" w:eastAsia="宋体" w:cs="Times New Roman"/>
                <w:b/>
                <w:kern w:val="2"/>
                <w:sz w:val="24"/>
                <w:szCs w:val="24"/>
              </w:rPr>
            </w:pPr>
          </w:p>
        </w:tc>
      </w:tr>
    </w:tbl>
    <w:p>
      <w:pPr>
        <w:widowControl w:val="0"/>
        <w:tabs>
          <w:tab w:val="left" w:pos="420"/>
        </w:tabs>
        <w:adjustRightInd/>
        <w:snapToGrid/>
        <w:spacing w:after="0" w:line="360" w:lineRule="auto"/>
        <w:jc w:val="both"/>
        <w:rPr>
          <w:rFonts w:hint="eastAsia" w:ascii="Times New Roman" w:hAnsi="Times New Roman" w:eastAsia="宋体" w:cs="Times New Roman"/>
          <w:b/>
          <w:bCs/>
          <w:kern w:val="2"/>
          <w:sz w:val="21"/>
          <w:szCs w:val="24"/>
        </w:rPr>
      </w:pPr>
    </w:p>
    <w:p>
      <w:pPr>
        <w:widowControl w:val="0"/>
        <w:tabs>
          <w:tab w:val="left" w:pos="420"/>
        </w:tabs>
        <w:adjustRightInd/>
        <w:snapToGrid/>
        <w:spacing w:after="0" w:line="360" w:lineRule="auto"/>
        <w:jc w:val="both"/>
        <w:rPr>
          <w:rFonts w:hint="eastAsia" w:ascii="Times New Roman" w:hAnsi="Times New Roman" w:eastAsia="宋体" w:cs="Times New Roman"/>
          <w:b/>
          <w:bCs/>
          <w:kern w:val="2"/>
          <w:sz w:val="21"/>
          <w:szCs w:val="24"/>
        </w:rPr>
      </w:pPr>
      <w:r>
        <w:rPr>
          <w:rFonts w:hint="eastAsia" w:ascii="Times New Roman" w:hAnsi="Times New Roman" w:eastAsia="宋体" w:cs="Times New Roman"/>
          <w:b/>
          <w:bCs/>
          <w:kern w:val="2"/>
          <w:sz w:val="21"/>
          <w:szCs w:val="24"/>
        </w:rPr>
        <w:t>五、技术要求</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1、使用环境和运行条件</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1.1  使用环境</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1.1.1  最高环境温度：+4</w:t>
      </w:r>
      <w:r>
        <w:rPr>
          <w:rFonts w:ascii="Times New Roman" w:hAnsi="Times New Roman" w:eastAsia="宋体" w:cs="Times New Roman"/>
          <w:kern w:val="2"/>
          <w:sz w:val="21"/>
          <w:szCs w:val="24"/>
        </w:rPr>
        <w:t xml:space="preserve">0 </w:t>
      </w:r>
      <w:r>
        <w:rPr>
          <w:rFonts w:hint="eastAsia" w:ascii="Times New Roman" w:hAnsi="Times New Roman" w:eastAsia="宋体" w:cs="Times New Roman"/>
          <w:kern w:val="2"/>
          <w:sz w:val="21"/>
          <w:szCs w:val="24"/>
        </w:rPr>
        <w:t>℃；</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1.1.2  最低环境温度：</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 xml:space="preserve"> 5 ℃；</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1.1.3  最大日平均温度不大于：+25 ℃；</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1.1.4  最大日平均相对湿度：95%；</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1.1.5  最大月平均相对湿度：90%；</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1.1.6  </w:t>
      </w:r>
      <w:r>
        <w:rPr>
          <w:rFonts w:ascii="Times New Roman" w:hAnsi="Times New Roman" w:eastAsia="宋体" w:cs="Times New Roman"/>
          <w:kern w:val="2"/>
          <w:sz w:val="21"/>
          <w:szCs w:val="24"/>
        </w:rPr>
        <w:t>地震烈度：</w:t>
      </w:r>
      <w:r>
        <w:rPr>
          <w:rFonts w:hint="eastAsia" w:ascii="Times New Roman" w:hAnsi="Times New Roman" w:eastAsia="宋体" w:cs="Times New Roman"/>
          <w:kern w:val="2"/>
          <w:sz w:val="21"/>
          <w:szCs w:val="24"/>
        </w:rPr>
        <w:t xml:space="preserve"> </w:t>
      </w:r>
      <w:r>
        <w:rPr>
          <w:rFonts w:ascii="Times New Roman" w:hAnsi="Times New Roman" w:eastAsia="宋体" w:cs="Times New Roman"/>
          <w:kern w:val="2"/>
          <w:sz w:val="21"/>
          <w:szCs w:val="24"/>
        </w:rPr>
        <w:t>8度</w:t>
      </w:r>
      <w:r>
        <w:rPr>
          <w:rFonts w:hint="eastAsia" w:ascii="Times New Roman" w:hAnsi="Times New Roman" w:eastAsia="宋体" w:cs="Times New Roman"/>
          <w:kern w:val="2"/>
          <w:sz w:val="21"/>
          <w:szCs w:val="24"/>
        </w:rPr>
        <w:t>；</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1.1.7  海拔高度：2000m以下。</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1.2  运行条件</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1.2.1  额定电压：0.4kV±10%</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1.2.2  额定频率：50Hz±2%；</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1.2.3  接地方式：TN-S</w:t>
      </w:r>
      <w:bookmarkStart w:id="0" w:name="_Toc317001190"/>
      <w:r>
        <w:rPr>
          <w:rFonts w:hint="eastAsia" w:ascii="Times New Roman" w:hAnsi="Times New Roman" w:eastAsia="宋体" w:cs="Times New Roman"/>
          <w:kern w:val="2"/>
          <w:sz w:val="21"/>
          <w:szCs w:val="24"/>
        </w:rPr>
        <w:t>。</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2、设计规范</w:t>
      </w:r>
      <w:bookmarkEnd w:id="0"/>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投标人所提供的设备应满足但不限于下列标准。如有新版本，以发标时最新版本为准。</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2.1  </w:t>
      </w:r>
      <w:r>
        <w:rPr>
          <w:rFonts w:ascii="Times New Roman" w:hAnsi="Times New Roman" w:eastAsia="宋体" w:cs="Times New Roman"/>
          <w:kern w:val="2"/>
          <w:sz w:val="21"/>
          <w:szCs w:val="24"/>
        </w:rPr>
        <w:t>GB7251</w:t>
      </w: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20</w:t>
      </w:r>
      <w:r>
        <w:rPr>
          <w:rFonts w:ascii="Times New Roman" w:hAnsi="Times New Roman" w:eastAsia="宋体" w:cs="Times New Roman"/>
          <w:kern w:val="2"/>
          <w:sz w:val="21"/>
          <w:szCs w:val="24"/>
        </w:rPr>
        <w:t>13</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低压成套开关设备和控制设备</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2.2  </w:t>
      </w:r>
      <w:r>
        <w:rPr>
          <w:rFonts w:ascii="Times New Roman" w:hAnsi="Times New Roman" w:eastAsia="宋体" w:cs="Times New Roman"/>
          <w:kern w:val="2"/>
          <w:sz w:val="21"/>
          <w:szCs w:val="24"/>
        </w:rPr>
        <w:t>GB</w:t>
      </w:r>
      <w:r>
        <w:rPr>
          <w:rFonts w:hint="eastAsia" w:ascii="Times New Roman" w:hAnsi="Times New Roman" w:eastAsia="宋体" w:cs="Times New Roman"/>
          <w:kern w:val="2"/>
          <w:sz w:val="21"/>
          <w:szCs w:val="24"/>
        </w:rPr>
        <w:t>/T</w:t>
      </w:r>
      <w:r>
        <w:rPr>
          <w:rFonts w:ascii="Times New Roman" w:hAnsi="Times New Roman" w:eastAsia="宋体" w:cs="Times New Roman"/>
          <w:kern w:val="2"/>
          <w:sz w:val="21"/>
          <w:szCs w:val="24"/>
        </w:rPr>
        <w:t>14048-200</w:t>
      </w:r>
      <w:r>
        <w:rPr>
          <w:rFonts w:hint="eastAsia"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低压开关设备和控制设备</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2.3  GB1497-1985</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低压电器基本标准</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2.4  </w:t>
      </w:r>
      <w:r>
        <w:rPr>
          <w:rFonts w:ascii="Times New Roman" w:hAnsi="Times New Roman" w:eastAsia="宋体" w:cs="Times New Roman"/>
          <w:kern w:val="2"/>
          <w:sz w:val="21"/>
          <w:szCs w:val="24"/>
        </w:rPr>
        <w:t>GB/T4942.2-</w:t>
      </w:r>
      <w:r>
        <w:rPr>
          <w:rFonts w:hint="eastAsia" w:ascii="Times New Roman" w:hAnsi="Times New Roman" w:eastAsia="宋体" w:cs="Times New Roman"/>
          <w:kern w:val="2"/>
          <w:sz w:val="21"/>
          <w:szCs w:val="24"/>
        </w:rPr>
        <w:t>19</w:t>
      </w:r>
      <w:r>
        <w:rPr>
          <w:rFonts w:ascii="Times New Roman" w:hAnsi="Times New Roman" w:eastAsia="宋体" w:cs="Times New Roman"/>
          <w:kern w:val="2"/>
          <w:sz w:val="21"/>
          <w:szCs w:val="24"/>
        </w:rPr>
        <w:t>93</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低压电器外壳防护等级</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2.5  GB6995-1986</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电线电缆识别标志</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2.6  GB9330-1988</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控制电缆</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2.7  </w:t>
      </w:r>
      <w:r>
        <w:rPr>
          <w:rFonts w:ascii="Times New Roman" w:hAnsi="Times New Roman" w:eastAsia="宋体" w:cs="Times New Roman"/>
          <w:kern w:val="2"/>
          <w:sz w:val="21"/>
          <w:szCs w:val="24"/>
        </w:rPr>
        <w:t>IEC60439</w:t>
      </w:r>
      <w:r>
        <w:rPr>
          <w:rFonts w:hint="eastAsia"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低压开关设备和控制设备成套装置</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2.8  </w:t>
      </w:r>
      <w:r>
        <w:rPr>
          <w:rFonts w:ascii="Times New Roman" w:hAnsi="Times New Roman" w:eastAsia="宋体" w:cs="Times New Roman"/>
          <w:kern w:val="2"/>
          <w:sz w:val="21"/>
          <w:szCs w:val="24"/>
        </w:rPr>
        <w:t>IEC60947</w:t>
      </w:r>
      <w:r>
        <w:rPr>
          <w:rFonts w:hint="eastAsia"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ab/>
      </w:r>
      <w:r>
        <w:rPr>
          <w:rFonts w:hint="eastAsia" w:ascii="Times New Roman" w:hAnsi="Times New Roman" w:eastAsia="宋体" w:cs="Times New Roman"/>
          <w:kern w:val="2"/>
          <w:sz w:val="21"/>
          <w:szCs w:val="24"/>
        </w:rPr>
        <w:t>低压开关设备和控制设备</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▲3、改造范围的Emax框架空气断路器技术参数表</w:t>
      </w:r>
    </w:p>
    <w:tbl>
      <w:tblPr>
        <w:tblStyle w:val="10"/>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268"/>
        <w:gridCol w:w="197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序号</w:t>
            </w:r>
          </w:p>
        </w:tc>
        <w:tc>
          <w:tcPr>
            <w:tcW w:w="226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主要参数名称</w:t>
            </w:r>
          </w:p>
        </w:tc>
        <w:tc>
          <w:tcPr>
            <w:tcW w:w="1973"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widowControl w:val="0"/>
              <w:adjustRightInd/>
              <w:snapToGrid/>
              <w:spacing w:after="0" w:line="480" w:lineRule="auto"/>
              <w:jc w:val="center"/>
              <w:rPr>
                <w:rFonts w:ascii="宋体" w:hAnsi="宋体" w:eastAsia="宋体" w:cs="Times New Roman"/>
                <w:b/>
                <w:kern w:val="2"/>
                <w:sz w:val="21"/>
                <w:szCs w:val="21"/>
              </w:rPr>
            </w:pPr>
            <w:r>
              <w:rPr>
                <w:rFonts w:hint="eastAsia" w:ascii="宋体" w:hAnsi="宋体" w:eastAsia="宋体" w:cs="Arial Unicode MS"/>
                <w:kern w:val="2"/>
                <w:sz w:val="21"/>
                <w:szCs w:val="21"/>
              </w:rPr>
              <w:t>E3N32 3200A</w:t>
            </w:r>
          </w:p>
        </w:tc>
        <w:tc>
          <w:tcPr>
            <w:tcW w:w="184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Arial Unicode MS"/>
                <w:kern w:val="2"/>
                <w:sz w:val="21"/>
                <w:szCs w:val="21"/>
              </w:rPr>
              <w:t>E3N25 2500A</w:t>
            </w:r>
          </w:p>
        </w:tc>
        <w:tc>
          <w:tcPr>
            <w:tcW w:w="184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Arial Unicode MS"/>
                <w:kern w:val="2"/>
                <w:sz w:val="21"/>
                <w:szCs w:val="21"/>
              </w:rPr>
              <w:t>E2N20 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额定工作电压（V）</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690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690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额定绝缘电压（V）</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1000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1000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额定频率(Hz)</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50-60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50-60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额定电流（A）</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3200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2500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额定冲击耐受电压</w:t>
            </w:r>
            <w:r>
              <w:rPr>
                <w:rFonts w:hint="eastAsia" w:ascii="宋体" w:hAnsi="宋体" w:eastAsia="宋体" w:cs="Times New Roman"/>
                <w:kern w:val="2"/>
                <w:sz w:val="21"/>
                <w:szCs w:val="21"/>
              </w:rPr>
              <w:t>k</w:t>
            </w:r>
            <w:r>
              <w:rPr>
                <w:rFonts w:hint="eastAsia" w:ascii="宋体" w:hAnsi="宋体" w:eastAsia="宋体" w:cs="Times New Roman"/>
                <w:bCs/>
                <w:kern w:val="2"/>
                <w:sz w:val="21"/>
                <w:szCs w:val="21"/>
              </w:rPr>
              <w:t>V(Uimp)</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额定极限短路电流</w:t>
            </w:r>
            <w:r>
              <w:rPr>
                <w:rFonts w:hint="eastAsia" w:ascii="宋体" w:hAnsi="宋体" w:eastAsia="宋体" w:cs="Times New Roman"/>
                <w:kern w:val="2"/>
                <w:sz w:val="21"/>
                <w:szCs w:val="21"/>
              </w:rPr>
              <w:t>k</w:t>
            </w:r>
            <w:r>
              <w:rPr>
                <w:rFonts w:hint="eastAsia" w:ascii="宋体" w:hAnsi="宋体" w:eastAsia="宋体" w:cs="Times New Roman"/>
                <w:bCs/>
                <w:kern w:val="2"/>
                <w:sz w:val="21"/>
                <w:szCs w:val="21"/>
              </w:rPr>
              <w:t>A(Icu)</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bCs/>
                <w:kern w:val="2"/>
                <w:sz w:val="21"/>
                <w:szCs w:val="21"/>
              </w:rPr>
              <w:t>额定运行短路电流</w:t>
            </w:r>
            <w:r>
              <w:rPr>
                <w:rFonts w:hint="eastAsia" w:ascii="宋体" w:hAnsi="宋体" w:eastAsia="宋体" w:cs="Times New Roman"/>
                <w:kern w:val="2"/>
                <w:sz w:val="21"/>
                <w:szCs w:val="21"/>
              </w:rPr>
              <w:t>k</w:t>
            </w:r>
            <w:r>
              <w:rPr>
                <w:rFonts w:hint="eastAsia" w:ascii="宋体" w:hAnsi="宋体" w:eastAsia="宋体" w:cs="Times New Roman"/>
                <w:bCs/>
                <w:kern w:val="2"/>
                <w:sz w:val="21"/>
                <w:szCs w:val="21"/>
              </w:rPr>
              <w:t>A(Ics)</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额定短时耐受电流</w:t>
            </w:r>
            <w:r>
              <w:rPr>
                <w:rFonts w:hint="eastAsia" w:ascii="宋体" w:hAnsi="宋体" w:eastAsia="宋体" w:cs="Times New Roman"/>
                <w:kern w:val="2"/>
                <w:sz w:val="21"/>
                <w:szCs w:val="21"/>
              </w:rPr>
              <w:t>k</w:t>
            </w:r>
            <w:r>
              <w:rPr>
                <w:rFonts w:hint="eastAsia" w:ascii="宋体" w:hAnsi="宋体" w:eastAsia="宋体" w:cs="Times New Roman"/>
                <w:bCs/>
                <w:kern w:val="2"/>
                <w:sz w:val="21"/>
                <w:szCs w:val="21"/>
              </w:rPr>
              <w:t>A(Icw/Is)</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65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分闸线圈额定电压（V）</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宋体"/>
                <w:kern w:val="2"/>
                <w:sz w:val="21"/>
                <w:szCs w:val="21"/>
              </w:rPr>
            </w:pPr>
            <w:r>
              <w:rPr>
                <w:rFonts w:hint="eastAsia" w:ascii="宋体" w:hAnsi="宋体" w:eastAsia="宋体" w:cs="Times New Roman"/>
                <w:kern w:val="2"/>
                <w:sz w:val="21"/>
                <w:szCs w:val="21"/>
              </w:rPr>
              <w:t>AC/DC 220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宋体"/>
                <w:kern w:val="2"/>
                <w:sz w:val="21"/>
                <w:szCs w:val="21"/>
              </w:rPr>
            </w:pPr>
            <w:r>
              <w:rPr>
                <w:rFonts w:hint="eastAsia" w:ascii="宋体" w:hAnsi="宋体" w:eastAsia="宋体" w:cs="Times New Roman"/>
                <w:kern w:val="2"/>
                <w:sz w:val="21"/>
                <w:szCs w:val="21"/>
              </w:rPr>
              <w:t>AC/DC 220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宋体"/>
                <w:kern w:val="2"/>
                <w:sz w:val="21"/>
                <w:szCs w:val="21"/>
              </w:rPr>
            </w:pPr>
            <w:r>
              <w:rPr>
                <w:rFonts w:hint="eastAsia" w:ascii="宋体" w:hAnsi="宋体" w:eastAsia="宋体" w:cs="Times New Roman"/>
                <w:kern w:val="2"/>
                <w:sz w:val="21"/>
                <w:szCs w:val="21"/>
              </w:rPr>
              <w:t>AC/DC 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合闸线圈额定电压（V）</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AC/DC 220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AC/DC 220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AC/DC 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储能马达额定电压（V）</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AC/DC 220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AC/DC 220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AC/DC 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断路器辅助接点容量</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10CO 5A</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10CO 5A</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10CO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操作方式</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分闸后储能；</w:t>
            </w:r>
          </w:p>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手/电动分合闸</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分闸后储能；</w:t>
            </w:r>
          </w:p>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手/电动分合闸</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分闸后储能；</w:t>
            </w:r>
          </w:p>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手/电动分合闸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分闸时间</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70ms</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70ms</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70ms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接线极数</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3P</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3P</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接线端子型式</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抽出式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抽出式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抽出式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机械寿命（操作次数）</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20000次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20000次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电气寿命（操作次数）</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（415VAC）7000次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（415VAC）7000次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（415VAC）7000次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19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bCs/>
                <w:kern w:val="2"/>
                <w:sz w:val="21"/>
                <w:szCs w:val="21"/>
              </w:rPr>
              <w:t>动静触点材质</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Ag-Ni合金</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Ag-Ni合金</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Ag-Ni合金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电子式脱扣器</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4"/>
              </w:rPr>
              <w:t>P</w:t>
            </w:r>
            <w:r>
              <w:rPr>
                <w:rFonts w:ascii="宋体" w:hAnsi="宋体" w:eastAsia="宋体" w:cs="Times New Roman"/>
                <w:kern w:val="2"/>
                <w:sz w:val="21"/>
                <w:szCs w:val="24"/>
              </w:rPr>
              <w:t>R112/P-LSIG</w:t>
            </w:r>
            <w:r>
              <w:rPr>
                <w:rFonts w:hint="eastAsia" w:ascii="宋体" w:hAnsi="宋体" w:eastAsia="宋体" w:cs="Times New Roman"/>
                <w:kern w:val="2"/>
                <w:sz w:val="21"/>
                <w:szCs w:val="24"/>
              </w:rPr>
              <w:t>带液晶显示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4"/>
              </w:rPr>
              <w:t>P</w:t>
            </w:r>
            <w:r>
              <w:rPr>
                <w:rFonts w:ascii="宋体" w:hAnsi="宋体" w:eastAsia="宋体" w:cs="Times New Roman"/>
                <w:kern w:val="2"/>
                <w:sz w:val="21"/>
                <w:szCs w:val="24"/>
              </w:rPr>
              <w:t>R112/P-LSIG</w:t>
            </w:r>
            <w:r>
              <w:rPr>
                <w:rFonts w:hint="eastAsia" w:ascii="宋体" w:hAnsi="宋体" w:eastAsia="宋体" w:cs="Times New Roman"/>
                <w:kern w:val="2"/>
                <w:sz w:val="21"/>
                <w:szCs w:val="24"/>
              </w:rPr>
              <w:t>带液晶显示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4"/>
              </w:rPr>
              <w:t>P</w:t>
            </w:r>
            <w:r>
              <w:rPr>
                <w:rFonts w:ascii="宋体" w:hAnsi="宋体" w:eastAsia="宋体" w:cs="Times New Roman"/>
                <w:kern w:val="2"/>
                <w:sz w:val="21"/>
                <w:szCs w:val="24"/>
              </w:rPr>
              <w:t>R112/P-LSIG</w:t>
            </w:r>
            <w:r>
              <w:rPr>
                <w:rFonts w:hint="eastAsia" w:ascii="宋体" w:hAnsi="宋体" w:eastAsia="宋体" w:cs="Times New Roman"/>
                <w:kern w:val="2"/>
                <w:sz w:val="21"/>
                <w:szCs w:val="24"/>
              </w:rPr>
              <w:t>带液晶显示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bCs/>
                <w:kern w:val="2"/>
                <w:sz w:val="21"/>
                <w:szCs w:val="21"/>
              </w:rPr>
              <w:t>开关自带附件</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M/YO/YC</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M/YO/YC</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ascii="宋体" w:hAnsi="宋体" w:eastAsia="宋体" w:cs="Times New Roman"/>
                <w:kern w:val="2"/>
                <w:sz w:val="21"/>
                <w:szCs w:val="21"/>
              </w:rPr>
              <w:t>M/YO/YC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22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bCs/>
                <w:kern w:val="2"/>
                <w:sz w:val="21"/>
                <w:szCs w:val="21"/>
              </w:rPr>
              <w:t>扩展功能（附件）</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欠电压脱扣器、门框、分闸锁、钥匙锁、位置开关、机械联锁</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欠电压脱扣器、门框、分闸锁、钥匙锁、位置开关、机械联锁</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jc w:val="center"/>
              <w:rPr>
                <w:rFonts w:ascii="宋体" w:hAnsi="宋体" w:eastAsia="宋体" w:cs="Times New Roman"/>
                <w:kern w:val="2"/>
                <w:sz w:val="21"/>
                <w:szCs w:val="21"/>
              </w:rPr>
            </w:pPr>
            <w:r>
              <w:rPr>
                <w:rFonts w:hint="eastAsia" w:ascii="宋体" w:hAnsi="宋体" w:eastAsia="宋体" w:cs="Times New Roman"/>
                <w:kern w:val="2"/>
                <w:sz w:val="21"/>
                <w:szCs w:val="21"/>
              </w:rPr>
              <w:t>门框、分闸锁、钥匙锁、位置开关、机械联锁</w:t>
            </w:r>
          </w:p>
        </w:tc>
      </w:tr>
    </w:tbl>
    <w:p>
      <w:pPr>
        <w:widowControl w:val="0"/>
        <w:tabs>
          <w:tab w:val="left" w:pos="420"/>
        </w:tabs>
        <w:adjustRightInd/>
        <w:snapToGrid/>
        <w:spacing w:after="0" w:line="360" w:lineRule="auto"/>
        <w:ind w:firstLine="420" w:firstLineChars="200"/>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备注：以上为招标方需改造的断路器技术参数表，投标方改造方案中所投断路器的技术参数作为评分重要依据，必须如实逐项填写，不得遗漏，不得照搬照抄招标文件的技术要求，否则评标委员会有权认定为不合格响应。</w:t>
      </w:r>
    </w:p>
    <w:p>
      <w:pPr>
        <w:widowControl w:val="0"/>
        <w:tabs>
          <w:tab w:val="left" w:pos="420"/>
        </w:tabs>
        <w:adjustRightInd/>
        <w:snapToGrid/>
        <w:spacing w:after="0" w:line="360" w:lineRule="auto"/>
        <w:ind w:firstLine="316" w:firstLineChars="150"/>
        <w:jc w:val="both"/>
        <w:rPr>
          <w:rFonts w:hint="eastAsia"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标注“▲”的条款为重要参数，作为评标时打分的重点参考。</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4、改造方案要求</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4.1  考虑项目现有设备的兼容性，投标方投标产品品牌规格应不低于如下制造商生产的产品：</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4.1.1  施耐德电气设备工程（西安）有限公司生产的框架断路器施耐德 MT系列；</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4.1.2  厦门ABB低压电器设备有限公司生产的框架断路器ABB </w:t>
      </w:r>
      <w:r>
        <w:rPr>
          <w:rFonts w:ascii="Times New Roman" w:hAnsi="Times New Roman" w:eastAsia="宋体" w:cs="Times New Roman"/>
          <w:kern w:val="2"/>
          <w:sz w:val="21"/>
          <w:szCs w:val="24"/>
        </w:rPr>
        <w:t>N</w:t>
      </w:r>
      <w:r>
        <w:rPr>
          <w:rFonts w:hint="eastAsia" w:ascii="Times New Roman" w:hAnsi="Times New Roman" w:eastAsia="宋体" w:cs="Times New Roman"/>
          <w:kern w:val="2"/>
          <w:sz w:val="21"/>
          <w:szCs w:val="24"/>
        </w:rPr>
        <w:t>e</w:t>
      </w:r>
      <w:r>
        <w:rPr>
          <w:rFonts w:ascii="Times New Roman" w:hAnsi="Times New Roman" w:eastAsia="宋体" w:cs="Times New Roman"/>
          <w:kern w:val="2"/>
          <w:sz w:val="21"/>
          <w:szCs w:val="24"/>
        </w:rPr>
        <w:t xml:space="preserve">w </w:t>
      </w:r>
      <w:r>
        <w:rPr>
          <w:rFonts w:hint="eastAsia" w:ascii="Times New Roman" w:hAnsi="Times New Roman" w:eastAsia="宋体" w:cs="Times New Roman"/>
          <w:kern w:val="2"/>
          <w:sz w:val="21"/>
          <w:szCs w:val="24"/>
        </w:rPr>
        <w:t>Emax系列；</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4.1.3  西门子工厂自动化工程有限公司生产的框架断路器西门子3WL系列；</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投标方应自行对断路器柜体规格参数以及设备现有安装情况等作详尽的了解；</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4.2  投标方提供的设备应是全新的和先进的，并经过运行实践已证明是完全成熟可靠的产品。</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4.3  要求拆除原断路器，改造并安装符合招标方技术要求的新断路器，对二次接线完整修复，整定好保护定值并安装调试合格，送电交付招标方验收使用。</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4.4  本项目不允许新增或更换断路器柜体，要求在原有柜体内改造更换断路器，并与原有断路器底座匹配兼容，改造后投标方应不破坏原有柜内元器件的正常使用功能。</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4.5  改造方案中所投断路器实际容量应不低于原有断路器的容量（额定电流）。</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4.6  因用电负荷重要性，每台断路器改造的停电时间有限，要求改造时间越短越好，评标委员会对各投标方改造时间进行横向比较打分。</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4.7  脱扣器要求采用带液晶显示、具有四段电子保护器保护（带零序保护互感器）、机械及电磁分、合闸功能；面板具有复位按钮，电流、电压、参数、故障显示功能。</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4.8 对于中标方改造方案中所投断路器，中标方应承诺提供招标方提出的所有所需资料，包括但不限于产品的技术数据表、出厂合格证、技术资料、说明书（安装使用说明、技术条件、备件、装箱单）、满足技术要求的型式试验报告（有效期内）及例行试验报告。</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5、技术能力要求</w:t>
      </w:r>
    </w:p>
    <w:p>
      <w:pPr>
        <w:widowControl w:val="0"/>
        <w:tabs>
          <w:tab w:val="left" w:pos="420"/>
        </w:tabs>
        <w:adjustRightInd/>
        <w:snapToGrid/>
        <w:spacing w:after="0" w:line="360" w:lineRule="auto"/>
        <w:ind w:firstLine="420" w:firstLineChars="200"/>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由获得制造商或生产厂家认证的专业技术人员负责现场升级及改造，投标方应提供投标单位出具的盖章版的技术人员《在职证明书》</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及</w:t>
      </w:r>
      <w:r>
        <w:rPr>
          <w:rFonts w:ascii="Times New Roman" w:hAnsi="Times New Roman" w:eastAsia="宋体" w:cs="Times New Roman"/>
          <w:kern w:val="2"/>
          <w:sz w:val="21"/>
          <w:szCs w:val="24"/>
        </w:rPr>
        <w:t>缴交社保</w:t>
      </w:r>
      <w:r>
        <w:rPr>
          <w:rFonts w:hint="eastAsia" w:ascii="Times New Roman" w:hAnsi="Times New Roman" w:eastAsia="宋体" w:cs="Times New Roman"/>
          <w:kern w:val="2"/>
          <w:sz w:val="21"/>
          <w:szCs w:val="24"/>
        </w:rPr>
        <w:t>证明文件</w:t>
      </w:r>
      <w:r>
        <w:rPr>
          <w:rFonts w:ascii="Times New Roman" w:hAnsi="Times New Roman" w:eastAsia="宋体" w:cs="Times New Roman"/>
          <w:kern w:val="2"/>
          <w:sz w:val="21"/>
          <w:szCs w:val="24"/>
        </w:rPr>
        <w:t>复印件</w:t>
      </w:r>
      <w:r>
        <w:rPr>
          <w:rFonts w:hint="eastAsia" w:ascii="Times New Roman" w:hAnsi="Times New Roman" w:eastAsia="宋体" w:cs="Times New Roman"/>
          <w:kern w:val="2"/>
          <w:sz w:val="21"/>
          <w:szCs w:val="24"/>
        </w:rPr>
        <w:t>加</w:t>
      </w:r>
      <w:r>
        <w:rPr>
          <w:rFonts w:ascii="Times New Roman" w:hAnsi="Times New Roman" w:eastAsia="宋体" w:cs="Times New Roman"/>
          <w:kern w:val="2"/>
          <w:sz w:val="21"/>
          <w:szCs w:val="24"/>
        </w:rPr>
        <w:t>盖公章</w:t>
      </w:r>
      <w:r>
        <w:rPr>
          <w:rFonts w:hint="eastAsia" w:ascii="Times New Roman" w:hAnsi="Times New Roman" w:eastAsia="宋体" w:cs="Times New Roman"/>
          <w:kern w:val="2"/>
          <w:sz w:val="21"/>
          <w:szCs w:val="24"/>
        </w:rPr>
        <w:t>。</w:t>
      </w:r>
    </w:p>
    <w:p>
      <w:pPr>
        <w:widowControl w:val="0"/>
        <w:tabs>
          <w:tab w:val="left" w:pos="420"/>
        </w:tabs>
        <w:adjustRightInd/>
        <w:snapToGrid/>
        <w:spacing w:after="0" w:line="360" w:lineRule="auto"/>
        <w:ind w:firstLine="315" w:firstLineChars="150"/>
        <w:jc w:val="both"/>
        <w:rPr>
          <w:rFonts w:hint="eastAsia" w:ascii="Times New Roman" w:hAnsi="Times New Roman" w:eastAsia="宋体" w:cs="Times New Roman"/>
          <w:kern w:val="2"/>
          <w:sz w:val="21"/>
          <w:szCs w:val="24"/>
        </w:rPr>
      </w:pPr>
    </w:p>
    <w:p>
      <w:pPr>
        <w:widowControl w:val="0"/>
        <w:tabs>
          <w:tab w:val="left" w:pos="420"/>
        </w:tabs>
        <w:adjustRightInd/>
        <w:snapToGrid/>
        <w:spacing w:after="0" w:line="360" w:lineRule="auto"/>
        <w:jc w:val="both"/>
        <w:rPr>
          <w:rFonts w:hint="eastAsia"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六、交货验收及质保期</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bookmarkStart w:id="1" w:name="_GoBack"/>
      <w:r>
        <w:rPr>
          <w:rFonts w:hint="eastAsia" w:ascii="Times New Roman" w:hAnsi="Times New Roman" w:eastAsia="宋体" w:cs="Times New Roman"/>
          <w:kern w:val="2"/>
          <w:sz w:val="21"/>
          <w:szCs w:val="24"/>
        </w:rPr>
        <w:t>1、双方签定合同后按合同和招标、投标文件约定的要求和标准进行交货验收，交货期为签</w:t>
      </w:r>
      <w:r>
        <w:rPr>
          <w:rFonts w:hint="eastAsia" w:ascii="Times New Roman" w:hAnsi="Times New Roman" w:eastAsia="宋体" w:cs="Times New Roman"/>
          <w:kern w:val="2"/>
          <w:sz w:val="21"/>
          <w:szCs w:val="24"/>
        </w:rPr>
        <w:t>订合同</w:t>
      </w:r>
      <w:r>
        <w:rPr>
          <w:rFonts w:hint="eastAsia" w:ascii="Times New Roman" w:hAnsi="Times New Roman" w:eastAsia="宋体" w:cs="Times New Roman"/>
          <w:kern w:val="2"/>
          <w:sz w:val="21"/>
          <w:szCs w:val="24"/>
        </w:rPr>
        <w:t>之日起150天内（日历日）</w:t>
      </w:r>
      <w:r>
        <w:rPr>
          <w:rFonts w:hint="eastAsia" w:ascii="Times New Roman" w:hAnsi="Times New Roman" w:eastAsia="宋体" w:cs="Times New Roman"/>
          <w:kern w:val="2"/>
          <w:sz w:val="21"/>
          <w:szCs w:val="24"/>
        </w:rPr>
        <w:t>，“交货期</w:t>
      </w:r>
      <w:r>
        <w:rPr>
          <w:rFonts w:hint="eastAsia" w:ascii="Times New Roman" w:hAnsi="Times New Roman" w:eastAsia="宋体" w:cs="Times New Roman"/>
          <w:kern w:val="2"/>
          <w:sz w:val="21"/>
          <w:szCs w:val="24"/>
        </w:rPr>
        <w:t>”指所有货物运抵现场安装调试完毕后交付用户验收的日期。</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2、质保期为货物安装调试完毕验收合格使用之日起1年，投标人可承诺更长的质保期。</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3、如满足招标方技术要求，双方签署验收报告，视为验收合格。</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4、质保期内非买方原因引起的质量问题，中标方负责无偿返修，中标方未在买方规定的时间内返修，招标方有权选择其它供应商进行返修，返修费用由中标方承担。</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5、提供优质的售后服务，在接到招标人故障报修通知后，4小时内响应并提供技术支持，需现场解决的问题24小时内赶到现场解决。</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6、合同实施期间，如投标人不能执行合同所规定的内容及投标有关承诺，招标人有权根据实际情况扣除支付给投标人的相应费用，并解除合同。</w:t>
      </w:r>
    </w:p>
    <w:bookmarkEnd w:id="1"/>
    <w:p>
      <w:pPr>
        <w:widowControl w:val="0"/>
        <w:tabs>
          <w:tab w:val="left" w:pos="420"/>
        </w:tabs>
        <w:adjustRightInd/>
        <w:snapToGrid/>
        <w:spacing w:after="0" w:line="360" w:lineRule="auto"/>
        <w:jc w:val="both"/>
        <w:rPr>
          <w:rFonts w:hint="eastAsia" w:ascii="Times New Roman" w:hAnsi="Times New Roman" w:eastAsia="宋体" w:cs="Times New Roman"/>
          <w:b/>
          <w:kern w:val="2"/>
          <w:sz w:val="21"/>
          <w:szCs w:val="24"/>
        </w:rPr>
      </w:pPr>
    </w:p>
    <w:p>
      <w:pPr>
        <w:widowControl w:val="0"/>
        <w:tabs>
          <w:tab w:val="left" w:pos="420"/>
        </w:tabs>
        <w:adjustRightInd/>
        <w:snapToGrid/>
        <w:spacing w:after="0" w:line="360" w:lineRule="auto"/>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七、报价要求</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1、本项目价格应包含中标人实施本项目的所有费用，应包括服务成本、法定税费和企业的利润等。由投标人根据招标文件所提供的资料自行测算投标报价。</w:t>
      </w:r>
    </w:p>
    <w:p>
      <w:pPr>
        <w:widowControl w:val="0"/>
        <w:tabs>
          <w:tab w:val="left" w:pos="420"/>
        </w:tabs>
        <w:adjustRightInd/>
        <w:snapToGrid/>
        <w:spacing w:after="0" w:line="36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2、投标报价明显不符合市场行情，有可能影响商品质量、诚信履约的，将可能导致无效投标。</w:t>
      </w:r>
    </w:p>
    <w:p>
      <w:pPr>
        <w:widowControl w:val="0"/>
        <w:tabs>
          <w:tab w:val="left" w:pos="420"/>
        </w:tabs>
        <w:adjustRightInd/>
        <w:snapToGrid/>
        <w:spacing w:after="0" w:line="360" w:lineRule="auto"/>
        <w:jc w:val="both"/>
        <w:rPr>
          <w:rFonts w:hint="eastAsia" w:ascii="Times New Roman" w:hAnsi="Times New Roman" w:eastAsia="宋体" w:cs="Times New Roman"/>
          <w:b/>
          <w:kern w:val="2"/>
          <w:sz w:val="21"/>
          <w:szCs w:val="24"/>
        </w:rPr>
      </w:pPr>
    </w:p>
    <w:p>
      <w:pPr>
        <w:widowControl w:val="0"/>
        <w:tabs>
          <w:tab w:val="left" w:pos="420"/>
        </w:tabs>
        <w:adjustRightInd/>
        <w:snapToGrid/>
        <w:spacing w:after="0" w:line="360" w:lineRule="auto"/>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八、付款方式</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8.1中标人在向招标公司足额缴纳中标服务费并领取中标通知书后与招标人签订项目合同。</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8.2合同签订后，中标人向招标人开具合同总额20%的增值税发票，招标人向中标人支付合同总额的20%预付款。</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8.3验收合格后，中标人向招标人开具合同总额70%的增值税发票，招标人向中标人支付合同总额的70%。</w:t>
      </w:r>
    </w:p>
    <w:p>
      <w:pPr>
        <w:widowControl w:val="0"/>
        <w:tabs>
          <w:tab w:val="left" w:pos="420"/>
        </w:tabs>
        <w:adjustRightInd/>
        <w:snapToGrid/>
        <w:spacing w:after="0" w:line="360" w:lineRule="auto"/>
        <w:jc w:val="both"/>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8.4验收合格三个月内，设备运行使用正常，中标人向招标人开具合同总额10%的增值税发票，招标人向中标人支付合同总额的10%。</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经典标宋简">
    <w:altName w:val="宋体"/>
    <w:panose1 w:val="00000000000000000000"/>
    <w:charset w:val="86"/>
    <w:family w:val="auto"/>
    <w:pitch w:val="default"/>
    <w:sig w:usb0="00000000" w:usb1="00000000" w:usb2="0000001E"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221091"/>
    <w:rsid w:val="002B5D97"/>
    <w:rsid w:val="00323B43"/>
    <w:rsid w:val="003D37D8"/>
    <w:rsid w:val="00426133"/>
    <w:rsid w:val="004358AB"/>
    <w:rsid w:val="008B7726"/>
    <w:rsid w:val="00A84546"/>
    <w:rsid w:val="00D31D50"/>
    <w:rsid w:val="070D07E2"/>
    <w:rsid w:val="09EB5321"/>
    <w:rsid w:val="241C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0"/>
    <w:pPr>
      <w:keepNext/>
      <w:keepLines/>
      <w:widowControl w:val="0"/>
      <w:adjustRightInd/>
      <w:snapToGrid/>
      <w:spacing w:before="260" w:after="260" w:line="415" w:lineRule="auto"/>
      <w:jc w:val="both"/>
      <w:outlineLvl w:val="1"/>
    </w:pPr>
    <w:rPr>
      <w:rFonts w:ascii="Arial" w:hAnsi="Arial" w:eastAsia="宋体" w:cs="Times New Roman"/>
      <w:b/>
      <w:bCs/>
      <w:kern w:val="2"/>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4">
    <w:name w:val="Plain Text"/>
    <w:basedOn w:val="1"/>
    <w:link w:val="18"/>
    <w:qFormat/>
    <w:uiPriority w:val="0"/>
    <w:pPr>
      <w:widowControl w:val="0"/>
      <w:adjustRightInd/>
      <w:snapToGrid/>
      <w:spacing w:after="0"/>
      <w:jc w:val="both"/>
    </w:pPr>
    <w:rPr>
      <w:rFonts w:ascii="宋体" w:eastAsia="宋体" w:hAnsiTheme="minorHAnsi"/>
      <w:kern w:val="2"/>
      <w:sz w:val="21"/>
    </w:rPr>
  </w:style>
  <w:style w:type="paragraph" w:styleId="5">
    <w:name w:val="Date"/>
    <w:basedOn w:val="1"/>
    <w:next w:val="1"/>
    <w:link w:val="16"/>
    <w:qFormat/>
    <w:uiPriority w:val="0"/>
    <w:pPr>
      <w:widowControl w:val="0"/>
      <w:adjustRightInd/>
      <w:snapToGrid/>
      <w:spacing w:after="0"/>
      <w:jc w:val="both"/>
    </w:pPr>
    <w:rPr>
      <w:rFonts w:ascii="宋体" w:hAnsi="Times New Roman" w:eastAsia="宋体" w:cs="Times New Roman"/>
      <w:kern w:val="2"/>
      <w:sz w:val="32"/>
      <w:szCs w:val="20"/>
    </w:rPr>
  </w:style>
  <w:style w:type="paragraph" w:styleId="6">
    <w:name w:val="Balloon Text"/>
    <w:basedOn w:val="1"/>
    <w:link w:val="19"/>
    <w:semiHidden/>
    <w:unhideWhenUsed/>
    <w:qFormat/>
    <w:uiPriority w:val="99"/>
    <w:pPr>
      <w:spacing w:after="0"/>
    </w:pPr>
    <w:rPr>
      <w:sz w:val="18"/>
      <w:szCs w:val="18"/>
    </w:rPr>
  </w:style>
  <w:style w:type="paragraph" w:styleId="7">
    <w:name w:val="footer"/>
    <w:basedOn w:val="1"/>
    <w:link w:val="13"/>
    <w:semiHidden/>
    <w:unhideWhenUsed/>
    <w:qFormat/>
    <w:uiPriority w:val="99"/>
    <w:pPr>
      <w:tabs>
        <w:tab w:val="center" w:pos="4153"/>
        <w:tab w:val="right" w:pos="8306"/>
      </w:tabs>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Body Text Indent 3"/>
    <w:basedOn w:val="1"/>
    <w:link w:val="17"/>
    <w:qFormat/>
    <w:uiPriority w:val="0"/>
    <w:pPr>
      <w:widowControl w:val="0"/>
      <w:spacing w:after="0" w:line="300" w:lineRule="auto"/>
      <w:ind w:firstLine="200" w:firstLineChars="200"/>
      <w:jc w:val="both"/>
    </w:pPr>
    <w:rPr>
      <w:rFonts w:ascii="宋体" w:hAnsi="Times New Roman" w:eastAsia="宋体" w:cs="Times New Roman"/>
      <w:kern w:val="2"/>
      <w:sz w:val="21"/>
      <w:szCs w:val="24"/>
    </w:rPr>
  </w:style>
  <w:style w:type="character" w:customStyle="1" w:styleId="12">
    <w:name w:val="页眉 Char"/>
    <w:basedOn w:val="11"/>
    <w:link w:val="8"/>
    <w:semiHidden/>
    <w:qFormat/>
    <w:uiPriority w:val="99"/>
    <w:rPr>
      <w:rFonts w:ascii="Tahoma" w:hAnsi="Tahoma"/>
      <w:sz w:val="18"/>
      <w:szCs w:val="18"/>
    </w:rPr>
  </w:style>
  <w:style w:type="character" w:customStyle="1" w:styleId="13">
    <w:name w:val="页脚 Char"/>
    <w:basedOn w:val="11"/>
    <w:link w:val="7"/>
    <w:semiHidden/>
    <w:qFormat/>
    <w:uiPriority w:val="99"/>
    <w:rPr>
      <w:rFonts w:ascii="Tahoma" w:hAnsi="Tahoma"/>
      <w:sz w:val="18"/>
      <w:szCs w:val="18"/>
    </w:rPr>
  </w:style>
  <w:style w:type="character" w:customStyle="1" w:styleId="14">
    <w:name w:val="标题 2 Char"/>
    <w:basedOn w:val="11"/>
    <w:link w:val="2"/>
    <w:qFormat/>
    <w:uiPriority w:val="0"/>
    <w:rPr>
      <w:rFonts w:ascii="Arial" w:hAnsi="Arial" w:eastAsia="宋体" w:cs="Times New Roman"/>
      <w:b/>
      <w:bCs/>
      <w:kern w:val="2"/>
      <w:sz w:val="32"/>
      <w:szCs w:val="32"/>
    </w:rPr>
  </w:style>
  <w:style w:type="character" w:customStyle="1" w:styleId="15">
    <w:name w:val="纯文本 Char2"/>
    <w:link w:val="4"/>
    <w:qFormat/>
    <w:uiPriority w:val="0"/>
    <w:rPr>
      <w:rFonts w:ascii="宋体" w:eastAsia="宋体"/>
      <w:kern w:val="2"/>
      <w:sz w:val="21"/>
    </w:rPr>
  </w:style>
  <w:style w:type="character" w:customStyle="1" w:styleId="16">
    <w:name w:val="日期 Char"/>
    <w:basedOn w:val="11"/>
    <w:link w:val="5"/>
    <w:qFormat/>
    <w:uiPriority w:val="0"/>
    <w:rPr>
      <w:rFonts w:ascii="宋体" w:hAnsi="Times New Roman" w:eastAsia="宋体" w:cs="Times New Roman"/>
      <w:kern w:val="2"/>
      <w:sz w:val="32"/>
      <w:szCs w:val="20"/>
    </w:rPr>
  </w:style>
  <w:style w:type="character" w:customStyle="1" w:styleId="17">
    <w:name w:val="正文文本缩进 3 Char"/>
    <w:basedOn w:val="11"/>
    <w:link w:val="9"/>
    <w:qFormat/>
    <w:uiPriority w:val="0"/>
    <w:rPr>
      <w:rFonts w:ascii="宋体" w:hAnsi="Times New Roman" w:eastAsia="宋体" w:cs="Times New Roman"/>
      <w:kern w:val="2"/>
      <w:sz w:val="21"/>
      <w:szCs w:val="24"/>
    </w:rPr>
  </w:style>
  <w:style w:type="character" w:customStyle="1" w:styleId="18">
    <w:name w:val="纯文本 Char"/>
    <w:basedOn w:val="11"/>
    <w:link w:val="4"/>
    <w:semiHidden/>
    <w:qFormat/>
    <w:uiPriority w:val="99"/>
    <w:rPr>
      <w:rFonts w:ascii="宋体" w:hAnsi="Courier New" w:eastAsia="宋体" w:cs="Courier New"/>
      <w:sz w:val="21"/>
      <w:szCs w:val="21"/>
    </w:rPr>
  </w:style>
  <w:style w:type="character" w:customStyle="1" w:styleId="19">
    <w:name w:val="批注框文本 Char"/>
    <w:basedOn w:val="11"/>
    <w:link w:val="6"/>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370</Words>
  <Characters>2114</Characters>
  <Lines>17</Lines>
  <Paragraphs>4</Paragraphs>
  <TotalTime>0</TotalTime>
  <ScaleCrop>false</ScaleCrop>
  <LinksUpToDate>false</LinksUpToDate>
  <CharactersWithSpaces>2480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中正-傅工</cp:lastModifiedBy>
  <dcterms:modified xsi:type="dcterms:W3CDTF">2021-06-01T09:43:22Z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6F884C6AA0764FFCA7172BD51BCF4D38</vt:lpwstr>
  </property>
</Properties>
</file>