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59EA1">
      <w:pPr>
        <w:pStyle w:val="9"/>
        <w:snapToGrid w:val="0"/>
        <w:spacing w:before="0" w:beforeAutospacing="0" w:after="0" w:afterAutospacing="0" w:line="360" w:lineRule="auto"/>
        <w:jc w:val="center"/>
        <w:rPr>
          <w:rFonts w:hint="eastAsia" w:ascii="仿宋" w:hAnsi="仿宋" w:eastAsia="仿宋" w:cs="仿宋"/>
          <w:b/>
          <w:bCs/>
        </w:rPr>
      </w:pPr>
      <w:r>
        <w:rPr>
          <w:rFonts w:hint="eastAsia" w:ascii="方正大标宋简体" w:eastAsia="方正大标宋简体"/>
          <w:sz w:val="44"/>
          <w:szCs w:val="44"/>
        </w:rPr>
        <w:t>采购需求调查</w:t>
      </w:r>
    </w:p>
    <w:p w14:paraId="36469A2B">
      <w:pPr>
        <w:pStyle w:val="9"/>
        <w:snapToGrid w:val="0"/>
        <w:spacing w:before="0" w:beforeAutospacing="0" w:after="0" w:afterAutospacing="0" w:line="360" w:lineRule="auto"/>
        <w:rPr>
          <w:rStyle w:val="13"/>
          <w:rFonts w:ascii="仿宋" w:hAnsi="仿宋" w:eastAsia="仿宋" w:cs="仿宋"/>
          <w:b w:val="0"/>
          <w:bCs w:val="0"/>
          <w:color w:val="000000"/>
          <w:u w:val="single"/>
        </w:rPr>
      </w:pPr>
      <w:r>
        <w:rPr>
          <w:rFonts w:hint="eastAsia" w:ascii="仿宋" w:hAnsi="仿宋" w:eastAsia="仿宋" w:cs="仿宋"/>
          <w:b/>
          <w:bCs/>
        </w:rPr>
        <w:t>一、参与调查供应商的基本信息</w:t>
      </w:r>
    </w:p>
    <w:p w14:paraId="68B0ADA7">
      <w:pPr>
        <w:spacing w:line="360" w:lineRule="auto"/>
        <w:jc w:val="left"/>
        <w:rPr>
          <w:rFonts w:ascii="仿宋" w:hAnsi="仿宋" w:eastAsia="仿宋" w:cs="仿宋"/>
          <w:sz w:val="24"/>
          <w:szCs w:val="24"/>
        </w:rPr>
      </w:pPr>
      <w:r>
        <w:rPr>
          <w:rFonts w:hint="eastAsia" w:ascii="仿宋" w:hAnsi="仿宋" w:eastAsia="仿宋" w:cs="仿宋"/>
          <w:sz w:val="24"/>
          <w:szCs w:val="24"/>
        </w:rPr>
        <w:t>（1）供应商名称（盖章）：</w:t>
      </w:r>
      <w:r>
        <w:rPr>
          <w:rFonts w:hint="eastAsia" w:ascii="仿宋" w:hAnsi="仿宋" w:eastAsia="仿宋" w:cs="仿宋"/>
          <w:sz w:val="24"/>
          <w:szCs w:val="24"/>
          <w:u w:val="single"/>
        </w:rPr>
        <w:t xml:space="preserve">                               </w:t>
      </w:r>
    </w:p>
    <w:p w14:paraId="32C1E3ED">
      <w:pPr>
        <w:spacing w:line="360" w:lineRule="auto"/>
        <w:jc w:val="left"/>
        <w:rPr>
          <w:rFonts w:ascii="仿宋" w:hAnsi="仿宋" w:eastAsia="仿宋" w:cs="仿宋"/>
          <w:sz w:val="24"/>
          <w:szCs w:val="24"/>
        </w:rPr>
      </w:pPr>
      <w:r>
        <w:rPr>
          <w:rFonts w:hint="eastAsia" w:ascii="仿宋" w:hAnsi="仿宋" w:eastAsia="仿宋" w:cs="仿宋"/>
          <w:sz w:val="24"/>
          <w:szCs w:val="24"/>
        </w:rPr>
        <w:t>（2）供应商所在地：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491B3CB">
      <w:pPr>
        <w:spacing w:line="360" w:lineRule="auto"/>
        <w:jc w:val="left"/>
        <w:rPr>
          <w:rFonts w:hint="eastAsia" w:ascii="仿宋" w:hAnsi="仿宋" w:eastAsia="仿宋" w:cs="仿宋"/>
          <w:i/>
          <w:iCs/>
          <w:sz w:val="24"/>
          <w:szCs w:val="24"/>
          <w:u w:val="single"/>
        </w:rPr>
      </w:pPr>
      <w:r>
        <w:rPr>
          <w:rFonts w:hint="eastAsia" w:ascii="仿宋" w:hAnsi="仿宋" w:eastAsia="仿宋" w:cs="仿宋"/>
          <w:sz w:val="24"/>
          <w:szCs w:val="24"/>
        </w:rPr>
        <w:t>（3）供应商属性：</w:t>
      </w:r>
      <w:r>
        <w:rPr>
          <w:rFonts w:hint="eastAsia" w:ascii="仿宋" w:hAnsi="仿宋" w:eastAsia="仿宋" w:cs="仿宋"/>
          <w:i/>
          <w:iCs/>
          <w:sz w:val="24"/>
          <w:szCs w:val="24"/>
          <w:u w:val="single"/>
        </w:rPr>
        <w:t xml:space="preserve">属于大型企业或者中型企业或者小微企业？ </w:t>
      </w:r>
    </w:p>
    <w:p w14:paraId="71F2DEC9">
      <w:pPr>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）经营规模：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207687B7">
      <w:pPr>
        <w:spacing w:line="360" w:lineRule="auto"/>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）联系人及联系电话：</w:t>
      </w:r>
      <w:r>
        <w:rPr>
          <w:rFonts w:hint="eastAsia" w:ascii="仿宋" w:hAnsi="仿宋" w:eastAsia="仿宋" w:cs="仿宋"/>
          <w:sz w:val="24"/>
          <w:szCs w:val="24"/>
          <w:u w:val="single"/>
        </w:rPr>
        <w:t xml:space="preserve">                                 </w:t>
      </w:r>
    </w:p>
    <w:p w14:paraId="23D3335F">
      <w:pPr>
        <w:spacing w:line="360" w:lineRule="auto"/>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）填表日期：</w:t>
      </w:r>
      <w:r>
        <w:rPr>
          <w:rFonts w:hint="eastAsia" w:ascii="仿宋" w:hAnsi="仿宋" w:eastAsia="仿宋" w:cs="仿宋"/>
          <w:sz w:val="24"/>
          <w:szCs w:val="24"/>
          <w:u w:val="single"/>
        </w:rPr>
        <w:t xml:space="preserve">                                         </w:t>
      </w:r>
    </w:p>
    <w:p w14:paraId="0F3FB554">
      <w:pPr>
        <w:rPr>
          <w:rStyle w:val="13"/>
          <w:rFonts w:ascii="仿宋" w:hAnsi="仿宋" w:eastAsia="仿宋" w:cs="仿宋"/>
          <w:b w:val="0"/>
          <w:bCs w:val="0"/>
          <w:sz w:val="24"/>
          <w:szCs w:val="24"/>
        </w:rPr>
      </w:pPr>
      <w:r>
        <w:rPr>
          <w:rFonts w:hint="eastAsia"/>
        </w:rPr>
        <w:t xml:space="preserve">                             </w:t>
      </w:r>
    </w:p>
    <w:p w14:paraId="7EF6C6D7">
      <w:pPr>
        <w:widowControl/>
        <w:jc w:val="left"/>
        <w:rPr>
          <w:rFonts w:ascii="宋体" w:hAnsi="宋体" w:cs="宋体"/>
          <w:b/>
          <w:bCs/>
          <w:color w:val="3F3F3F"/>
          <w:kern w:val="0"/>
          <w:szCs w:val="21"/>
        </w:rPr>
      </w:pPr>
      <w:r>
        <w:rPr>
          <w:rStyle w:val="13"/>
          <w:rFonts w:hint="eastAsia" w:ascii="仿宋" w:hAnsi="仿宋" w:eastAsia="仿宋" w:cs="仿宋"/>
          <w:color w:val="000000"/>
        </w:rPr>
        <w:t>二、调查事项（供应商须填写内容）</w:t>
      </w:r>
    </w:p>
    <w:p w14:paraId="307FE7CA">
      <w:pPr>
        <w:widowControl/>
        <w:jc w:val="left"/>
        <w:rPr>
          <w:rFonts w:ascii="宋体" w:hAnsi="宋体" w:cs="宋体"/>
          <w:b/>
          <w:bCs/>
          <w:color w:val="3F3F3F"/>
          <w:kern w:val="0"/>
          <w:szCs w:val="21"/>
        </w:rPr>
      </w:pPr>
    </w:p>
    <w:p w14:paraId="487EFF0B">
      <w:pPr>
        <w:widowControl/>
        <w:jc w:val="left"/>
        <w:rPr>
          <w:rFonts w:ascii="宋体" w:hAnsi="宋体" w:cs="宋体"/>
          <w:b/>
          <w:bCs/>
          <w:color w:val="3F3F3F"/>
          <w:kern w:val="0"/>
          <w:szCs w:val="21"/>
        </w:rPr>
      </w:pPr>
    </w:p>
    <w:p w14:paraId="63A843AE">
      <w:pPr>
        <w:spacing w:line="360" w:lineRule="auto"/>
        <w:jc w:val="left"/>
        <w:rPr>
          <w:rFonts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、针对本项目，是否要求供应商具备特定资格条件？</w:t>
      </w:r>
    </w:p>
    <w:p w14:paraId="48112F40">
      <w:pPr>
        <w:spacing w:line="360" w:lineRule="auto"/>
        <w:jc w:val="left"/>
        <w:rPr>
          <w:rFonts w:ascii="仿宋" w:hAnsi="仿宋" w:eastAsia="仿宋" w:cs="仿宋"/>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i/>
          <w:iCs/>
          <w:sz w:val="24"/>
          <w:szCs w:val="24"/>
          <w:u w:val="single"/>
        </w:rPr>
        <w:t xml:space="preserve"> 如有请补充，如不涉及则填写“不涉及”。</w:t>
      </w:r>
    </w:p>
    <w:p w14:paraId="3C813E15">
      <w:pPr>
        <w:spacing w:line="360" w:lineRule="auto"/>
        <w:jc w:val="left"/>
        <w:rPr>
          <w:rFonts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、针对本项目，是否存在国家标准、行业标准或者地方标准？</w:t>
      </w:r>
    </w:p>
    <w:p w14:paraId="3D3B89A4">
      <w:pPr>
        <w:spacing w:line="360" w:lineRule="auto"/>
        <w:jc w:val="left"/>
        <w:rPr>
          <w:rFonts w:ascii="仿宋" w:hAnsi="仿宋" w:eastAsia="仿宋" w:cs="仿宋"/>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i/>
          <w:iCs/>
          <w:sz w:val="24"/>
          <w:szCs w:val="24"/>
          <w:u w:val="single"/>
        </w:rPr>
        <w:t>如有请补充，如不涉及则填写“不涉及”。</w:t>
      </w:r>
    </w:p>
    <w:p w14:paraId="7F278DE6">
      <w:pPr>
        <w:spacing w:line="360" w:lineRule="auto"/>
        <w:jc w:val="left"/>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、针对本项目，是否适合专门面向中小企业实施采购？</w:t>
      </w:r>
    </w:p>
    <w:p w14:paraId="2D7812EC">
      <w:pPr>
        <w:spacing w:line="360" w:lineRule="auto"/>
        <w:jc w:val="left"/>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i/>
          <w:iCs/>
          <w:sz w:val="24"/>
          <w:szCs w:val="24"/>
          <w:u w:val="single"/>
        </w:rPr>
        <w:t>请结合市场供给情况进行反馈，并请说明理由。</w:t>
      </w:r>
    </w:p>
    <w:p w14:paraId="0D7AC1E3">
      <w:pPr>
        <w:numPr>
          <w:ilvl w:val="0"/>
          <w:numId w:val="0"/>
        </w:num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针对本项目，其相关产业发展情况如何？</w:t>
      </w:r>
    </w:p>
    <w:p w14:paraId="2A7F9CD9">
      <w:pPr>
        <w:numPr>
          <w:ilvl w:val="0"/>
          <w:numId w:val="0"/>
        </w:numPr>
        <w:spacing w:line="360" w:lineRule="auto"/>
        <w:jc w:val="left"/>
        <w:rPr>
          <w:rFonts w:ascii="仿宋" w:hAnsi="仿宋" w:eastAsia="仿宋" w:cs="仿宋"/>
          <w:sz w:val="24"/>
          <w:szCs w:val="24"/>
        </w:rPr>
      </w:pPr>
      <w:r>
        <w:rPr>
          <w:rFonts w:hint="eastAsia" w:ascii="仿宋" w:hAnsi="仿宋" w:eastAsia="仿宋" w:cs="仿宋"/>
          <w:i/>
          <w:iCs/>
          <w:sz w:val="24"/>
          <w:szCs w:val="24"/>
          <w:u w:val="single"/>
        </w:rPr>
        <w:t>请结合市场产业发展情况进行反馈，例如产业现状以及后续发展趋势。</w:t>
      </w:r>
      <w:r>
        <w:rPr>
          <w:rFonts w:hint="eastAsia" w:ascii="仿宋" w:hAnsi="仿宋" w:eastAsia="仿宋" w:cs="仿宋"/>
          <w:sz w:val="24"/>
          <w:szCs w:val="24"/>
          <w:u w:val="single"/>
        </w:rPr>
        <w:t xml:space="preserve">  </w:t>
      </w:r>
    </w:p>
    <w:p w14:paraId="449C24C8">
      <w:pPr>
        <w:spacing w:line="360" w:lineRule="auto"/>
        <w:jc w:val="left"/>
        <w:rPr>
          <w:rFonts w:ascii="仿宋" w:hAnsi="仿宋" w:eastAsia="仿宋" w:cs="仿宋"/>
          <w:b/>
          <w:bCs/>
          <w:spacing w:val="-14"/>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、针</w:t>
      </w:r>
      <w:r>
        <w:rPr>
          <w:rFonts w:hint="eastAsia" w:ascii="仿宋" w:hAnsi="仿宋" w:eastAsia="仿宋" w:cs="仿宋"/>
          <w:b/>
          <w:bCs/>
          <w:spacing w:val="-14"/>
          <w:sz w:val="24"/>
          <w:szCs w:val="24"/>
        </w:rPr>
        <w:t>对本项目，其市场供给情况如何？</w:t>
      </w:r>
      <w:r>
        <w:rPr>
          <w:rFonts w:hint="eastAsia" w:ascii="仿宋" w:hAnsi="仿宋" w:eastAsia="仿宋" w:cs="仿宋"/>
          <w:b/>
          <w:bCs/>
          <w:spacing w:val="-14"/>
          <w:sz w:val="24"/>
          <w:szCs w:val="24"/>
          <w:lang w:val="en-US" w:eastAsia="zh-CN"/>
        </w:rPr>
        <w:t>主要</w:t>
      </w:r>
      <w:r>
        <w:rPr>
          <w:rFonts w:hint="eastAsia" w:ascii="仿宋" w:hAnsi="仿宋" w:eastAsia="仿宋" w:cs="仿宋"/>
          <w:b/>
          <w:bCs/>
          <w:sz w:val="24"/>
          <w:szCs w:val="24"/>
          <w:lang w:val="en-US" w:eastAsia="zh-CN"/>
        </w:rPr>
        <w:t>竞争对手有那些？如有行业规模排名请提供相关关报告，自身优势情况描述。</w:t>
      </w:r>
    </w:p>
    <w:p w14:paraId="272B88B6">
      <w:pPr>
        <w:spacing w:line="360" w:lineRule="auto"/>
        <w:jc w:val="left"/>
        <w:rPr>
          <w:rFonts w:ascii="仿宋" w:hAnsi="仿宋" w:eastAsia="仿宋" w:cs="仿宋"/>
          <w:i/>
          <w:iCs/>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i/>
          <w:iCs/>
          <w:sz w:val="24"/>
          <w:szCs w:val="24"/>
          <w:u w:val="single"/>
        </w:rPr>
        <w:t>请结合市场供给情况进行反馈，</w:t>
      </w:r>
      <w:r>
        <w:rPr>
          <w:rFonts w:hint="eastAsia" w:ascii="仿宋" w:hAnsi="仿宋" w:eastAsia="仿宋" w:cs="仿宋"/>
          <w:i/>
          <w:iCs/>
          <w:sz w:val="24"/>
          <w:szCs w:val="24"/>
          <w:u w:val="single"/>
          <w:lang w:val="en-US" w:eastAsia="zh-CN"/>
        </w:rPr>
        <w:t>行业主要竞争对手有那几家？</w:t>
      </w:r>
      <w:r>
        <w:rPr>
          <w:rFonts w:hint="eastAsia" w:ascii="仿宋" w:hAnsi="仿宋" w:eastAsia="仿宋" w:cs="仿宋"/>
          <w:i/>
          <w:iCs/>
          <w:sz w:val="24"/>
          <w:szCs w:val="24"/>
          <w:u w:val="single"/>
        </w:rPr>
        <w:t>是否存在行业垄断等市场竞争不充分的情况。</w:t>
      </w:r>
      <w:r>
        <w:rPr>
          <w:rFonts w:hint="eastAsia" w:ascii="仿宋" w:hAnsi="仿宋" w:eastAsia="仿宋" w:cs="仿宋"/>
          <w:i/>
          <w:iCs/>
          <w:sz w:val="24"/>
          <w:szCs w:val="24"/>
          <w:u w:val="single"/>
          <w:lang w:val="en-US" w:eastAsia="zh-CN"/>
        </w:rPr>
        <w:t>你投标单位在行业中所占的优势</w:t>
      </w:r>
      <w:r>
        <w:rPr>
          <w:rFonts w:hint="eastAsia" w:ascii="仿宋" w:hAnsi="仿宋" w:eastAsia="仿宋" w:cs="仿宋"/>
          <w:i/>
          <w:iCs/>
          <w:sz w:val="24"/>
          <w:szCs w:val="24"/>
          <w:u w:val="single"/>
        </w:rPr>
        <w:t xml:space="preserve"> </w:t>
      </w:r>
    </w:p>
    <w:p w14:paraId="04B7B34B">
      <w:pPr>
        <w:spacing w:line="360" w:lineRule="auto"/>
        <w:jc w:val="left"/>
        <w:rPr>
          <w:rFonts w:ascii="仿宋" w:hAnsi="仿宋" w:eastAsia="仿宋" w:cs="仿宋"/>
          <w:b/>
          <w:bCs/>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、针对本项目，是否存在可能涉及后续采购情况？</w:t>
      </w:r>
    </w:p>
    <w:p w14:paraId="0A5B6BCF">
      <w:pPr>
        <w:spacing w:line="360" w:lineRule="auto"/>
        <w:jc w:val="left"/>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i/>
          <w:iCs/>
          <w:sz w:val="24"/>
          <w:szCs w:val="24"/>
          <w:u w:val="single"/>
        </w:rPr>
        <w:t xml:space="preserve">请结合本项目采购需求进行提供相关建议。  </w:t>
      </w:r>
      <w:r>
        <w:rPr>
          <w:rFonts w:hint="eastAsia" w:ascii="仿宋" w:hAnsi="仿宋" w:eastAsia="仿宋" w:cs="仿宋"/>
          <w:sz w:val="24"/>
          <w:szCs w:val="24"/>
          <w:u w:val="single"/>
        </w:rPr>
        <w:t xml:space="preserve">  </w:t>
      </w:r>
    </w:p>
    <w:p w14:paraId="60D3BF0C">
      <w:pPr>
        <w:sectPr>
          <w:footerReference r:id="rId3" w:type="default"/>
          <w:pgSz w:w="11906" w:h="16838"/>
          <w:pgMar w:top="1440" w:right="1416" w:bottom="1440" w:left="1276" w:header="851" w:footer="992" w:gutter="0"/>
          <w:cols w:space="425" w:num="1"/>
          <w:docGrid w:type="lines" w:linePitch="312" w:charSpace="0"/>
        </w:sectPr>
      </w:pPr>
    </w:p>
    <w:p w14:paraId="0CDC29B2">
      <w:pPr>
        <w:pStyle w:val="9"/>
        <w:rPr>
          <w:rStyle w:val="13"/>
          <w:rFonts w:hint="default" w:ascii="仿宋" w:hAnsi="仿宋" w:eastAsia="仿宋" w:cs="仿宋"/>
          <w:color w:val="000000"/>
          <w:lang w:val="en-US" w:eastAsia="zh-CN"/>
        </w:rPr>
      </w:pPr>
      <w:r>
        <w:rPr>
          <w:rStyle w:val="13"/>
          <w:rFonts w:hint="eastAsia" w:ascii="仿宋" w:hAnsi="仿宋" w:eastAsia="仿宋" w:cs="仿宋"/>
          <w:color w:val="000000"/>
          <w:lang w:val="en-US" w:eastAsia="zh-CN"/>
        </w:rPr>
        <w:t>7、同类项目历史成交情况</w:t>
      </w:r>
    </w:p>
    <w:p w14:paraId="6A41844F">
      <w:pPr>
        <w:widowControl/>
        <w:jc w:val="center"/>
        <w:rPr>
          <w:rFonts w:hint="eastAsia" w:ascii="黑体" w:hAnsi="黑体" w:eastAsia="黑体"/>
          <w:color w:val="000000"/>
          <w:sz w:val="28"/>
          <w:szCs w:val="28"/>
        </w:rPr>
      </w:pPr>
    </w:p>
    <w:tbl>
      <w:tblPr>
        <w:tblStyle w:val="11"/>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234"/>
        <w:gridCol w:w="1359"/>
        <w:gridCol w:w="1274"/>
        <w:gridCol w:w="1059"/>
        <w:gridCol w:w="1167"/>
        <w:gridCol w:w="1259"/>
      </w:tblGrid>
      <w:tr w14:paraId="629E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06" w:type="dxa"/>
            <w:vAlign w:val="center"/>
          </w:tcPr>
          <w:p w14:paraId="745163AD">
            <w:pPr>
              <w:jc w:val="center"/>
              <w:rPr>
                <w:rFonts w:hint="eastAsia" w:ascii="仿宋" w:hAnsi="仿宋" w:eastAsia="仿宋" w:cs="Times New Roman"/>
                <w:b/>
                <w:bCs/>
                <w:sz w:val="24"/>
              </w:rPr>
            </w:pPr>
            <w:r>
              <w:rPr>
                <w:rFonts w:hint="eastAsia" w:ascii="仿宋" w:hAnsi="仿宋" w:eastAsia="仿宋" w:cs="Times New Roman"/>
                <w:b/>
                <w:bCs/>
                <w:sz w:val="24"/>
              </w:rPr>
              <w:t>序号</w:t>
            </w:r>
          </w:p>
        </w:tc>
        <w:tc>
          <w:tcPr>
            <w:tcW w:w="1234" w:type="dxa"/>
            <w:vAlign w:val="center"/>
          </w:tcPr>
          <w:p w14:paraId="726D858F">
            <w:pPr>
              <w:jc w:val="center"/>
              <w:rPr>
                <w:rFonts w:hint="eastAsia" w:ascii="仿宋" w:hAnsi="仿宋" w:eastAsia="仿宋" w:cs="Times New Roman"/>
                <w:b/>
                <w:bCs/>
                <w:sz w:val="24"/>
              </w:rPr>
            </w:pPr>
            <w:r>
              <w:rPr>
                <w:rFonts w:hint="eastAsia" w:ascii="仿宋" w:hAnsi="仿宋" w:eastAsia="仿宋" w:cs="Times New Roman"/>
                <w:b/>
                <w:bCs/>
                <w:sz w:val="24"/>
              </w:rPr>
              <w:t>采购人</w:t>
            </w:r>
          </w:p>
        </w:tc>
        <w:tc>
          <w:tcPr>
            <w:tcW w:w="1359" w:type="dxa"/>
            <w:vAlign w:val="center"/>
          </w:tcPr>
          <w:p w14:paraId="055F3FB2">
            <w:pPr>
              <w:jc w:val="center"/>
              <w:rPr>
                <w:rFonts w:hint="eastAsia" w:ascii="仿宋" w:hAnsi="仿宋" w:eastAsia="仿宋" w:cs="Times New Roman"/>
                <w:b/>
                <w:bCs/>
                <w:sz w:val="24"/>
              </w:rPr>
            </w:pPr>
            <w:r>
              <w:rPr>
                <w:rFonts w:hint="eastAsia" w:ascii="仿宋" w:hAnsi="仿宋" w:eastAsia="仿宋" w:cs="Times New Roman"/>
                <w:b/>
                <w:bCs/>
                <w:sz w:val="24"/>
              </w:rPr>
              <w:t>项目名称</w:t>
            </w:r>
          </w:p>
        </w:tc>
        <w:tc>
          <w:tcPr>
            <w:tcW w:w="1274" w:type="dxa"/>
            <w:vAlign w:val="center"/>
          </w:tcPr>
          <w:p w14:paraId="339770D7">
            <w:pPr>
              <w:jc w:val="center"/>
              <w:rPr>
                <w:rFonts w:hint="eastAsia" w:ascii="仿宋" w:hAnsi="仿宋" w:eastAsia="仿宋" w:cs="Times New Roman"/>
                <w:b/>
                <w:bCs/>
                <w:sz w:val="24"/>
              </w:rPr>
            </w:pPr>
            <w:r>
              <w:rPr>
                <w:rFonts w:hint="eastAsia" w:ascii="仿宋" w:hAnsi="仿宋" w:eastAsia="仿宋" w:cs="Times New Roman"/>
                <w:b/>
                <w:bCs/>
                <w:sz w:val="24"/>
              </w:rPr>
              <w:t>项目预算</w:t>
            </w:r>
          </w:p>
        </w:tc>
        <w:tc>
          <w:tcPr>
            <w:tcW w:w="1059" w:type="dxa"/>
            <w:vAlign w:val="center"/>
          </w:tcPr>
          <w:p w14:paraId="3A3EC12A">
            <w:pPr>
              <w:jc w:val="center"/>
              <w:rPr>
                <w:rFonts w:hint="eastAsia" w:ascii="仿宋" w:hAnsi="仿宋" w:eastAsia="仿宋" w:cs="Times New Roman"/>
                <w:b/>
                <w:bCs/>
                <w:sz w:val="24"/>
              </w:rPr>
            </w:pPr>
            <w:r>
              <w:rPr>
                <w:rFonts w:hint="eastAsia" w:ascii="仿宋" w:hAnsi="仿宋" w:eastAsia="仿宋" w:cs="Times New Roman"/>
                <w:b/>
                <w:bCs/>
                <w:sz w:val="24"/>
              </w:rPr>
              <w:t>中标人</w:t>
            </w:r>
          </w:p>
        </w:tc>
        <w:tc>
          <w:tcPr>
            <w:tcW w:w="1167" w:type="dxa"/>
            <w:vAlign w:val="center"/>
          </w:tcPr>
          <w:p w14:paraId="54798CBF">
            <w:pPr>
              <w:jc w:val="center"/>
              <w:rPr>
                <w:rFonts w:hint="eastAsia" w:ascii="仿宋" w:hAnsi="仿宋" w:eastAsia="仿宋" w:cs="Times New Roman"/>
                <w:b/>
                <w:bCs/>
                <w:sz w:val="24"/>
              </w:rPr>
            </w:pPr>
            <w:r>
              <w:rPr>
                <w:rFonts w:hint="eastAsia" w:ascii="仿宋" w:hAnsi="仿宋" w:eastAsia="仿宋" w:cs="Times New Roman"/>
                <w:b/>
                <w:bCs/>
                <w:sz w:val="24"/>
              </w:rPr>
              <w:t>中标价</w:t>
            </w:r>
          </w:p>
        </w:tc>
        <w:tc>
          <w:tcPr>
            <w:tcW w:w="1259" w:type="dxa"/>
            <w:vAlign w:val="center"/>
          </w:tcPr>
          <w:p w14:paraId="3AE3438B">
            <w:pPr>
              <w:jc w:val="center"/>
              <w:rPr>
                <w:rFonts w:hint="eastAsia" w:ascii="仿宋" w:hAnsi="仿宋" w:eastAsia="仿宋" w:cs="Times New Roman"/>
                <w:b/>
                <w:bCs/>
                <w:sz w:val="24"/>
              </w:rPr>
            </w:pPr>
            <w:r>
              <w:rPr>
                <w:rFonts w:hint="eastAsia" w:ascii="仿宋" w:hAnsi="仿宋" w:eastAsia="仿宋" w:cs="Times New Roman"/>
                <w:b/>
                <w:bCs/>
                <w:sz w:val="24"/>
              </w:rPr>
              <w:t>产地品牌</w:t>
            </w:r>
          </w:p>
        </w:tc>
      </w:tr>
      <w:tr w14:paraId="3FF8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6" w:type="dxa"/>
            <w:vAlign w:val="center"/>
          </w:tcPr>
          <w:p w14:paraId="4E232241">
            <w:pPr>
              <w:jc w:val="center"/>
              <w:rPr>
                <w:rFonts w:ascii="仿宋" w:hAnsi="仿宋" w:eastAsia="仿宋"/>
                <w:sz w:val="24"/>
              </w:rPr>
            </w:pPr>
          </w:p>
        </w:tc>
        <w:tc>
          <w:tcPr>
            <w:tcW w:w="1234" w:type="dxa"/>
            <w:vAlign w:val="center"/>
          </w:tcPr>
          <w:p w14:paraId="36AB7D9D">
            <w:pPr>
              <w:jc w:val="center"/>
              <w:rPr>
                <w:rFonts w:ascii="仿宋" w:hAnsi="仿宋" w:eastAsia="仿宋"/>
                <w:sz w:val="24"/>
              </w:rPr>
            </w:pPr>
          </w:p>
        </w:tc>
        <w:tc>
          <w:tcPr>
            <w:tcW w:w="1359" w:type="dxa"/>
            <w:vAlign w:val="center"/>
          </w:tcPr>
          <w:p w14:paraId="7030278D">
            <w:pPr>
              <w:jc w:val="center"/>
              <w:rPr>
                <w:rFonts w:ascii="仿宋" w:hAnsi="仿宋" w:eastAsia="仿宋"/>
                <w:sz w:val="24"/>
              </w:rPr>
            </w:pPr>
          </w:p>
        </w:tc>
        <w:tc>
          <w:tcPr>
            <w:tcW w:w="1274" w:type="dxa"/>
            <w:vAlign w:val="center"/>
          </w:tcPr>
          <w:p w14:paraId="46C10D8E">
            <w:pPr>
              <w:jc w:val="center"/>
              <w:rPr>
                <w:rFonts w:ascii="仿宋" w:hAnsi="仿宋" w:eastAsia="仿宋"/>
                <w:sz w:val="24"/>
              </w:rPr>
            </w:pPr>
          </w:p>
        </w:tc>
        <w:tc>
          <w:tcPr>
            <w:tcW w:w="1059" w:type="dxa"/>
            <w:vAlign w:val="center"/>
          </w:tcPr>
          <w:p w14:paraId="0B46E43C">
            <w:pPr>
              <w:jc w:val="center"/>
              <w:rPr>
                <w:rFonts w:ascii="仿宋" w:hAnsi="仿宋" w:eastAsia="仿宋"/>
                <w:sz w:val="24"/>
              </w:rPr>
            </w:pPr>
          </w:p>
        </w:tc>
        <w:tc>
          <w:tcPr>
            <w:tcW w:w="1167" w:type="dxa"/>
            <w:vAlign w:val="center"/>
          </w:tcPr>
          <w:p w14:paraId="1A8B76D5">
            <w:pPr>
              <w:jc w:val="center"/>
              <w:rPr>
                <w:rFonts w:ascii="仿宋" w:hAnsi="仿宋" w:eastAsia="仿宋"/>
                <w:sz w:val="24"/>
              </w:rPr>
            </w:pPr>
          </w:p>
        </w:tc>
        <w:tc>
          <w:tcPr>
            <w:tcW w:w="1259" w:type="dxa"/>
            <w:vAlign w:val="center"/>
          </w:tcPr>
          <w:p w14:paraId="1F7C1AAE">
            <w:pPr>
              <w:jc w:val="center"/>
              <w:rPr>
                <w:rFonts w:ascii="仿宋" w:hAnsi="仿宋" w:eastAsia="仿宋"/>
                <w:sz w:val="24"/>
              </w:rPr>
            </w:pPr>
          </w:p>
        </w:tc>
      </w:tr>
      <w:tr w14:paraId="1CC8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06" w:type="dxa"/>
            <w:vAlign w:val="center"/>
          </w:tcPr>
          <w:p w14:paraId="4A97035F">
            <w:pPr>
              <w:jc w:val="center"/>
              <w:rPr>
                <w:rFonts w:ascii="仿宋" w:hAnsi="仿宋" w:eastAsia="仿宋"/>
                <w:sz w:val="24"/>
              </w:rPr>
            </w:pPr>
          </w:p>
        </w:tc>
        <w:tc>
          <w:tcPr>
            <w:tcW w:w="1234" w:type="dxa"/>
            <w:vAlign w:val="center"/>
          </w:tcPr>
          <w:p w14:paraId="004F3D8F">
            <w:pPr>
              <w:jc w:val="center"/>
              <w:rPr>
                <w:rFonts w:ascii="仿宋" w:hAnsi="仿宋" w:eastAsia="仿宋"/>
                <w:sz w:val="24"/>
              </w:rPr>
            </w:pPr>
          </w:p>
        </w:tc>
        <w:tc>
          <w:tcPr>
            <w:tcW w:w="1359" w:type="dxa"/>
            <w:vAlign w:val="center"/>
          </w:tcPr>
          <w:p w14:paraId="7FAB2ED2">
            <w:pPr>
              <w:jc w:val="center"/>
              <w:rPr>
                <w:rFonts w:ascii="仿宋" w:hAnsi="仿宋" w:eastAsia="仿宋"/>
                <w:sz w:val="24"/>
              </w:rPr>
            </w:pPr>
          </w:p>
        </w:tc>
        <w:tc>
          <w:tcPr>
            <w:tcW w:w="1274" w:type="dxa"/>
            <w:vAlign w:val="center"/>
          </w:tcPr>
          <w:p w14:paraId="2ACDFD7D">
            <w:pPr>
              <w:jc w:val="center"/>
              <w:rPr>
                <w:rFonts w:ascii="仿宋" w:hAnsi="仿宋" w:eastAsia="仿宋"/>
                <w:sz w:val="24"/>
              </w:rPr>
            </w:pPr>
          </w:p>
        </w:tc>
        <w:tc>
          <w:tcPr>
            <w:tcW w:w="1059" w:type="dxa"/>
            <w:vAlign w:val="center"/>
          </w:tcPr>
          <w:p w14:paraId="3CA72029">
            <w:pPr>
              <w:jc w:val="center"/>
              <w:rPr>
                <w:rFonts w:ascii="仿宋" w:hAnsi="仿宋" w:eastAsia="仿宋"/>
                <w:sz w:val="24"/>
              </w:rPr>
            </w:pPr>
          </w:p>
        </w:tc>
        <w:tc>
          <w:tcPr>
            <w:tcW w:w="1167" w:type="dxa"/>
            <w:vAlign w:val="center"/>
          </w:tcPr>
          <w:p w14:paraId="36F99784">
            <w:pPr>
              <w:jc w:val="center"/>
              <w:rPr>
                <w:rFonts w:ascii="仿宋" w:hAnsi="仿宋" w:eastAsia="仿宋"/>
                <w:sz w:val="24"/>
              </w:rPr>
            </w:pPr>
          </w:p>
        </w:tc>
        <w:tc>
          <w:tcPr>
            <w:tcW w:w="1259" w:type="dxa"/>
            <w:vAlign w:val="center"/>
          </w:tcPr>
          <w:p w14:paraId="1F63D8DA">
            <w:pPr>
              <w:jc w:val="center"/>
              <w:rPr>
                <w:rFonts w:ascii="仿宋" w:hAnsi="仿宋" w:eastAsia="仿宋"/>
                <w:sz w:val="24"/>
              </w:rPr>
            </w:pPr>
          </w:p>
        </w:tc>
      </w:tr>
      <w:tr w14:paraId="1323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06" w:type="dxa"/>
            <w:vAlign w:val="center"/>
          </w:tcPr>
          <w:p w14:paraId="3EC7AE2C">
            <w:pPr>
              <w:jc w:val="center"/>
              <w:rPr>
                <w:rFonts w:ascii="仿宋" w:hAnsi="仿宋" w:eastAsia="仿宋"/>
                <w:sz w:val="24"/>
              </w:rPr>
            </w:pPr>
          </w:p>
        </w:tc>
        <w:tc>
          <w:tcPr>
            <w:tcW w:w="1234" w:type="dxa"/>
            <w:vAlign w:val="center"/>
          </w:tcPr>
          <w:p w14:paraId="3CF04B30">
            <w:pPr>
              <w:jc w:val="center"/>
              <w:rPr>
                <w:rFonts w:ascii="仿宋" w:hAnsi="仿宋" w:eastAsia="仿宋"/>
                <w:sz w:val="24"/>
              </w:rPr>
            </w:pPr>
          </w:p>
        </w:tc>
        <w:tc>
          <w:tcPr>
            <w:tcW w:w="1359" w:type="dxa"/>
            <w:vAlign w:val="center"/>
          </w:tcPr>
          <w:p w14:paraId="25FFB60A">
            <w:pPr>
              <w:jc w:val="center"/>
              <w:rPr>
                <w:rFonts w:ascii="仿宋" w:hAnsi="仿宋" w:eastAsia="仿宋"/>
                <w:sz w:val="24"/>
              </w:rPr>
            </w:pPr>
          </w:p>
        </w:tc>
        <w:tc>
          <w:tcPr>
            <w:tcW w:w="1274" w:type="dxa"/>
            <w:vAlign w:val="center"/>
          </w:tcPr>
          <w:p w14:paraId="612A1F96">
            <w:pPr>
              <w:jc w:val="center"/>
              <w:rPr>
                <w:rFonts w:ascii="仿宋" w:hAnsi="仿宋" w:eastAsia="仿宋"/>
                <w:sz w:val="24"/>
              </w:rPr>
            </w:pPr>
          </w:p>
        </w:tc>
        <w:tc>
          <w:tcPr>
            <w:tcW w:w="1059" w:type="dxa"/>
            <w:vAlign w:val="center"/>
          </w:tcPr>
          <w:p w14:paraId="5AAABF13">
            <w:pPr>
              <w:jc w:val="center"/>
              <w:rPr>
                <w:rFonts w:ascii="仿宋" w:hAnsi="仿宋" w:eastAsia="仿宋"/>
                <w:sz w:val="24"/>
              </w:rPr>
            </w:pPr>
          </w:p>
        </w:tc>
        <w:tc>
          <w:tcPr>
            <w:tcW w:w="1167" w:type="dxa"/>
            <w:vAlign w:val="center"/>
          </w:tcPr>
          <w:p w14:paraId="5271A83D">
            <w:pPr>
              <w:jc w:val="center"/>
              <w:rPr>
                <w:rFonts w:ascii="仿宋" w:hAnsi="仿宋" w:eastAsia="仿宋"/>
                <w:sz w:val="24"/>
              </w:rPr>
            </w:pPr>
          </w:p>
        </w:tc>
        <w:tc>
          <w:tcPr>
            <w:tcW w:w="1259" w:type="dxa"/>
            <w:vAlign w:val="center"/>
          </w:tcPr>
          <w:p w14:paraId="582E76DE">
            <w:pPr>
              <w:jc w:val="center"/>
              <w:rPr>
                <w:rFonts w:ascii="仿宋" w:hAnsi="仿宋" w:eastAsia="仿宋"/>
                <w:sz w:val="24"/>
              </w:rPr>
            </w:pPr>
          </w:p>
        </w:tc>
      </w:tr>
      <w:tr w14:paraId="6DAA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06" w:type="dxa"/>
            <w:vAlign w:val="center"/>
          </w:tcPr>
          <w:p w14:paraId="02BE58BE">
            <w:pPr>
              <w:jc w:val="center"/>
              <w:rPr>
                <w:rFonts w:ascii="仿宋" w:hAnsi="仿宋" w:eastAsia="仿宋"/>
                <w:sz w:val="24"/>
              </w:rPr>
            </w:pPr>
          </w:p>
        </w:tc>
        <w:tc>
          <w:tcPr>
            <w:tcW w:w="1234" w:type="dxa"/>
            <w:vAlign w:val="center"/>
          </w:tcPr>
          <w:p w14:paraId="39F57BDA">
            <w:pPr>
              <w:jc w:val="center"/>
              <w:rPr>
                <w:rFonts w:ascii="仿宋" w:hAnsi="仿宋" w:eastAsia="仿宋"/>
                <w:sz w:val="24"/>
              </w:rPr>
            </w:pPr>
          </w:p>
        </w:tc>
        <w:tc>
          <w:tcPr>
            <w:tcW w:w="1359" w:type="dxa"/>
            <w:vAlign w:val="center"/>
          </w:tcPr>
          <w:p w14:paraId="7B1C0C83">
            <w:pPr>
              <w:jc w:val="center"/>
              <w:rPr>
                <w:rFonts w:ascii="仿宋" w:hAnsi="仿宋" w:eastAsia="仿宋"/>
                <w:sz w:val="24"/>
              </w:rPr>
            </w:pPr>
          </w:p>
        </w:tc>
        <w:tc>
          <w:tcPr>
            <w:tcW w:w="1274" w:type="dxa"/>
            <w:vAlign w:val="center"/>
          </w:tcPr>
          <w:p w14:paraId="1A62E7E2">
            <w:pPr>
              <w:jc w:val="center"/>
              <w:rPr>
                <w:rFonts w:ascii="仿宋" w:hAnsi="仿宋" w:eastAsia="仿宋"/>
                <w:sz w:val="24"/>
              </w:rPr>
            </w:pPr>
          </w:p>
        </w:tc>
        <w:tc>
          <w:tcPr>
            <w:tcW w:w="1059" w:type="dxa"/>
            <w:vAlign w:val="center"/>
          </w:tcPr>
          <w:p w14:paraId="03C28B88">
            <w:pPr>
              <w:jc w:val="center"/>
              <w:rPr>
                <w:rFonts w:ascii="仿宋" w:hAnsi="仿宋" w:eastAsia="仿宋"/>
                <w:sz w:val="24"/>
              </w:rPr>
            </w:pPr>
          </w:p>
        </w:tc>
        <w:tc>
          <w:tcPr>
            <w:tcW w:w="1167" w:type="dxa"/>
            <w:vAlign w:val="center"/>
          </w:tcPr>
          <w:p w14:paraId="2520E00F">
            <w:pPr>
              <w:jc w:val="center"/>
              <w:rPr>
                <w:rFonts w:ascii="仿宋" w:hAnsi="仿宋" w:eastAsia="仿宋"/>
                <w:sz w:val="24"/>
              </w:rPr>
            </w:pPr>
          </w:p>
        </w:tc>
        <w:tc>
          <w:tcPr>
            <w:tcW w:w="1259" w:type="dxa"/>
            <w:vAlign w:val="center"/>
          </w:tcPr>
          <w:p w14:paraId="6B5F57C0">
            <w:pPr>
              <w:jc w:val="center"/>
              <w:rPr>
                <w:rFonts w:ascii="仿宋" w:hAnsi="仿宋" w:eastAsia="仿宋"/>
                <w:sz w:val="24"/>
              </w:rPr>
            </w:pPr>
          </w:p>
        </w:tc>
      </w:tr>
    </w:tbl>
    <w:p w14:paraId="4DA2305C">
      <w:pPr>
        <w:pStyle w:val="9"/>
        <w:rPr>
          <w:rStyle w:val="13"/>
          <w:rFonts w:hint="eastAsia" w:ascii="仿宋" w:hAnsi="仿宋" w:eastAsia="仿宋" w:cs="仿宋"/>
          <w:b/>
          <w:bCs/>
          <w:color w:val="000000"/>
          <w:lang w:val="en-US" w:eastAsia="zh-CN"/>
        </w:rPr>
      </w:pPr>
      <w:r>
        <w:rPr>
          <w:rFonts w:hint="eastAsia" w:ascii="宋体" w:hAnsi="宋体" w:cs="宋体"/>
          <w:color w:val="000000" w:themeColor="text1"/>
          <w:kern w:val="0"/>
          <w:szCs w:val="21"/>
          <w14:textFill>
            <w14:solidFill>
              <w14:schemeClr w14:val="tx1"/>
            </w14:solidFill>
          </w14:textFill>
        </w:rPr>
        <w:t>（提供合同复印件或中标通知书，深圳市内或省内用户优先提供）</w:t>
      </w:r>
    </w:p>
    <w:p w14:paraId="48D644C3">
      <w:pPr>
        <w:pStyle w:val="9"/>
        <w:rPr>
          <w:rStyle w:val="13"/>
          <w:rFonts w:hint="eastAsia" w:ascii="仿宋" w:hAnsi="仿宋" w:eastAsia="仿宋" w:cs="仿宋"/>
          <w:b/>
          <w:bCs/>
          <w:color w:val="000000"/>
          <w:lang w:val="en-US" w:eastAsia="zh-CN"/>
        </w:rPr>
      </w:pPr>
    </w:p>
    <w:p w14:paraId="6922D62C">
      <w:pPr>
        <w:pStyle w:val="9"/>
        <w:rPr>
          <w:rStyle w:val="13"/>
          <w:rFonts w:hint="default" w:ascii="仿宋" w:hAnsi="仿宋" w:eastAsia="仿宋" w:cs="仿宋"/>
          <w:b/>
          <w:bCs/>
          <w:color w:val="000000"/>
          <w:lang w:val="en-US" w:eastAsia="zh-CN"/>
        </w:rPr>
      </w:pPr>
      <w:r>
        <w:rPr>
          <w:rStyle w:val="13"/>
          <w:rFonts w:hint="eastAsia" w:ascii="仿宋" w:hAnsi="仿宋" w:eastAsia="仿宋" w:cs="仿宋"/>
          <w:b/>
          <w:bCs/>
          <w:color w:val="000000"/>
          <w:lang w:val="en-US" w:eastAsia="zh-CN"/>
        </w:rPr>
        <w:t>三、需求内容</w:t>
      </w:r>
    </w:p>
    <w:p w14:paraId="4C9872CB">
      <w:pPr>
        <w:ind w:firstLine="420" w:firstLineChars="200"/>
        <w:rPr>
          <w:rFonts w:hint="eastAsia"/>
          <w:lang w:val="zh-CN" w:eastAsia="zh-CN"/>
        </w:rPr>
      </w:pPr>
      <w:r>
        <w:rPr>
          <w:rFonts w:hint="eastAsia"/>
          <w:lang w:val="en-US" w:eastAsia="zh-CN"/>
        </w:rPr>
        <w:t>请</w:t>
      </w:r>
      <w:r>
        <w:rPr>
          <w:rFonts w:hint="eastAsia"/>
          <w:lang w:val="zh-CN" w:eastAsia="zh-CN"/>
        </w:rPr>
        <w:t>贵单位</w:t>
      </w:r>
      <w:r>
        <w:rPr>
          <w:rFonts w:hint="eastAsia"/>
          <w:lang w:val="en-US" w:eastAsia="zh-CN"/>
        </w:rPr>
        <w:t>提供本项目相关的资料，</w:t>
      </w:r>
      <w:r>
        <w:rPr>
          <w:rFonts w:hint="eastAsia"/>
          <w:lang w:val="zh-CN" w:eastAsia="zh-CN"/>
        </w:rPr>
        <w:t>填入的相关数据应从采购人角度出发，客观真实反映相关情况。贵单位可以根据自身的项目经验，提供补充的建议和意见，以确保后期招标采购时，不会出现因采购需求不明确而导致的采购风险。</w:t>
      </w:r>
    </w:p>
    <w:tbl>
      <w:tblPr>
        <w:tblStyle w:val="10"/>
        <w:tblW w:w="91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1"/>
        <w:gridCol w:w="1539"/>
        <w:gridCol w:w="1289"/>
      </w:tblGrid>
      <w:tr w14:paraId="080B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14:paraId="3C723A1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需求建议</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7DAC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标注</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79F357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其他说明</w:t>
            </w:r>
          </w:p>
        </w:tc>
      </w:tr>
      <w:tr w14:paraId="28A1C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14:paraId="21027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B65E332">
            <w:pPr>
              <w:jc w:val="center"/>
              <w:rPr>
                <w:rFonts w:hint="eastAsia" w:ascii="宋体" w:hAnsi="宋体" w:eastAsia="宋体" w:cs="宋体"/>
                <w:i w:val="0"/>
                <w:iCs w:val="0"/>
                <w:color w:val="000000"/>
                <w:sz w:val="21"/>
                <w:szCs w:val="21"/>
                <w:u w:val="none"/>
              </w:rP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1CD87F0C">
            <w:pPr>
              <w:rPr>
                <w:rFonts w:hint="eastAsia" w:ascii="宋体" w:hAnsi="宋体" w:eastAsia="宋体" w:cs="宋体"/>
                <w:i w:val="0"/>
                <w:iCs w:val="0"/>
                <w:color w:val="000000"/>
                <w:sz w:val="21"/>
                <w:szCs w:val="21"/>
                <w:u w:val="none"/>
              </w:rPr>
            </w:pPr>
          </w:p>
        </w:tc>
      </w:tr>
      <w:tr w14:paraId="5211F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14:paraId="3430CC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2674B42">
            <w:pPr>
              <w:jc w:val="center"/>
              <w:rPr>
                <w:rFonts w:hint="eastAsia" w:ascii="宋体" w:hAnsi="宋体" w:eastAsia="宋体" w:cs="宋体"/>
                <w:i w:val="0"/>
                <w:iCs w:val="0"/>
                <w:color w:val="000000"/>
                <w:sz w:val="21"/>
                <w:szCs w:val="21"/>
                <w:u w:val="none"/>
              </w:rP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29B0B357">
            <w:pPr>
              <w:rPr>
                <w:rFonts w:hint="eastAsia" w:ascii="宋体" w:hAnsi="宋体" w:eastAsia="宋体" w:cs="宋体"/>
                <w:i w:val="0"/>
                <w:iCs w:val="0"/>
                <w:color w:val="000000"/>
                <w:sz w:val="21"/>
                <w:szCs w:val="21"/>
                <w:u w:val="none"/>
              </w:rPr>
            </w:pPr>
          </w:p>
        </w:tc>
      </w:tr>
    </w:tbl>
    <w:p w14:paraId="5E451485">
      <w:pPr>
        <w:rPr>
          <w:rFonts w:hint="default" w:ascii="黑体" w:hAnsi="黑体" w:eastAsia="黑体" w:cs="Times New Roman"/>
          <w:color w:val="000000"/>
          <w:sz w:val="32"/>
          <w:szCs w:val="32"/>
          <w:lang w:val="en-US" w:eastAsia="zh-CN"/>
        </w:rPr>
      </w:pPr>
      <w:r>
        <w:rPr>
          <w:rFonts w:hint="default" w:ascii="黑体" w:hAnsi="黑体" w:eastAsia="黑体" w:cs="Times New Roman"/>
          <w:color w:val="000000"/>
          <w:sz w:val="32"/>
          <w:szCs w:val="32"/>
          <w:lang w:val="en-US" w:eastAsia="zh-CN"/>
        </w:rPr>
        <w:br w:type="page"/>
      </w:r>
    </w:p>
    <w:p w14:paraId="47250EB6">
      <w:pPr>
        <w:widowControl/>
        <w:jc w:val="center"/>
        <w:rPr>
          <w:rFonts w:ascii="黑体" w:hAnsi="黑体" w:eastAsia="黑体"/>
          <w:color w:val="000000"/>
          <w:sz w:val="32"/>
          <w:szCs w:val="32"/>
        </w:rPr>
      </w:pPr>
      <w:r>
        <w:rPr>
          <w:rFonts w:hint="default" w:ascii="黑体" w:hAnsi="黑体" w:eastAsia="黑体" w:cs="Times New Roman"/>
          <w:color w:val="000000"/>
          <w:sz w:val="32"/>
          <w:szCs w:val="32"/>
          <w:lang w:val="en-US" w:eastAsia="zh-CN"/>
        </w:rPr>
        <w:t>深圳市儿童医院中药配方颗粒</w:t>
      </w:r>
      <w:r>
        <w:rPr>
          <w:rFonts w:hint="eastAsia" w:ascii="黑体" w:hAnsi="黑体" w:eastAsia="黑体" w:cs="Times New Roman"/>
          <w:color w:val="000000"/>
          <w:sz w:val="32"/>
          <w:szCs w:val="32"/>
          <w:lang w:val="en-US" w:eastAsia="zh-CN"/>
        </w:rPr>
        <w:t>供应服务</w:t>
      </w:r>
      <w:r>
        <w:rPr>
          <w:rFonts w:hint="eastAsia" w:ascii="黑体" w:hAnsi="黑体" w:eastAsia="黑体" w:cs="Times New Roman"/>
          <w:color w:val="000000"/>
          <w:sz w:val="32"/>
          <w:szCs w:val="32"/>
        </w:rPr>
        <w:t>项目</w:t>
      </w:r>
    </w:p>
    <w:p w14:paraId="61DAB835">
      <w:pPr>
        <w:spacing w:line="360" w:lineRule="exact"/>
        <w:jc w:val="left"/>
        <w:rPr>
          <w:rFonts w:ascii="Times New Roman" w:hAnsi="Times New Roman"/>
          <w:sz w:val="28"/>
          <w:szCs w:val="28"/>
        </w:rPr>
      </w:pPr>
      <w:r>
        <w:rPr>
          <w:rFonts w:hint="eastAsia" w:ascii="Times New Roman" w:hAnsi="Times New Roman"/>
          <w:sz w:val="28"/>
          <w:szCs w:val="28"/>
        </w:rPr>
        <w:t>项目基本情况</w:t>
      </w:r>
    </w:p>
    <w:tbl>
      <w:tblPr>
        <w:tblStyle w:val="10"/>
        <w:tblW w:w="10207" w:type="dxa"/>
        <w:tblInd w:w="-269" w:type="dxa"/>
        <w:tblLayout w:type="fixed"/>
        <w:tblCellMar>
          <w:top w:w="15" w:type="dxa"/>
          <w:left w:w="15" w:type="dxa"/>
          <w:bottom w:w="15" w:type="dxa"/>
          <w:right w:w="15" w:type="dxa"/>
        </w:tblCellMar>
      </w:tblPr>
      <w:tblGrid>
        <w:gridCol w:w="1702"/>
        <w:gridCol w:w="4111"/>
        <w:gridCol w:w="1559"/>
        <w:gridCol w:w="2835"/>
      </w:tblGrid>
      <w:tr w14:paraId="545FBF99">
        <w:tblPrEx>
          <w:tblCellMar>
            <w:top w:w="15" w:type="dxa"/>
            <w:left w:w="15" w:type="dxa"/>
            <w:bottom w:w="15" w:type="dxa"/>
            <w:right w:w="15" w:type="dxa"/>
          </w:tblCellMar>
        </w:tblPrEx>
        <w:trPr>
          <w:trHeight w:val="826"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777074DD">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供应商</w:t>
            </w:r>
          </w:p>
          <w:p w14:paraId="1AE6213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（厂家</w:t>
            </w:r>
            <w:r>
              <w:rPr>
                <w:rFonts w:ascii="宋体" w:hAnsi="宋体" w:cs="宋体"/>
                <w:color w:val="000000"/>
                <w:kern w:val="0"/>
                <w:sz w:val="24"/>
                <w:szCs w:val="24"/>
              </w:rPr>
              <w:t>）名称</w:t>
            </w:r>
          </w:p>
        </w:tc>
        <w:tc>
          <w:tcPr>
            <w:tcW w:w="4111" w:type="dxa"/>
            <w:tcBorders>
              <w:top w:val="single" w:color="000000" w:sz="4" w:space="0"/>
              <w:left w:val="single" w:color="000000" w:sz="4" w:space="0"/>
              <w:bottom w:val="single" w:color="000000" w:sz="4" w:space="0"/>
              <w:right w:val="single" w:color="000000" w:sz="4" w:space="0"/>
            </w:tcBorders>
            <w:vAlign w:val="center"/>
          </w:tcPr>
          <w:p w14:paraId="1CC5361D">
            <w:pPr>
              <w:jc w:val="center"/>
              <w:rPr>
                <w:rFonts w:ascii="宋体" w:hAnsi="宋体" w:cs="宋体"/>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00AD155">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负责人</w:t>
            </w:r>
          </w:p>
          <w:p w14:paraId="081353D3">
            <w:pPr>
              <w:widowControl/>
              <w:jc w:val="center"/>
              <w:textAlignment w:val="center"/>
              <w:rPr>
                <w:rFonts w:ascii="宋体" w:hAnsi="宋体" w:cs="宋体"/>
                <w:color w:val="000000"/>
                <w:sz w:val="24"/>
                <w:szCs w:val="24"/>
              </w:rPr>
            </w:pPr>
            <w:r>
              <w:rPr>
                <w:rFonts w:hint="eastAsia" w:ascii="宋体" w:hAnsi="宋体" w:cs="宋体"/>
                <w:color w:val="000000" w:themeColor="text1"/>
                <w:kern w:val="0"/>
                <w:sz w:val="24"/>
                <w:szCs w:val="24"/>
                <w14:textFill>
                  <w14:solidFill>
                    <w14:schemeClr w14:val="tx1"/>
                  </w14:solidFill>
                </w14:textFill>
              </w:rPr>
              <w:t>（电话）</w:t>
            </w:r>
          </w:p>
        </w:tc>
        <w:tc>
          <w:tcPr>
            <w:tcW w:w="2835" w:type="dxa"/>
            <w:tcBorders>
              <w:top w:val="single" w:color="000000" w:sz="4" w:space="0"/>
              <w:left w:val="single" w:color="000000" w:sz="4" w:space="0"/>
              <w:bottom w:val="single" w:color="000000" w:sz="4" w:space="0"/>
              <w:right w:val="single" w:color="000000" w:sz="4" w:space="0"/>
            </w:tcBorders>
            <w:vAlign w:val="center"/>
          </w:tcPr>
          <w:p w14:paraId="5D9BEE55">
            <w:pPr>
              <w:jc w:val="center"/>
              <w:rPr>
                <w:rFonts w:ascii="宋体" w:hAnsi="宋体" w:cs="宋体"/>
                <w:color w:val="000000"/>
                <w:sz w:val="24"/>
                <w:szCs w:val="24"/>
              </w:rPr>
            </w:pPr>
          </w:p>
        </w:tc>
      </w:tr>
      <w:tr w14:paraId="1A2264E9">
        <w:tblPrEx>
          <w:tblCellMar>
            <w:top w:w="15" w:type="dxa"/>
            <w:left w:w="15" w:type="dxa"/>
            <w:bottom w:w="15" w:type="dxa"/>
            <w:right w:w="15" w:type="dxa"/>
          </w:tblCellMar>
        </w:tblPrEx>
        <w:trPr>
          <w:trHeight w:val="793"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220DF592">
            <w:pPr>
              <w:jc w:val="center"/>
              <w:rPr>
                <w:rFonts w:ascii="宋体" w:hAnsi="宋体" w:cs="宋体"/>
                <w:color w:val="000000"/>
                <w:sz w:val="24"/>
                <w:szCs w:val="24"/>
              </w:rPr>
            </w:pPr>
            <w:r>
              <w:rPr>
                <w:rFonts w:hint="eastAsia" w:ascii="宋体" w:hAnsi="宋体" w:cs="宋体"/>
                <w:color w:val="000000"/>
                <w:sz w:val="24"/>
                <w:szCs w:val="24"/>
              </w:rPr>
              <w:t>项目</w:t>
            </w:r>
            <w:r>
              <w:rPr>
                <w:rFonts w:ascii="宋体" w:hAnsi="宋体" w:cs="宋体"/>
                <w:color w:val="000000"/>
                <w:sz w:val="24"/>
                <w:szCs w:val="24"/>
              </w:rPr>
              <w:t>名称</w:t>
            </w:r>
          </w:p>
        </w:tc>
        <w:tc>
          <w:tcPr>
            <w:tcW w:w="4111" w:type="dxa"/>
            <w:tcBorders>
              <w:top w:val="single" w:color="000000" w:sz="4" w:space="0"/>
              <w:left w:val="single" w:color="000000" w:sz="4" w:space="0"/>
              <w:bottom w:val="single" w:color="000000" w:sz="4" w:space="0"/>
              <w:right w:val="single" w:color="000000" w:sz="4" w:space="0"/>
            </w:tcBorders>
            <w:vAlign w:val="center"/>
          </w:tcPr>
          <w:p w14:paraId="0C58EF7C">
            <w:pPr>
              <w:numPr>
                <w:ilvl w:val="0"/>
                <w:numId w:val="0"/>
              </w:numPr>
              <w:spacing w:line="240" w:lineRule="auto"/>
              <w:ind w:leftChars="0"/>
              <w:rPr>
                <w:rFonts w:ascii="宋体" w:hAnsi="宋体" w:cs="宋体"/>
                <w:color w:val="000000"/>
                <w:sz w:val="24"/>
                <w:szCs w:val="24"/>
              </w:rPr>
            </w:pPr>
            <w:r>
              <w:rPr>
                <w:rFonts w:hint="default" w:ascii="Times New Roman" w:hAnsi="Times New Roman" w:cs="Times New Roman"/>
                <w:color w:val="000000" w:themeColor="text1"/>
                <w:sz w:val="24"/>
                <w:lang w:val="en-US" w:eastAsia="zh-CN"/>
                <w14:textFill>
                  <w14:solidFill>
                    <w14:schemeClr w14:val="tx1"/>
                  </w14:solidFill>
                </w14:textFill>
              </w:rPr>
              <w:t>深圳市儿童医院中药配方颗粒</w:t>
            </w:r>
            <w:r>
              <w:rPr>
                <w:rFonts w:hint="eastAsia" w:ascii="Times New Roman" w:hAnsi="Times New Roman" w:cs="Times New Roman"/>
                <w:color w:val="000000" w:themeColor="text1"/>
                <w:sz w:val="24"/>
                <w:lang w:val="en-US" w:eastAsia="zh-CN"/>
                <w14:textFill>
                  <w14:solidFill>
                    <w14:schemeClr w14:val="tx1"/>
                  </w14:solidFill>
                </w14:textFill>
              </w:rPr>
              <w:t>供应服务</w:t>
            </w:r>
          </w:p>
        </w:tc>
        <w:tc>
          <w:tcPr>
            <w:tcW w:w="1559" w:type="dxa"/>
            <w:tcBorders>
              <w:top w:val="single" w:color="000000" w:sz="4" w:space="0"/>
              <w:left w:val="single" w:color="000000" w:sz="4" w:space="0"/>
              <w:bottom w:val="single" w:color="000000" w:sz="4" w:space="0"/>
              <w:right w:val="single" w:color="000000" w:sz="4" w:space="0"/>
            </w:tcBorders>
            <w:vAlign w:val="center"/>
          </w:tcPr>
          <w:p w14:paraId="2367E8C7">
            <w:pPr>
              <w:jc w:val="center"/>
              <w:rPr>
                <w:rFonts w:ascii="宋体" w:hAnsi="宋体" w:cs="宋体"/>
                <w:color w:val="000000"/>
                <w:sz w:val="24"/>
                <w:szCs w:val="24"/>
              </w:rPr>
            </w:pPr>
            <w:r>
              <w:rPr>
                <w:rFonts w:hint="eastAsia" w:ascii="宋体" w:hAnsi="宋体" w:cs="宋体"/>
                <w:color w:val="000000"/>
                <w:sz w:val="24"/>
                <w:szCs w:val="24"/>
              </w:rPr>
              <w:t>产地品牌</w:t>
            </w:r>
          </w:p>
        </w:tc>
        <w:tc>
          <w:tcPr>
            <w:tcW w:w="2835" w:type="dxa"/>
            <w:tcBorders>
              <w:top w:val="single" w:color="000000" w:sz="4" w:space="0"/>
              <w:left w:val="single" w:color="000000" w:sz="4" w:space="0"/>
              <w:bottom w:val="single" w:color="000000" w:sz="4" w:space="0"/>
              <w:right w:val="single" w:color="000000" w:sz="4" w:space="0"/>
            </w:tcBorders>
            <w:vAlign w:val="center"/>
          </w:tcPr>
          <w:p w14:paraId="15D70FE4">
            <w:pPr>
              <w:jc w:val="center"/>
              <w:rPr>
                <w:rFonts w:ascii="宋体" w:hAnsi="宋体" w:cs="宋体"/>
                <w:color w:val="000000"/>
                <w:sz w:val="24"/>
                <w:szCs w:val="24"/>
              </w:rPr>
            </w:pPr>
          </w:p>
        </w:tc>
      </w:tr>
      <w:tr w14:paraId="462DB06A">
        <w:tblPrEx>
          <w:tblCellMar>
            <w:top w:w="15" w:type="dxa"/>
            <w:left w:w="15" w:type="dxa"/>
            <w:bottom w:w="15" w:type="dxa"/>
            <w:right w:w="15" w:type="dxa"/>
          </w:tblCellMar>
        </w:tblPrEx>
        <w:trPr>
          <w:trHeight w:val="873" w:hRule="atLeast"/>
        </w:trPr>
        <w:tc>
          <w:tcPr>
            <w:tcW w:w="10207" w:type="dxa"/>
            <w:gridSpan w:val="4"/>
            <w:tcBorders>
              <w:top w:val="single" w:color="000000" w:sz="4" w:space="0"/>
              <w:left w:val="single" w:color="000000" w:sz="4" w:space="0"/>
              <w:bottom w:val="single" w:color="000000" w:sz="4" w:space="0"/>
              <w:right w:val="single" w:color="000000" w:sz="4" w:space="0"/>
            </w:tcBorders>
            <w:vAlign w:val="center"/>
          </w:tcPr>
          <w:p w14:paraId="6BA05950">
            <w:pPr>
              <w:jc w:val="left"/>
              <w:rPr>
                <w:rFonts w:ascii="宋体" w:hAnsi="宋体" w:cs="宋体"/>
                <w:color w:val="000000"/>
                <w:kern w:val="0"/>
                <w:sz w:val="24"/>
                <w:szCs w:val="24"/>
              </w:rPr>
            </w:pPr>
            <w:r>
              <w:rPr>
                <w:rFonts w:hint="eastAsia" w:ascii="宋体" w:hAnsi="宋体" w:cs="宋体"/>
                <w:color w:val="FF0000"/>
                <w:kern w:val="0"/>
                <w:sz w:val="24"/>
                <w:szCs w:val="24"/>
                <w:lang w:val="en-US" w:eastAsia="zh-CN"/>
              </w:rPr>
              <w:t>报价：附询价报价单</w:t>
            </w:r>
          </w:p>
        </w:tc>
      </w:tr>
      <w:tr w14:paraId="61496E6E">
        <w:tblPrEx>
          <w:tblCellMar>
            <w:top w:w="15" w:type="dxa"/>
            <w:left w:w="15" w:type="dxa"/>
            <w:bottom w:w="15" w:type="dxa"/>
            <w:right w:w="15" w:type="dxa"/>
          </w:tblCellMar>
        </w:tblPrEx>
        <w:trPr>
          <w:trHeight w:val="9551"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6D0946B7">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lang w:eastAsia="zh-CN"/>
              </w:rPr>
              <w:t>委托企业</w:t>
            </w:r>
            <w:r>
              <w:rPr>
                <w:rFonts w:hint="eastAsia" w:ascii="宋体" w:hAnsi="宋体" w:cs="宋体"/>
                <w:color w:val="000000"/>
                <w:kern w:val="0"/>
                <w:sz w:val="24"/>
                <w:szCs w:val="24"/>
              </w:rPr>
              <w:t>资质要求</w:t>
            </w:r>
          </w:p>
        </w:tc>
        <w:tc>
          <w:tcPr>
            <w:tcW w:w="8505" w:type="dxa"/>
            <w:gridSpan w:val="3"/>
            <w:tcBorders>
              <w:top w:val="single" w:color="000000" w:sz="4" w:space="0"/>
              <w:left w:val="single" w:color="000000" w:sz="4" w:space="0"/>
              <w:bottom w:val="single" w:color="000000" w:sz="4" w:space="0"/>
              <w:right w:val="single" w:color="000000" w:sz="4" w:space="0"/>
            </w:tcBorders>
            <w:vAlign w:val="center"/>
          </w:tcPr>
          <w:p w14:paraId="3892A751">
            <w:pPr>
              <w:numPr>
                <w:ilvl w:val="1"/>
                <w:numId w:val="1"/>
              </w:numP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营业执照副本复印件,加盖委托企业公章;提供在国家企业信用信息公示系统中自行打印的所有信息（http://www.gsxt.gov.cn/index.html）；（包括基础信息，企业自行公示信息，行政许可信息，行政处罚信息，纳入经营异常名录信息，纳入严重违法失信企业名单（黑名单）信息）加盖委托企业公章）；</w:t>
            </w:r>
          </w:p>
          <w:p w14:paraId="7E0A0254">
            <w:pPr>
              <w:numPr>
                <w:ilvl w:val="1"/>
                <w:numId w:val="1"/>
              </w:numP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投标人为具备配方颗粒生产资质生产企业，并同时具备中药饮片和配方颗粒的生产范围。</w:t>
            </w:r>
            <w:r>
              <w:rPr>
                <w:rFonts w:hint="default" w:ascii="宋体" w:hAnsi="宋体" w:eastAsia="宋体" w:cs="宋体"/>
                <w:color w:val="000000" w:themeColor="text1"/>
                <w:kern w:val="0"/>
                <w:szCs w:val="21"/>
                <w:lang w:val="en-US" w:eastAsia="zh-CN"/>
                <w14:textFill>
                  <w14:solidFill>
                    <w14:schemeClr w14:val="tx1"/>
                  </w14:solidFill>
                </w14:textFill>
              </w:rPr>
              <w:t>本项目不接受</w:t>
            </w:r>
            <w:r>
              <w:rPr>
                <w:rFonts w:hint="eastAsia" w:ascii="宋体" w:hAnsi="宋体" w:eastAsia="宋体" w:cs="宋体"/>
                <w:color w:val="000000" w:themeColor="text1"/>
                <w:kern w:val="0"/>
                <w:szCs w:val="21"/>
                <w:lang w:val="en-US" w:eastAsia="zh-CN"/>
                <w14:textFill>
                  <w14:solidFill>
                    <w14:schemeClr w14:val="tx1"/>
                  </w14:solidFill>
                </w14:textFill>
              </w:rPr>
              <w:t>药品经营企业</w:t>
            </w:r>
            <w:r>
              <w:rPr>
                <w:rFonts w:hint="default" w:ascii="宋体" w:hAnsi="宋体" w:eastAsia="宋体" w:cs="宋体"/>
                <w:color w:val="000000" w:themeColor="text1"/>
                <w:kern w:val="0"/>
                <w:szCs w:val="21"/>
                <w:lang w:val="en-US" w:eastAsia="zh-CN"/>
                <w14:textFill>
                  <w14:solidFill>
                    <w14:schemeClr w14:val="tx1"/>
                  </w14:solidFill>
                </w14:textFill>
              </w:rPr>
              <w:t>投标</w:t>
            </w:r>
          </w:p>
          <w:p w14:paraId="6FC7D15C">
            <w:pPr>
              <w:numPr>
                <w:ilvl w:val="1"/>
                <w:numId w:val="1"/>
              </w:numP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本项目不接受联合体投标，不允许转包、分包；</w:t>
            </w:r>
          </w:p>
          <w:p w14:paraId="535E66B5">
            <w:pPr>
              <w:numPr>
                <w:ilvl w:val="1"/>
                <w:numId w:val="1"/>
              </w:numPr>
              <w:rPr>
                <w:rFonts w:ascii="宋体" w:hAnsi="宋体" w:cs="宋体"/>
                <w:color w:val="000000"/>
                <w:kern w:val="0"/>
                <w:sz w:val="24"/>
                <w:szCs w:val="24"/>
              </w:rPr>
            </w:pPr>
            <w:r>
              <w:rPr>
                <w:rFonts w:hint="eastAsia" w:ascii="宋体" w:hAnsi="宋体" w:cs="宋体"/>
                <w:kern w:val="0"/>
                <w:szCs w:val="21"/>
              </w:rPr>
              <w:t>近三年内无行贿犯罪记录,提供承诺函。</w:t>
            </w:r>
          </w:p>
          <w:p w14:paraId="70EE4D75">
            <w:pPr>
              <w:numPr>
                <w:ilvl w:val="1"/>
                <w:numId w:val="1"/>
              </w:num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倘若有，</w:t>
            </w:r>
            <w:r>
              <w:rPr>
                <w:rFonts w:hint="eastAsia" w:ascii="宋体" w:hAnsi="宋体" w:cs="宋体"/>
                <w:color w:val="000000" w:themeColor="text1"/>
                <w:kern w:val="0"/>
                <w:szCs w:val="21"/>
                <w14:textFill>
                  <w14:solidFill>
                    <w14:schemeClr w14:val="tx1"/>
                  </w14:solidFill>
                </w14:textFill>
              </w:rPr>
              <w:t>提供</w:t>
            </w:r>
            <w:r>
              <w:rPr>
                <w:rFonts w:hint="eastAsia" w:ascii="宋体" w:hAnsi="宋体" w:cs="宋体"/>
                <w:color w:val="000000" w:themeColor="text1"/>
                <w:kern w:val="0"/>
                <w:szCs w:val="21"/>
                <w:lang w:val="en-US" w:eastAsia="zh-CN"/>
                <w14:textFill>
                  <w14:solidFill>
                    <w14:schemeClr w14:val="tx1"/>
                  </w14:solidFill>
                </w14:textFill>
              </w:rPr>
              <w:t>与合作</w:t>
            </w:r>
            <w:r>
              <w:rPr>
                <w:rFonts w:hint="eastAsia" w:ascii="宋体" w:hAnsi="宋体" w:cs="宋体"/>
                <w:color w:val="000000" w:themeColor="text1"/>
                <w:kern w:val="0"/>
                <w:szCs w:val="21"/>
                <w14:textFill>
                  <w14:solidFill>
                    <w14:schemeClr w14:val="tx1"/>
                  </w14:solidFill>
                </w14:textFill>
              </w:rPr>
              <w:t>医院</w:t>
            </w:r>
            <w:r>
              <w:rPr>
                <w:rFonts w:hint="eastAsia" w:ascii="宋体" w:hAnsi="宋体" w:cs="宋体"/>
                <w:color w:val="000000" w:themeColor="text1"/>
                <w:kern w:val="0"/>
                <w:szCs w:val="21"/>
                <w:lang w:val="en-US" w:eastAsia="zh-CN"/>
                <w14:textFill>
                  <w14:solidFill>
                    <w14:schemeClr w14:val="tx1"/>
                  </w14:solidFill>
                </w14:textFill>
              </w:rPr>
              <w:t>供货项目材料</w:t>
            </w:r>
            <w:r>
              <w:rPr>
                <w:rFonts w:hint="eastAsia" w:ascii="宋体" w:hAnsi="宋体" w:cs="宋体"/>
                <w:color w:val="000000" w:themeColor="text1"/>
                <w:kern w:val="0"/>
                <w:szCs w:val="21"/>
                <w14:textFill>
                  <w14:solidFill>
                    <w14:schemeClr w14:val="tx1"/>
                  </w14:solidFill>
                </w14:textFill>
              </w:rPr>
              <w:t>（提供合同复印件或中标通知书，深圳市内或省内用户优先提供）</w:t>
            </w:r>
          </w:p>
          <w:p w14:paraId="7D6D2765">
            <w:pPr>
              <w:numPr>
                <w:ilvl w:val="1"/>
                <w:numId w:val="1"/>
              </w:numPr>
              <w:rPr>
                <w:rFonts w:ascii="宋体" w:hAnsi="宋体" w:cs="宋体"/>
                <w:color w:val="000000"/>
                <w:kern w:val="0"/>
                <w:sz w:val="24"/>
                <w:szCs w:val="24"/>
              </w:rPr>
            </w:pPr>
            <w:r>
              <w:rPr>
                <w:rFonts w:hint="eastAsia" w:ascii="宋体" w:hAnsi="宋体" w:cs="宋体"/>
                <w:b/>
                <w:bCs/>
                <w:color w:val="000000" w:themeColor="text1"/>
                <w:kern w:val="0"/>
                <w:sz w:val="24"/>
                <w:szCs w:val="24"/>
                <w14:textFill>
                  <w14:solidFill>
                    <w14:schemeClr w14:val="tx1"/>
                  </w14:solidFill>
                </w14:textFill>
              </w:rPr>
              <w:t>以上仅供参考，请根据项目实际情况进</w:t>
            </w:r>
            <w:bookmarkStart w:id="1" w:name="_GoBack"/>
            <w:bookmarkEnd w:id="1"/>
            <w:r>
              <w:rPr>
                <w:rFonts w:hint="eastAsia" w:ascii="宋体" w:hAnsi="宋体" w:cs="宋体"/>
                <w:b/>
                <w:bCs/>
                <w:color w:val="000000" w:themeColor="text1"/>
                <w:kern w:val="0"/>
                <w:sz w:val="24"/>
                <w:szCs w:val="24"/>
                <w14:textFill>
                  <w14:solidFill>
                    <w14:schemeClr w14:val="tx1"/>
                  </w14:solidFill>
                </w14:textFill>
              </w:rPr>
              <w:t>行填写</w:t>
            </w:r>
          </w:p>
        </w:tc>
      </w:tr>
    </w:tbl>
    <w:p w14:paraId="503D7742">
      <w:pPr>
        <w:jc w:val="left"/>
        <w:rPr>
          <w:rFonts w:ascii="宋体" w:hAnsi="宋体" w:cs="宋体"/>
          <w:b/>
          <w:bCs/>
          <w:color w:val="3F3F3F"/>
          <w:kern w:val="0"/>
          <w:szCs w:val="21"/>
        </w:rPr>
      </w:pPr>
    </w:p>
    <w:p w14:paraId="3B79F525">
      <w:pPr>
        <w:jc w:val="left"/>
        <w:rPr>
          <w:rFonts w:hint="eastAsia" w:ascii="宋体" w:hAnsi="宋体" w:cs="宋体"/>
          <w:b/>
          <w:bCs/>
          <w:color w:val="3F3F3F"/>
          <w:kern w:val="0"/>
          <w:szCs w:val="21"/>
        </w:rPr>
      </w:pPr>
      <w:r>
        <w:rPr>
          <w:rFonts w:hint="eastAsia" w:ascii="宋体" w:hAnsi="宋体" w:cs="宋体"/>
          <w:b/>
          <w:bCs/>
          <w:color w:val="3F3F3F"/>
          <w:kern w:val="0"/>
          <w:szCs w:val="21"/>
        </w:rPr>
        <w:t>项目名称：</w:t>
      </w:r>
      <w:r>
        <w:rPr>
          <w:rFonts w:hint="default" w:ascii="宋体" w:hAnsi="宋体" w:eastAsia="宋体" w:cs="宋体"/>
          <w:b/>
          <w:bCs/>
          <w:color w:val="3F3F3F"/>
          <w:kern w:val="0"/>
          <w:szCs w:val="21"/>
          <w:lang w:val="en-US" w:eastAsia="zh-CN"/>
        </w:rPr>
        <w:t>深圳市儿童医院中药配方颗粒</w:t>
      </w:r>
      <w:r>
        <w:rPr>
          <w:rFonts w:hint="eastAsia" w:ascii="宋体" w:hAnsi="宋体" w:eastAsia="宋体" w:cs="宋体"/>
          <w:b/>
          <w:bCs/>
          <w:color w:val="3F3F3F"/>
          <w:kern w:val="0"/>
          <w:szCs w:val="21"/>
          <w:lang w:val="en-US" w:eastAsia="zh-CN"/>
        </w:rPr>
        <w:t>供应服务</w:t>
      </w:r>
    </w:p>
    <w:p w14:paraId="140C65EF">
      <w:pPr>
        <w:jc w:val="left"/>
        <w:rPr>
          <w:rFonts w:hint="eastAsia" w:ascii="宋体" w:hAnsi="宋体" w:cs="宋体"/>
          <w:b/>
          <w:bCs/>
          <w:color w:val="3F3F3F"/>
          <w:kern w:val="0"/>
          <w:szCs w:val="21"/>
        </w:rPr>
      </w:pPr>
      <w:r>
        <w:rPr>
          <w:rFonts w:hint="eastAsia" w:ascii="宋体" w:hAnsi="宋体" w:cs="宋体"/>
          <w:b/>
          <w:bCs/>
          <w:color w:val="3F3F3F"/>
          <w:kern w:val="0"/>
          <w:szCs w:val="21"/>
        </w:rPr>
        <w:t>供应商名称（盖章）：</w:t>
      </w:r>
    </w:p>
    <w:p w14:paraId="0A757199">
      <w:pPr>
        <w:jc w:val="left"/>
        <w:rPr>
          <w:rFonts w:hint="eastAsia" w:ascii="宋体" w:hAnsi="宋体" w:cs="宋体"/>
          <w:b/>
          <w:bCs/>
          <w:color w:val="3F3F3F"/>
          <w:kern w:val="0"/>
          <w:szCs w:val="21"/>
          <w:lang w:val="en-US" w:eastAsia="zh-CN"/>
        </w:rPr>
      </w:pPr>
    </w:p>
    <w:p w14:paraId="322911AF">
      <w:pPr>
        <w:jc w:val="center"/>
        <w:rPr>
          <w:rFonts w:hint="eastAsia" w:ascii="宋体" w:hAnsi="宋体" w:eastAsia="宋体" w:cs="宋体"/>
          <w:b/>
          <w:bCs/>
          <w:color w:val="3F3F3F"/>
          <w:kern w:val="0"/>
          <w:sz w:val="28"/>
          <w:szCs w:val="28"/>
        </w:rPr>
      </w:pPr>
      <w:r>
        <w:rPr>
          <w:rFonts w:hint="eastAsia" w:ascii="宋体" w:hAnsi="宋体" w:eastAsia="宋体" w:cs="宋体"/>
          <w:b/>
          <w:bCs/>
          <w:color w:val="3F3F3F"/>
          <w:kern w:val="0"/>
          <w:sz w:val="28"/>
          <w:szCs w:val="28"/>
          <w:lang w:val="en-US" w:eastAsia="zh-CN"/>
        </w:rPr>
        <w:t>项目需求</w:t>
      </w:r>
      <w:r>
        <w:rPr>
          <w:rFonts w:hint="eastAsia" w:ascii="宋体" w:hAnsi="宋体" w:eastAsia="宋体" w:cs="宋体"/>
          <w:b/>
          <w:bCs/>
          <w:color w:val="3F3F3F"/>
          <w:kern w:val="0"/>
          <w:sz w:val="28"/>
          <w:szCs w:val="28"/>
        </w:rPr>
        <w:t>列表</w:t>
      </w:r>
    </w:p>
    <w:tbl>
      <w:tblPr>
        <w:tblStyle w:val="11"/>
        <w:tblW w:w="0" w:type="auto"/>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350"/>
        <w:gridCol w:w="6735"/>
        <w:gridCol w:w="930"/>
      </w:tblGrid>
      <w:tr w14:paraId="7378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1B6F590C">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序号</w:t>
            </w:r>
          </w:p>
        </w:tc>
        <w:tc>
          <w:tcPr>
            <w:tcW w:w="1350" w:type="dxa"/>
            <w:vAlign w:val="center"/>
          </w:tcPr>
          <w:p w14:paraId="0F012E6C">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类别</w:t>
            </w:r>
          </w:p>
        </w:tc>
        <w:tc>
          <w:tcPr>
            <w:tcW w:w="6735" w:type="dxa"/>
            <w:vAlign w:val="center"/>
          </w:tcPr>
          <w:p w14:paraId="706FC5F4">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项目要求内容</w:t>
            </w:r>
          </w:p>
        </w:tc>
        <w:tc>
          <w:tcPr>
            <w:tcW w:w="930" w:type="dxa"/>
            <w:shd w:val="clear" w:color="auto" w:fill="auto"/>
            <w:vAlign w:val="center"/>
          </w:tcPr>
          <w:p w14:paraId="1B9A8F1B">
            <w:pPr>
              <w:pStyle w:val="19"/>
              <w:keepNext w:val="0"/>
              <w:keepLines w:val="0"/>
              <w:pageBreakBefore w:val="0"/>
              <w:numPr>
                <w:ilvl w:val="0"/>
                <w:numId w:val="0"/>
              </w:numPr>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是否满足要求</w:t>
            </w:r>
          </w:p>
        </w:tc>
      </w:tr>
      <w:tr w14:paraId="1A44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vAlign w:val="center"/>
          </w:tcPr>
          <w:p w14:paraId="4C790F7A">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1</w:t>
            </w:r>
          </w:p>
        </w:tc>
        <w:tc>
          <w:tcPr>
            <w:tcW w:w="1350" w:type="dxa"/>
            <w:vMerge w:val="restart"/>
            <w:vAlign w:val="center"/>
          </w:tcPr>
          <w:p w14:paraId="6624ADED">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
                <w:bCs/>
                <w:color w:val="000000" w:themeColor="text1"/>
                <w:sz w:val="18"/>
                <w:szCs w:val="18"/>
                <w:lang w:val="en-US" w:eastAsia="zh-CN"/>
                <w14:textFill>
                  <w14:solidFill>
                    <w14:schemeClr w14:val="tx1"/>
                  </w14:solidFill>
                </w14:textFill>
              </w:rPr>
              <w:t>项目相关要求</w:t>
            </w:r>
          </w:p>
        </w:tc>
        <w:tc>
          <w:tcPr>
            <w:tcW w:w="6735" w:type="dxa"/>
            <w:vAlign w:val="center"/>
          </w:tcPr>
          <w:p w14:paraId="3F506D19">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14:textFill>
                  <w14:solidFill>
                    <w14:schemeClr w14:val="tx1"/>
                  </w14:solidFill>
                </w14:textFill>
              </w:rPr>
              <w:t>★</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1.投标人供应的中药配方颗粒质量须符合中药配方颗粒国家标准或在广东省食品药品监督管理局完成备案的品种。上市备案的中药配方颗粒品种获得上市备案号，跨省销售备案的中药配方颗粒品种获得跨省销售备案号。保证供货产品的实际品牌、规格、质量与投标文件内所投产品描述一致。</w:t>
            </w:r>
          </w:p>
        </w:tc>
        <w:tc>
          <w:tcPr>
            <w:tcW w:w="930" w:type="dxa"/>
            <w:shd w:val="clear" w:color="auto" w:fill="auto"/>
            <w:vAlign w:val="center"/>
          </w:tcPr>
          <w:p w14:paraId="1AF3935D">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281C821C">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856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3361208F">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1350" w:type="dxa"/>
            <w:vMerge w:val="continue"/>
            <w:vAlign w:val="center"/>
          </w:tcPr>
          <w:p w14:paraId="24933615">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6735" w:type="dxa"/>
            <w:vAlign w:val="center"/>
          </w:tcPr>
          <w:p w14:paraId="3B512D7B">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t>2.中药配方颗粒命名使用现行国家或省级标准上颁布的法定名称。</w:t>
            </w:r>
          </w:p>
        </w:tc>
        <w:tc>
          <w:tcPr>
            <w:tcW w:w="930" w:type="dxa"/>
            <w:vAlign w:val="center"/>
          </w:tcPr>
          <w:p w14:paraId="7F87BB77">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AFBCBF5">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F4B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366BC88D">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1350" w:type="dxa"/>
            <w:vMerge w:val="continue"/>
            <w:vAlign w:val="center"/>
          </w:tcPr>
          <w:p w14:paraId="3B1A1404">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6735" w:type="dxa"/>
            <w:vAlign w:val="center"/>
          </w:tcPr>
          <w:p w14:paraId="6BB4C1C2">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t>3.中药配方颗粒包装按照现行版国家或省级标准关于“说明书、包装、标签”的要求。</w:t>
            </w:r>
          </w:p>
        </w:tc>
        <w:tc>
          <w:tcPr>
            <w:tcW w:w="930" w:type="dxa"/>
            <w:vAlign w:val="center"/>
          </w:tcPr>
          <w:p w14:paraId="7A8E424C">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34EABC6">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177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7F699ED0">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5CFC7827">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086661AA">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4.投标人提供取得备案号的中药配方颗粒生产备案目录，保证此目录内的中药配方颗粒在采购周期内可以持续供货，保证所供应的中药配方颗粒是合法、合格药品且保证有效期内的中药配方颗粒的质量，缺货率低于1%。</w:t>
            </w:r>
          </w:p>
        </w:tc>
        <w:tc>
          <w:tcPr>
            <w:tcW w:w="930" w:type="dxa"/>
            <w:vAlign w:val="center"/>
          </w:tcPr>
          <w:p w14:paraId="1833F763">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D777F31">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674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545C6FC8">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35F9C5F1">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6B6CAE2D">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5.若中标产品有断货或停供等特殊情况时，保证提前5个工作日通知采购人，并出示加盖公章的停止供货书面说明，价格变动不能成为停止供货理由。同一品种持续缺货超一个月，采购人有权向其他供货商采购。</w:t>
            </w:r>
          </w:p>
        </w:tc>
        <w:tc>
          <w:tcPr>
            <w:tcW w:w="930" w:type="dxa"/>
            <w:vAlign w:val="center"/>
          </w:tcPr>
          <w:p w14:paraId="32E0ECFE">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2E0A78AF">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3BA5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59C2F5AC">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761E9B49">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71C2FD73">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6.投标人有严格的内控药品标准（包括原料、各单元工艺环节物料、中药配方颗粒成品检验标准及过程控制指标），明确生产全过程质量控制的措施、关键质控点及相关质量要求，使作为初始原料的中药材、作为提取用原料的饮片、作为制剂用原料的中间体和作为终产品的成品符合相关部门规定，保证中药配方颗粒的质量。</w:t>
            </w:r>
          </w:p>
        </w:tc>
        <w:tc>
          <w:tcPr>
            <w:tcW w:w="930" w:type="dxa"/>
            <w:vAlign w:val="center"/>
          </w:tcPr>
          <w:p w14:paraId="45CAB836">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3AB14D1">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118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50C0C712">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62D6FCC7">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728CCAFD">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7.投标人</w:t>
            </w:r>
            <w:r>
              <w:rPr>
                <w:rFonts w:hint="default" w:ascii="Times New Roman" w:hAnsi="Times New Roman" w:eastAsia="宋体" w:cs="Times New Roman"/>
                <w:b w:val="0"/>
                <w:bCs w:val="0"/>
                <w:color w:val="000000" w:themeColor="text1"/>
                <w:sz w:val="18"/>
                <w:szCs w:val="18"/>
                <w14:textFill>
                  <w14:solidFill>
                    <w14:schemeClr w14:val="tx1"/>
                  </w14:solidFill>
                </w14:textFill>
              </w:rPr>
              <w:t>应当履行药品全生命周期的主体责任和相关义务，实施生产全过程管理，建立追溯体系。采购人有权随时对</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配方颗粒</w:t>
            </w:r>
            <w:r>
              <w:rPr>
                <w:rFonts w:hint="default" w:ascii="Times New Roman" w:hAnsi="Times New Roman" w:eastAsia="宋体" w:cs="Times New Roman"/>
                <w:b w:val="0"/>
                <w:bCs w:val="0"/>
                <w:color w:val="000000" w:themeColor="text1"/>
                <w:sz w:val="18"/>
                <w:szCs w:val="18"/>
                <w14:textFill>
                  <w14:solidFill>
                    <w14:schemeClr w14:val="tx1"/>
                  </w14:solidFill>
                </w14:textFill>
              </w:rPr>
              <w:t>的生产过程进行抽查检验或派出专人监督。中药饮片炮制、水提、分离、浓缩、干燥、制粒等中药配方颗粒的生产过程应当符合药品生产质量管理相关要求。</w:t>
            </w:r>
          </w:p>
        </w:tc>
        <w:tc>
          <w:tcPr>
            <w:tcW w:w="930" w:type="dxa"/>
            <w:vAlign w:val="center"/>
          </w:tcPr>
          <w:p w14:paraId="5634EFCC">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DBB0DF7">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48E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226D8EF4">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097BAC49">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6B9CD9C4">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8.投标人须承诺提供与采购人业务规模相适应的、</w:t>
            </w:r>
            <w:r>
              <w:rPr>
                <w:rFonts w:hint="default" w:ascii="Times New Roman" w:hAnsi="Times New Roman" w:eastAsia="宋体" w:cs="Times New Roman"/>
                <w:b w:val="0"/>
                <w:bCs w:val="0"/>
                <w:color w:val="000000" w:themeColor="text1"/>
                <w:sz w:val="18"/>
                <w:szCs w:val="18"/>
                <w14:textFill>
                  <w14:solidFill>
                    <w14:schemeClr w14:val="tx1"/>
                  </w14:solidFill>
                </w14:textFill>
              </w:rPr>
              <w:t>最新最先进</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的中药配方颗粒自动化调剂配套设施及信息化管理系统，实现溯源便利化，并按要求开发信息化系统端口与医院综合业务协同平台无缝对接，相关对接费用由中标人承担。自动化调剂设施配套的</w:t>
            </w:r>
            <w:r>
              <w:rPr>
                <w:rFonts w:hint="default" w:ascii="Times New Roman" w:hAnsi="Times New Roman" w:eastAsia="宋体" w:cs="Times New Roman"/>
                <w:b w:val="0"/>
                <w:bCs w:val="0"/>
                <w:color w:val="000000" w:themeColor="text1"/>
                <w:sz w:val="18"/>
                <w:szCs w:val="18"/>
                <w14:textFill>
                  <w14:solidFill>
                    <w14:schemeClr w14:val="tx1"/>
                  </w14:solidFill>
                </w14:textFill>
              </w:rPr>
              <w:t>硬件和软件系统</w:t>
            </w:r>
            <w:r>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由中标</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供应商</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负责维修、保养。</w:t>
            </w: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在合同期内，若自动化</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调剂设施不能满足采购人业务需求，须根据采购人要求进行更换或补充。</w:t>
            </w:r>
          </w:p>
        </w:tc>
        <w:tc>
          <w:tcPr>
            <w:tcW w:w="930" w:type="dxa"/>
            <w:vAlign w:val="center"/>
          </w:tcPr>
          <w:p w14:paraId="121B3A7D">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950CD4B">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CFB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6CCBF447">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2AD71832">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186A7536">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9.自动化调剂的配套设施及信息化管理系统出现故障应及时解决，一般故障应在3小时内解决，重大故障应在24小时内解决，所有故障在24小时内不能解决的中标人须提供可运行的备用方案。在设备故障期间产生的药品损耗、患者药品快递费用，均由中标人承担。</w:t>
            </w:r>
          </w:p>
        </w:tc>
        <w:tc>
          <w:tcPr>
            <w:tcW w:w="930" w:type="dxa"/>
            <w:vAlign w:val="center"/>
          </w:tcPr>
          <w:p w14:paraId="1C8B0D35">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14DE4211">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042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7AF48619">
            <w:pPr>
              <w:keepNext w:val="0"/>
              <w:keepLines w:val="0"/>
              <w:pageBreakBefore w:val="0"/>
              <w:numPr>
                <w:ilvl w:val="0"/>
                <w:numId w:val="0"/>
              </w:numPr>
              <w:kinsoku/>
              <w:wordWrap/>
              <w:overflowPunct/>
              <w:topLinePunct w:val="0"/>
              <w:autoSpaceDE/>
              <w:autoSpaceDN/>
              <w:bidi w:val="0"/>
              <w:adjustRightInd/>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4C39E783">
            <w:pPr>
              <w:keepNext w:val="0"/>
              <w:keepLines w:val="0"/>
              <w:pageBreakBefore w:val="0"/>
              <w:numPr>
                <w:ilvl w:val="0"/>
                <w:numId w:val="0"/>
              </w:numPr>
              <w:kinsoku/>
              <w:wordWrap/>
              <w:overflowPunct/>
              <w:topLinePunct w:val="0"/>
              <w:autoSpaceDE/>
              <w:autoSpaceDN/>
              <w:bidi w:val="0"/>
              <w:adjustRightInd/>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2BBC412B">
            <w:pPr>
              <w:keepNext w:val="0"/>
              <w:keepLines w:val="0"/>
              <w:pageBreakBefore w:val="0"/>
              <w:numPr>
                <w:ilvl w:val="0"/>
                <w:numId w:val="0"/>
              </w:numPr>
              <w:kinsoku/>
              <w:wordWrap/>
              <w:overflowPunct/>
              <w:topLinePunct w:val="0"/>
              <w:autoSpaceDE/>
              <w:autoSpaceDN/>
              <w:bidi w:val="0"/>
              <w:adjustRightInd/>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10.中药配方颗粒调剂应符合智慧药房需求，提供的中药配方颗粒智能调配所需系统：具备用量自动换算系统、具有处方电子审查功能（有配伍禁忌、超剂量等提示）、药柜具有显示定位功能（快速寻找颗粒位置）、具有颗粒识别系统、库存管理功能等。使用的调剂软件应对调剂过程实现可追溯。</w:t>
            </w:r>
          </w:p>
        </w:tc>
        <w:tc>
          <w:tcPr>
            <w:tcW w:w="930" w:type="dxa"/>
            <w:vAlign w:val="center"/>
          </w:tcPr>
          <w:p w14:paraId="5113F8D0">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03C7139">
            <w:pPr>
              <w:keepNext w:val="0"/>
              <w:keepLines w:val="0"/>
              <w:pageBreakBefore w:val="0"/>
              <w:numPr>
                <w:ilvl w:val="0"/>
                <w:numId w:val="0"/>
              </w:numPr>
              <w:kinsoku/>
              <w:wordWrap/>
              <w:overflowPunct/>
              <w:topLinePunct w:val="0"/>
              <w:autoSpaceDE/>
              <w:autoSpaceDN/>
              <w:bidi w:val="0"/>
              <w:adjustRightInd/>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AC0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16A26194">
            <w:pPr>
              <w:keepNext w:val="0"/>
              <w:keepLines w:val="0"/>
              <w:pageBreakBefore w:val="0"/>
              <w:widowControl/>
              <w:suppressLineNumbers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6FCE762A">
            <w:pPr>
              <w:keepNext w:val="0"/>
              <w:keepLines w:val="0"/>
              <w:pageBreakBefore w:val="0"/>
              <w:widowControl/>
              <w:suppressLineNumbers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2E50FCFB">
            <w:pPr>
              <w:keepNext w:val="0"/>
              <w:keepLines w:val="0"/>
              <w:pageBreakBefore w:val="0"/>
              <w:widowControl/>
              <w:suppressLineNumbers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11.</w:t>
            </w:r>
            <w:r>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t>合同期内，中药颗粒剂的包装材料和调剂所需的耗材，</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费用</w:t>
            </w:r>
            <w:r>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t>由</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负责。中药配方颗粒所使用的设备、包装材料等须符合行业标准，保证中药配方颗粒质量。</w:t>
            </w:r>
          </w:p>
        </w:tc>
        <w:tc>
          <w:tcPr>
            <w:tcW w:w="930" w:type="dxa"/>
            <w:vAlign w:val="center"/>
          </w:tcPr>
          <w:p w14:paraId="4BD0952E">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6441A0E">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D04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5CD7CF2D">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13AE3770">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143EEF22">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12.中标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供应商需派驻专业人员协助</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采购人</w:t>
            </w:r>
            <w:r>
              <w:rPr>
                <w:rFonts w:hint="default" w:ascii="Times New Roman" w:hAnsi="Times New Roman" w:eastAsia="宋体" w:cs="Times New Roman"/>
                <w:b w:val="0"/>
                <w:bCs w:val="0"/>
                <w:color w:val="000000" w:themeColor="text1"/>
                <w:sz w:val="18"/>
                <w:szCs w:val="18"/>
                <w14:textFill>
                  <w14:solidFill>
                    <w14:schemeClr w14:val="tx1"/>
                  </w14:solidFill>
                </w14:textFill>
              </w:rPr>
              <w:t>做好配方颗粒的养护、加药、盘点等工作。需具备所从事工作岗位的相应资质，</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服从采购人的全面监管（包括日常排班管理、日常考核管理等），严格按照医院的规章制度和工作流程开展相应工作，遵守采购人的劳动纪律和作息制度。派驻人员的工资及相关福利待遇等由中标供应商负责。</w:t>
            </w:r>
          </w:p>
        </w:tc>
        <w:tc>
          <w:tcPr>
            <w:tcW w:w="930" w:type="dxa"/>
            <w:vAlign w:val="center"/>
          </w:tcPr>
          <w:p w14:paraId="0D2FC661">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125B97BA">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372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78190810">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1B27A325">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134ACB9D">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13.</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药品有质量问题或不符合使用要求，</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无条件以更换或退货，直至取消供货资格。</w:t>
            </w:r>
            <w:r>
              <w:rPr>
                <w:rFonts w:hint="default" w:ascii="Times New Roman" w:hAnsi="Times New Roman" w:eastAsia="宋体" w:cs="Times New Roman"/>
                <w:b w:val="0"/>
                <w:bCs w:val="0"/>
                <w:color w:val="000000" w:themeColor="text1"/>
                <w:sz w:val="18"/>
                <w:szCs w:val="18"/>
                <w14:textFill>
                  <w14:solidFill>
                    <w14:schemeClr w14:val="tx1"/>
                  </w14:solidFill>
                </w14:textFill>
              </w:rPr>
              <w:t>订货需求为实时、间歇的零散采购。</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供应商不得以货不多为由拒绝按时送货，所有服务方式均为</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供应商送货上门。</w:t>
            </w:r>
          </w:p>
        </w:tc>
        <w:tc>
          <w:tcPr>
            <w:tcW w:w="930" w:type="dxa"/>
            <w:vAlign w:val="center"/>
          </w:tcPr>
          <w:p w14:paraId="2DF08260">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7FA6F63">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AF5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7FD95D96">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1350" w:type="dxa"/>
            <w:vMerge w:val="continue"/>
            <w:vAlign w:val="center"/>
          </w:tcPr>
          <w:p w14:paraId="189EE25A">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6735" w:type="dxa"/>
            <w:vAlign w:val="center"/>
          </w:tcPr>
          <w:p w14:paraId="3CFEC91D">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t>14.</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合同期内，</w:t>
            </w:r>
            <w:r>
              <w:rPr>
                <w:rFonts w:hint="default" w:ascii="Times New Roman" w:hAnsi="Times New Roman" w:eastAsia="宋体" w:cs="Times New Roman"/>
                <w:b w:val="0"/>
                <w:bCs w:val="0"/>
                <w:color w:val="000000" w:themeColor="text1"/>
                <w:sz w:val="18"/>
                <w:szCs w:val="18"/>
                <w:lang w:eastAsia="zh-CN" w:bidi="ar-EG"/>
                <w14:textFill>
                  <w14:solidFill>
                    <w14:schemeClr w14:val="tx1"/>
                  </w14:solidFill>
                </w14:textFill>
              </w:rPr>
              <w:t>《</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药品生产许可证</w:t>
            </w:r>
            <w:r>
              <w:rPr>
                <w:rFonts w:hint="default" w:ascii="Times New Roman" w:hAnsi="Times New Roman" w:eastAsia="宋体" w:cs="Times New Roman"/>
                <w:b w:val="0"/>
                <w:bCs w:val="0"/>
                <w:color w:val="000000" w:themeColor="text1"/>
                <w:sz w:val="18"/>
                <w:szCs w:val="18"/>
                <w:lang w:eastAsia="zh-CN" w:bidi="ar-EG"/>
                <w14:textFill>
                  <w14:solidFill>
                    <w14:schemeClr w14:val="tx1"/>
                  </w14:solidFill>
                </w14:textFill>
              </w:rPr>
              <w:t>》《</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营业执照（正副本）</w:t>
            </w:r>
            <w:r>
              <w:rPr>
                <w:rFonts w:hint="default" w:ascii="Times New Roman" w:hAnsi="Times New Roman" w:eastAsia="宋体" w:cs="Times New Roman"/>
                <w:b w:val="0"/>
                <w:bCs w:val="0"/>
                <w:color w:val="000000" w:themeColor="text1"/>
                <w:sz w:val="18"/>
                <w:szCs w:val="18"/>
                <w:lang w:eastAsia="zh-CN" w:bidi="ar-EG"/>
                <w14:textFill>
                  <w14:solidFill>
                    <w14:schemeClr w14:val="tx1"/>
                  </w14:solidFill>
                </w14:textFill>
              </w:rPr>
              <w:t>》</w:t>
            </w:r>
            <w:r>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t>，</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资料到期前，应主动将变更后的最新有效证明文件报送采购人。</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名称等信息变更后，需在10个工作日内向采购人办理备案手续。逾期未办理备案的，采购人有权暂停或取消中标中药配方颗粒的供货资格</w:t>
            </w:r>
            <w:r>
              <w:rPr>
                <w:rFonts w:hint="default" w:ascii="Times New Roman" w:hAnsi="Times New Roman" w:eastAsia="宋体" w:cs="Times New Roman"/>
                <w:b w:val="0"/>
                <w:bCs w:val="0"/>
                <w:color w:val="000000" w:themeColor="text1"/>
                <w:sz w:val="18"/>
                <w:szCs w:val="18"/>
                <w:lang w:eastAsia="zh-CN" w:bidi="ar-EG"/>
                <w14:textFill>
                  <w14:solidFill>
                    <w14:schemeClr w14:val="tx1"/>
                  </w14:solidFill>
                </w14:textFill>
              </w:rPr>
              <w:t>。</w:t>
            </w:r>
          </w:p>
        </w:tc>
        <w:tc>
          <w:tcPr>
            <w:tcW w:w="930" w:type="dxa"/>
            <w:vAlign w:val="center"/>
          </w:tcPr>
          <w:p w14:paraId="2A0F634A">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A8D7CC1">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0B3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3016F5C0">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1350" w:type="dxa"/>
            <w:vMerge w:val="continue"/>
            <w:vAlign w:val="center"/>
          </w:tcPr>
          <w:p w14:paraId="5C39ECD4">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6735" w:type="dxa"/>
            <w:vAlign w:val="center"/>
          </w:tcPr>
          <w:p w14:paraId="7230BF19">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eastAsia="zh-CN" w:bidi="ar-EG"/>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t>15.</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对于已确认的中标药品，</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在合同期内不得弃标或以长期断货、长期停供等方式变相弃标。否则，采购人有权单方解除合同，并将</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列入不良行为记录，并作出相应处理</w:t>
            </w:r>
            <w:r>
              <w:rPr>
                <w:rFonts w:hint="default" w:ascii="Times New Roman" w:hAnsi="Times New Roman" w:eastAsia="宋体" w:cs="Times New Roman"/>
                <w:b w:val="0"/>
                <w:bCs w:val="0"/>
                <w:color w:val="000000" w:themeColor="text1"/>
                <w:sz w:val="18"/>
                <w:szCs w:val="18"/>
                <w:lang w:eastAsia="zh-CN" w:bidi="ar-EG"/>
                <w14:textFill>
                  <w14:solidFill>
                    <w14:schemeClr w14:val="tx1"/>
                  </w14:solidFill>
                </w14:textFill>
              </w:rPr>
              <w:t>。</w:t>
            </w:r>
          </w:p>
        </w:tc>
        <w:tc>
          <w:tcPr>
            <w:tcW w:w="930" w:type="dxa"/>
            <w:vAlign w:val="center"/>
          </w:tcPr>
          <w:p w14:paraId="49D66777">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8948368">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A12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39600842">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1350" w:type="dxa"/>
            <w:vMerge w:val="continue"/>
            <w:vAlign w:val="center"/>
          </w:tcPr>
          <w:p w14:paraId="035622F9">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6735" w:type="dxa"/>
            <w:vAlign w:val="center"/>
          </w:tcPr>
          <w:p w14:paraId="691099A3">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t>16.产品有效期：确保为最新生产批号的产品，不得提供过期或即将过期的产品，所供应的中药配方颗粒入库后剩余有效期不低于完整有效期的80%。出现破损、吸潮、结块等质量异常情况中标人及时进行退换，临床积压品种，离有效期截止日期不足6个月时中标人及时进行退换。</w:t>
            </w:r>
          </w:p>
        </w:tc>
        <w:tc>
          <w:tcPr>
            <w:tcW w:w="930" w:type="dxa"/>
            <w:vAlign w:val="center"/>
          </w:tcPr>
          <w:p w14:paraId="4E81C6A3">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693AA0D">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672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vAlign w:val="center"/>
          </w:tcPr>
          <w:p w14:paraId="6B434D47">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2</w:t>
            </w:r>
          </w:p>
        </w:tc>
        <w:tc>
          <w:tcPr>
            <w:tcW w:w="1350" w:type="dxa"/>
            <w:vMerge w:val="restart"/>
            <w:vAlign w:val="center"/>
          </w:tcPr>
          <w:p w14:paraId="5B848333">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配送和验收</w:t>
            </w:r>
          </w:p>
        </w:tc>
        <w:tc>
          <w:tcPr>
            <w:tcW w:w="6735" w:type="dxa"/>
            <w:vAlign w:val="center"/>
          </w:tcPr>
          <w:p w14:paraId="2456AE5A">
            <w:pPr>
              <w:keepNext w:val="0"/>
              <w:keepLines w:val="0"/>
              <w:pageBreakBefore w:val="0"/>
              <w:widowControl/>
              <w:suppressLineNumbers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14:textFill>
                  <w14:solidFill>
                    <w14:schemeClr w14:val="tx1"/>
                  </w14:solidFill>
                </w14:textFill>
              </w:rPr>
              <w:t>★1</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18"/>
                <w:szCs w:val="18"/>
                <w14:textFill>
                  <w14:solidFill>
                    <w14:schemeClr w14:val="tx1"/>
                  </w14:solidFill>
                </w14:textFill>
              </w:rPr>
              <w:t>合同期内，采购人根据临床需求，不定期向中标人下达中药配方颗粒供货清单，</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供应商收到供货清单后24小时内配送到位，特殊情况下最长不超过48小时</w:t>
            </w:r>
            <w:r>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t>（</w:t>
            </w:r>
            <w:r>
              <w:rPr>
                <w:rFonts w:hint="default" w:ascii="Times New Roman" w:hAnsi="Times New Roman" w:eastAsia="宋体" w:cs="Times New Roman"/>
                <w:b w:val="0"/>
                <w:bCs w:val="0"/>
                <w:color w:val="000000" w:themeColor="text1"/>
                <w:sz w:val="18"/>
                <w:szCs w:val="18"/>
                <w14:textFill>
                  <w14:solidFill>
                    <w14:schemeClr w14:val="tx1"/>
                  </w14:solidFill>
                </w14:textFill>
              </w:rPr>
              <w:t>临床急需药品4小时</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18"/>
                <w:szCs w:val="18"/>
                <w14:textFill>
                  <w14:solidFill>
                    <w14:schemeClr w14:val="tx1"/>
                  </w14:solidFill>
                </w14:textFill>
              </w:rPr>
              <w:t>内将清单所列药品送达采购人指定的收货点。</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保证1周能多次送货。</w:t>
            </w:r>
            <w:r>
              <w:rPr>
                <w:rFonts w:hint="default" w:ascii="Times New Roman" w:hAnsi="Times New Roman" w:eastAsia="宋体" w:cs="Times New Roman"/>
                <w:b w:val="0"/>
                <w:bCs w:val="0"/>
                <w:color w:val="000000" w:themeColor="text1"/>
                <w:sz w:val="18"/>
                <w:szCs w:val="18"/>
                <w14:textFill>
                  <w14:solidFill>
                    <w14:schemeClr w14:val="tx1"/>
                  </w14:solidFill>
                </w14:textFill>
              </w:rPr>
              <w:t>若采购人因故无法在</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48小时</w:t>
            </w:r>
            <w:r>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t>（</w:t>
            </w:r>
            <w:r>
              <w:rPr>
                <w:rFonts w:hint="default" w:ascii="Times New Roman" w:hAnsi="Times New Roman" w:eastAsia="宋体" w:cs="Times New Roman"/>
                <w:b w:val="0"/>
                <w:bCs w:val="0"/>
                <w:color w:val="000000" w:themeColor="text1"/>
                <w:sz w:val="18"/>
                <w:szCs w:val="18"/>
                <w14:textFill>
                  <w14:solidFill>
                    <w14:schemeClr w14:val="tx1"/>
                  </w14:solidFill>
                </w14:textFill>
              </w:rPr>
              <w:t>临床急需药品4小时</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18"/>
                <w:szCs w:val="18"/>
                <w14:textFill>
                  <w14:solidFill>
                    <w14:schemeClr w14:val="tx1"/>
                  </w14:solidFill>
                </w14:textFill>
              </w:rPr>
              <w:t>内送货的，应在收到供货清单后</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18"/>
                <w:szCs w:val="18"/>
                <w14:textFill>
                  <w14:solidFill>
                    <w14:schemeClr w14:val="tx1"/>
                  </w14:solidFill>
                </w14:textFill>
              </w:rPr>
              <w:t>小时内书面通知采购人，说明原因，并明确送货时间。</w:t>
            </w:r>
          </w:p>
        </w:tc>
        <w:tc>
          <w:tcPr>
            <w:tcW w:w="930" w:type="dxa"/>
            <w:vAlign w:val="center"/>
          </w:tcPr>
          <w:p w14:paraId="5C2CC145">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2D5383C">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281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0826C45E">
            <w:pPr>
              <w:pStyle w:val="4"/>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p>
        </w:tc>
        <w:tc>
          <w:tcPr>
            <w:tcW w:w="1350" w:type="dxa"/>
            <w:vMerge w:val="continue"/>
            <w:vAlign w:val="center"/>
          </w:tcPr>
          <w:p w14:paraId="1C0CD341">
            <w:pPr>
              <w:pStyle w:val="4"/>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p>
        </w:tc>
        <w:tc>
          <w:tcPr>
            <w:tcW w:w="6735" w:type="dxa"/>
            <w:vAlign w:val="center"/>
          </w:tcPr>
          <w:p w14:paraId="354989B2">
            <w:pPr>
              <w:pStyle w:val="4"/>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18"/>
                <w:szCs w:val="18"/>
                <w:highlight w:val="none"/>
                <w14:textFill>
                  <w14:solidFill>
                    <w14:schemeClr w14:val="tx1"/>
                  </w14:solidFill>
                </w14:textFill>
              </w:rPr>
              <w:t>2</w:t>
            </w:r>
            <w:r>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18"/>
                <w:szCs w:val="18"/>
                <w:highlight w:val="none"/>
                <w14:textFill>
                  <w14:solidFill>
                    <w14:schemeClr w14:val="tx1"/>
                  </w14:solidFill>
                </w14:textFill>
              </w:rPr>
              <w:t>承诺中标签订合同后，不得以任何借口（如无货、采购量少等）不执行医院药品采购计划；对于确需无法供应的品种，承诺第一时间通知采购方采购人员，并提供无法供货证明，采购方</w:t>
            </w:r>
            <w:r>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t>可</w:t>
            </w:r>
            <w:r>
              <w:rPr>
                <w:rFonts w:hint="default" w:ascii="Times New Roman" w:hAnsi="Times New Roman" w:eastAsia="宋体" w:cs="Times New Roman"/>
                <w:b w:val="0"/>
                <w:bCs w:val="0"/>
                <w:color w:val="000000" w:themeColor="text1"/>
                <w:kern w:val="0"/>
                <w:sz w:val="18"/>
                <w:szCs w:val="18"/>
                <w:highlight w:val="none"/>
                <w14:textFill>
                  <w14:solidFill>
                    <w14:schemeClr w14:val="tx1"/>
                  </w14:solidFill>
                </w14:textFill>
              </w:rPr>
              <w:t>启动紧急采购。</w:t>
            </w:r>
          </w:p>
        </w:tc>
        <w:tc>
          <w:tcPr>
            <w:tcW w:w="930" w:type="dxa"/>
            <w:vAlign w:val="center"/>
          </w:tcPr>
          <w:p w14:paraId="182CEA5D">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3B29E5D2">
            <w:pPr>
              <w:pStyle w:val="4"/>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609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6E1435AC">
            <w:pPr>
              <w:keepNext w:val="0"/>
              <w:keepLines w:val="0"/>
              <w:pageBreakBefore w:val="0"/>
              <w:widowControl/>
              <w:suppressLineNumbers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p>
        </w:tc>
        <w:tc>
          <w:tcPr>
            <w:tcW w:w="1350" w:type="dxa"/>
            <w:vMerge w:val="continue"/>
            <w:vAlign w:val="center"/>
          </w:tcPr>
          <w:p w14:paraId="5FFFD8E8">
            <w:pPr>
              <w:keepNext w:val="0"/>
              <w:keepLines w:val="0"/>
              <w:pageBreakBefore w:val="0"/>
              <w:widowControl/>
              <w:suppressLineNumbers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p>
        </w:tc>
        <w:tc>
          <w:tcPr>
            <w:tcW w:w="6735" w:type="dxa"/>
            <w:vAlign w:val="center"/>
          </w:tcPr>
          <w:p w14:paraId="1CAAAC3D">
            <w:pPr>
              <w:keepNext w:val="0"/>
              <w:keepLines w:val="0"/>
              <w:pageBreakBefore w:val="0"/>
              <w:widowControl/>
              <w:suppressLineNumbers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18"/>
                <w:szCs w:val="18"/>
                <w:highlight w:val="none"/>
                <w:lang w:val="en-US" w:eastAsia="zh-CN" w:bidi="ar-SA"/>
                <w14:textFill>
                  <w14:solidFill>
                    <w14:schemeClr w14:val="tx1"/>
                  </w14:solidFill>
                </w14:textFill>
              </w:rPr>
              <w:t>3.对于有效期6个月或以下的产品，投标人需承诺无条件更换新批号且更换为有效期在完整有效期80%或以上的产品。</w:t>
            </w:r>
          </w:p>
        </w:tc>
        <w:tc>
          <w:tcPr>
            <w:tcW w:w="930" w:type="dxa"/>
            <w:vAlign w:val="center"/>
          </w:tcPr>
          <w:p w14:paraId="6AF2DDBD">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BA810DE">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3AF1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5EF58D79">
            <w:pPr>
              <w:keepNext w:val="0"/>
              <w:keepLines w:val="0"/>
              <w:pageBreakBefore w:val="0"/>
              <w:numPr>
                <w:ilvl w:val="0"/>
                <w:numId w:val="0"/>
              </w:numPr>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1D1642CD">
            <w:pPr>
              <w:keepNext w:val="0"/>
              <w:keepLines w:val="0"/>
              <w:pageBreakBefore w:val="0"/>
              <w:numPr>
                <w:ilvl w:val="0"/>
                <w:numId w:val="0"/>
              </w:numPr>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2148F867">
            <w:pPr>
              <w:keepNext w:val="0"/>
              <w:keepLines w:val="0"/>
              <w:pageBreakBefore w:val="0"/>
              <w:numPr>
                <w:ilvl w:val="0"/>
                <w:numId w:val="0"/>
              </w:numPr>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18"/>
                <w:szCs w:val="18"/>
                <w14:textFill>
                  <w14:solidFill>
                    <w14:schemeClr w14:val="tx1"/>
                  </w14:solidFill>
                </w14:textFill>
              </w:rPr>
              <w:t>货物运输</w:t>
            </w:r>
          </w:p>
        </w:tc>
        <w:tc>
          <w:tcPr>
            <w:tcW w:w="930" w:type="dxa"/>
            <w:vAlign w:val="center"/>
          </w:tcPr>
          <w:p w14:paraId="77A9ECEF">
            <w:pPr>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r>
      <w:tr w14:paraId="012B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42AB73BA">
            <w:pPr>
              <w:keepNext w:val="0"/>
              <w:keepLines w:val="0"/>
              <w:pageBreakBefore w:val="0"/>
              <w:numPr>
                <w:ilvl w:val="0"/>
                <w:numId w:val="0"/>
              </w:numPr>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14:textFill>
                  <w14:solidFill>
                    <w14:schemeClr w14:val="tx1"/>
                  </w14:solidFill>
                </w14:textFill>
              </w:rPr>
            </w:pPr>
          </w:p>
        </w:tc>
        <w:tc>
          <w:tcPr>
            <w:tcW w:w="1350" w:type="dxa"/>
            <w:vMerge w:val="continue"/>
            <w:vAlign w:val="center"/>
          </w:tcPr>
          <w:p w14:paraId="30EB7896">
            <w:pPr>
              <w:keepNext w:val="0"/>
              <w:keepLines w:val="0"/>
              <w:pageBreakBefore w:val="0"/>
              <w:numPr>
                <w:ilvl w:val="0"/>
                <w:numId w:val="0"/>
              </w:numPr>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14:textFill>
                  <w14:solidFill>
                    <w14:schemeClr w14:val="tx1"/>
                  </w14:solidFill>
                </w14:textFill>
              </w:rPr>
            </w:pPr>
          </w:p>
        </w:tc>
        <w:tc>
          <w:tcPr>
            <w:tcW w:w="6735" w:type="dxa"/>
            <w:vAlign w:val="center"/>
          </w:tcPr>
          <w:p w14:paraId="3EFE22A0">
            <w:pPr>
              <w:keepNext w:val="0"/>
              <w:keepLines w:val="0"/>
              <w:pageBreakBefore w:val="0"/>
              <w:numPr>
                <w:ilvl w:val="0"/>
                <w:numId w:val="0"/>
              </w:numPr>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合同中所有的货物均须由中标人自行运往指定场所，不论设备从何处购置、采用何种方式运输，采购</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人</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不承担任何责任及相关费用。中标</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供应商</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应自行处理货物质量和数量短缺等问题。</w:t>
            </w:r>
          </w:p>
        </w:tc>
        <w:tc>
          <w:tcPr>
            <w:tcW w:w="930" w:type="dxa"/>
            <w:vAlign w:val="center"/>
          </w:tcPr>
          <w:p w14:paraId="37F06AEF">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9EB4F48">
            <w:pPr>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442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vAlign w:val="center"/>
          </w:tcPr>
          <w:p w14:paraId="40FA4B8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3</w:t>
            </w:r>
          </w:p>
        </w:tc>
        <w:tc>
          <w:tcPr>
            <w:tcW w:w="1350" w:type="dxa"/>
            <w:vMerge w:val="restart"/>
            <w:vAlign w:val="center"/>
          </w:tcPr>
          <w:p w14:paraId="4EFC0D6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bCs/>
                <w:color w:val="000000" w:themeColor="text1"/>
                <w:sz w:val="18"/>
                <w:szCs w:val="18"/>
                <w:lang w:eastAsia="zh-CN"/>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验收要求</w:t>
            </w:r>
          </w:p>
        </w:tc>
        <w:tc>
          <w:tcPr>
            <w:tcW w:w="6735" w:type="dxa"/>
            <w:vAlign w:val="center"/>
          </w:tcPr>
          <w:p w14:paraId="01D3285E">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18"/>
                <w:szCs w:val="18"/>
                <w14:textFill>
                  <w14:solidFill>
                    <w14:schemeClr w14:val="tx1"/>
                  </w14:solidFill>
                </w14:textFill>
              </w:rPr>
              <w:t>中标人已按照合同规定提供了全部产品及完整的技术资料。</w:t>
            </w:r>
          </w:p>
        </w:tc>
        <w:tc>
          <w:tcPr>
            <w:tcW w:w="930" w:type="dxa"/>
            <w:vAlign w:val="center"/>
          </w:tcPr>
          <w:p w14:paraId="5D486B3D">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1623D7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92A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5" w:type="dxa"/>
            <w:vMerge w:val="continue"/>
            <w:vAlign w:val="center"/>
          </w:tcPr>
          <w:p w14:paraId="46447E1B">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p>
        </w:tc>
        <w:tc>
          <w:tcPr>
            <w:tcW w:w="1350" w:type="dxa"/>
            <w:vMerge w:val="continue"/>
            <w:vAlign w:val="center"/>
          </w:tcPr>
          <w:p w14:paraId="5293B0C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p>
        </w:tc>
        <w:tc>
          <w:tcPr>
            <w:tcW w:w="6735" w:type="dxa"/>
            <w:vAlign w:val="center"/>
          </w:tcPr>
          <w:p w14:paraId="5D40F9CD">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18"/>
                <w:szCs w:val="18"/>
                <w14:textFill>
                  <w14:solidFill>
                    <w14:schemeClr w14:val="tx1"/>
                  </w14:solidFill>
                </w14:textFill>
              </w:rPr>
              <w:t>货物符合投标文件的技术规格要求，性能满足要求。</w:t>
            </w:r>
          </w:p>
        </w:tc>
        <w:tc>
          <w:tcPr>
            <w:tcW w:w="930" w:type="dxa"/>
            <w:vAlign w:val="center"/>
          </w:tcPr>
          <w:p w14:paraId="1538A4CD">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6B7D73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3A2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72079E08">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p>
        </w:tc>
        <w:tc>
          <w:tcPr>
            <w:tcW w:w="1350" w:type="dxa"/>
            <w:vMerge w:val="continue"/>
            <w:vAlign w:val="center"/>
          </w:tcPr>
          <w:p w14:paraId="46A7ABD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p>
        </w:tc>
        <w:tc>
          <w:tcPr>
            <w:tcW w:w="6735" w:type="dxa"/>
            <w:vAlign w:val="center"/>
          </w:tcPr>
          <w:p w14:paraId="5A7EF505">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18"/>
                <w:szCs w:val="18"/>
                <w14:textFill>
                  <w14:solidFill>
                    <w14:schemeClr w14:val="tx1"/>
                  </w14:solidFill>
                </w14:textFill>
              </w:rPr>
              <w:t>货物具备产品合格证。</w:t>
            </w:r>
          </w:p>
        </w:tc>
        <w:tc>
          <w:tcPr>
            <w:tcW w:w="930" w:type="dxa"/>
            <w:vAlign w:val="center"/>
          </w:tcPr>
          <w:p w14:paraId="72A0B824">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BDE995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7B3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4DDCF354">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4C0CF22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3240B89C">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18"/>
                <w:szCs w:val="18"/>
                <w14:textFill>
                  <w14:solidFill>
                    <w14:schemeClr w14:val="tx1"/>
                  </w14:solidFill>
                </w14:textFill>
              </w:rPr>
              <w:t>购进中药配方颗粒时，验收人员应当对品名、规格、单位、单价、产地、中药饮片执行标准、中药配方颗粒执行标准、产品批号、供货单位、购货日期、合格标识逐一查对，认真填写中药配方颗粒购进验收记录及验收日期并签字。</w:t>
            </w:r>
          </w:p>
        </w:tc>
        <w:tc>
          <w:tcPr>
            <w:tcW w:w="930" w:type="dxa"/>
            <w:vAlign w:val="center"/>
          </w:tcPr>
          <w:p w14:paraId="3C8C3E1D">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0E5A0D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2E99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1A9C5B4D">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635DC0A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12019A74">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18"/>
                <w:szCs w:val="18"/>
                <w14:textFill>
                  <w14:solidFill>
                    <w14:schemeClr w14:val="tx1"/>
                  </w14:solidFill>
                </w14:textFill>
              </w:rPr>
              <w:t>发现生产日期超过1年、配方颗粒性状改变，可拒绝入库（短缺等品种除外）。</w:t>
            </w:r>
          </w:p>
        </w:tc>
        <w:tc>
          <w:tcPr>
            <w:tcW w:w="930" w:type="dxa"/>
            <w:vAlign w:val="center"/>
          </w:tcPr>
          <w:p w14:paraId="47F1EB9E">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47C9B6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790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7F4D0A72">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6B9CA4A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06D327AC">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sz w:val="18"/>
                <w:szCs w:val="18"/>
                <w14:textFill>
                  <w14:solidFill>
                    <w14:schemeClr w14:val="tx1"/>
                  </w14:solidFill>
                </w14:textFill>
              </w:rPr>
              <w:t>交货时每批次中药配方颗粒都须提供送货单、药品检验报告等。</w:t>
            </w:r>
          </w:p>
        </w:tc>
        <w:tc>
          <w:tcPr>
            <w:tcW w:w="930" w:type="dxa"/>
            <w:vAlign w:val="center"/>
          </w:tcPr>
          <w:p w14:paraId="230924F6">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123A9A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8B0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155" w:type="dxa"/>
            <w:vMerge w:val="continue"/>
            <w:vAlign w:val="center"/>
          </w:tcPr>
          <w:p w14:paraId="14E5084E">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p>
        </w:tc>
        <w:tc>
          <w:tcPr>
            <w:tcW w:w="1350" w:type="dxa"/>
            <w:vMerge w:val="continue"/>
            <w:vAlign w:val="center"/>
          </w:tcPr>
          <w:p w14:paraId="66E5324D">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p>
        </w:tc>
        <w:tc>
          <w:tcPr>
            <w:tcW w:w="6735" w:type="dxa"/>
            <w:vAlign w:val="center"/>
          </w:tcPr>
          <w:p w14:paraId="7EE88FFD">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7.</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供应商对交付采购人的中药配方颗粒质量负责。采购人有权按照《广东省中药配方颗粒管理细则》的相关规定，对</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供应商交付的药品进行验收。对药品是否合格双方有争议时，采购人有权将争议药品送具备法定资质的第三方检验机构进行鉴定，并以鉴定结论作为验收依据。鉴定费由</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供应商预付。经鉴定，药品质量符合合同约定的，鉴定费由采购人承担；反之，鉴定费由</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供应商承担</w:t>
            </w:r>
            <w:r>
              <w:rPr>
                <w:rFonts w:hint="default" w:ascii="Times New Roman" w:hAnsi="Times New Roman" w:eastAsia="宋体" w:cs="Times New Roman"/>
                <w:b w:val="0"/>
                <w:bCs w:val="0"/>
                <w:color w:val="000000" w:themeColor="text1"/>
                <w:kern w:val="0"/>
                <w:sz w:val="18"/>
                <w:szCs w:val="18"/>
                <w:lang w:eastAsia="zh-CN"/>
                <w14:textFill>
                  <w14:solidFill>
                    <w14:schemeClr w14:val="tx1"/>
                  </w14:solidFill>
                </w14:textFill>
              </w:rPr>
              <w:t>。</w:t>
            </w:r>
          </w:p>
        </w:tc>
        <w:tc>
          <w:tcPr>
            <w:tcW w:w="930" w:type="dxa"/>
            <w:vAlign w:val="center"/>
          </w:tcPr>
          <w:p w14:paraId="5D6EE938">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F7BDEA9">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175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55" w:type="dxa"/>
            <w:vMerge w:val="restart"/>
            <w:vAlign w:val="center"/>
          </w:tcPr>
          <w:p w14:paraId="0FE3D7A8">
            <w:pPr>
              <w:keepNext w:val="0"/>
              <w:keepLines w:val="0"/>
              <w:pageBreakBefore w:val="0"/>
              <w:widowControl/>
              <w:numPr>
                <w:ilvl w:val="0"/>
                <w:numId w:val="0"/>
              </w:numPr>
              <w:tabs>
                <w:tab w:val="left" w:pos="1050"/>
                <w:tab w:val="left" w:pos="1260"/>
              </w:tabs>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4</w:t>
            </w:r>
          </w:p>
        </w:tc>
        <w:tc>
          <w:tcPr>
            <w:tcW w:w="1350" w:type="dxa"/>
            <w:vMerge w:val="restart"/>
            <w:vAlign w:val="center"/>
          </w:tcPr>
          <w:p w14:paraId="6E8FD935">
            <w:pPr>
              <w:keepNext w:val="0"/>
              <w:keepLines w:val="0"/>
              <w:pageBreakBefore w:val="0"/>
              <w:widowControl/>
              <w:numPr>
                <w:ilvl w:val="0"/>
                <w:numId w:val="0"/>
              </w:numPr>
              <w:tabs>
                <w:tab w:val="left" w:pos="1050"/>
                <w:tab w:val="left" w:pos="1260"/>
              </w:tabs>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付款方式</w:t>
            </w:r>
          </w:p>
        </w:tc>
        <w:tc>
          <w:tcPr>
            <w:tcW w:w="6735" w:type="dxa"/>
            <w:vAlign w:val="center"/>
          </w:tcPr>
          <w:p w14:paraId="5A2A8286">
            <w:pPr>
              <w:keepNext w:val="0"/>
              <w:keepLines w:val="0"/>
              <w:pageBreakBefore w:val="0"/>
              <w:widowControl/>
              <w:numPr>
                <w:ilvl w:val="0"/>
                <w:numId w:val="0"/>
              </w:numPr>
              <w:tabs>
                <w:tab w:val="left" w:pos="1050"/>
                <w:tab w:val="left" w:pos="1260"/>
              </w:tabs>
              <w:kinsoku/>
              <w:wordWrap/>
              <w:overflowPunct/>
              <w:topLinePunct w:val="0"/>
              <w:autoSpaceDE/>
              <w:autoSpaceDN/>
              <w:bidi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14:textFill>
                  <w14:solidFill>
                    <w14:schemeClr w14:val="tx1"/>
                  </w14:solidFill>
                </w14:textFill>
              </w:rPr>
            </w:pPr>
            <w:r>
              <w:rPr>
                <w:rFonts w:hint="eastAsia" w:ascii="Times New Roman" w:hAnsi="Times New Roman" w:cs="Times New Roman"/>
                <w:b w:val="0"/>
                <w:bCs w:val="0"/>
                <w:color w:val="000000" w:themeColor="text1"/>
                <w:kern w:val="0"/>
                <w:sz w:val="18"/>
                <w:szCs w:val="18"/>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因采购清单单项品种数量不固定，以实际采购需求为准，先供货且提供发票后付款，按月结算。采购方对所购商品验收合格后，按合同约定周期支付货款。</w:t>
            </w:r>
          </w:p>
        </w:tc>
        <w:tc>
          <w:tcPr>
            <w:tcW w:w="930" w:type="dxa"/>
            <w:vAlign w:val="center"/>
          </w:tcPr>
          <w:p w14:paraId="4C3E3A7C">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2E3A797">
            <w:pPr>
              <w:keepNext w:val="0"/>
              <w:keepLines w:val="0"/>
              <w:pageBreakBefore w:val="0"/>
              <w:widowControl/>
              <w:numPr>
                <w:ilvl w:val="0"/>
                <w:numId w:val="0"/>
              </w:numPr>
              <w:tabs>
                <w:tab w:val="left" w:pos="1050"/>
                <w:tab w:val="left" w:pos="1260"/>
              </w:tabs>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703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39AEF7B8">
            <w:pPr>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1350" w:type="dxa"/>
            <w:vMerge w:val="continue"/>
            <w:vAlign w:val="center"/>
          </w:tcPr>
          <w:p w14:paraId="14D5F080">
            <w:pPr>
              <w:keepNext w:val="0"/>
              <w:keepLines w:val="0"/>
              <w:pageBreakBefore w:val="0"/>
              <w:numPr>
                <w:ilvl w:val="0"/>
                <w:numId w:val="0"/>
              </w:numPr>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6735" w:type="dxa"/>
            <w:vAlign w:val="center"/>
          </w:tcPr>
          <w:p w14:paraId="6492DFA6">
            <w:pPr>
              <w:keepNext w:val="0"/>
              <w:keepLines w:val="0"/>
              <w:pageBreakBefore w:val="0"/>
              <w:numPr>
                <w:ilvl w:val="0"/>
                <w:numId w:val="0"/>
              </w:numPr>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.中标人应在采购人支付货款前开具相应金额的发票给采购人。若因财政拨款因素导致中标人付款延迟采购人不承担违约责任。</w:t>
            </w:r>
          </w:p>
        </w:tc>
        <w:tc>
          <w:tcPr>
            <w:tcW w:w="930" w:type="dxa"/>
            <w:vAlign w:val="center"/>
          </w:tcPr>
          <w:p w14:paraId="269C89A2">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39D82C9">
            <w:pPr>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BC0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2A7F2BDB">
            <w:pPr>
              <w:keepNext w:val="0"/>
              <w:keepLines w:val="0"/>
              <w:pageBreakBefore w:val="0"/>
              <w:widowControl/>
              <w:tabs>
                <w:tab w:val="left" w:pos="1050"/>
                <w:tab w:val="left" w:pos="1260"/>
              </w:tabs>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1350" w:type="dxa"/>
            <w:vMerge w:val="continue"/>
            <w:vAlign w:val="center"/>
          </w:tcPr>
          <w:p w14:paraId="0022BB72">
            <w:pPr>
              <w:keepNext w:val="0"/>
              <w:keepLines w:val="0"/>
              <w:pageBreakBefore w:val="0"/>
              <w:widowControl/>
              <w:tabs>
                <w:tab w:val="left" w:pos="1050"/>
                <w:tab w:val="left" w:pos="1260"/>
              </w:tabs>
              <w:kinsoku/>
              <w:wordWrap/>
              <w:overflowPunct/>
              <w:topLinePunct w:val="0"/>
              <w:autoSpaceDE/>
              <w:autoSpaceDN/>
              <w:bidi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6735" w:type="dxa"/>
            <w:vAlign w:val="center"/>
          </w:tcPr>
          <w:p w14:paraId="34D786DA">
            <w:pPr>
              <w:keepNext w:val="0"/>
              <w:keepLines w:val="0"/>
              <w:pageBreakBefore w:val="0"/>
              <w:widowControl/>
              <w:tabs>
                <w:tab w:val="left" w:pos="1050"/>
                <w:tab w:val="left" w:pos="1260"/>
              </w:tabs>
              <w:kinsoku/>
              <w:wordWrap/>
              <w:overflowPunct/>
              <w:topLinePunct w:val="0"/>
              <w:autoSpaceDE/>
              <w:autoSpaceDN/>
              <w:bidi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.未尽事宜，双方另行协商约定。</w:t>
            </w:r>
          </w:p>
        </w:tc>
        <w:tc>
          <w:tcPr>
            <w:tcW w:w="930" w:type="dxa"/>
            <w:vAlign w:val="center"/>
          </w:tcPr>
          <w:p w14:paraId="562330E9">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661B8C9">
            <w:pPr>
              <w:keepNext w:val="0"/>
              <w:keepLines w:val="0"/>
              <w:pageBreakBefore w:val="0"/>
              <w:widowControl/>
              <w:tabs>
                <w:tab w:val="left" w:pos="1050"/>
                <w:tab w:val="left" w:pos="1260"/>
              </w:tabs>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891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vAlign w:val="center"/>
          </w:tcPr>
          <w:p w14:paraId="1F2A80E9">
            <w:pPr>
              <w:pStyle w:val="19"/>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5</w:t>
            </w:r>
          </w:p>
        </w:tc>
        <w:tc>
          <w:tcPr>
            <w:tcW w:w="1350" w:type="dxa"/>
            <w:vMerge w:val="restart"/>
            <w:vAlign w:val="center"/>
          </w:tcPr>
          <w:p w14:paraId="3D180475">
            <w:pPr>
              <w:pStyle w:val="19"/>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bCs/>
                <w:sz w:val="18"/>
                <w:szCs w:val="18"/>
                <w:highlight w:val="none"/>
              </w:rPr>
              <w:t>★</w:t>
            </w:r>
            <w:r>
              <w:rPr>
                <w:rFonts w:hint="default" w:ascii="Times New Roman" w:hAnsi="Times New Roman" w:eastAsia="宋体" w:cs="Times New Roman"/>
                <w:b/>
                <w:bCs/>
                <w:color w:val="000000" w:themeColor="text1"/>
                <w:sz w:val="18"/>
                <w:szCs w:val="18"/>
                <w14:textFill>
                  <w14:solidFill>
                    <w14:schemeClr w14:val="tx1"/>
                  </w14:solidFill>
                </w14:textFill>
              </w:rPr>
              <w:t>报价要求</w:t>
            </w:r>
          </w:p>
        </w:tc>
        <w:tc>
          <w:tcPr>
            <w:tcW w:w="6735" w:type="dxa"/>
            <w:vAlign w:val="center"/>
          </w:tcPr>
          <w:p w14:paraId="62EECC15">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1.投标报价（投标折扣率）包含货物的价格、质量检测费、配送运输费、包装费、耗材费用、设备维护费用、装卸费、搬运费、不合格货物的退换费用、保险费、验收费、售后服务费、税费、其他伴随服务费用及合同实施过程中的应预见和不可预见费用等完成本项目内容所需的一切费用。</w:t>
            </w:r>
          </w:p>
        </w:tc>
        <w:tc>
          <w:tcPr>
            <w:tcW w:w="930" w:type="dxa"/>
            <w:vAlign w:val="center"/>
          </w:tcPr>
          <w:p w14:paraId="7A2180CC">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F61E9F8">
            <w:pPr>
              <w:pStyle w:val="19"/>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0DC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3354128E">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06AC6E04">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094EC422">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18"/>
                <w:szCs w:val="18"/>
                <w14:textFill>
                  <w14:solidFill>
                    <w14:schemeClr w14:val="tx1"/>
                  </w14:solidFill>
                </w14:textFill>
              </w:rPr>
              <w:t>.报价应遵循质量优先、价格合理的原则，不得进行恶意竞争，且所有价格不得高于公司在深圳所有医院最低供货价格（采购人有权要求提供其他医院相关产品发票及明细）。</w:t>
            </w:r>
          </w:p>
        </w:tc>
        <w:tc>
          <w:tcPr>
            <w:tcW w:w="930" w:type="dxa"/>
            <w:vAlign w:val="center"/>
          </w:tcPr>
          <w:p w14:paraId="18494657">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170F3B4">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602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2D6D6D52">
            <w:pPr>
              <w:keepNext w:val="0"/>
              <w:keepLines w:val="0"/>
              <w:pageBreakBefore w:val="0"/>
              <w:tabs>
                <w:tab w:val="left" w:pos="360"/>
                <w:tab w:val="left" w:pos="426"/>
              </w:tabs>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1D66D033">
            <w:pPr>
              <w:keepNext w:val="0"/>
              <w:keepLines w:val="0"/>
              <w:pageBreakBefore w:val="0"/>
              <w:tabs>
                <w:tab w:val="left" w:pos="360"/>
                <w:tab w:val="left" w:pos="426"/>
              </w:tabs>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7A065B0D">
            <w:pPr>
              <w:keepNext w:val="0"/>
              <w:keepLines w:val="0"/>
              <w:pageBreakBefore w:val="0"/>
              <w:tabs>
                <w:tab w:val="left" w:pos="360"/>
                <w:tab w:val="left" w:pos="426"/>
              </w:tabs>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3.</w:t>
            </w:r>
            <w:bookmarkStart w:id="0" w:name="OLE_LINK2"/>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在合同有效期内，供货结算价格以</w:t>
            </w:r>
            <w:r>
              <w:rPr>
                <w:rFonts w:hint="default" w:ascii="Times New Roman" w:hAnsi="Times New Roman" w:eastAsia="宋体" w:cs="Times New Roman"/>
                <w:b w:val="0"/>
                <w:bCs w:val="0"/>
                <w:color w:val="000000" w:themeColor="text1"/>
                <w:sz w:val="18"/>
                <w:szCs w:val="18"/>
                <w14:textFill>
                  <w14:solidFill>
                    <w14:schemeClr w14:val="tx1"/>
                  </w14:solidFill>
                </w14:textFill>
              </w:rPr>
              <w:t>投标报价</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（投标折扣率）为主要依据，但采购人将定期对供应品种进行市场询价和比价，若发现供应品种对应普通饮片价格出现大幅度下跌，采购人有权予以调低。</w:t>
            </w:r>
            <w:bookmarkEnd w:id="0"/>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供应品种市场价格有下调20%或以上时，中标供应商应告诉采购人。</w:t>
            </w:r>
          </w:p>
        </w:tc>
        <w:tc>
          <w:tcPr>
            <w:tcW w:w="930" w:type="dxa"/>
            <w:vAlign w:val="center"/>
          </w:tcPr>
          <w:p w14:paraId="6680CE3D">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376FF26A">
            <w:pPr>
              <w:keepNext w:val="0"/>
              <w:keepLines w:val="0"/>
              <w:pageBreakBefore w:val="0"/>
              <w:tabs>
                <w:tab w:val="left" w:pos="360"/>
                <w:tab w:val="left" w:pos="426"/>
              </w:tabs>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F13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67431606">
            <w:pPr>
              <w:keepNext w:val="0"/>
              <w:keepLines w:val="0"/>
              <w:pageBreakBefore w:val="0"/>
              <w:tabs>
                <w:tab w:val="left" w:pos="360"/>
                <w:tab w:val="left" w:pos="426"/>
              </w:tabs>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349C5FC0">
            <w:pPr>
              <w:keepNext w:val="0"/>
              <w:keepLines w:val="0"/>
              <w:pageBreakBefore w:val="0"/>
              <w:tabs>
                <w:tab w:val="left" w:pos="360"/>
                <w:tab w:val="left" w:pos="426"/>
              </w:tabs>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28C4CCB4">
            <w:pPr>
              <w:keepNext w:val="0"/>
              <w:keepLines w:val="0"/>
              <w:pageBreakBefore w:val="0"/>
              <w:tabs>
                <w:tab w:val="left" w:pos="360"/>
                <w:tab w:val="left" w:pos="426"/>
              </w:tabs>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4.合同期内，原则上不允许涨价。如有涨价的，中标供应商应提前30个工作日向采购人出具加盖公章的告知函</w:t>
            </w:r>
            <w:r>
              <w:rPr>
                <w:rFonts w:hint="default" w:ascii="Times New Roman" w:hAnsi="Times New Roman" w:eastAsia="宋体" w:cs="Times New Roman"/>
                <w:b w:val="0"/>
                <w:bCs w:val="0"/>
                <w:color w:val="000000" w:themeColor="text1"/>
                <w:sz w:val="18"/>
                <w:szCs w:val="18"/>
                <w14:textFill>
                  <w14:solidFill>
                    <w14:schemeClr w14:val="tx1"/>
                  </w14:solidFill>
                </w14:textFill>
              </w:rPr>
              <w:t>及“深圳地区同等级医院最低成交价”证明资料（以中标通知书或合同复印件为准），经采购人审核同意后，方可执行</w:t>
            </w:r>
            <w:r>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t>。</w:t>
            </w:r>
          </w:p>
        </w:tc>
        <w:tc>
          <w:tcPr>
            <w:tcW w:w="930" w:type="dxa"/>
            <w:vAlign w:val="center"/>
          </w:tcPr>
          <w:p w14:paraId="2FFA1FB0">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00A9AF1">
            <w:pPr>
              <w:keepNext w:val="0"/>
              <w:keepLines w:val="0"/>
              <w:pageBreakBefore w:val="0"/>
              <w:tabs>
                <w:tab w:val="left" w:pos="360"/>
                <w:tab w:val="left" w:pos="426"/>
              </w:tabs>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362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vAlign w:val="center"/>
          </w:tcPr>
          <w:p w14:paraId="6EDC8D32">
            <w:pPr>
              <w:pStyle w:val="19"/>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6</w:t>
            </w:r>
          </w:p>
        </w:tc>
        <w:tc>
          <w:tcPr>
            <w:tcW w:w="1350" w:type="dxa"/>
            <w:vMerge w:val="restart"/>
            <w:vAlign w:val="center"/>
          </w:tcPr>
          <w:p w14:paraId="1DA4EDD9">
            <w:pPr>
              <w:pStyle w:val="19"/>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18"/>
                <w:szCs w:val="18"/>
                <w14:textFill>
                  <w14:solidFill>
                    <w14:schemeClr w14:val="tx1"/>
                  </w14:solidFill>
                </w14:textFill>
              </w:rPr>
              <w:t>其他</w:t>
            </w:r>
          </w:p>
        </w:tc>
        <w:tc>
          <w:tcPr>
            <w:tcW w:w="6735" w:type="dxa"/>
            <w:vAlign w:val="center"/>
          </w:tcPr>
          <w:p w14:paraId="46D07111">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★1.因中药配方颗粒质量问题引起医疗事故或纠纷或被相关监管部门处罚的，视同严重违约并追究相关责任，同时由此造成的一切经济及法律责任由中标供应商负责。</w:t>
            </w:r>
          </w:p>
        </w:tc>
        <w:tc>
          <w:tcPr>
            <w:tcW w:w="930" w:type="dxa"/>
            <w:vAlign w:val="center"/>
          </w:tcPr>
          <w:p w14:paraId="77521499">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0FAAEDC">
            <w:pPr>
              <w:pStyle w:val="19"/>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249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023EB2BA">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1350" w:type="dxa"/>
            <w:vMerge w:val="continue"/>
            <w:vAlign w:val="center"/>
          </w:tcPr>
          <w:p w14:paraId="23A3AED4">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6735" w:type="dxa"/>
            <w:vAlign w:val="center"/>
          </w:tcPr>
          <w:p w14:paraId="62F9BA8C">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2.如果采购人在临床使用中发现中药配方颗粒不符合质量要求（含出现严重的不良反应时），需要进行质量检验，则由采购人委托采购人所在地药检部门进行质量检验，并及时以书面形式把需质量检验的中药配方颗粒的情况通知中标供应商，检验费用由中标供应商承担，如果确实存在质量问题则中标供应商还需承担因此产生的经济和法律责任；并且中标供应商应在1天内对存在质量问题的品种进行更换、补充，并不得影响采购人的临床用药。否则，采购人有权终止合同并要求中标供应商赔偿损失。</w:t>
            </w:r>
          </w:p>
        </w:tc>
        <w:tc>
          <w:tcPr>
            <w:tcW w:w="930" w:type="dxa"/>
            <w:vAlign w:val="center"/>
          </w:tcPr>
          <w:p w14:paraId="4AAD90C9">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27059041">
            <w:pPr>
              <w:pStyle w:val="19"/>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B31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5ED2C071">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1350" w:type="dxa"/>
            <w:vMerge w:val="continue"/>
            <w:vAlign w:val="center"/>
          </w:tcPr>
          <w:p w14:paraId="2E37DA67">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6735" w:type="dxa"/>
            <w:vAlign w:val="center"/>
          </w:tcPr>
          <w:p w14:paraId="21343B4A">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3.对于滞销产品，中标供应商须承诺可无条件退换。</w:t>
            </w:r>
          </w:p>
        </w:tc>
        <w:tc>
          <w:tcPr>
            <w:tcW w:w="930" w:type="dxa"/>
            <w:vAlign w:val="center"/>
          </w:tcPr>
          <w:p w14:paraId="606BD7A6">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8F1A4E7">
            <w:pPr>
              <w:pStyle w:val="19"/>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31F0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79A89C4B">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1350" w:type="dxa"/>
            <w:vMerge w:val="continue"/>
            <w:vAlign w:val="center"/>
          </w:tcPr>
          <w:p w14:paraId="04B24ECA">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6735" w:type="dxa"/>
            <w:vAlign w:val="center"/>
          </w:tcPr>
          <w:p w14:paraId="21AD363A">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4.当发生如下情况时，中标供应商须根据采购人要求无条件免费退换货：（1）采购人发现中药配方颗粒供应质量问题；（2）采购人发现产品未按要求进行包装；（3）药监部门发布需召回或厂家自主召回品种；（4）其他：采购人认为有问题的情况。</w:t>
            </w:r>
          </w:p>
        </w:tc>
        <w:tc>
          <w:tcPr>
            <w:tcW w:w="930" w:type="dxa"/>
            <w:vAlign w:val="center"/>
          </w:tcPr>
          <w:p w14:paraId="2F51550F">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B9613DD">
            <w:pPr>
              <w:pStyle w:val="19"/>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160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211498B6">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1350" w:type="dxa"/>
            <w:vMerge w:val="continue"/>
            <w:vAlign w:val="center"/>
          </w:tcPr>
          <w:p w14:paraId="660818A6">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6735" w:type="dxa"/>
            <w:vAlign w:val="center"/>
          </w:tcPr>
          <w:p w14:paraId="41133019">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5.在合同履约过程中，如遇到不可抗拒的因素（如发现药品新的严重的不良反应、国家政策改变或其它药政管理方面的问题）而影响该药品的采购及使用时，由双方协商中止合同。</w:t>
            </w:r>
          </w:p>
        </w:tc>
        <w:tc>
          <w:tcPr>
            <w:tcW w:w="930" w:type="dxa"/>
            <w:vAlign w:val="center"/>
          </w:tcPr>
          <w:p w14:paraId="1406E714">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016DF18">
            <w:pPr>
              <w:pStyle w:val="19"/>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3E2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2390C5AE">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1350" w:type="dxa"/>
            <w:vMerge w:val="continue"/>
            <w:vAlign w:val="center"/>
          </w:tcPr>
          <w:p w14:paraId="554E0EE2">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6735" w:type="dxa"/>
            <w:vAlign w:val="center"/>
          </w:tcPr>
          <w:p w14:paraId="73BDDE90">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6.在合同履约过程中，如遇到部分采购品种与国家最新集中采购品种和单价等有冲突时，采购人有权根据国家最新集中采购品种和单价等进行实时调整本项目的采购品种和单价。</w:t>
            </w:r>
          </w:p>
        </w:tc>
        <w:tc>
          <w:tcPr>
            <w:tcW w:w="930" w:type="dxa"/>
            <w:vAlign w:val="center"/>
          </w:tcPr>
          <w:p w14:paraId="32271B4D">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72F6AE9">
            <w:pPr>
              <w:pStyle w:val="19"/>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67E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55" w:type="dxa"/>
            <w:vMerge w:val="continue"/>
            <w:vAlign w:val="center"/>
          </w:tcPr>
          <w:p w14:paraId="6BD449D2">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1350" w:type="dxa"/>
            <w:vMerge w:val="continue"/>
            <w:vAlign w:val="center"/>
          </w:tcPr>
          <w:p w14:paraId="18CE2069">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6735" w:type="dxa"/>
            <w:vAlign w:val="center"/>
          </w:tcPr>
          <w:p w14:paraId="22F5ABCA">
            <w:pPr>
              <w:pStyle w:val="19"/>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7.在实际采购过程中的品种、数量和规格以采购人临床需求为准，实行按需采购。</w:t>
            </w:r>
          </w:p>
        </w:tc>
        <w:tc>
          <w:tcPr>
            <w:tcW w:w="930" w:type="dxa"/>
            <w:vAlign w:val="center"/>
          </w:tcPr>
          <w:p w14:paraId="38CA0248">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2628AAB5">
            <w:pPr>
              <w:pStyle w:val="19"/>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F89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43A3ACAC">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2BCA4333">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55711E4D">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8.</w:t>
            </w:r>
            <w:r>
              <w:rPr>
                <w:rFonts w:hint="default" w:ascii="Times New Roman" w:hAnsi="Times New Roman" w:eastAsia="宋体" w:cs="Times New Roman"/>
                <w:b w:val="0"/>
                <w:bCs w:val="0"/>
                <w:color w:val="000000" w:themeColor="text1"/>
                <w:sz w:val="18"/>
                <w:szCs w:val="18"/>
                <w14:textFill>
                  <w14:solidFill>
                    <w14:schemeClr w14:val="tx1"/>
                  </w14:solidFill>
                </w14:textFill>
              </w:rPr>
              <w:t>如国家、省、市</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配方颗粒</w:t>
            </w:r>
            <w:r>
              <w:rPr>
                <w:rFonts w:hint="default" w:ascii="Times New Roman" w:hAnsi="Times New Roman" w:eastAsia="宋体" w:cs="Times New Roman"/>
                <w:b w:val="0"/>
                <w:bCs w:val="0"/>
                <w:color w:val="000000" w:themeColor="text1"/>
                <w:sz w:val="18"/>
                <w:szCs w:val="18"/>
                <w14:textFill>
                  <w14:solidFill>
                    <w14:schemeClr w14:val="tx1"/>
                  </w14:solidFill>
                </w14:textFill>
              </w:rPr>
              <w:t>相关政策导致本项目相关品种采购终止，合同其他品种和所有服务须继续履约。</w:t>
            </w:r>
          </w:p>
        </w:tc>
        <w:tc>
          <w:tcPr>
            <w:tcW w:w="930" w:type="dxa"/>
            <w:vAlign w:val="center"/>
          </w:tcPr>
          <w:p w14:paraId="30FE25D9">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180AF68">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C59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59BDFFC1">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1261DF02">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2785B927">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9.</w:t>
            </w:r>
            <w:r>
              <w:rPr>
                <w:rFonts w:hint="default" w:ascii="Times New Roman" w:hAnsi="Times New Roman" w:eastAsia="宋体" w:cs="Times New Roman"/>
                <w:b w:val="0"/>
                <w:bCs w:val="0"/>
                <w:color w:val="000000" w:themeColor="text1"/>
                <w:sz w:val="18"/>
                <w:szCs w:val="18"/>
                <w14:textFill>
                  <w14:solidFill>
                    <w14:schemeClr w14:val="tx1"/>
                  </w14:solidFill>
                </w14:textFill>
              </w:rPr>
              <w:t>因临床用药需要，而增加采购招标目录外的</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配方颗粒</w:t>
            </w:r>
            <w:r>
              <w:rPr>
                <w:rFonts w:hint="default" w:ascii="Times New Roman" w:hAnsi="Times New Roman" w:eastAsia="宋体" w:cs="Times New Roman"/>
                <w:b w:val="0"/>
                <w:bCs w:val="0"/>
                <w:color w:val="000000" w:themeColor="text1"/>
                <w:sz w:val="18"/>
                <w:szCs w:val="18"/>
                <w14:textFill>
                  <w14:solidFill>
                    <w14:schemeClr w14:val="tx1"/>
                  </w14:solidFill>
                </w14:textFill>
              </w:rPr>
              <w:t>品种，由采购人药事管理与药物治疗学委员会办公室备案，经双方同意并在符合政府采购相关规定的前提下，中标</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供应商</w:t>
            </w:r>
            <w:r>
              <w:rPr>
                <w:rFonts w:hint="default" w:ascii="Times New Roman" w:hAnsi="Times New Roman" w:eastAsia="宋体" w:cs="Times New Roman"/>
                <w:b w:val="0"/>
                <w:bCs w:val="0"/>
                <w:color w:val="000000" w:themeColor="text1"/>
                <w:sz w:val="18"/>
                <w:szCs w:val="18"/>
                <w14:textFill>
                  <w14:solidFill>
                    <w14:schemeClr w14:val="tx1"/>
                  </w14:solidFill>
                </w14:textFill>
              </w:rPr>
              <w:t>方可采购，但价格不</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得</w:t>
            </w:r>
            <w:r>
              <w:rPr>
                <w:rFonts w:hint="default" w:ascii="Times New Roman" w:hAnsi="Times New Roman" w:eastAsia="宋体" w:cs="Times New Roman"/>
                <w:b w:val="0"/>
                <w:bCs w:val="0"/>
                <w:color w:val="000000" w:themeColor="text1"/>
                <w:sz w:val="18"/>
                <w:szCs w:val="18"/>
                <w14:textFill>
                  <w14:solidFill>
                    <w14:schemeClr w14:val="tx1"/>
                  </w14:solidFill>
                </w14:textFill>
              </w:rPr>
              <w:t>高于市场价格。</w:t>
            </w:r>
          </w:p>
        </w:tc>
        <w:tc>
          <w:tcPr>
            <w:tcW w:w="930" w:type="dxa"/>
            <w:vAlign w:val="center"/>
          </w:tcPr>
          <w:p w14:paraId="557A2286">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8A1C1E7">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689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3EA5586B">
            <w:pPr>
              <w:keepNext w:val="0"/>
              <w:keepLines w:val="0"/>
              <w:pageBreakBefore w:val="0"/>
              <w:numPr>
                <w:ilvl w:val="0"/>
                <w:numId w:val="0"/>
              </w:numPr>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1350" w:type="dxa"/>
            <w:vMerge w:val="continue"/>
            <w:vAlign w:val="center"/>
          </w:tcPr>
          <w:p w14:paraId="62C1F407">
            <w:pPr>
              <w:keepNext w:val="0"/>
              <w:keepLines w:val="0"/>
              <w:pageBreakBefore w:val="0"/>
              <w:numPr>
                <w:ilvl w:val="0"/>
                <w:numId w:val="0"/>
              </w:numPr>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6735" w:type="dxa"/>
            <w:vAlign w:val="center"/>
          </w:tcPr>
          <w:p w14:paraId="6CC4A8C7">
            <w:pPr>
              <w:keepNext w:val="0"/>
              <w:keepLines w:val="0"/>
              <w:pageBreakBefore w:val="0"/>
              <w:numPr>
                <w:ilvl w:val="0"/>
                <w:numId w:val="0"/>
              </w:numPr>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11.</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如中标</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供应商</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供货出现质量问题，或配送无法满足采购人用药的时效性要求，或者无正当理由不同意退换货（已开封的机配颗粒或者近效期颗粒除外），采购人有权另行采购。</w:t>
            </w:r>
          </w:p>
        </w:tc>
        <w:tc>
          <w:tcPr>
            <w:tcW w:w="930" w:type="dxa"/>
            <w:vAlign w:val="center"/>
          </w:tcPr>
          <w:p w14:paraId="71757462">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2FAD8962">
            <w:pPr>
              <w:keepNext w:val="0"/>
              <w:keepLines w:val="0"/>
              <w:pageBreakBefore w:val="0"/>
              <w:numPr>
                <w:ilvl w:val="0"/>
                <w:numId w:val="0"/>
              </w:numPr>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8A6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398B1F50">
            <w:pPr>
              <w:keepNext w:val="0"/>
              <w:keepLines w:val="0"/>
              <w:pageBreakBefore w:val="0"/>
              <w:numPr>
                <w:ilvl w:val="0"/>
                <w:numId w:val="0"/>
              </w:numPr>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1350" w:type="dxa"/>
            <w:vMerge w:val="continue"/>
            <w:vAlign w:val="center"/>
          </w:tcPr>
          <w:p w14:paraId="14C7E25F">
            <w:pPr>
              <w:keepNext w:val="0"/>
              <w:keepLines w:val="0"/>
              <w:pageBreakBefore w:val="0"/>
              <w:numPr>
                <w:ilvl w:val="0"/>
                <w:numId w:val="0"/>
              </w:numPr>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6735" w:type="dxa"/>
            <w:vAlign w:val="center"/>
          </w:tcPr>
          <w:p w14:paraId="064B8EE5">
            <w:pPr>
              <w:keepNext w:val="0"/>
              <w:keepLines w:val="0"/>
              <w:pageBreakBefore w:val="0"/>
              <w:numPr>
                <w:ilvl w:val="0"/>
                <w:numId w:val="0"/>
              </w:numPr>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12.目录有已颁布国家标准的品种，按照国家标准执行报价和送配验收，目录内暂时无国家标准的品种应当符合广东省药品监督管理部门制定或认可的中药配方颗粒标准。如在招标后药监部门有新公布的国、省标准，将根据采购人临床实际需求，并遵照深圳市儿童医院相关制度和流程执行。</w:t>
            </w:r>
          </w:p>
        </w:tc>
        <w:tc>
          <w:tcPr>
            <w:tcW w:w="930" w:type="dxa"/>
            <w:vAlign w:val="center"/>
          </w:tcPr>
          <w:p w14:paraId="39DB3A6C">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845B078">
            <w:pPr>
              <w:keepNext w:val="0"/>
              <w:keepLines w:val="0"/>
              <w:pageBreakBefore w:val="0"/>
              <w:numPr>
                <w:ilvl w:val="0"/>
                <w:numId w:val="0"/>
              </w:numPr>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A3F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20AB1446">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1350" w:type="dxa"/>
            <w:vMerge w:val="continue"/>
            <w:vAlign w:val="center"/>
          </w:tcPr>
          <w:p w14:paraId="3D47B2AA">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6735" w:type="dxa"/>
            <w:vAlign w:val="center"/>
          </w:tcPr>
          <w:p w14:paraId="01BCAD20">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13.合同期内，</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供应商负责承担</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采购人</w:t>
            </w:r>
            <w:r>
              <w:rPr>
                <w:rFonts w:hint="default" w:ascii="Times New Roman" w:hAnsi="Times New Roman" w:eastAsia="宋体" w:cs="Times New Roman"/>
                <w:b w:val="0"/>
                <w:bCs w:val="0"/>
                <w:color w:val="000000" w:themeColor="text1"/>
                <w:sz w:val="18"/>
                <w:szCs w:val="18"/>
                <w14:textFill>
                  <w14:solidFill>
                    <w14:schemeClr w14:val="tx1"/>
                  </w14:solidFill>
                </w14:textFill>
              </w:rPr>
              <w:t>药剂人员业务培训（如自动化设备使用等）。</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免费提供与项目相关的人才培养服务、指导采购人申报中医药相关课题研究项目。</w:t>
            </w:r>
          </w:p>
        </w:tc>
        <w:tc>
          <w:tcPr>
            <w:tcW w:w="930" w:type="dxa"/>
            <w:vAlign w:val="center"/>
          </w:tcPr>
          <w:p w14:paraId="69EF9E3A">
            <w:pPr>
              <w:pStyle w:val="19"/>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AB1439B">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bl>
    <w:p w14:paraId="1F5CED48">
      <w:pPr>
        <w:widowControl/>
        <w:jc w:val="left"/>
        <w:rPr>
          <w:rFonts w:ascii="宋体" w:hAnsi="宋体" w:cs="宋体"/>
          <w:b/>
          <w:bCs/>
          <w:color w:val="3F3F3F"/>
          <w:kern w:val="0"/>
          <w:szCs w:val="21"/>
        </w:rPr>
      </w:pPr>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2575"/>
    </w:sdtPr>
    <w:sdtContent>
      <w:sdt>
        <w:sdtPr>
          <w:id w:val="147458786"/>
        </w:sdtPr>
        <w:sdtContent>
          <w:p w14:paraId="0BE6E44E">
            <w:pPr>
              <w:pStyle w:val="7"/>
            </w:pPr>
            <w:r>
              <w:rPr>
                <w:lang w:val="zh-CN"/>
              </w:rPr>
              <w:t xml:space="preserve"> </w:t>
            </w:r>
            <w:r>
              <w:fldChar w:fldCharType="begin"/>
            </w:r>
            <w:r>
              <w:instrText xml:space="preserve">PAGE</w:instrText>
            </w:r>
            <w:r>
              <w:fldChar w:fldCharType="separate"/>
            </w:r>
            <w:r>
              <w:t>1</w:t>
            </w:r>
            <w:r>
              <w:fldChar w:fldCharType="end"/>
            </w:r>
            <w:r>
              <w:rPr>
                <w:lang w:val="zh-CN"/>
              </w:rPr>
              <w:t xml:space="preserve"> / </w:t>
            </w:r>
            <w:r>
              <w:fldChar w:fldCharType="begin"/>
            </w:r>
            <w:r>
              <w:instrText xml:space="preserve">NUMPAGES</w:instrText>
            </w:r>
            <w:r>
              <w:fldChar w:fldCharType="separate"/>
            </w:r>
            <w:r>
              <w:t>3</w:t>
            </w:r>
            <w: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F7565">
    <w:pPr>
      <w:pStyle w:val="7"/>
    </w:pPr>
  </w:p>
  <w:p w14:paraId="1200D019">
    <w:pPr>
      <w:pStyle w:val="7"/>
    </w:pPr>
  </w:p>
  <w:p w14:paraId="4D274C1B">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A045B"/>
    <w:multiLevelType w:val="multilevel"/>
    <w:tmpl w:val="492A045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16"/>
    <w:rsid w:val="000E0A0A"/>
    <w:rsid w:val="00153BBB"/>
    <w:rsid w:val="00180716"/>
    <w:rsid w:val="001F5A61"/>
    <w:rsid w:val="00217BF9"/>
    <w:rsid w:val="002C0BFD"/>
    <w:rsid w:val="00397900"/>
    <w:rsid w:val="004607A8"/>
    <w:rsid w:val="00513746"/>
    <w:rsid w:val="00612575"/>
    <w:rsid w:val="006B7040"/>
    <w:rsid w:val="00705EF8"/>
    <w:rsid w:val="00712468"/>
    <w:rsid w:val="00803FA4"/>
    <w:rsid w:val="0086395D"/>
    <w:rsid w:val="008F2A81"/>
    <w:rsid w:val="0091437C"/>
    <w:rsid w:val="0092593E"/>
    <w:rsid w:val="00936324"/>
    <w:rsid w:val="00980851"/>
    <w:rsid w:val="00A15F96"/>
    <w:rsid w:val="00A54EDE"/>
    <w:rsid w:val="00A6345B"/>
    <w:rsid w:val="00A70CB8"/>
    <w:rsid w:val="00AA10B5"/>
    <w:rsid w:val="00BE5B4B"/>
    <w:rsid w:val="00C138A3"/>
    <w:rsid w:val="00C3057F"/>
    <w:rsid w:val="00C70023"/>
    <w:rsid w:val="00C70D64"/>
    <w:rsid w:val="00CA1F88"/>
    <w:rsid w:val="00CB053E"/>
    <w:rsid w:val="00CD76E2"/>
    <w:rsid w:val="00D068AE"/>
    <w:rsid w:val="00D57EC2"/>
    <w:rsid w:val="00D81886"/>
    <w:rsid w:val="00E13D8B"/>
    <w:rsid w:val="00E151AC"/>
    <w:rsid w:val="00E84839"/>
    <w:rsid w:val="00E87DEE"/>
    <w:rsid w:val="00EA7CE7"/>
    <w:rsid w:val="00ED525A"/>
    <w:rsid w:val="00F472BE"/>
    <w:rsid w:val="00FD2108"/>
    <w:rsid w:val="048E7480"/>
    <w:rsid w:val="08401EA7"/>
    <w:rsid w:val="0EEF6951"/>
    <w:rsid w:val="157F0D8F"/>
    <w:rsid w:val="16FB4072"/>
    <w:rsid w:val="198F20E8"/>
    <w:rsid w:val="19F47144"/>
    <w:rsid w:val="1F982966"/>
    <w:rsid w:val="211508B6"/>
    <w:rsid w:val="258E0C37"/>
    <w:rsid w:val="2CFC73DB"/>
    <w:rsid w:val="2F431751"/>
    <w:rsid w:val="30452F0A"/>
    <w:rsid w:val="30BD2F4A"/>
    <w:rsid w:val="34F80113"/>
    <w:rsid w:val="38DD4789"/>
    <w:rsid w:val="39EC5C9A"/>
    <w:rsid w:val="3A800B22"/>
    <w:rsid w:val="3A8B1925"/>
    <w:rsid w:val="3B707EB1"/>
    <w:rsid w:val="3BEB7461"/>
    <w:rsid w:val="3F44696D"/>
    <w:rsid w:val="41A97BDE"/>
    <w:rsid w:val="42931AD1"/>
    <w:rsid w:val="43190CA7"/>
    <w:rsid w:val="44E84EF8"/>
    <w:rsid w:val="45C31957"/>
    <w:rsid w:val="477F66B9"/>
    <w:rsid w:val="4AC85F98"/>
    <w:rsid w:val="4B237456"/>
    <w:rsid w:val="4D42484F"/>
    <w:rsid w:val="4FE93076"/>
    <w:rsid w:val="50557B37"/>
    <w:rsid w:val="52743765"/>
    <w:rsid w:val="554D3E65"/>
    <w:rsid w:val="5BBD6E4C"/>
    <w:rsid w:val="5D453C8C"/>
    <w:rsid w:val="67BE3C72"/>
    <w:rsid w:val="683A16E7"/>
    <w:rsid w:val="716F11A7"/>
    <w:rsid w:val="71864485"/>
    <w:rsid w:val="75FB71EF"/>
    <w:rsid w:val="77584115"/>
    <w:rsid w:val="77C83101"/>
    <w:rsid w:val="79A46D05"/>
    <w:rsid w:val="7EB959E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120" w:after="120"/>
      <w:outlineLvl w:val="1"/>
    </w:pPr>
    <w:rPr>
      <w:rFonts w:ascii="Cambria" w:hAnsi="Cambria" w:eastAsia="仿宋"/>
      <w:b/>
      <w:bCs/>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rPr>
      <w:rFonts w:ascii="Times New Roman" w:hAnsi="Times New Roman"/>
      <w:szCs w:val="21"/>
    </w:rPr>
  </w:style>
  <w:style w:type="paragraph" w:styleId="4">
    <w:name w:val="Body Text"/>
    <w:basedOn w:val="1"/>
    <w:next w:val="5"/>
    <w:qFormat/>
    <w:uiPriority w:val="0"/>
    <w:pPr>
      <w:tabs>
        <w:tab w:val="left" w:pos="4760"/>
      </w:tabs>
      <w:jc w:val="left"/>
    </w:pPr>
  </w:style>
  <w:style w:type="paragraph" w:styleId="5">
    <w:name w:val="Quote"/>
    <w:basedOn w:val="1"/>
    <w:next w:val="1"/>
    <w:autoRedefine/>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6">
    <w:name w:val="Plain Text"/>
    <w:basedOn w:val="1"/>
    <w:qFormat/>
    <w:uiPriority w:val="99"/>
    <w:rPr>
      <w:rFonts w:ascii="宋体" w:hAnsi="Courier New"/>
    </w:rPr>
  </w:style>
  <w:style w:type="paragraph" w:styleId="7">
    <w:name w:val="footer"/>
    <w:basedOn w:val="1"/>
    <w:next w:val="1"/>
    <w:link w:val="16"/>
    <w:unhideWhenUsed/>
    <w:qFormat/>
    <w:uiPriority w:val="99"/>
    <w:pPr>
      <w:tabs>
        <w:tab w:val="center" w:pos="4153"/>
        <w:tab w:val="right" w:pos="8306"/>
      </w:tabs>
      <w:snapToGrid w:val="0"/>
      <w:jc w:val="left"/>
    </w:pPr>
    <w:rPr>
      <w:kern w:val="0"/>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annotation reference"/>
    <w:semiHidden/>
    <w:unhideWhenUsed/>
    <w:qFormat/>
    <w:uiPriority w:val="99"/>
    <w:rPr>
      <w:sz w:val="21"/>
      <w:szCs w:val="21"/>
    </w:rPr>
  </w:style>
  <w:style w:type="character" w:customStyle="1" w:styleId="15">
    <w:name w:val="页眉 Char"/>
    <w:link w:val="8"/>
    <w:qFormat/>
    <w:uiPriority w:val="99"/>
    <w:rPr>
      <w:sz w:val="18"/>
      <w:szCs w:val="18"/>
    </w:rPr>
  </w:style>
  <w:style w:type="character" w:customStyle="1" w:styleId="16">
    <w:name w:val="页脚 Char"/>
    <w:link w:val="7"/>
    <w:qFormat/>
    <w:uiPriority w:val="99"/>
    <w:rPr>
      <w:sz w:val="18"/>
      <w:szCs w:val="18"/>
    </w:rPr>
  </w:style>
  <w:style w:type="character" w:customStyle="1" w:styleId="17">
    <w:name w:val="批注文字 Char"/>
    <w:link w:val="3"/>
    <w:semiHidden/>
    <w:qFormat/>
    <w:uiPriority w:val="99"/>
    <w:rPr>
      <w:rFonts w:ascii="Times New Roman" w:hAnsi="Times New Roman"/>
      <w:kern w:val="2"/>
      <w:sz w:val="21"/>
      <w:szCs w:val="21"/>
    </w:rPr>
  </w:style>
  <w:style w:type="paragraph" w:customStyle="1" w:styleId="18">
    <w:name w:val="正文文本11"/>
    <w:basedOn w:val="1"/>
    <w:qFormat/>
    <w:uiPriority w:val="0"/>
    <w:pPr>
      <w:widowControl/>
      <w:spacing w:line="360" w:lineRule="auto"/>
      <w:jc w:val="left"/>
    </w:pPr>
    <w:rPr>
      <w:rFonts w:ascii="Times New Roman" w:hAnsi="Times New Roman"/>
      <w:sz w:val="24"/>
      <w:szCs w:val="20"/>
    </w:rPr>
  </w:style>
  <w:style w:type="paragraph" w:customStyle="1" w:styleId="19">
    <w:name w:val="null3"/>
    <w:hidden/>
    <w:qFormat/>
    <w:uiPriority w:val="0"/>
    <w:rPr>
      <w:rFonts w:hint="eastAsia" w:asciiTheme="minorHAnsi" w:hAnsiTheme="minorHAnsi" w:eastAsiaTheme="minorEastAsia" w:cstheme="minorBidi"/>
      <w:lang w:val="en-US" w:eastAsia="zh-Hans"/>
    </w:rPr>
  </w:style>
  <w:style w:type="paragraph" w:styleId="20">
    <w:name w:val="List Paragraph"/>
    <w:basedOn w:val="1"/>
    <w:unhideWhenUsed/>
    <w:qFormat/>
    <w:uiPriority w:val="99"/>
    <w:pPr>
      <w:ind w:firstLine="420" w:firstLineChars="200"/>
    </w:pPr>
  </w:style>
  <w:style w:type="paragraph" w:customStyle="1" w:styleId="21">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Pages>
  <Words>1197</Words>
  <Characters>1230</Characters>
  <Lines>9</Lines>
  <Paragraphs>2</Paragraphs>
  <TotalTime>0</TotalTime>
  <ScaleCrop>false</ScaleCrop>
  <LinksUpToDate>false</LinksUpToDate>
  <CharactersWithSpaces>1473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2023-04-28T01:13:00Z</dcterms:created>
  <dc:creator>Sky123.Org</dc:creator>
  <cp:lastModifiedBy>中正招标-刘蕊</cp:lastModifiedBy>
  <dcterms:modified xsi:type="dcterms:W3CDTF">2025-03-06T06:31:57Z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eyJoZGlkIjoiZDE3MTRiOGQzMzE4MzNhYTA4OTRhZmFjZjE5NDc5YTYiLCJ1c2VySWQiOiIxNTIxNDE1MzI1In0=</vt:lpwstr>
  </property>
  <property fmtid="{D5CDD505-2E9C-101B-9397-08002B2CF9AE}" pid="3" name="KSOProductBuildVer">
    <vt:lpwstr>2052-12.1.0.20305</vt:lpwstr>
  </property>
  <property fmtid="{D5CDD505-2E9C-101B-9397-08002B2CF9AE}" pid="4" name="ICV">
    <vt:lpwstr>34716B1C6A8A4818B54794F32551BE93_13</vt:lpwstr>
  </property>
</Properties>
</file>