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59EA1">
      <w:pPr>
        <w:pStyle w:val="8"/>
        <w:snapToGrid w:val="0"/>
        <w:spacing w:before="0" w:beforeAutospacing="0" w:after="0" w:afterAutospacing="0" w:line="360" w:lineRule="auto"/>
        <w:jc w:val="center"/>
        <w:rPr>
          <w:rFonts w:hint="eastAsia" w:ascii="仿宋" w:hAnsi="仿宋" w:eastAsia="仿宋" w:cs="仿宋"/>
          <w:b/>
          <w:bCs/>
        </w:rPr>
      </w:pPr>
      <w:r>
        <w:rPr>
          <w:rFonts w:hint="eastAsia" w:ascii="方正大标宋简体" w:eastAsia="方正大标宋简体"/>
          <w:sz w:val="44"/>
          <w:szCs w:val="44"/>
        </w:rPr>
        <w:t>采购需求调查</w:t>
      </w:r>
    </w:p>
    <w:p w14:paraId="36469A2B">
      <w:pPr>
        <w:pStyle w:val="8"/>
        <w:snapToGrid w:val="0"/>
        <w:spacing w:before="0" w:beforeAutospacing="0" w:after="0" w:afterAutospacing="0" w:line="360" w:lineRule="auto"/>
        <w:rPr>
          <w:rStyle w:val="12"/>
          <w:rFonts w:ascii="仿宋" w:hAnsi="仿宋" w:eastAsia="仿宋" w:cs="仿宋"/>
          <w:b w:val="0"/>
          <w:bCs w:val="0"/>
          <w:color w:val="000000"/>
          <w:u w:val="single"/>
        </w:rPr>
      </w:pPr>
      <w:r>
        <w:rPr>
          <w:rFonts w:hint="eastAsia" w:ascii="仿宋" w:hAnsi="仿宋" w:eastAsia="仿宋" w:cs="仿宋"/>
          <w:b/>
          <w:bCs/>
        </w:rPr>
        <w:t>一、参与调查供应商的基本信息</w:t>
      </w:r>
    </w:p>
    <w:p w14:paraId="68B0ADA7">
      <w:pPr>
        <w:spacing w:line="360" w:lineRule="auto"/>
        <w:jc w:val="left"/>
        <w:rPr>
          <w:rFonts w:ascii="仿宋" w:hAnsi="仿宋" w:eastAsia="仿宋" w:cs="仿宋"/>
          <w:sz w:val="24"/>
          <w:szCs w:val="24"/>
        </w:rPr>
      </w:pPr>
      <w:r>
        <w:rPr>
          <w:rFonts w:hint="eastAsia" w:ascii="仿宋" w:hAnsi="仿宋" w:eastAsia="仿宋" w:cs="仿宋"/>
          <w:sz w:val="24"/>
          <w:szCs w:val="24"/>
        </w:rPr>
        <w:t>（1）供应商名称（盖章）：</w:t>
      </w:r>
      <w:r>
        <w:rPr>
          <w:rFonts w:hint="eastAsia" w:ascii="仿宋" w:hAnsi="仿宋" w:eastAsia="仿宋" w:cs="仿宋"/>
          <w:sz w:val="24"/>
          <w:szCs w:val="24"/>
          <w:u w:val="single"/>
        </w:rPr>
        <w:t xml:space="preserve">                               </w:t>
      </w:r>
    </w:p>
    <w:p w14:paraId="32C1E3ED">
      <w:pPr>
        <w:spacing w:line="360" w:lineRule="auto"/>
        <w:jc w:val="left"/>
        <w:rPr>
          <w:rFonts w:ascii="仿宋" w:hAnsi="仿宋" w:eastAsia="仿宋" w:cs="仿宋"/>
          <w:sz w:val="24"/>
          <w:szCs w:val="24"/>
        </w:rPr>
      </w:pPr>
      <w:r>
        <w:rPr>
          <w:rFonts w:hint="eastAsia" w:ascii="仿宋" w:hAnsi="仿宋" w:eastAsia="仿宋" w:cs="仿宋"/>
          <w:sz w:val="24"/>
          <w:szCs w:val="24"/>
        </w:rPr>
        <w:t>（2）供应商所在地：</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5491B3CB">
      <w:pPr>
        <w:spacing w:line="360" w:lineRule="auto"/>
        <w:jc w:val="left"/>
        <w:rPr>
          <w:rFonts w:hint="eastAsia" w:ascii="仿宋" w:hAnsi="仿宋" w:eastAsia="仿宋" w:cs="仿宋"/>
          <w:i/>
          <w:iCs/>
          <w:sz w:val="24"/>
          <w:szCs w:val="24"/>
          <w:u w:val="single"/>
        </w:rPr>
      </w:pPr>
      <w:r>
        <w:rPr>
          <w:rFonts w:hint="eastAsia" w:ascii="仿宋" w:hAnsi="仿宋" w:eastAsia="仿宋" w:cs="仿宋"/>
          <w:sz w:val="24"/>
          <w:szCs w:val="24"/>
        </w:rPr>
        <w:t>（3）供应商属性：</w:t>
      </w:r>
      <w:r>
        <w:rPr>
          <w:rFonts w:hint="eastAsia" w:ascii="仿宋" w:hAnsi="仿宋" w:eastAsia="仿宋" w:cs="仿宋"/>
          <w:i/>
          <w:iCs/>
          <w:sz w:val="24"/>
          <w:szCs w:val="24"/>
          <w:u w:val="single"/>
        </w:rPr>
        <w:t xml:space="preserve">属于大型企业或者中型企业或者小微企业？ </w:t>
      </w:r>
    </w:p>
    <w:p w14:paraId="71F2DEC9">
      <w:pPr>
        <w:spacing w:line="360" w:lineRule="auto"/>
        <w:jc w:val="left"/>
        <w:rPr>
          <w:rFonts w:hint="eastAsia" w:ascii="仿宋" w:hAnsi="仿宋" w:eastAsia="仿宋" w:cs="仿宋"/>
          <w:sz w:val="24"/>
          <w:szCs w:val="24"/>
          <w:u w:val="singl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）经营规模：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207687B7">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）联系人及联系电话：</w:t>
      </w:r>
      <w:r>
        <w:rPr>
          <w:rFonts w:hint="eastAsia" w:ascii="仿宋" w:hAnsi="仿宋" w:eastAsia="仿宋" w:cs="仿宋"/>
          <w:sz w:val="24"/>
          <w:szCs w:val="24"/>
          <w:u w:val="single"/>
        </w:rPr>
        <w:t xml:space="preserve">                                 </w:t>
      </w:r>
    </w:p>
    <w:p w14:paraId="23D3335F">
      <w:pPr>
        <w:spacing w:line="360" w:lineRule="auto"/>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）填表日期：</w:t>
      </w:r>
      <w:r>
        <w:rPr>
          <w:rFonts w:hint="eastAsia" w:ascii="仿宋" w:hAnsi="仿宋" w:eastAsia="仿宋" w:cs="仿宋"/>
          <w:sz w:val="24"/>
          <w:szCs w:val="24"/>
          <w:u w:val="single"/>
        </w:rPr>
        <w:t xml:space="preserve">                                         </w:t>
      </w:r>
    </w:p>
    <w:p w14:paraId="0F3FB554">
      <w:pPr>
        <w:rPr>
          <w:rStyle w:val="12"/>
          <w:rFonts w:ascii="仿宋" w:hAnsi="仿宋" w:eastAsia="仿宋" w:cs="仿宋"/>
          <w:b w:val="0"/>
          <w:bCs w:val="0"/>
          <w:sz w:val="24"/>
          <w:szCs w:val="24"/>
        </w:rPr>
      </w:pPr>
      <w:r>
        <w:rPr>
          <w:rFonts w:hint="eastAsia"/>
        </w:rPr>
        <w:t xml:space="preserve">                             </w:t>
      </w:r>
    </w:p>
    <w:p w14:paraId="7EF6C6D7">
      <w:pPr>
        <w:widowControl/>
        <w:jc w:val="left"/>
        <w:rPr>
          <w:rFonts w:ascii="宋体" w:hAnsi="宋体" w:cs="宋体"/>
          <w:b/>
          <w:bCs/>
          <w:color w:val="3F3F3F"/>
          <w:kern w:val="0"/>
          <w:szCs w:val="21"/>
        </w:rPr>
      </w:pPr>
      <w:r>
        <w:rPr>
          <w:rStyle w:val="12"/>
          <w:rFonts w:hint="eastAsia" w:ascii="仿宋" w:hAnsi="仿宋" w:eastAsia="仿宋" w:cs="仿宋"/>
          <w:color w:val="000000"/>
        </w:rPr>
        <w:t>二、调查事项（供应商须填写内容）</w:t>
      </w:r>
    </w:p>
    <w:p w14:paraId="307FE7CA">
      <w:pPr>
        <w:widowControl/>
        <w:jc w:val="left"/>
        <w:rPr>
          <w:rFonts w:ascii="宋体" w:hAnsi="宋体" w:cs="宋体"/>
          <w:b/>
          <w:bCs/>
          <w:color w:val="3F3F3F"/>
          <w:kern w:val="0"/>
          <w:szCs w:val="21"/>
        </w:rPr>
      </w:pPr>
    </w:p>
    <w:p w14:paraId="487EFF0B">
      <w:pPr>
        <w:widowControl/>
        <w:jc w:val="left"/>
        <w:rPr>
          <w:rFonts w:ascii="宋体" w:hAnsi="宋体" w:cs="宋体"/>
          <w:b/>
          <w:bCs/>
          <w:color w:val="3F3F3F"/>
          <w:kern w:val="0"/>
          <w:szCs w:val="21"/>
        </w:rPr>
      </w:pPr>
    </w:p>
    <w:p w14:paraId="63A843AE">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、针对本项目，是否要求供应商具备特定资格条件？</w:t>
      </w:r>
    </w:p>
    <w:p w14:paraId="48112F40">
      <w:pPr>
        <w:spacing w:line="360" w:lineRule="auto"/>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 xml:space="preserve"> 如有请补充，如不涉及则填写“不涉及”。</w:t>
      </w:r>
    </w:p>
    <w:p w14:paraId="3C813E15">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、针对本项目，是否存在国家标准、行业标准或者地方标准？</w:t>
      </w:r>
    </w:p>
    <w:p w14:paraId="3D3B89A4">
      <w:pPr>
        <w:spacing w:line="360" w:lineRule="auto"/>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如有请补充，如不涉及则填写“不涉及”。</w:t>
      </w:r>
    </w:p>
    <w:p w14:paraId="7F278DE6">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、针对本项目，是否适合专门面向中小企业实施采购？</w:t>
      </w:r>
    </w:p>
    <w:p w14:paraId="2D7812EC">
      <w:pPr>
        <w:spacing w:line="360" w:lineRule="auto"/>
        <w:jc w:val="lef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请结合市场供给情况进行反馈，并请说明理由。</w:t>
      </w:r>
    </w:p>
    <w:p w14:paraId="0D7AC1E3">
      <w:pPr>
        <w:numPr>
          <w:ilvl w:val="0"/>
          <w:numId w:val="0"/>
        </w:numPr>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rPr>
        <w:t>针对本项目，其相关产业发展情况如何？</w:t>
      </w:r>
    </w:p>
    <w:p w14:paraId="2A7F9CD9">
      <w:pPr>
        <w:numPr>
          <w:ilvl w:val="0"/>
          <w:numId w:val="0"/>
        </w:numPr>
        <w:spacing w:line="360" w:lineRule="auto"/>
        <w:jc w:val="left"/>
        <w:rPr>
          <w:rFonts w:ascii="仿宋" w:hAnsi="仿宋" w:eastAsia="仿宋" w:cs="仿宋"/>
          <w:sz w:val="24"/>
          <w:szCs w:val="24"/>
        </w:rPr>
      </w:pPr>
      <w:r>
        <w:rPr>
          <w:rFonts w:hint="eastAsia" w:ascii="仿宋" w:hAnsi="仿宋" w:eastAsia="仿宋" w:cs="仿宋"/>
          <w:i/>
          <w:iCs/>
          <w:sz w:val="24"/>
          <w:szCs w:val="24"/>
          <w:u w:val="single"/>
        </w:rPr>
        <w:t>请结合市场产业发展情况进行反馈，例如产业现状以及后续发展趋势。</w:t>
      </w:r>
      <w:r>
        <w:rPr>
          <w:rFonts w:hint="eastAsia" w:ascii="仿宋" w:hAnsi="仿宋" w:eastAsia="仿宋" w:cs="仿宋"/>
          <w:sz w:val="24"/>
          <w:szCs w:val="24"/>
          <w:u w:val="single"/>
        </w:rPr>
        <w:t xml:space="preserve">  </w:t>
      </w:r>
    </w:p>
    <w:p w14:paraId="449C24C8">
      <w:pPr>
        <w:spacing w:line="360" w:lineRule="auto"/>
        <w:jc w:val="left"/>
        <w:rPr>
          <w:rFonts w:ascii="仿宋" w:hAnsi="仿宋" w:eastAsia="仿宋" w:cs="仿宋"/>
          <w:b/>
          <w:bCs/>
          <w:spacing w:val="-14"/>
          <w:sz w:val="24"/>
          <w:szCs w:val="24"/>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、针</w:t>
      </w:r>
      <w:r>
        <w:rPr>
          <w:rFonts w:hint="eastAsia" w:ascii="仿宋" w:hAnsi="仿宋" w:eastAsia="仿宋" w:cs="仿宋"/>
          <w:b/>
          <w:bCs/>
          <w:spacing w:val="-14"/>
          <w:sz w:val="24"/>
          <w:szCs w:val="24"/>
        </w:rPr>
        <w:t>对本项目，其市场供给情况如何？</w:t>
      </w:r>
      <w:r>
        <w:rPr>
          <w:rFonts w:hint="eastAsia" w:ascii="仿宋" w:hAnsi="仿宋" w:eastAsia="仿宋" w:cs="仿宋"/>
          <w:b/>
          <w:bCs/>
          <w:spacing w:val="-14"/>
          <w:sz w:val="24"/>
          <w:szCs w:val="24"/>
          <w:lang w:val="en-US" w:eastAsia="zh-CN"/>
        </w:rPr>
        <w:t>主要</w:t>
      </w:r>
      <w:r>
        <w:rPr>
          <w:rFonts w:hint="eastAsia" w:ascii="仿宋" w:hAnsi="仿宋" w:eastAsia="仿宋" w:cs="仿宋"/>
          <w:b/>
          <w:bCs/>
          <w:sz w:val="24"/>
          <w:szCs w:val="24"/>
          <w:lang w:val="en-US" w:eastAsia="zh-CN"/>
        </w:rPr>
        <w:t>竞争对手有那些？如有行业规模排名请提供相关关报告，自身优势情况描述。</w:t>
      </w:r>
    </w:p>
    <w:p w14:paraId="272B88B6">
      <w:pPr>
        <w:spacing w:line="360" w:lineRule="auto"/>
        <w:jc w:val="left"/>
        <w:rPr>
          <w:rFonts w:ascii="仿宋" w:hAnsi="仿宋" w:eastAsia="仿宋" w:cs="仿宋"/>
          <w:i/>
          <w:iCs/>
          <w:sz w:val="24"/>
          <w:szCs w:val="24"/>
          <w:u w:val="single"/>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请结合市场供给情况进行反馈，</w:t>
      </w:r>
      <w:r>
        <w:rPr>
          <w:rFonts w:hint="eastAsia" w:ascii="仿宋" w:hAnsi="仿宋" w:eastAsia="仿宋" w:cs="仿宋"/>
          <w:i/>
          <w:iCs/>
          <w:sz w:val="24"/>
          <w:szCs w:val="24"/>
          <w:u w:val="single"/>
          <w:lang w:val="en-US" w:eastAsia="zh-CN"/>
        </w:rPr>
        <w:t>行业主要竞争对手有那几家？</w:t>
      </w:r>
      <w:r>
        <w:rPr>
          <w:rFonts w:hint="eastAsia" w:ascii="仿宋" w:hAnsi="仿宋" w:eastAsia="仿宋" w:cs="仿宋"/>
          <w:i/>
          <w:iCs/>
          <w:sz w:val="24"/>
          <w:szCs w:val="24"/>
          <w:u w:val="single"/>
        </w:rPr>
        <w:t>是否存在行业垄断等市场竞争不充分的情况。</w:t>
      </w:r>
      <w:r>
        <w:rPr>
          <w:rFonts w:hint="eastAsia" w:ascii="仿宋" w:hAnsi="仿宋" w:eastAsia="仿宋" w:cs="仿宋"/>
          <w:i/>
          <w:iCs/>
          <w:sz w:val="24"/>
          <w:szCs w:val="24"/>
          <w:u w:val="single"/>
          <w:lang w:val="en-US" w:eastAsia="zh-CN"/>
        </w:rPr>
        <w:t>你投标单位在行业中所占的优势</w:t>
      </w:r>
      <w:r>
        <w:rPr>
          <w:rFonts w:hint="eastAsia" w:ascii="仿宋" w:hAnsi="仿宋" w:eastAsia="仿宋" w:cs="仿宋"/>
          <w:i/>
          <w:iCs/>
          <w:sz w:val="24"/>
          <w:szCs w:val="24"/>
          <w:u w:val="single"/>
        </w:rPr>
        <w:t xml:space="preserve"> </w:t>
      </w:r>
    </w:p>
    <w:p w14:paraId="04B7B34B">
      <w:pPr>
        <w:spacing w:line="360" w:lineRule="auto"/>
        <w:jc w:val="left"/>
        <w:rPr>
          <w:rFonts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、针对本项目，是否存在可能涉及后续采购情况？</w:t>
      </w:r>
    </w:p>
    <w:p w14:paraId="0A5B6BCF">
      <w:pPr>
        <w:spacing w:line="360" w:lineRule="auto"/>
        <w:jc w:val="lef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i/>
          <w:iCs/>
          <w:sz w:val="24"/>
          <w:szCs w:val="24"/>
          <w:u w:val="single"/>
        </w:rPr>
        <w:t xml:space="preserve">请结合本项目采购需求进行提供相关建议。  </w:t>
      </w:r>
      <w:r>
        <w:rPr>
          <w:rFonts w:hint="eastAsia" w:ascii="仿宋" w:hAnsi="仿宋" w:eastAsia="仿宋" w:cs="仿宋"/>
          <w:sz w:val="24"/>
          <w:szCs w:val="24"/>
          <w:u w:val="single"/>
        </w:rPr>
        <w:t xml:space="preserve">  </w:t>
      </w:r>
    </w:p>
    <w:p w14:paraId="60D3BF0C">
      <w:pPr>
        <w:sectPr>
          <w:footerReference r:id="rId3" w:type="default"/>
          <w:pgSz w:w="11906" w:h="16838"/>
          <w:pgMar w:top="1440" w:right="1416" w:bottom="1440" w:left="1276" w:header="851" w:footer="992" w:gutter="0"/>
          <w:cols w:space="425" w:num="1"/>
          <w:docGrid w:type="lines" w:linePitch="312" w:charSpace="0"/>
        </w:sectPr>
      </w:pPr>
    </w:p>
    <w:p w14:paraId="0CDC29B2">
      <w:pPr>
        <w:pStyle w:val="8"/>
        <w:rPr>
          <w:rStyle w:val="12"/>
          <w:rFonts w:hint="default" w:ascii="仿宋" w:hAnsi="仿宋" w:eastAsia="仿宋" w:cs="仿宋"/>
          <w:color w:val="000000"/>
          <w:lang w:val="en-US" w:eastAsia="zh-CN"/>
        </w:rPr>
      </w:pPr>
      <w:r>
        <w:rPr>
          <w:rStyle w:val="12"/>
          <w:rFonts w:hint="eastAsia" w:ascii="仿宋" w:hAnsi="仿宋" w:eastAsia="仿宋" w:cs="仿宋"/>
          <w:color w:val="000000"/>
          <w:lang w:val="en-US" w:eastAsia="zh-CN"/>
        </w:rPr>
        <w:t>7、同类项目历史成交情况</w:t>
      </w:r>
    </w:p>
    <w:p w14:paraId="6A41844F">
      <w:pPr>
        <w:widowControl/>
        <w:jc w:val="center"/>
        <w:rPr>
          <w:rFonts w:hint="eastAsia" w:ascii="黑体" w:hAnsi="黑体" w:eastAsia="黑体"/>
          <w:color w:val="000000"/>
          <w:sz w:val="28"/>
          <w:szCs w:val="28"/>
        </w:rPr>
      </w:pPr>
    </w:p>
    <w:tbl>
      <w:tblPr>
        <w:tblStyle w:val="10"/>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234"/>
        <w:gridCol w:w="1359"/>
        <w:gridCol w:w="1274"/>
        <w:gridCol w:w="1059"/>
        <w:gridCol w:w="1167"/>
        <w:gridCol w:w="1259"/>
      </w:tblGrid>
      <w:tr w14:paraId="629EE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906" w:type="dxa"/>
            <w:vAlign w:val="center"/>
          </w:tcPr>
          <w:p w14:paraId="745163AD">
            <w:pPr>
              <w:jc w:val="center"/>
              <w:rPr>
                <w:rFonts w:hint="eastAsia" w:ascii="仿宋" w:hAnsi="仿宋" w:eastAsia="仿宋" w:cs="Times New Roman"/>
                <w:b/>
                <w:bCs/>
                <w:sz w:val="24"/>
              </w:rPr>
            </w:pPr>
            <w:r>
              <w:rPr>
                <w:rFonts w:hint="eastAsia" w:ascii="仿宋" w:hAnsi="仿宋" w:eastAsia="仿宋" w:cs="Times New Roman"/>
                <w:b/>
                <w:bCs/>
                <w:sz w:val="24"/>
              </w:rPr>
              <w:t>序号</w:t>
            </w:r>
          </w:p>
        </w:tc>
        <w:tc>
          <w:tcPr>
            <w:tcW w:w="1234" w:type="dxa"/>
            <w:vAlign w:val="center"/>
          </w:tcPr>
          <w:p w14:paraId="726D858F">
            <w:pPr>
              <w:jc w:val="center"/>
              <w:rPr>
                <w:rFonts w:hint="eastAsia" w:ascii="仿宋" w:hAnsi="仿宋" w:eastAsia="仿宋" w:cs="Times New Roman"/>
                <w:b/>
                <w:bCs/>
                <w:sz w:val="24"/>
              </w:rPr>
            </w:pPr>
            <w:r>
              <w:rPr>
                <w:rFonts w:hint="eastAsia" w:ascii="仿宋" w:hAnsi="仿宋" w:eastAsia="仿宋" w:cs="Times New Roman"/>
                <w:b/>
                <w:bCs/>
                <w:sz w:val="24"/>
              </w:rPr>
              <w:t>采购人</w:t>
            </w:r>
          </w:p>
        </w:tc>
        <w:tc>
          <w:tcPr>
            <w:tcW w:w="1359" w:type="dxa"/>
            <w:vAlign w:val="center"/>
          </w:tcPr>
          <w:p w14:paraId="055F3FB2">
            <w:pPr>
              <w:jc w:val="center"/>
              <w:rPr>
                <w:rFonts w:hint="eastAsia" w:ascii="仿宋" w:hAnsi="仿宋" w:eastAsia="仿宋" w:cs="Times New Roman"/>
                <w:b/>
                <w:bCs/>
                <w:sz w:val="24"/>
              </w:rPr>
            </w:pPr>
            <w:r>
              <w:rPr>
                <w:rFonts w:hint="eastAsia" w:ascii="仿宋" w:hAnsi="仿宋" w:eastAsia="仿宋" w:cs="Times New Roman"/>
                <w:b/>
                <w:bCs/>
                <w:sz w:val="24"/>
              </w:rPr>
              <w:t>项目名称</w:t>
            </w:r>
          </w:p>
        </w:tc>
        <w:tc>
          <w:tcPr>
            <w:tcW w:w="1274" w:type="dxa"/>
            <w:vAlign w:val="center"/>
          </w:tcPr>
          <w:p w14:paraId="339770D7">
            <w:pPr>
              <w:jc w:val="center"/>
              <w:rPr>
                <w:rFonts w:hint="eastAsia" w:ascii="仿宋" w:hAnsi="仿宋" w:eastAsia="仿宋" w:cs="Times New Roman"/>
                <w:b/>
                <w:bCs/>
                <w:sz w:val="24"/>
              </w:rPr>
            </w:pPr>
            <w:r>
              <w:rPr>
                <w:rFonts w:hint="eastAsia" w:ascii="仿宋" w:hAnsi="仿宋" w:eastAsia="仿宋" w:cs="Times New Roman"/>
                <w:b/>
                <w:bCs/>
                <w:sz w:val="24"/>
              </w:rPr>
              <w:t>项目预算</w:t>
            </w:r>
          </w:p>
        </w:tc>
        <w:tc>
          <w:tcPr>
            <w:tcW w:w="1059" w:type="dxa"/>
            <w:vAlign w:val="center"/>
          </w:tcPr>
          <w:p w14:paraId="3A3EC12A">
            <w:pPr>
              <w:jc w:val="center"/>
              <w:rPr>
                <w:rFonts w:hint="eastAsia" w:ascii="仿宋" w:hAnsi="仿宋" w:eastAsia="仿宋" w:cs="Times New Roman"/>
                <w:b/>
                <w:bCs/>
                <w:sz w:val="24"/>
              </w:rPr>
            </w:pPr>
            <w:r>
              <w:rPr>
                <w:rFonts w:hint="eastAsia" w:ascii="仿宋" w:hAnsi="仿宋" w:eastAsia="仿宋" w:cs="Times New Roman"/>
                <w:b/>
                <w:bCs/>
                <w:sz w:val="24"/>
              </w:rPr>
              <w:t>中标人</w:t>
            </w:r>
          </w:p>
        </w:tc>
        <w:tc>
          <w:tcPr>
            <w:tcW w:w="1167" w:type="dxa"/>
            <w:vAlign w:val="center"/>
          </w:tcPr>
          <w:p w14:paraId="54798CBF">
            <w:pPr>
              <w:jc w:val="center"/>
              <w:rPr>
                <w:rFonts w:hint="eastAsia" w:ascii="仿宋" w:hAnsi="仿宋" w:eastAsia="仿宋" w:cs="Times New Roman"/>
                <w:b/>
                <w:bCs/>
                <w:sz w:val="24"/>
              </w:rPr>
            </w:pPr>
            <w:r>
              <w:rPr>
                <w:rFonts w:hint="eastAsia" w:ascii="仿宋" w:hAnsi="仿宋" w:eastAsia="仿宋" w:cs="Times New Roman"/>
                <w:b/>
                <w:bCs/>
                <w:sz w:val="24"/>
              </w:rPr>
              <w:t>中标价</w:t>
            </w:r>
          </w:p>
        </w:tc>
        <w:tc>
          <w:tcPr>
            <w:tcW w:w="1259" w:type="dxa"/>
            <w:vAlign w:val="center"/>
          </w:tcPr>
          <w:p w14:paraId="3AE3438B">
            <w:pPr>
              <w:jc w:val="center"/>
              <w:rPr>
                <w:rFonts w:hint="eastAsia" w:ascii="仿宋" w:hAnsi="仿宋" w:eastAsia="仿宋" w:cs="Times New Roman"/>
                <w:b/>
                <w:bCs/>
                <w:sz w:val="24"/>
              </w:rPr>
            </w:pPr>
            <w:r>
              <w:rPr>
                <w:rFonts w:hint="eastAsia" w:ascii="仿宋" w:hAnsi="仿宋" w:eastAsia="仿宋" w:cs="Times New Roman"/>
                <w:b/>
                <w:bCs/>
                <w:sz w:val="24"/>
              </w:rPr>
              <w:t>产地品牌</w:t>
            </w:r>
          </w:p>
        </w:tc>
      </w:tr>
      <w:tr w14:paraId="3FF8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06" w:type="dxa"/>
            <w:vAlign w:val="center"/>
          </w:tcPr>
          <w:p w14:paraId="4E232241">
            <w:pPr>
              <w:jc w:val="center"/>
              <w:rPr>
                <w:rFonts w:ascii="仿宋" w:hAnsi="仿宋" w:eastAsia="仿宋"/>
                <w:sz w:val="24"/>
              </w:rPr>
            </w:pPr>
          </w:p>
        </w:tc>
        <w:tc>
          <w:tcPr>
            <w:tcW w:w="1234" w:type="dxa"/>
            <w:vAlign w:val="center"/>
          </w:tcPr>
          <w:p w14:paraId="36AB7D9D">
            <w:pPr>
              <w:jc w:val="center"/>
              <w:rPr>
                <w:rFonts w:ascii="仿宋" w:hAnsi="仿宋" w:eastAsia="仿宋"/>
                <w:sz w:val="24"/>
              </w:rPr>
            </w:pPr>
          </w:p>
        </w:tc>
        <w:tc>
          <w:tcPr>
            <w:tcW w:w="1359" w:type="dxa"/>
            <w:vAlign w:val="center"/>
          </w:tcPr>
          <w:p w14:paraId="7030278D">
            <w:pPr>
              <w:jc w:val="center"/>
              <w:rPr>
                <w:rFonts w:ascii="仿宋" w:hAnsi="仿宋" w:eastAsia="仿宋"/>
                <w:sz w:val="24"/>
              </w:rPr>
            </w:pPr>
          </w:p>
        </w:tc>
        <w:tc>
          <w:tcPr>
            <w:tcW w:w="1274" w:type="dxa"/>
            <w:vAlign w:val="center"/>
          </w:tcPr>
          <w:p w14:paraId="46C10D8E">
            <w:pPr>
              <w:jc w:val="center"/>
              <w:rPr>
                <w:rFonts w:ascii="仿宋" w:hAnsi="仿宋" w:eastAsia="仿宋"/>
                <w:sz w:val="24"/>
              </w:rPr>
            </w:pPr>
          </w:p>
        </w:tc>
        <w:tc>
          <w:tcPr>
            <w:tcW w:w="1059" w:type="dxa"/>
            <w:vAlign w:val="center"/>
          </w:tcPr>
          <w:p w14:paraId="0B46E43C">
            <w:pPr>
              <w:jc w:val="center"/>
              <w:rPr>
                <w:rFonts w:ascii="仿宋" w:hAnsi="仿宋" w:eastAsia="仿宋"/>
                <w:sz w:val="24"/>
              </w:rPr>
            </w:pPr>
          </w:p>
        </w:tc>
        <w:tc>
          <w:tcPr>
            <w:tcW w:w="1167" w:type="dxa"/>
            <w:vAlign w:val="center"/>
          </w:tcPr>
          <w:p w14:paraId="1A8B76D5">
            <w:pPr>
              <w:jc w:val="center"/>
              <w:rPr>
                <w:rFonts w:ascii="仿宋" w:hAnsi="仿宋" w:eastAsia="仿宋"/>
                <w:sz w:val="24"/>
              </w:rPr>
            </w:pPr>
          </w:p>
        </w:tc>
        <w:tc>
          <w:tcPr>
            <w:tcW w:w="1259" w:type="dxa"/>
            <w:vAlign w:val="center"/>
          </w:tcPr>
          <w:p w14:paraId="1F7C1AAE">
            <w:pPr>
              <w:jc w:val="center"/>
              <w:rPr>
                <w:rFonts w:ascii="仿宋" w:hAnsi="仿宋" w:eastAsia="仿宋"/>
                <w:sz w:val="24"/>
              </w:rPr>
            </w:pPr>
          </w:p>
        </w:tc>
      </w:tr>
      <w:tr w14:paraId="1CC8B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06" w:type="dxa"/>
            <w:vAlign w:val="center"/>
          </w:tcPr>
          <w:p w14:paraId="4A97035F">
            <w:pPr>
              <w:jc w:val="center"/>
              <w:rPr>
                <w:rFonts w:ascii="仿宋" w:hAnsi="仿宋" w:eastAsia="仿宋"/>
                <w:sz w:val="24"/>
              </w:rPr>
            </w:pPr>
          </w:p>
        </w:tc>
        <w:tc>
          <w:tcPr>
            <w:tcW w:w="1234" w:type="dxa"/>
            <w:vAlign w:val="center"/>
          </w:tcPr>
          <w:p w14:paraId="004F3D8F">
            <w:pPr>
              <w:jc w:val="center"/>
              <w:rPr>
                <w:rFonts w:ascii="仿宋" w:hAnsi="仿宋" w:eastAsia="仿宋"/>
                <w:sz w:val="24"/>
              </w:rPr>
            </w:pPr>
          </w:p>
        </w:tc>
        <w:tc>
          <w:tcPr>
            <w:tcW w:w="1359" w:type="dxa"/>
            <w:vAlign w:val="center"/>
          </w:tcPr>
          <w:p w14:paraId="7FAB2ED2">
            <w:pPr>
              <w:jc w:val="center"/>
              <w:rPr>
                <w:rFonts w:ascii="仿宋" w:hAnsi="仿宋" w:eastAsia="仿宋"/>
                <w:sz w:val="24"/>
              </w:rPr>
            </w:pPr>
          </w:p>
        </w:tc>
        <w:tc>
          <w:tcPr>
            <w:tcW w:w="1274" w:type="dxa"/>
            <w:vAlign w:val="center"/>
          </w:tcPr>
          <w:p w14:paraId="2ACDFD7D">
            <w:pPr>
              <w:jc w:val="center"/>
              <w:rPr>
                <w:rFonts w:ascii="仿宋" w:hAnsi="仿宋" w:eastAsia="仿宋"/>
                <w:sz w:val="24"/>
              </w:rPr>
            </w:pPr>
          </w:p>
        </w:tc>
        <w:tc>
          <w:tcPr>
            <w:tcW w:w="1059" w:type="dxa"/>
            <w:vAlign w:val="center"/>
          </w:tcPr>
          <w:p w14:paraId="3CA72029">
            <w:pPr>
              <w:jc w:val="center"/>
              <w:rPr>
                <w:rFonts w:ascii="仿宋" w:hAnsi="仿宋" w:eastAsia="仿宋"/>
                <w:sz w:val="24"/>
              </w:rPr>
            </w:pPr>
          </w:p>
        </w:tc>
        <w:tc>
          <w:tcPr>
            <w:tcW w:w="1167" w:type="dxa"/>
            <w:vAlign w:val="center"/>
          </w:tcPr>
          <w:p w14:paraId="36F99784">
            <w:pPr>
              <w:jc w:val="center"/>
              <w:rPr>
                <w:rFonts w:ascii="仿宋" w:hAnsi="仿宋" w:eastAsia="仿宋"/>
                <w:sz w:val="24"/>
              </w:rPr>
            </w:pPr>
          </w:p>
        </w:tc>
        <w:tc>
          <w:tcPr>
            <w:tcW w:w="1259" w:type="dxa"/>
            <w:vAlign w:val="center"/>
          </w:tcPr>
          <w:p w14:paraId="1F63D8DA">
            <w:pPr>
              <w:jc w:val="center"/>
              <w:rPr>
                <w:rFonts w:ascii="仿宋" w:hAnsi="仿宋" w:eastAsia="仿宋"/>
                <w:sz w:val="24"/>
              </w:rPr>
            </w:pPr>
          </w:p>
        </w:tc>
      </w:tr>
      <w:tr w14:paraId="1323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6" w:type="dxa"/>
            <w:vAlign w:val="center"/>
          </w:tcPr>
          <w:p w14:paraId="3EC7AE2C">
            <w:pPr>
              <w:jc w:val="center"/>
              <w:rPr>
                <w:rFonts w:ascii="仿宋" w:hAnsi="仿宋" w:eastAsia="仿宋"/>
                <w:sz w:val="24"/>
              </w:rPr>
            </w:pPr>
          </w:p>
        </w:tc>
        <w:tc>
          <w:tcPr>
            <w:tcW w:w="1234" w:type="dxa"/>
            <w:vAlign w:val="center"/>
          </w:tcPr>
          <w:p w14:paraId="3CF04B30">
            <w:pPr>
              <w:jc w:val="center"/>
              <w:rPr>
                <w:rFonts w:ascii="仿宋" w:hAnsi="仿宋" w:eastAsia="仿宋"/>
                <w:sz w:val="24"/>
              </w:rPr>
            </w:pPr>
          </w:p>
        </w:tc>
        <w:tc>
          <w:tcPr>
            <w:tcW w:w="1359" w:type="dxa"/>
            <w:vAlign w:val="center"/>
          </w:tcPr>
          <w:p w14:paraId="25FFB60A">
            <w:pPr>
              <w:jc w:val="center"/>
              <w:rPr>
                <w:rFonts w:ascii="仿宋" w:hAnsi="仿宋" w:eastAsia="仿宋"/>
                <w:sz w:val="24"/>
              </w:rPr>
            </w:pPr>
          </w:p>
        </w:tc>
        <w:tc>
          <w:tcPr>
            <w:tcW w:w="1274" w:type="dxa"/>
            <w:vAlign w:val="center"/>
          </w:tcPr>
          <w:p w14:paraId="612A1F96">
            <w:pPr>
              <w:jc w:val="center"/>
              <w:rPr>
                <w:rFonts w:ascii="仿宋" w:hAnsi="仿宋" w:eastAsia="仿宋"/>
                <w:sz w:val="24"/>
              </w:rPr>
            </w:pPr>
          </w:p>
        </w:tc>
        <w:tc>
          <w:tcPr>
            <w:tcW w:w="1059" w:type="dxa"/>
            <w:vAlign w:val="center"/>
          </w:tcPr>
          <w:p w14:paraId="5AAABF13">
            <w:pPr>
              <w:jc w:val="center"/>
              <w:rPr>
                <w:rFonts w:ascii="仿宋" w:hAnsi="仿宋" w:eastAsia="仿宋"/>
                <w:sz w:val="24"/>
              </w:rPr>
            </w:pPr>
          </w:p>
        </w:tc>
        <w:tc>
          <w:tcPr>
            <w:tcW w:w="1167" w:type="dxa"/>
            <w:vAlign w:val="center"/>
          </w:tcPr>
          <w:p w14:paraId="5271A83D">
            <w:pPr>
              <w:jc w:val="center"/>
              <w:rPr>
                <w:rFonts w:ascii="仿宋" w:hAnsi="仿宋" w:eastAsia="仿宋"/>
                <w:sz w:val="24"/>
              </w:rPr>
            </w:pPr>
          </w:p>
        </w:tc>
        <w:tc>
          <w:tcPr>
            <w:tcW w:w="1259" w:type="dxa"/>
            <w:vAlign w:val="center"/>
          </w:tcPr>
          <w:p w14:paraId="582E76DE">
            <w:pPr>
              <w:jc w:val="center"/>
              <w:rPr>
                <w:rFonts w:ascii="仿宋" w:hAnsi="仿宋" w:eastAsia="仿宋"/>
                <w:sz w:val="24"/>
              </w:rPr>
            </w:pPr>
          </w:p>
        </w:tc>
      </w:tr>
      <w:tr w14:paraId="6DAAF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06" w:type="dxa"/>
            <w:vAlign w:val="center"/>
          </w:tcPr>
          <w:p w14:paraId="02BE58BE">
            <w:pPr>
              <w:jc w:val="center"/>
              <w:rPr>
                <w:rFonts w:ascii="仿宋" w:hAnsi="仿宋" w:eastAsia="仿宋"/>
                <w:sz w:val="24"/>
              </w:rPr>
            </w:pPr>
          </w:p>
        </w:tc>
        <w:tc>
          <w:tcPr>
            <w:tcW w:w="1234" w:type="dxa"/>
            <w:vAlign w:val="center"/>
          </w:tcPr>
          <w:p w14:paraId="39F57BDA">
            <w:pPr>
              <w:jc w:val="center"/>
              <w:rPr>
                <w:rFonts w:ascii="仿宋" w:hAnsi="仿宋" w:eastAsia="仿宋"/>
                <w:sz w:val="24"/>
              </w:rPr>
            </w:pPr>
          </w:p>
        </w:tc>
        <w:tc>
          <w:tcPr>
            <w:tcW w:w="1359" w:type="dxa"/>
            <w:vAlign w:val="center"/>
          </w:tcPr>
          <w:p w14:paraId="7B1C0C83">
            <w:pPr>
              <w:jc w:val="center"/>
              <w:rPr>
                <w:rFonts w:ascii="仿宋" w:hAnsi="仿宋" w:eastAsia="仿宋"/>
                <w:sz w:val="24"/>
              </w:rPr>
            </w:pPr>
          </w:p>
        </w:tc>
        <w:tc>
          <w:tcPr>
            <w:tcW w:w="1274" w:type="dxa"/>
            <w:vAlign w:val="center"/>
          </w:tcPr>
          <w:p w14:paraId="1A62E7E2">
            <w:pPr>
              <w:jc w:val="center"/>
              <w:rPr>
                <w:rFonts w:ascii="仿宋" w:hAnsi="仿宋" w:eastAsia="仿宋"/>
                <w:sz w:val="24"/>
              </w:rPr>
            </w:pPr>
          </w:p>
        </w:tc>
        <w:tc>
          <w:tcPr>
            <w:tcW w:w="1059" w:type="dxa"/>
            <w:vAlign w:val="center"/>
          </w:tcPr>
          <w:p w14:paraId="03C28B88">
            <w:pPr>
              <w:jc w:val="center"/>
              <w:rPr>
                <w:rFonts w:ascii="仿宋" w:hAnsi="仿宋" w:eastAsia="仿宋"/>
                <w:sz w:val="24"/>
              </w:rPr>
            </w:pPr>
          </w:p>
        </w:tc>
        <w:tc>
          <w:tcPr>
            <w:tcW w:w="1167" w:type="dxa"/>
            <w:vAlign w:val="center"/>
          </w:tcPr>
          <w:p w14:paraId="2520E00F">
            <w:pPr>
              <w:jc w:val="center"/>
              <w:rPr>
                <w:rFonts w:ascii="仿宋" w:hAnsi="仿宋" w:eastAsia="仿宋"/>
                <w:sz w:val="24"/>
              </w:rPr>
            </w:pPr>
          </w:p>
        </w:tc>
        <w:tc>
          <w:tcPr>
            <w:tcW w:w="1259" w:type="dxa"/>
            <w:vAlign w:val="center"/>
          </w:tcPr>
          <w:p w14:paraId="6B5F57C0">
            <w:pPr>
              <w:jc w:val="center"/>
              <w:rPr>
                <w:rFonts w:ascii="仿宋" w:hAnsi="仿宋" w:eastAsia="仿宋"/>
                <w:sz w:val="24"/>
              </w:rPr>
            </w:pPr>
          </w:p>
        </w:tc>
      </w:tr>
    </w:tbl>
    <w:p w14:paraId="4DA2305C">
      <w:pPr>
        <w:pStyle w:val="8"/>
        <w:rPr>
          <w:rStyle w:val="12"/>
          <w:rFonts w:hint="eastAsia" w:ascii="仿宋" w:hAnsi="仿宋" w:eastAsia="仿宋" w:cs="仿宋"/>
          <w:b/>
          <w:bCs/>
          <w:color w:val="000000"/>
          <w:lang w:val="en-US" w:eastAsia="zh-CN"/>
        </w:rPr>
      </w:pP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6922D62C">
      <w:pPr>
        <w:pStyle w:val="8"/>
        <w:rPr>
          <w:rStyle w:val="12"/>
          <w:rFonts w:hint="default" w:ascii="仿宋" w:hAnsi="仿宋" w:eastAsia="仿宋" w:cs="仿宋"/>
          <w:b/>
          <w:bCs/>
          <w:color w:val="000000"/>
          <w:lang w:val="en-US" w:eastAsia="zh-CN"/>
        </w:rPr>
      </w:pPr>
      <w:r>
        <w:rPr>
          <w:rStyle w:val="12"/>
          <w:rFonts w:hint="eastAsia" w:ascii="仿宋" w:hAnsi="仿宋" w:eastAsia="仿宋" w:cs="仿宋"/>
          <w:b/>
          <w:bCs/>
          <w:color w:val="000000"/>
          <w:lang w:val="en-US" w:eastAsia="zh-CN"/>
        </w:rPr>
        <w:t>三、需求内容</w:t>
      </w:r>
    </w:p>
    <w:p w14:paraId="4C9872CB">
      <w:pPr>
        <w:ind w:firstLine="420" w:firstLineChars="200"/>
        <w:rPr>
          <w:rFonts w:hint="eastAsia"/>
          <w:lang w:val="zh-CN" w:eastAsia="zh-CN"/>
        </w:rPr>
      </w:pPr>
      <w:r>
        <w:rPr>
          <w:rFonts w:hint="eastAsia"/>
          <w:lang w:val="en-US" w:eastAsia="zh-CN"/>
        </w:rPr>
        <w:t>请</w:t>
      </w:r>
      <w:r>
        <w:rPr>
          <w:rFonts w:hint="eastAsia"/>
          <w:lang w:val="zh-CN" w:eastAsia="zh-CN"/>
        </w:rPr>
        <w:t>贵单位</w:t>
      </w:r>
      <w:r>
        <w:rPr>
          <w:rFonts w:hint="eastAsia"/>
          <w:lang w:val="en-US" w:eastAsia="zh-CN"/>
        </w:rPr>
        <w:t>提供本项目相关的资料，</w:t>
      </w:r>
      <w:r>
        <w:rPr>
          <w:rFonts w:hint="eastAsia"/>
          <w:lang w:val="zh-CN" w:eastAsia="zh-CN"/>
        </w:rPr>
        <w:t>填入的相关数据应从采购人角度出发，客观真实反映相关情况。贵单位可以根据自身的项目经验，提供补充的建议和意见，以确保后期招标采购时，不会出现因采购需求不明确而导致的采购风险。</w:t>
      </w:r>
    </w:p>
    <w:tbl>
      <w:tblPr>
        <w:tblStyle w:val="9"/>
        <w:tblW w:w="91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51"/>
        <w:gridCol w:w="1539"/>
        <w:gridCol w:w="1289"/>
      </w:tblGrid>
      <w:tr w14:paraId="080B2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3C723A13">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需求建议</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7DACF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标注</w:t>
            </w: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79F357F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其他说明</w:t>
            </w:r>
          </w:p>
        </w:tc>
      </w:tr>
      <w:tr w14:paraId="28A1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21027E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7B65E332">
            <w:pPr>
              <w:jc w:val="center"/>
              <w:rPr>
                <w:rFonts w:hint="eastAsia" w:ascii="宋体" w:hAnsi="宋体" w:eastAsia="宋体" w:cs="宋体"/>
                <w:i w:val="0"/>
                <w:iCs w:val="0"/>
                <w:color w:val="000000"/>
                <w:sz w:val="21"/>
                <w:szCs w:val="21"/>
                <w:u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1CD87F0C">
            <w:pPr>
              <w:rPr>
                <w:rFonts w:hint="eastAsia" w:ascii="宋体" w:hAnsi="宋体" w:eastAsia="宋体" w:cs="宋体"/>
                <w:i w:val="0"/>
                <w:iCs w:val="0"/>
                <w:color w:val="000000"/>
                <w:sz w:val="21"/>
                <w:szCs w:val="21"/>
                <w:u w:val="none"/>
              </w:rPr>
            </w:pPr>
          </w:p>
        </w:tc>
      </w:tr>
      <w:tr w14:paraId="5211F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8" w:hRule="atLeast"/>
        </w:trPr>
        <w:tc>
          <w:tcPr>
            <w:tcW w:w="6351" w:type="dxa"/>
            <w:tcBorders>
              <w:top w:val="single" w:color="auto" w:sz="4" w:space="0"/>
              <w:left w:val="single" w:color="auto" w:sz="4" w:space="0"/>
              <w:bottom w:val="single" w:color="auto" w:sz="4" w:space="0"/>
              <w:right w:val="single" w:color="auto" w:sz="4" w:space="0"/>
            </w:tcBorders>
            <w:shd w:val="clear" w:color="auto" w:fill="auto"/>
            <w:vAlign w:val="center"/>
          </w:tcPr>
          <w:p w14:paraId="3430C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14:paraId="22674B42">
            <w:pPr>
              <w:jc w:val="center"/>
              <w:rPr>
                <w:rFonts w:hint="eastAsia" w:ascii="宋体" w:hAnsi="宋体" w:eastAsia="宋体" w:cs="宋体"/>
                <w:i w:val="0"/>
                <w:iCs w:val="0"/>
                <w:color w:val="000000"/>
                <w:sz w:val="21"/>
                <w:szCs w:val="21"/>
                <w:u w:val="none"/>
              </w:rPr>
            </w:pPr>
          </w:p>
        </w:tc>
        <w:tc>
          <w:tcPr>
            <w:tcW w:w="1289" w:type="dxa"/>
            <w:tcBorders>
              <w:top w:val="single" w:color="auto" w:sz="4" w:space="0"/>
              <w:left w:val="single" w:color="auto" w:sz="4" w:space="0"/>
              <w:bottom w:val="single" w:color="auto" w:sz="4" w:space="0"/>
              <w:right w:val="single" w:color="auto" w:sz="4" w:space="0"/>
            </w:tcBorders>
            <w:shd w:val="clear" w:color="auto" w:fill="auto"/>
            <w:vAlign w:val="center"/>
          </w:tcPr>
          <w:p w14:paraId="29B0B357">
            <w:pPr>
              <w:rPr>
                <w:rFonts w:hint="eastAsia" w:ascii="宋体" w:hAnsi="宋体" w:eastAsia="宋体" w:cs="宋体"/>
                <w:i w:val="0"/>
                <w:iCs w:val="0"/>
                <w:color w:val="000000"/>
                <w:sz w:val="21"/>
                <w:szCs w:val="21"/>
                <w:u w:val="none"/>
              </w:rPr>
            </w:pPr>
          </w:p>
        </w:tc>
      </w:tr>
    </w:tbl>
    <w:p w14:paraId="2DC6179D">
      <w:pPr>
        <w:widowControl/>
        <w:jc w:val="center"/>
        <w:rPr>
          <w:rFonts w:hint="eastAsia" w:ascii="黑体" w:hAnsi="黑体" w:eastAsia="黑体"/>
          <w:color w:val="000000"/>
          <w:sz w:val="28"/>
          <w:szCs w:val="28"/>
        </w:rPr>
        <w:sectPr>
          <w:footerReference r:id="rId4" w:type="default"/>
          <w:pgSz w:w="11906" w:h="16838"/>
          <w:pgMar w:top="1440" w:right="1416" w:bottom="1440" w:left="1276" w:header="851" w:footer="992" w:gutter="0"/>
          <w:cols w:space="425" w:num="1"/>
          <w:docGrid w:type="lines" w:linePitch="312" w:charSpace="0"/>
        </w:sectPr>
      </w:pPr>
    </w:p>
    <w:p w14:paraId="47250EB6">
      <w:pPr>
        <w:widowControl/>
        <w:jc w:val="center"/>
        <w:rPr>
          <w:rFonts w:ascii="黑体" w:hAnsi="黑体" w:eastAsia="黑体"/>
          <w:color w:val="000000"/>
          <w:sz w:val="28"/>
          <w:szCs w:val="28"/>
        </w:rPr>
      </w:pPr>
      <w:r>
        <w:rPr>
          <w:rFonts w:hint="eastAsia" w:ascii="黑体" w:hAnsi="黑体" w:eastAsia="黑体"/>
          <w:color w:val="000000"/>
          <w:sz w:val="28"/>
          <w:szCs w:val="28"/>
        </w:rPr>
        <w:t>深圳市</w:t>
      </w:r>
      <w:r>
        <w:rPr>
          <w:rFonts w:ascii="黑体" w:hAnsi="黑体" w:eastAsia="黑体"/>
          <w:color w:val="000000"/>
          <w:sz w:val="28"/>
          <w:szCs w:val="28"/>
        </w:rPr>
        <w:t>儿童医院</w:t>
      </w:r>
      <w:r>
        <w:rPr>
          <w:rFonts w:hint="eastAsia" w:ascii="黑体" w:hAnsi="黑体" w:eastAsia="黑体" w:cs="Times New Roman"/>
          <w:color w:val="000000"/>
          <w:sz w:val="28"/>
          <w:szCs w:val="28"/>
          <w:lang w:val="zh-CN" w:eastAsia="zh-CN"/>
        </w:rPr>
        <w:t>高质量层次中药饮片（精品中药）</w:t>
      </w:r>
      <w:r>
        <w:rPr>
          <w:rFonts w:hint="eastAsia" w:ascii="黑体" w:hAnsi="黑体" w:eastAsia="黑体" w:cs="Times New Roman"/>
          <w:color w:val="000000"/>
          <w:sz w:val="28"/>
          <w:szCs w:val="28"/>
          <w:lang w:val="en-US" w:eastAsia="zh-CN"/>
        </w:rPr>
        <w:t>供应服务</w:t>
      </w:r>
      <w:r>
        <w:rPr>
          <w:rFonts w:hint="eastAsia" w:ascii="黑体" w:hAnsi="黑体" w:eastAsia="黑体" w:cs="Times New Roman"/>
          <w:color w:val="000000"/>
          <w:sz w:val="28"/>
          <w:szCs w:val="28"/>
        </w:rPr>
        <w:t>项目</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9"/>
        <w:tblW w:w="10207" w:type="dxa"/>
        <w:tblInd w:w="-269" w:type="dxa"/>
        <w:tblLayout w:type="fixed"/>
        <w:tblCellMar>
          <w:top w:w="15" w:type="dxa"/>
          <w:left w:w="15" w:type="dxa"/>
          <w:bottom w:w="15" w:type="dxa"/>
          <w:right w:w="15" w:type="dxa"/>
        </w:tblCellMar>
      </w:tblPr>
      <w:tblGrid>
        <w:gridCol w:w="1702"/>
        <w:gridCol w:w="4111"/>
        <w:gridCol w:w="1559"/>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B7A4873">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0C58EF7C">
            <w:pPr>
              <w:numPr>
                <w:ilvl w:val="0"/>
                <w:numId w:val="0"/>
              </w:numPr>
              <w:spacing w:line="240" w:lineRule="auto"/>
              <w:ind w:leftChars="0"/>
              <w:rPr>
                <w:rFonts w:ascii="宋体" w:hAnsi="宋体" w:cs="宋体"/>
                <w:color w:val="000000"/>
                <w:sz w:val="24"/>
                <w:szCs w:val="24"/>
              </w:rPr>
            </w:pPr>
            <w:bookmarkStart w:id="0" w:name="_Hlk184132905"/>
            <w:r>
              <w:rPr>
                <w:rFonts w:hint="eastAsia" w:ascii="宋体" w:hAnsi="宋体"/>
                <w:color w:val="000000" w:themeColor="text1"/>
                <w:sz w:val="24"/>
                <w:highlight w:val="none"/>
                <w:lang w:val="en-US" w:eastAsia="zh-CN"/>
                <w14:textFill>
                  <w14:solidFill>
                    <w14:schemeClr w14:val="tx1"/>
                  </w14:solidFill>
                </w14:textFill>
              </w:rPr>
              <w:t>深圳市儿童医院</w:t>
            </w:r>
            <w:bookmarkEnd w:id="0"/>
            <w:r>
              <w:rPr>
                <w:rFonts w:hint="eastAsia" w:ascii="宋体" w:hAnsi="宋体"/>
                <w:color w:val="000000" w:themeColor="text1"/>
                <w:sz w:val="24"/>
                <w:highlight w:val="none"/>
                <w:lang w:val="zh-CN" w:eastAsia="zh-CN"/>
                <w14:textFill>
                  <w14:solidFill>
                    <w14:schemeClr w14:val="tx1"/>
                  </w14:solidFill>
                </w14:textFill>
              </w:rPr>
              <w:t>高质量层次中药饮片（精品中药）</w:t>
            </w:r>
            <w:r>
              <w:rPr>
                <w:rFonts w:hint="eastAsia" w:ascii="宋体" w:hAnsi="宋体"/>
                <w:color w:val="000000" w:themeColor="text1"/>
                <w:sz w:val="24"/>
                <w:highlight w:val="none"/>
                <w:lang w:val="en-US" w:eastAsia="zh-CN"/>
                <w14:textFill>
                  <w14:solidFill>
                    <w14:schemeClr w14:val="tx1"/>
                  </w14:solidFill>
                </w14:textFill>
              </w:rPr>
              <w:t>供应服务</w:t>
            </w:r>
          </w:p>
        </w:tc>
        <w:tc>
          <w:tcPr>
            <w:tcW w:w="1559"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p>
        </w:tc>
      </w:tr>
      <w:tr w14:paraId="462DB06A">
        <w:tblPrEx>
          <w:tblCellMar>
            <w:top w:w="15" w:type="dxa"/>
            <w:left w:w="15" w:type="dxa"/>
            <w:bottom w:w="15" w:type="dxa"/>
            <w:right w:w="15" w:type="dxa"/>
          </w:tblCellMar>
        </w:tblPrEx>
        <w:trPr>
          <w:trHeight w:val="873" w:hRule="atLeast"/>
        </w:trPr>
        <w:tc>
          <w:tcPr>
            <w:tcW w:w="10207" w:type="dxa"/>
            <w:gridSpan w:val="4"/>
            <w:tcBorders>
              <w:top w:val="single" w:color="000000" w:sz="4" w:space="0"/>
              <w:left w:val="single" w:color="000000" w:sz="4" w:space="0"/>
              <w:bottom w:val="single" w:color="000000" w:sz="4" w:space="0"/>
              <w:right w:val="single" w:color="000000" w:sz="4" w:space="0"/>
            </w:tcBorders>
            <w:vAlign w:val="center"/>
          </w:tcPr>
          <w:p w14:paraId="6BA05950">
            <w:pPr>
              <w:jc w:val="both"/>
              <w:rPr>
                <w:rFonts w:hint="default" w:ascii="宋体" w:hAnsi="宋体" w:eastAsia="宋体" w:cs="宋体"/>
                <w:color w:val="000000"/>
                <w:kern w:val="0"/>
                <w:sz w:val="24"/>
                <w:szCs w:val="24"/>
                <w:lang w:val="en-US" w:eastAsia="zh-CN"/>
              </w:rPr>
            </w:pPr>
            <w:r>
              <w:rPr>
                <w:rFonts w:hint="eastAsia" w:ascii="宋体" w:hAnsi="宋体" w:cs="宋体"/>
                <w:color w:val="FF0000"/>
                <w:kern w:val="0"/>
                <w:sz w:val="24"/>
                <w:szCs w:val="24"/>
                <w:lang w:val="en-US" w:eastAsia="zh-CN"/>
              </w:rPr>
              <w:t>报价：附询价报价单</w:t>
            </w:r>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ascii="宋体" w:hAnsi="宋体" w:cs="宋体"/>
                <w:kern w:val="0"/>
                <w:szCs w:val="21"/>
              </w:rPr>
            </w:pPr>
            <w:r>
              <w:rPr>
                <w:rFonts w:hint="eastAsia" w:ascii="宋体" w:hAnsi="宋体" w:cs="宋体"/>
                <w:kern w:val="0"/>
                <w:szCs w:val="21"/>
              </w:rPr>
              <w:t>营业执照副本复印件,加盖</w:t>
            </w:r>
            <w:r>
              <w:rPr>
                <w:rFonts w:hint="eastAsia" w:ascii="宋体" w:hAnsi="宋体" w:cs="宋体"/>
                <w:kern w:val="0"/>
                <w:szCs w:val="21"/>
                <w:lang w:eastAsia="zh-CN"/>
              </w:rPr>
              <w:t>委托企业</w:t>
            </w:r>
            <w:r>
              <w:rPr>
                <w:rFonts w:hint="eastAsia" w:ascii="宋体" w:hAnsi="宋体" w:cs="宋体"/>
                <w:kern w:val="0"/>
                <w:szCs w:val="21"/>
              </w:rPr>
              <w:t>公章;提供在国家企业信用信息公示系统中自行打印的所有信息（http://www.gsxt.gov.cn/index.html）；（包括基础信息，企业自行公示信息，行政许可信息，行政处罚信息，纳入经营异常名录信息，纳入严重违法失信企业名单（黑名单）信息）加盖</w:t>
            </w:r>
            <w:r>
              <w:rPr>
                <w:rFonts w:hint="eastAsia" w:ascii="宋体" w:hAnsi="宋体" w:cs="宋体"/>
                <w:kern w:val="0"/>
                <w:szCs w:val="21"/>
                <w:lang w:eastAsia="zh-CN"/>
              </w:rPr>
              <w:t>委托企业</w:t>
            </w:r>
            <w:r>
              <w:rPr>
                <w:rFonts w:hint="eastAsia" w:ascii="宋体" w:hAnsi="宋体" w:cs="宋体"/>
                <w:kern w:val="0"/>
                <w:szCs w:val="21"/>
              </w:rPr>
              <w:t>公章）；</w:t>
            </w:r>
          </w:p>
          <w:p w14:paraId="7E0A0254">
            <w:pPr>
              <w:numPr>
                <w:ilvl w:val="1"/>
                <w:numId w:val="1"/>
              </w:numPr>
              <w:rPr>
                <w:rFonts w:hint="default" w:ascii="宋体" w:hAnsi="宋体" w:eastAsia="宋体" w:cs="宋体"/>
                <w:kern w:val="0"/>
                <w:szCs w:val="21"/>
                <w:lang w:val="en-US" w:eastAsia="zh-CN"/>
              </w:rPr>
            </w:pPr>
            <w:r>
              <w:rPr>
                <w:rFonts w:hint="eastAsia" w:ascii="宋体" w:hAnsi="宋体" w:eastAsia="宋体" w:cs="宋体"/>
                <w:kern w:val="0"/>
                <w:szCs w:val="21"/>
              </w:rPr>
              <w:t>投标人为具备中药饮片生产资质的中药饮片生产企业或具备中药饮片经营资质的中药饮片经营企业</w:t>
            </w:r>
            <w:r>
              <w:rPr>
                <w:rFonts w:hint="eastAsia" w:ascii="宋体" w:hAnsi="宋体" w:eastAsia="宋体" w:cs="宋体"/>
                <w:kern w:val="0"/>
                <w:szCs w:val="21"/>
                <w:lang w:eastAsia="zh-CN"/>
              </w:rPr>
              <w:t>。</w:t>
            </w:r>
          </w:p>
          <w:p w14:paraId="6FC7D15C">
            <w:pPr>
              <w:numPr>
                <w:ilvl w:val="1"/>
                <w:numId w:val="1"/>
              </w:numPr>
              <w:rPr>
                <w:rFonts w:ascii="宋体" w:hAnsi="宋体" w:cs="宋体"/>
                <w:kern w:val="0"/>
                <w:szCs w:val="21"/>
              </w:rPr>
            </w:pPr>
            <w:r>
              <w:rPr>
                <w:rFonts w:hint="eastAsia" w:ascii="宋体" w:hAnsi="宋体" w:cs="宋体"/>
                <w:kern w:val="0"/>
                <w:szCs w:val="21"/>
              </w:rPr>
              <w:t>本项目不接受联合体投标，</w:t>
            </w:r>
            <w:r>
              <w:rPr>
                <w:rFonts w:hint="eastAsia" w:ascii="宋体" w:hAnsi="宋体"/>
                <w:szCs w:val="21"/>
              </w:rPr>
              <w:t>不允许转包、分包</w:t>
            </w:r>
            <w:r>
              <w:rPr>
                <w:rFonts w:hint="eastAsia" w:ascii="宋体" w:hAnsi="宋体" w:cs="宋体"/>
                <w:kern w:val="0"/>
                <w:szCs w:val="21"/>
              </w:rPr>
              <w:t>；</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bookmarkStart w:id="2" w:name="_GoBack"/>
            <w:r>
              <w:rPr>
                <w:rFonts w:hint="eastAsia" w:ascii="宋体" w:hAnsi="宋体" w:cs="宋体"/>
                <w:color w:val="000000" w:themeColor="text1"/>
                <w:kern w:val="0"/>
                <w:szCs w:val="21"/>
                <w:lang w:val="en-US" w:eastAsia="zh-CN"/>
                <w14:textFill>
                  <w14:solidFill>
                    <w14:schemeClr w14:val="tx1"/>
                  </w14:solidFill>
                </w14:textFill>
              </w:rPr>
              <w:t>供货</w:t>
            </w:r>
            <w:bookmarkEnd w:id="2"/>
            <w:r>
              <w:rPr>
                <w:rFonts w:hint="eastAsia" w:ascii="宋体" w:hAnsi="宋体" w:cs="宋体"/>
                <w:color w:val="000000" w:themeColor="text1"/>
                <w:kern w:val="0"/>
                <w:szCs w:val="21"/>
                <w:lang w:val="en-US" w:eastAsia="zh-CN"/>
                <w14:textFill>
                  <w14:solidFill>
                    <w14:schemeClr w14:val="tx1"/>
                  </w14:solidFill>
                </w14:textFill>
              </w:rPr>
              <w:t>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以上仅供参考，请根据项目实际情况进行填写</w:t>
            </w:r>
          </w:p>
        </w:tc>
      </w:tr>
    </w:tbl>
    <w:p w14:paraId="503D7742">
      <w:pPr>
        <w:jc w:val="left"/>
        <w:rPr>
          <w:rFonts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w:t>
      </w:r>
      <w:r>
        <w:rPr>
          <w:rFonts w:hint="eastAsia" w:ascii="宋体" w:hAnsi="宋体" w:eastAsia="宋体" w:cs="宋体"/>
          <w:b/>
          <w:bCs/>
          <w:color w:val="3F3F3F"/>
          <w:kern w:val="0"/>
          <w:szCs w:val="21"/>
          <w:lang w:val="en-US" w:eastAsia="zh-CN"/>
        </w:rPr>
        <w:t>深圳市儿童医院</w:t>
      </w:r>
      <w:r>
        <w:rPr>
          <w:rFonts w:hint="eastAsia" w:ascii="宋体" w:hAnsi="宋体" w:eastAsia="宋体" w:cs="宋体"/>
          <w:b/>
          <w:bCs/>
          <w:color w:val="3F3F3F"/>
          <w:kern w:val="0"/>
          <w:szCs w:val="21"/>
          <w:lang w:val="zh-CN" w:eastAsia="zh-CN"/>
        </w:rPr>
        <w:t>高质量层次中药饮片（精品中药）</w:t>
      </w:r>
      <w:r>
        <w:rPr>
          <w:rFonts w:hint="eastAsia" w:ascii="宋体" w:hAnsi="宋体" w:eastAsia="宋体" w:cs="宋体"/>
          <w:b/>
          <w:bCs/>
          <w:color w:val="3F3F3F"/>
          <w:kern w:val="0"/>
          <w:szCs w:val="21"/>
          <w:lang w:val="en-US" w:eastAsia="zh-CN"/>
        </w:rPr>
        <w:t>供应服务</w:t>
      </w:r>
    </w:p>
    <w:p w14:paraId="140C65EF">
      <w:pPr>
        <w:jc w:val="left"/>
        <w:rPr>
          <w:rFonts w:hint="eastAsia" w:ascii="宋体" w:hAnsi="宋体" w:cs="宋体"/>
          <w:b/>
          <w:bCs/>
          <w:color w:val="3F3F3F"/>
          <w:kern w:val="0"/>
          <w:szCs w:val="21"/>
        </w:rPr>
      </w:pPr>
      <w:r>
        <w:rPr>
          <w:rFonts w:hint="eastAsia" w:ascii="宋体" w:hAnsi="宋体" w:cs="宋体"/>
          <w:b/>
          <w:bCs/>
          <w:color w:val="3F3F3F"/>
          <w:kern w:val="0"/>
          <w:szCs w:val="21"/>
        </w:rPr>
        <w:t>供应商名称（盖章）：</w:t>
      </w:r>
    </w:p>
    <w:p w14:paraId="6C637393">
      <w:pPr>
        <w:jc w:val="left"/>
        <w:rPr>
          <w:rFonts w:hint="eastAsia" w:ascii="宋体" w:hAnsi="宋体" w:cs="宋体"/>
          <w:b/>
          <w:bCs/>
          <w:color w:val="3F3F3F"/>
          <w:kern w:val="0"/>
          <w:szCs w:val="21"/>
          <w:lang w:val="en-US" w:eastAsia="zh-CN"/>
        </w:rPr>
      </w:pPr>
    </w:p>
    <w:p w14:paraId="322911AF">
      <w:pPr>
        <w:jc w:val="center"/>
        <w:rPr>
          <w:rFonts w:hint="eastAsia" w:ascii="宋体" w:hAnsi="宋体" w:eastAsia="宋体" w:cs="宋体"/>
          <w:b/>
          <w:bCs/>
          <w:color w:val="3F3F3F"/>
          <w:kern w:val="0"/>
          <w:sz w:val="28"/>
          <w:szCs w:val="2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10"/>
        <w:tblW w:w="1026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85"/>
        <w:gridCol w:w="7170"/>
        <w:gridCol w:w="900"/>
      </w:tblGrid>
      <w:tr w14:paraId="4A51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14:paraId="69C09423">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序号</w:t>
            </w:r>
          </w:p>
        </w:tc>
        <w:tc>
          <w:tcPr>
            <w:tcW w:w="1485" w:type="dxa"/>
            <w:vAlign w:val="center"/>
          </w:tcPr>
          <w:p w14:paraId="7EFE9241">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类别</w:t>
            </w:r>
          </w:p>
        </w:tc>
        <w:tc>
          <w:tcPr>
            <w:tcW w:w="7170" w:type="dxa"/>
            <w:vAlign w:val="center"/>
          </w:tcPr>
          <w:p w14:paraId="686F5C3A">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项目要求内容</w:t>
            </w:r>
          </w:p>
        </w:tc>
        <w:tc>
          <w:tcPr>
            <w:tcW w:w="900" w:type="dxa"/>
            <w:vAlign w:val="center"/>
          </w:tcPr>
          <w:p w14:paraId="1D0163BE">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是否满足要求</w:t>
            </w:r>
          </w:p>
        </w:tc>
      </w:tr>
      <w:tr w14:paraId="505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36BED3AB">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1</w:t>
            </w:r>
          </w:p>
        </w:tc>
        <w:tc>
          <w:tcPr>
            <w:tcW w:w="1485" w:type="dxa"/>
            <w:vMerge w:val="restart"/>
            <w:vAlign w:val="center"/>
          </w:tcPr>
          <w:p w14:paraId="5B96BBC5">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饮片基本要求</w:t>
            </w:r>
          </w:p>
        </w:tc>
        <w:tc>
          <w:tcPr>
            <w:tcW w:w="7170" w:type="dxa"/>
          </w:tcPr>
          <w:p w14:paraId="6F982D72">
            <w:pPr>
              <w:pStyle w:val="18"/>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药典</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品需严格执行最新版《中华人民共和国药典》《国家中药饮片炮制规范》各项要求，非《药典》品需严格执行药品生产企业所在地《中药饮片炮制规范》《中药材》或其他相关标准要求。</w:t>
            </w:r>
          </w:p>
        </w:tc>
        <w:tc>
          <w:tcPr>
            <w:tcW w:w="900" w:type="dxa"/>
            <w:vAlign w:val="center"/>
          </w:tcPr>
          <w:p w14:paraId="02956638">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714B952">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FD74DD">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r>
      <w:tr w14:paraId="0D47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5" w:type="dxa"/>
            <w:vMerge w:val="continue"/>
          </w:tcPr>
          <w:p w14:paraId="02C63A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485" w:type="dxa"/>
            <w:vMerge w:val="continue"/>
          </w:tcPr>
          <w:p w14:paraId="0D244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7170" w:type="dxa"/>
          </w:tcPr>
          <w:p w14:paraId="6923A5F1">
            <w:pPr>
              <w:pStyle w:val="19"/>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w:t>
            </w:r>
            <w:bookmarkStart w:id="1" w:name="_Hlk184133275"/>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投标人建立有一套完整的质量管控体系来保证饮片质量</w:t>
            </w:r>
            <w:bookmarkEnd w:id="1"/>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，重金属、农药残留、黄曲霉毒素等检测项需符合法定标准，且能提供至少300个品种二氧化硫含量检测项高于法定标准要求。</w:t>
            </w:r>
          </w:p>
        </w:tc>
        <w:tc>
          <w:tcPr>
            <w:tcW w:w="900" w:type="dxa"/>
            <w:vAlign w:val="center"/>
          </w:tcPr>
          <w:p w14:paraId="7851ADC8">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6CDB940">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50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25B663E">
            <w:pPr>
              <w:pStyle w:val="19"/>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70DFFE72">
            <w:pPr>
              <w:pStyle w:val="19"/>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1CFDCAD3">
            <w:pPr>
              <w:pStyle w:val="19"/>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3、饮片要求以生长年限足、药用部位精准、采收时令得当，以道地产区、通过有机、绿色、无公害、无农残及地理标识等认证的中药材为主要原料</w:t>
            </w: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w:t>
            </w:r>
          </w:p>
        </w:tc>
        <w:tc>
          <w:tcPr>
            <w:tcW w:w="900" w:type="dxa"/>
            <w:vAlign w:val="center"/>
          </w:tcPr>
          <w:p w14:paraId="18FA5262">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0401563">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0F9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5" w:type="dxa"/>
            <w:vMerge w:val="continue"/>
          </w:tcPr>
          <w:p w14:paraId="52A0A83F">
            <w:pPr>
              <w:pStyle w:val="18"/>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0894D3E8">
            <w:pPr>
              <w:pStyle w:val="18"/>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285E11CF">
            <w:pPr>
              <w:pStyle w:val="18"/>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4、生产流通各环节管理精细、炮制规范，品相好，质量可靠，提供的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均为可溯源中药饮片，供货时能全面提供批次质量检测合格报告，且可以供医院随时查询质量信息。</w:t>
            </w:r>
          </w:p>
        </w:tc>
        <w:tc>
          <w:tcPr>
            <w:tcW w:w="900" w:type="dxa"/>
            <w:vAlign w:val="center"/>
          </w:tcPr>
          <w:p w14:paraId="10521731">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BBAC7DA">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E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098E23">
            <w:pPr>
              <w:pStyle w:val="18"/>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1332FB98">
            <w:pPr>
              <w:pStyle w:val="18"/>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49B3D445">
            <w:pPr>
              <w:pStyle w:val="18"/>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5、投标人供应的中药饮片能满足幼儿患者所需要的精准称重，可个性化调配剂量。</w:t>
            </w:r>
          </w:p>
        </w:tc>
        <w:tc>
          <w:tcPr>
            <w:tcW w:w="900" w:type="dxa"/>
            <w:vAlign w:val="center"/>
          </w:tcPr>
          <w:p w14:paraId="36B141AD">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AB87C1A">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C1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5A2918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2</w:t>
            </w:r>
          </w:p>
        </w:tc>
        <w:tc>
          <w:tcPr>
            <w:tcW w:w="1485" w:type="dxa"/>
            <w:vAlign w:val="center"/>
          </w:tcPr>
          <w:p w14:paraId="4C7CEF5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★饮片技术质量要求</w:t>
            </w:r>
          </w:p>
        </w:tc>
        <w:tc>
          <w:tcPr>
            <w:tcW w:w="7170" w:type="dxa"/>
            <w:vAlign w:val="center"/>
          </w:tcPr>
          <w:p w14:paraId="61256F0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1、投标人生产或经营的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品种数需覆盖医院在用品种（具体详见《深圳市儿童医院</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招标目录》）95%以上。</w:t>
            </w:r>
          </w:p>
          <w:p w14:paraId="66B7DB2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质量严格执行最新版《中华人民共和国药典》、《国家中药饮片炮制规范》，国家标准未收载品种严格执行药品生产企业所在地《中药饮片炮制规范》、《中药材》或其他相关标准，特许生产和经营的中药饮片，需符合国家相关文件要求。</w:t>
            </w:r>
          </w:p>
          <w:p w14:paraId="2079D5F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3、投标人自行承诺在</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生产加工过程中必须按照相关标准检查项进行全检（特别是重金属、农药残留、二氧化硫含量以及黄曲霉毒素等）。</w:t>
            </w:r>
          </w:p>
          <w:p w14:paraId="639C16D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4、投标人需提供的送样目录内的样品，并确保中标后供应的产品品质不低于提供的样品。</w:t>
            </w:r>
          </w:p>
        </w:tc>
        <w:tc>
          <w:tcPr>
            <w:tcW w:w="900" w:type="dxa"/>
            <w:vAlign w:val="center"/>
          </w:tcPr>
          <w:p w14:paraId="14E36568">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CD9DA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23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A0CBC8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70F5AF6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▲饮片包装技术质量要求</w:t>
            </w:r>
          </w:p>
        </w:tc>
        <w:tc>
          <w:tcPr>
            <w:tcW w:w="7170" w:type="dxa"/>
            <w:vAlign w:val="center"/>
          </w:tcPr>
          <w:p w14:paraId="6F2D178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外包装标签上应标示饮片名称、规格、等级、数量、产地、产品批号、生产日期、有效期、生产企业、质量检验合格标志及溯源码。</w:t>
            </w:r>
          </w:p>
          <w:p w14:paraId="6A44DD1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2、投标人自行承诺所提供的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能满足患者所需要的精准称重，个性化调配剂量，并提供患者所需的包装耗材和采购人规定的标识耗材。</w:t>
            </w:r>
          </w:p>
        </w:tc>
        <w:tc>
          <w:tcPr>
            <w:tcW w:w="900" w:type="dxa"/>
            <w:vAlign w:val="center"/>
          </w:tcPr>
          <w:p w14:paraId="1610DCC0">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133DED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304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963E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65D78D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▲饮片朔源技术质量要求</w:t>
            </w:r>
          </w:p>
        </w:tc>
        <w:tc>
          <w:tcPr>
            <w:tcW w:w="7170" w:type="dxa"/>
            <w:vAlign w:val="center"/>
          </w:tcPr>
          <w:p w14:paraId="261B9C7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投标人自行承诺所提供的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均为可溯源中药饮片，供货时能全面提供批次质量检测合格报告，且可以供医院随时查询质量信息。</w:t>
            </w:r>
          </w:p>
        </w:tc>
        <w:tc>
          <w:tcPr>
            <w:tcW w:w="900" w:type="dxa"/>
            <w:vAlign w:val="center"/>
          </w:tcPr>
          <w:p w14:paraId="0CABA57A">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E66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3D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67498F3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3</w:t>
            </w:r>
          </w:p>
        </w:tc>
        <w:tc>
          <w:tcPr>
            <w:tcW w:w="1485" w:type="dxa"/>
            <w:vAlign w:val="center"/>
          </w:tcPr>
          <w:p w14:paraId="0563A8B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★服务期限</w:t>
            </w:r>
          </w:p>
        </w:tc>
        <w:tc>
          <w:tcPr>
            <w:tcW w:w="7170" w:type="dxa"/>
            <w:vAlign w:val="center"/>
          </w:tcPr>
          <w:p w14:paraId="53EA049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自合同签订之日起一年。第一年为本次招标中标的服务期限，采购单位可根据项目需要和中标供应商的履约情况确定合同是否续签，合同一年一签，最多可续签两次。</w:t>
            </w:r>
          </w:p>
        </w:tc>
        <w:tc>
          <w:tcPr>
            <w:tcW w:w="900" w:type="dxa"/>
            <w:vAlign w:val="center"/>
          </w:tcPr>
          <w:p w14:paraId="6E69F295">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91EE43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C8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401CFB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F72AA3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★免费质保期</w:t>
            </w:r>
          </w:p>
        </w:tc>
        <w:tc>
          <w:tcPr>
            <w:tcW w:w="7170" w:type="dxa"/>
            <w:vAlign w:val="center"/>
          </w:tcPr>
          <w:p w14:paraId="3C008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中药饮片生产日期距到货入库日期不得超过1年（阿胶、陈皮、枳实等特殊中药饮片除外）。</w:t>
            </w:r>
          </w:p>
        </w:tc>
        <w:tc>
          <w:tcPr>
            <w:tcW w:w="900" w:type="dxa"/>
            <w:vAlign w:val="center"/>
          </w:tcPr>
          <w:p w14:paraId="1C0DF03F">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357DF2">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C5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4B813B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shd w:val="clear" w:color="auto" w:fill="auto"/>
            <w:vAlign w:val="center"/>
          </w:tcPr>
          <w:p w14:paraId="284DB4E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中药供应商资质</w:t>
            </w:r>
          </w:p>
        </w:tc>
        <w:tc>
          <w:tcPr>
            <w:tcW w:w="7170" w:type="dxa"/>
            <w:shd w:val="clear" w:color="auto" w:fill="auto"/>
            <w:vAlign w:val="center"/>
          </w:tcPr>
          <w:p w14:paraId="26E1E78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需承诺所提供的营业执照（正副本）、药品生产许可证/药品经营许可证等资料在到期前主动更新，并将更新后的资质证明文件复印件盖章后及时报送药剂科存档备查；企业名称及企业注册相关信息变更后，需在10个工作日内到药剂科办理备案手续。</w:t>
            </w:r>
          </w:p>
        </w:tc>
        <w:tc>
          <w:tcPr>
            <w:tcW w:w="900" w:type="dxa"/>
            <w:vAlign w:val="center"/>
          </w:tcPr>
          <w:p w14:paraId="40D52197">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25EFFA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D4E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365E61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605F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精品中药房软硬件配置</w:t>
            </w:r>
          </w:p>
        </w:tc>
        <w:tc>
          <w:tcPr>
            <w:tcW w:w="7170" w:type="dxa"/>
            <w:vAlign w:val="center"/>
          </w:tcPr>
          <w:p w14:paraId="161609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承诺自行承担精品中药房的装修（包括后期如精品中药房移址搬迁或改造）以及业务开展所需的各项设施设备，包括但不限于电脑、打印机、调剂台、药斗、冰箱、温湿度计、防鼠装置以及药房管理制度和各项操作规程等。</w:t>
            </w:r>
          </w:p>
        </w:tc>
        <w:tc>
          <w:tcPr>
            <w:tcW w:w="900" w:type="dxa"/>
            <w:vAlign w:val="center"/>
          </w:tcPr>
          <w:p w14:paraId="4420211F">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CBE83C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DC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DFD389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FC311A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精品中药房人员配置</w:t>
            </w:r>
          </w:p>
        </w:tc>
        <w:tc>
          <w:tcPr>
            <w:tcW w:w="7170" w:type="dxa"/>
            <w:vAlign w:val="center"/>
          </w:tcPr>
          <w:p w14:paraId="08A470C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中标供应商需负责精品中药房各岗位人员配置：</w:t>
            </w:r>
          </w:p>
          <w:p w14:paraId="6A7BA6D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1、人员数量要求：需配备与精品药房业务量需求相匹配的工作人员（包括调剂、复核、补药岗等），避免患者候药时间过长。</w:t>
            </w:r>
          </w:p>
          <w:p w14:paraId="769A0B3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2、人员资质要求：取得中药士或以上职称、或执业中药师等。</w:t>
            </w:r>
          </w:p>
          <w:p w14:paraId="470178E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3、岗位设置要求：除1项外，需固定一人负责精品中药房日常整体工作。</w:t>
            </w:r>
          </w:p>
          <w:p w14:paraId="2BD392D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4、人员纪律要求：需服从医院的全面监管（包括日常排班管理、日常考核管理等），严格按照医院的规章制度和工作流程开展相应工作，遵守医院的劳动纪律和作息制度。</w:t>
            </w:r>
          </w:p>
        </w:tc>
        <w:tc>
          <w:tcPr>
            <w:tcW w:w="900" w:type="dxa"/>
            <w:vAlign w:val="center"/>
          </w:tcPr>
          <w:p w14:paraId="4BC6280D">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19851C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59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2FEBB5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DA2E06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精品中药供应商资质</w:t>
            </w:r>
          </w:p>
        </w:tc>
        <w:tc>
          <w:tcPr>
            <w:tcW w:w="7170" w:type="dxa"/>
            <w:vAlign w:val="center"/>
          </w:tcPr>
          <w:p w14:paraId="408EEFD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需承诺所提供的营业执照（正副本）、药品生产许可证/药品经营许可证等资料在到期前主动更新，并将更新后的资质证明文件复印件盖章后及时报送药剂科存档备查；企业名称及企业注册相关信息变更后，需在10个工作日内到药剂科办理备案手续。</w:t>
            </w:r>
          </w:p>
        </w:tc>
        <w:tc>
          <w:tcPr>
            <w:tcW w:w="900" w:type="dxa"/>
            <w:vAlign w:val="center"/>
          </w:tcPr>
          <w:p w14:paraId="6A5EDE24">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B06139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D97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A20941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AE069F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精品中药房代煎代配服务</w:t>
            </w:r>
          </w:p>
        </w:tc>
        <w:tc>
          <w:tcPr>
            <w:tcW w:w="7170" w:type="dxa"/>
            <w:vAlign w:val="center"/>
          </w:tcPr>
          <w:p w14:paraId="0A959D3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default"/>
                <w:sz w:val="18"/>
                <w:szCs w:val="18"/>
                <w:lang w:val="en-US" w:eastAsia="zh-CN"/>
              </w:rPr>
              <w:t>中标供应商可提供代煎、代配服务，代煎、代配场所及所需设施设备、人员等由中标供应商自行解决，所用药品必须与精品中药房保持一致，代煎、代配药品由中标供应商自行配送或由与中标供应商签订配送合作协议的第三方机构配送至患者指定地点。中标供应商需接受采购人事前、事中、事后全过程监督管理，配合采购人共同开展日常监督检查和不定期检查，督促质量管理制度、岗位职责和标准操作规程的落实。</w:t>
            </w:r>
          </w:p>
          <w:p w14:paraId="7DFBC58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1、</w:t>
            </w:r>
            <w:r>
              <w:rPr>
                <w:rFonts w:hint="default"/>
                <w:sz w:val="18"/>
                <w:szCs w:val="18"/>
                <w:lang w:val="en-US" w:eastAsia="zh-CN"/>
              </w:rPr>
              <w:t>人员要求：具有中级以上职称的中药学人员或从事中药工作5年以上的专业技术人员协助开展代煎中药饮片的处方审核、复核和煎煮等业务指导、质量监督及组织管理工作。</w:t>
            </w:r>
          </w:p>
          <w:p w14:paraId="63DDA39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2、</w:t>
            </w:r>
            <w:r>
              <w:rPr>
                <w:rFonts w:hint="default"/>
                <w:sz w:val="18"/>
                <w:szCs w:val="18"/>
                <w:lang w:val="en-US" w:eastAsia="zh-CN"/>
              </w:rPr>
              <w:t>信息要求：代煎代配业务支持与采购人所具备的HIS系统对接，提供下单接口、撤销接口、查询路由接口等技术文档，系统对接产生的费用（含第三方接口费）由中标人负责。在合同期内代煎业务所需的软件系统由中标供应商负责维护及升级。</w:t>
            </w:r>
          </w:p>
          <w:p w14:paraId="1C3BF79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3、</w:t>
            </w:r>
            <w:r>
              <w:rPr>
                <w:rFonts w:hint="default"/>
                <w:sz w:val="18"/>
                <w:szCs w:val="18"/>
                <w:lang w:val="en-US" w:eastAsia="zh-CN"/>
              </w:rPr>
              <w:t>服务要求：若患者投诉，采购人与患者沟通了解情况，根据实际情况分析，若问题是由于中标供应商操作失误等引起的，由中标供应商跟患者沟通具体的解决方案，责任由中标供应商承担。</w:t>
            </w:r>
          </w:p>
          <w:p w14:paraId="649BA29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4、</w:t>
            </w:r>
            <w:r>
              <w:rPr>
                <w:rFonts w:hint="default"/>
                <w:sz w:val="18"/>
                <w:szCs w:val="18"/>
                <w:lang w:val="en-US" w:eastAsia="zh-CN"/>
              </w:rPr>
              <w:t>质量要求：代煎代配业务过程中，中药饮片的采购、存储、处方调剂、中药煎煮等必须符合国家相关法律法规的有关标准，确保中药饮片全过程的质量要求。饮片代煎代配质量监控拟通过24小时全流程无死角高清摄像头开展远程随机监控的方式开展，可以调取任意时间任意流程中的过程记录，可进行远程在线及追溯式质量检查。电子监控录像至少保存90天备查。</w:t>
            </w:r>
          </w:p>
          <w:p w14:paraId="49087B4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5、</w:t>
            </w:r>
            <w:r>
              <w:rPr>
                <w:rFonts w:hint="default"/>
                <w:sz w:val="18"/>
                <w:szCs w:val="18"/>
                <w:lang w:val="en-US" w:eastAsia="zh-CN"/>
              </w:rPr>
              <w:t>留样要求：建立代煎药品留样制度。每张处方的药液需留样完整包装1袋，妥善保存至少7天，实现可追溯，到期留样处置应符合环保等相关要求。</w:t>
            </w:r>
          </w:p>
          <w:p w14:paraId="5DAAFA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6、</w:t>
            </w:r>
            <w:r>
              <w:rPr>
                <w:rFonts w:hint="default"/>
                <w:sz w:val="18"/>
                <w:szCs w:val="18"/>
                <w:lang w:val="en-US" w:eastAsia="zh-CN"/>
              </w:rPr>
              <w:t>煎煮质量应符合卫生部国家中医药管理局颁布的《医疗机构中药煎药室管理规范》 等相关规定</w:t>
            </w:r>
            <w:r>
              <w:rPr>
                <w:rFonts w:hint="eastAsia"/>
                <w:sz w:val="18"/>
                <w:szCs w:val="18"/>
                <w:lang w:val="en-US" w:eastAsia="zh-CN"/>
              </w:rPr>
              <w:t>。采购人</w:t>
            </w:r>
            <w:r>
              <w:rPr>
                <w:rFonts w:hint="default"/>
                <w:sz w:val="18"/>
                <w:szCs w:val="18"/>
                <w:lang w:val="en-US" w:eastAsia="zh-CN"/>
              </w:rPr>
              <w:t>有权随时监督</w:t>
            </w:r>
            <w:r>
              <w:rPr>
                <w:rFonts w:hint="eastAsia"/>
                <w:sz w:val="18"/>
                <w:szCs w:val="18"/>
                <w:lang w:val="en-US" w:eastAsia="zh-CN"/>
              </w:rPr>
              <w:t>，</w:t>
            </w:r>
            <w:r>
              <w:rPr>
                <w:rFonts w:hint="default"/>
                <w:sz w:val="18"/>
                <w:szCs w:val="18"/>
                <w:lang w:val="en-US" w:eastAsia="zh-CN"/>
              </w:rPr>
              <w:t>以确保煎药质量。如煎药质量有问题的(如打包数不符、患者信息与处方不符、漏煎、少煎、药汁有色差、药渣有糊状块、白心、硬心及煎干、煎糊等)，中标供应商方应重煎并承担相应的责任。</w:t>
            </w:r>
          </w:p>
          <w:p w14:paraId="68A1682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7、</w:t>
            </w:r>
            <w:r>
              <w:rPr>
                <w:rFonts w:hint="default"/>
                <w:sz w:val="18"/>
                <w:szCs w:val="18"/>
                <w:lang w:val="en-US" w:eastAsia="zh-CN"/>
              </w:rPr>
              <w:t>信息保密要求：中标供应商需与医院签订信息保密协议，保护患者个人敏感信息，不得对外泄露患者个人信息，不得用于其他商业用途。</w:t>
            </w:r>
          </w:p>
          <w:p w14:paraId="210D611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sz w:val="18"/>
                <w:szCs w:val="18"/>
                <w:lang w:val="en-US" w:eastAsia="zh-CN"/>
              </w:rPr>
              <w:t>8、</w:t>
            </w:r>
            <w:r>
              <w:rPr>
                <w:rFonts w:hint="default"/>
                <w:sz w:val="18"/>
                <w:szCs w:val="18"/>
                <w:lang w:val="en-US" w:eastAsia="zh-CN"/>
              </w:rPr>
              <w:t>配合医院进行在深圳市范围内进行急煎药物的配送。中药代煎加工费价格参考深圳物价局相关规定代煎费单剂：3元/剂。配送费：深圳市内免费，深圳市外到付。</w:t>
            </w:r>
          </w:p>
        </w:tc>
        <w:tc>
          <w:tcPr>
            <w:tcW w:w="900" w:type="dxa"/>
            <w:vAlign w:val="center"/>
          </w:tcPr>
          <w:p w14:paraId="2B58448E">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27C0E0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6E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F4D89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7D16D5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★关于交货</w:t>
            </w:r>
          </w:p>
        </w:tc>
        <w:tc>
          <w:tcPr>
            <w:tcW w:w="7170" w:type="dxa"/>
            <w:vAlign w:val="center"/>
          </w:tcPr>
          <w:p w14:paraId="7F2D289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1、交货地点：采购人指定地点。</w:t>
            </w:r>
          </w:p>
          <w:p w14:paraId="1E0A0B5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2、常规药品24小时内送达，加急药品2小时内送达，货到后验收，投标人所供应的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出现失效、破损、吸潮等质量异常现象需无条件退换。</w:t>
            </w:r>
          </w:p>
          <w:p w14:paraId="29F3BE8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3、中标供应商可以自行配送，也可以委托第三方配送，必须满足采购人</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的采购计划需求，不论计划多少均应保证按时按质按量配送，并对所供应的药品质量负责。</w:t>
            </w:r>
          </w:p>
          <w:p w14:paraId="18B0C58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4、中标供应商需满足以下所有代煎、代配中药配送时效要求：</w:t>
            </w:r>
          </w:p>
          <w:p w14:paraId="581FE10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（1）深圳市内当日11：00前推送的中药处方，当日22：00前送达；当日11：00后推送的中药处方，次日12：00前送达；</w:t>
            </w:r>
          </w:p>
          <w:p w14:paraId="656CB64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（2）深圳市外、广东省内（包括深圳大鹏半岛）：全天下单，2日内送达；</w:t>
            </w:r>
          </w:p>
          <w:p w14:paraId="5A0307C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（3）广东省外全天下单（目前大多数省份仅限中药饮片配送），3-4日左右送达。</w:t>
            </w:r>
          </w:p>
        </w:tc>
        <w:tc>
          <w:tcPr>
            <w:tcW w:w="900" w:type="dxa"/>
            <w:vAlign w:val="center"/>
          </w:tcPr>
          <w:p w14:paraId="3C2F4BFE">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5CC55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A9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BE49E6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900D05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关于验收</w:t>
            </w:r>
          </w:p>
        </w:tc>
        <w:tc>
          <w:tcPr>
            <w:tcW w:w="7170" w:type="dxa"/>
            <w:vAlign w:val="center"/>
          </w:tcPr>
          <w:p w14:paraId="55E6B0E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中标供应商配送</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时需做到送货单、发票、验收记录表和药品检验合格报告单均随货同行，当满足以下条件时，采购单位才向中标供应商签发验收合格报告：</w:t>
            </w:r>
          </w:p>
          <w:p w14:paraId="02FE831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、中标供应商已按照合同规定提供了全部产品及完整的技术资料。</w:t>
            </w:r>
          </w:p>
          <w:p w14:paraId="660F081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、货物符合招标文件技术规格书的要求，性能满足要求。</w:t>
            </w:r>
          </w:p>
          <w:p w14:paraId="7B2FFBF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、货物具备产品合格检测报告。</w:t>
            </w:r>
          </w:p>
          <w:p w14:paraId="5A42150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、中标供应商无直接或者间接从国内药材批发市场（如亳州、安国、广州清平等等）购买饮片，再直接或者加工后供应采购单位情况。</w:t>
            </w:r>
          </w:p>
          <w:p w14:paraId="435548E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、服务项目符合招标文件的服务要求。</w:t>
            </w:r>
          </w:p>
          <w:p w14:paraId="03663AA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、中标供应商承诺为采购人搭建中药饮片快速验收入库对账系统，费用由中标供应商承担。</w:t>
            </w:r>
          </w:p>
          <w:p w14:paraId="715E87C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、中标供应商需有中药饮片快速验收入库对账相关系统实施经验。</w:t>
            </w:r>
          </w:p>
          <w:p w14:paraId="5B3D708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、采购人参照医院其他普通中药饮片供应商评估方式对</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供应商进行质量评估。</w:t>
            </w:r>
          </w:p>
        </w:tc>
        <w:tc>
          <w:tcPr>
            <w:tcW w:w="900" w:type="dxa"/>
            <w:vAlign w:val="center"/>
          </w:tcPr>
          <w:p w14:paraId="3956BBE2">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96C795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DB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9B48B0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BBDEBB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关于价格</w:t>
            </w:r>
          </w:p>
        </w:tc>
        <w:tc>
          <w:tcPr>
            <w:tcW w:w="7170" w:type="dxa"/>
            <w:vAlign w:val="center"/>
          </w:tcPr>
          <w:p w14:paraId="25FAD2F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在合同有效期内，严格按照饮片中标价格供货。所有供应品种均不允许涨价，特殊情况，中标供应商应提前30个工作日向采购人出具加盖公章的告知函及“深圳地区同等级医院最低成交价”证明资料（以中标通知书或合同复印件为准），经采购人审核同意后，方可执行；若采购人认为涨价原因不合理，则采购人有权向备选供应商购买；如都不能正常供货的，采购人将根据招标文件重新进行询价采购。</w:t>
            </w:r>
          </w:p>
          <w:p w14:paraId="70252D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2、同品种、同品质</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投标价格不得高于广东省内其他医院所供价格。</w:t>
            </w:r>
          </w:p>
          <w:p w14:paraId="408633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在合同有效期内，供货结算价格以中标价格为主要依据，但采购人将定期对供应品种进行市场询价和比价，若发现供应品种对应普通饮片价格出现大幅度下跌，采购人有权予以调低。供应品种市场价格有下调20%或以上时，中标供应商应告诉采购人。</w:t>
            </w:r>
          </w:p>
        </w:tc>
        <w:tc>
          <w:tcPr>
            <w:tcW w:w="900" w:type="dxa"/>
            <w:vAlign w:val="center"/>
          </w:tcPr>
          <w:p w14:paraId="29A762F4">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C4D61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95D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687BF62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5D039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关于付款</w:t>
            </w:r>
          </w:p>
        </w:tc>
        <w:tc>
          <w:tcPr>
            <w:tcW w:w="7170" w:type="dxa"/>
            <w:vAlign w:val="center"/>
          </w:tcPr>
          <w:p w14:paraId="2CEF753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货款结算：</w:t>
            </w:r>
          </w:p>
          <w:p w14:paraId="77AC445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1、因采购清单单项品种数量不固定，以实际采购需求为准，先供货且提供发票后付款，按月结算。采购方对所购商品验收合格后，按合同约定周期支付货款。</w:t>
            </w:r>
          </w:p>
          <w:p w14:paraId="4158909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2、中标人应在采购人支付货款前开具相应金额的发票给采购人。若因财政拨款因素导致中标人付款延迟采购人不承担违约责任。</w:t>
            </w:r>
          </w:p>
          <w:p w14:paraId="407F4A4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3、未尽事宜，双方另行协商约定。</w:t>
            </w:r>
          </w:p>
        </w:tc>
        <w:tc>
          <w:tcPr>
            <w:tcW w:w="900" w:type="dxa"/>
            <w:vAlign w:val="center"/>
          </w:tcPr>
          <w:p w14:paraId="5558F833">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F59034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0E2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AB4E5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84DA2E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关于商检</w:t>
            </w:r>
          </w:p>
        </w:tc>
        <w:tc>
          <w:tcPr>
            <w:tcW w:w="7170" w:type="dxa"/>
            <w:vAlign w:val="center"/>
          </w:tcPr>
          <w:p w14:paraId="2804161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依据相关法律法规要求，如所提供的货物需由国家商检部门进行商检的，所有费用由中标供应商承担。</w:t>
            </w:r>
          </w:p>
        </w:tc>
        <w:tc>
          <w:tcPr>
            <w:tcW w:w="900" w:type="dxa"/>
            <w:vAlign w:val="center"/>
          </w:tcPr>
          <w:p w14:paraId="7C2D1AAA">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3246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ECC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9EAE1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8C9D45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关于增减品种</w:t>
            </w:r>
          </w:p>
        </w:tc>
        <w:tc>
          <w:tcPr>
            <w:tcW w:w="7170" w:type="dxa"/>
            <w:vAlign w:val="center"/>
          </w:tcPr>
          <w:p w14:paraId="693808B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★1、如国家、省、市中药饮片相关政策导致本项目相关品种采购终止，合同其他品种和所有服务须继续履约。</w:t>
            </w:r>
          </w:p>
          <w:p w14:paraId="7E9ACE9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因临床用药需要，而增加采购招标目录外的中药饮片品种，由采购人药事管理与药物治疗学委员会办公室备案，经双方同意并在符合政府采购相关规定的前提下，中标供应商方可采购，但价格不能高于市场价格。</w:t>
            </w:r>
          </w:p>
        </w:tc>
        <w:tc>
          <w:tcPr>
            <w:tcW w:w="900" w:type="dxa"/>
            <w:vAlign w:val="center"/>
          </w:tcPr>
          <w:p w14:paraId="5EB64673">
            <w:pPr>
              <w:pStyle w:val="18"/>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30E73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6EF2AFC0">
      <w:pPr>
        <w:widowControl/>
        <w:jc w:val="left"/>
        <w:rPr>
          <w:rFonts w:ascii="宋体" w:hAnsi="宋体" w:cs="宋体"/>
          <w:b/>
          <w:bCs/>
          <w:color w:val="3F3F3F"/>
          <w:kern w:val="0"/>
          <w:szCs w:val="21"/>
        </w:rPr>
      </w:pPr>
    </w:p>
    <w:p w14:paraId="0A9046A7">
      <w:pPr>
        <w:widowControl/>
        <w:jc w:val="left"/>
        <w:rPr>
          <w:rFonts w:ascii="宋体" w:hAnsi="宋体" w:cs="宋体"/>
          <w:b/>
          <w:bCs/>
          <w:color w:val="3F3F3F"/>
          <w:kern w:val="0"/>
          <w:szCs w:val="21"/>
        </w:rPr>
      </w:pPr>
    </w:p>
    <w:p w14:paraId="58F82EC5">
      <w:pPr>
        <w:widowControl/>
        <w:jc w:val="left"/>
        <w:rPr>
          <w:rFonts w:ascii="宋体" w:hAnsi="宋体" w:cs="宋体"/>
          <w:b/>
          <w:bCs/>
          <w:color w:val="3F3F3F"/>
          <w:kern w:val="0"/>
          <w:szCs w:val="21"/>
        </w:rPr>
      </w:pPr>
    </w:p>
    <w:p w14:paraId="6A9A7829">
      <w:pPr>
        <w:sectPr>
          <w:pgSz w:w="11906" w:h="16838"/>
          <w:pgMar w:top="1440" w:right="1416" w:bottom="1440" w:left="1276" w:header="851" w:footer="992" w:gutter="0"/>
          <w:cols w:space="425" w:num="1"/>
          <w:docGrid w:type="lines" w:linePitch="312" w:charSpace="0"/>
        </w:sectPr>
      </w:pPr>
    </w:p>
    <w:p w14:paraId="02448CEF">
      <w:pPr>
        <w:widowControl/>
        <w:jc w:val="left"/>
        <w:rPr>
          <w:rFonts w:ascii="宋体" w:hAnsi="宋体" w:cs="宋体"/>
          <w:b/>
          <w:bCs/>
          <w:color w:val="3F3F3F"/>
          <w:kern w:val="0"/>
          <w:szCs w:val="21"/>
        </w:rPr>
      </w:pP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575"/>
    </w:sdtPr>
    <w:sdtContent>
      <w:sdt>
        <w:sdtPr>
          <w:id w:val="147458786"/>
        </w:sdtPr>
        <w:sdtContent>
          <w:p w14:paraId="0BE6E44E">
            <w:pPr>
              <w:pStyle w:val="5"/>
            </w:pPr>
            <w:r>
              <w:rPr>
                <w:lang w:val="zh-CN"/>
              </w:rPr>
              <w:t xml:space="preserve"> </w:t>
            </w:r>
            <w:r>
              <w:fldChar w:fldCharType="begin"/>
            </w:r>
            <w:r>
              <w:instrText xml:space="preserve">PAGE</w:instrText>
            </w:r>
            <w:r>
              <w:fldChar w:fldCharType="separate"/>
            </w:r>
            <w:r>
              <w:t>1</w:t>
            </w:r>
            <w:r>
              <w:fldChar w:fldCharType="end"/>
            </w:r>
            <w:r>
              <w:rPr>
                <w:lang w:val="zh-CN"/>
              </w:rPr>
              <w:t xml:space="preserve"> / </w:t>
            </w:r>
            <w:r>
              <w:fldChar w:fldCharType="begin"/>
            </w:r>
            <w:r>
              <w:instrText xml:space="preserve">NUMPAGES</w:instrText>
            </w:r>
            <w:r>
              <w:fldChar w:fldCharType="separate"/>
            </w:r>
            <w:r>
              <w:t>3</w:t>
            </w:r>
            <w: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07060"/>
    </w:sdtPr>
    <w:sdtContent>
      <w:sdt>
        <w:sdtPr>
          <w:id w:val="113607061"/>
        </w:sdtPr>
        <w:sdtContent>
          <w:p w14:paraId="0576C4E7">
            <w:pPr>
              <w:pStyle w:val="5"/>
            </w:pPr>
            <w:r>
              <w:rPr>
                <w:lang w:val="zh-CN"/>
              </w:rPr>
              <w:t xml:space="preserve"> </w:t>
            </w:r>
            <w:r>
              <w:fldChar w:fldCharType="begin"/>
            </w:r>
            <w:r>
              <w:instrText xml:space="preserve">PAGE</w:instrText>
            </w:r>
            <w:r>
              <w:fldChar w:fldCharType="separate"/>
            </w:r>
            <w:r>
              <w:t>1</w:t>
            </w:r>
            <w:r>
              <w:fldChar w:fldCharType="end"/>
            </w:r>
            <w:r>
              <w:rPr>
                <w:lang w:val="zh-CN"/>
              </w:rPr>
              <w:t xml:space="preserve"> / </w:t>
            </w:r>
            <w:r>
              <w:fldChar w:fldCharType="begin"/>
            </w:r>
            <w:r>
              <w:instrText xml:space="preserve">NUMPAGES</w:instrText>
            </w:r>
            <w:r>
              <w:fldChar w:fldCharType="separate"/>
            </w:r>
            <w:r>
              <w:t>3</w:t>
            </w:r>
            <w: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5"/>
    </w:pPr>
  </w:p>
  <w:p w14:paraId="1200D019">
    <w:pPr>
      <w:pStyle w:val="5"/>
    </w:pPr>
  </w:p>
  <w:p w14:paraId="4D274C1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8401EA7"/>
    <w:rsid w:val="09E704EE"/>
    <w:rsid w:val="0EEF6951"/>
    <w:rsid w:val="12F9640D"/>
    <w:rsid w:val="1401292C"/>
    <w:rsid w:val="157F0D8F"/>
    <w:rsid w:val="16FB4072"/>
    <w:rsid w:val="198F20E8"/>
    <w:rsid w:val="19F47144"/>
    <w:rsid w:val="1DF42211"/>
    <w:rsid w:val="1F982966"/>
    <w:rsid w:val="211508B6"/>
    <w:rsid w:val="23DD0BFC"/>
    <w:rsid w:val="2CFC73DB"/>
    <w:rsid w:val="30452F0A"/>
    <w:rsid w:val="34F80113"/>
    <w:rsid w:val="38600A43"/>
    <w:rsid w:val="39EC5C9A"/>
    <w:rsid w:val="3A800B22"/>
    <w:rsid w:val="3BEB7461"/>
    <w:rsid w:val="3F991855"/>
    <w:rsid w:val="43190CA7"/>
    <w:rsid w:val="477F66B9"/>
    <w:rsid w:val="47B66722"/>
    <w:rsid w:val="4AC85F98"/>
    <w:rsid w:val="4B237456"/>
    <w:rsid w:val="4D705BDD"/>
    <w:rsid w:val="4FE93076"/>
    <w:rsid w:val="50557B37"/>
    <w:rsid w:val="52743765"/>
    <w:rsid w:val="530C2A4A"/>
    <w:rsid w:val="554D3E65"/>
    <w:rsid w:val="59116C65"/>
    <w:rsid w:val="5A2F44D7"/>
    <w:rsid w:val="5A6F6D99"/>
    <w:rsid w:val="5BBD6E4C"/>
    <w:rsid w:val="5C5060C3"/>
    <w:rsid w:val="5D453C8C"/>
    <w:rsid w:val="5E824AD5"/>
    <w:rsid w:val="63C948C4"/>
    <w:rsid w:val="66F66060"/>
    <w:rsid w:val="67BE3C72"/>
    <w:rsid w:val="697C4EE8"/>
    <w:rsid w:val="6C783074"/>
    <w:rsid w:val="6CFA7F2C"/>
    <w:rsid w:val="718D37CA"/>
    <w:rsid w:val="73C13552"/>
    <w:rsid w:val="77584115"/>
    <w:rsid w:val="77C83101"/>
    <w:rsid w:val="7E24521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120" w:after="120"/>
      <w:outlineLvl w:val="1"/>
    </w:pPr>
    <w:rPr>
      <w:rFonts w:ascii="Cambria" w:hAnsi="Cambria" w:eastAsia="仿宋"/>
      <w:b/>
      <w:bCs/>
      <w:sz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rPr>
      <w:rFonts w:ascii="Times New Roman" w:hAnsi="Times New Roman"/>
      <w:szCs w:val="21"/>
    </w:rPr>
  </w:style>
  <w:style w:type="paragraph" w:styleId="4">
    <w:name w:val="Plain Text"/>
    <w:basedOn w:val="1"/>
    <w:qFormat/>
    <w:uiPriority w:val="99"/>
    <w:rPr>
      <w:rFonts w:ascii="宋体" w:hAnsi="Courier New"/>
    </w:rPr>
  </w:style>
  <w:style w:type="paragraph" w:styleId="5">
    <w:name w:val="footer"/>
    <w:basedOn w:val="1"/>
    <w:next w:val="1"/>
    <w:link w:val="15"/>
    <w:unhideWhenUsed/>
    <w:qFormat/>
    <w:uiPriority w:val="99"/>
    <w:pPr>
      <w:tabs>
        <w:tab w:val="center" w:pos="4153"/>
        <w:tab w:val="right" w:pos="8306"/>
      </w:tabs>
      <w:snapToGrid w:val="0"/>
      <w:jc w:val="left"/>
    </w:pPr>
    <w:rPr>
      <w:kern w:val="0"/>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qFormat/>
    <w:uiPriority w:val="39"/>
    <w:pPr>
      <w:autoSpaceDE w:val="0"/>
      <w:autoSpaceDN w:val="0"/>
      <w:adjustRightInd w:val="0"/>
    </w:pPr>
    <w:rPr>
      <w:rFonts w:ascii="宋体" w:hAnsi="宋体"/>
      <w:snapToGrid w:val="0"/>
      <w:color w:val="000000"/>
      <w:kern w:val="0"/>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annotation reference"/>
    <w:semiHidden/>
    <w:unhideWhenUsed/>
    <w:qFormat/>
    <w:uiPriority w:val="99"/>
    <w:rPr>
      <w:sz w:val="21"/>
      <w:szCs w:val="21"/>
    </w:rPr>
  </w:style>
  <w:style w:type="character" w:customStyle="1" w:styleId="14">
    <w:name w:val="页眉 Char"/>
    <w:link w:val="6"/>
    <w:qFormat/>
    <w:uiPriority w:val="99"/>
    <w:rPr>
      <w:sz w:val="18"/>
      <w:szCs w:val="18"/>
    </w:rPr>
  </w:style>
  <w:style w:type="character" w:customStyle="1" w:styleId="15">
    <w:name w:val="页脚 Char"/>
    <w:link w:val="5"/>
    <w:qFormat/>
    <w:uiPriority w:val="99"/>
    <w:rPr>
      <w:sz w:val="18"/>
      <w:szCs w:val="18"/>
    </w:rPr>
  </w:style>
  <w:style w:type="character" w:customStyle="1" w:styleId="16">
    <w:name w:val="批注文字 Char"/>
    <w:link w:val="3"/>
    <w:semiHidden/>
    <w:qFormat/>
    <w:uiPriority w:val="99"/>
    <w:rPr>
      <w:rFonts w:ascii="Times New Roman" w:hAnsi="Times New Roman"/>
      <w:kern w:val="2"/>
      <w:sz w:val="21"/>
      <w:szCs w:val="21"/>
    </w:rPr>
  </w:style>
  <w:style w:type="paragraph" w:customStyle="1" w:styleId="17">
    <w:name w:val="正文文本11"/>
    <w:basedOn w:val="1"/>
    <w:qFormat/>
    <w:uiPriority w:val="0"/>
    <w:pPr>
      <w:widowControl/>
      <w:spacing w:line="360" w:lineRule="auto"/>
      <w:jc w:val="left"/>
    </w:pPr>
    <w:rPr>
      <w:rFonts w:ascii="Times New Roman" w:hAnsi="Times New Roman"/>
      <w:sz w:val="24"/>
      <w:szCs w:val="20"/>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styleId="19">
    <w:name w:val="List Paragraph"/>
    <w:basedOn w:val="1"/>
    <w:unhideWhenUsed/>
    <w:qFormat/>
    <w:uiPriority w:val="99"/>
    <w:pPr>
      <w:ind w:firstLine="420" w:firstLineChars="200"/>
    </w:pPr>
  </w:style>
  <w:style w:type="paragraph" w:customStyle="1" w:styleId="20">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8</Pages>
  <Words>1174</Words>
  <Characters>1206</Characters>
  <Lines>9</Lines>
  <Paragraphs>2</Paragraphs>
  <TotalTime>2</TotalTime>
  <ScaleCrop>false</ScaleCrop>
  <LinksUpToDate>false</LinksUpToDate>
  <CharactersWithSpaces>1449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中正招标-刘蕊</cp:lastModifiedBy>
  <dcterms:modified xsi:type="dcterms:W3CDTF">2025-03-06T06:32:00Z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eyJoZGlkIjoiZDE3MTRiOGQzMzE4MzNhYTA4OTRhZmFjZjE5NDc5YTYiLCJ1c2VySWQiOiIxNTIxNDE1MzI1In0=</vt:lpwstr>
  </property>
  <property fmtid="{D5CDD505-2E9C-101B-9397-08002B2CF9AE}" pid="3" name="KSOProductBuildVer">
    <vt:lpwstr>2052-12.1.0.20305</vt:lpwstr>
  </property>
  <property fmtid="{D5CDD505-2E9C-101B-9397-08002B2CF9AE}" pid="4" name="ICV">
    <vt:lpwstr>5A1603ADDCE94B8FB3EFF597D41B503C_13</vt:lpwstr>
  </property>
</Properties>
</file>