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left"/>
        <w:rPr>
          <w:rFonts w:cs="仿宋" w:asciiTheme="minorEastAsia" w:hAnsiTheme="minorEastAsia" w:eastAsiaTheme="minorEastAsia"/>
          <w:snapToGrid w:val="0"/>
          <w:kern w:val="0"/>
          <w:sz w:val="28"/>
          <w:szCs w:val="28"/>
        </w:rPr>
      </w:pPr>
      <w:r>
        <w:rPr>
          <w:rFonts w:cs="仿宋" w:asciiTheme="minorEastAsia" w:hAnsiTheme="minorEastAsia" w:eastAsiaTheme="minorEastAsia"/>
          <w:snapToGrid w:val="0"/>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580390</wp:posOffset>
                </wp:positionH>
                <wp:positionV relativeFrom="paragraph">
                  <wp:posOffset>-41910</wp:posOffset>
                </wp:positionV>
                <wp:extent cx="3743960" cy="594360"/>
                <wp:effectExtent l="4445" t="4445" r="23495" b="10795"/>
                <wp:wrapNone/>
                <wp:docPr id="4" name="文本框 299"/>
                <wp:cNvGraphicFramePr/>
                <a:graphic xmlns:a="http://schemas.openxmlformats.org/drawingml/2006/main">
                  <a:graphicData uri="http://schemas.microsoft.com/office/word/2010/wordprocessingShape">
                    <wps:wsp>
                      <wps:cNvSpPr txBox="1"/>
                      <wps:spPr>
                        <a:xfrm>
                          <a:off x="0" y="0"/>
                          <a:ext cx="3743960" cy="59436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spacing w:line="400" w:lineRule="exact"/>
                              <w:rPr>
                                <w:rFonts w:ascii="仿宋_GB2312" w:eastAsia="仿宋_GB2312"/>
                                <w:b/>
                                <w:sz w:val="26"/>
                                <w:szCs w:val="26"/>
                              </w:rPr>
                            </w:pPr>
                            <w:r>
                              <w:rPr>
                                <w:rFonts w:hint="eastAsia" w:ascii="仿宋_GB2312" w:eastAsia="仿宋_GB2312"/>
                                <w:b/>
                                <w:sz w:val="26"/>
                                <w:szCs w:val="26"/>
                              </w:rPr>
                              <w:t>深 圳 市 中 正 招 标 有 限 公 司</w:t>
                            </w:r>
                          </w:p>
                          <w:p>
                            <w:pPr>
                              <w:spacing w:line="400" w:lineRule="exact"/>
                              <w:rPr>
                                <w:rFonts w:ascii="仿宋_GB2312" w:eastAsia="仿宋_GB2312"/>
                                <w:sz w:val="22"/>
                              </w:rPr>
                            </w:pPr>
                            <w:r>
                              <w:rPr>
                                <w:rFonts w:hint="eastAsia" w:ascii="仿宋_GB2312" w:eastAsia="仿宋_GB2312"/>
                                <w:sz w:val="22"/>
                              </w:rPr>
                              <w:t>SHENZHEN ZHONGZHENG TENDERING CO.,LTD.</w:t>
                            </w:r>
                          </w:p>
                        </w:txbxContent>
                      </wps:txbx>
                      <wps:bodyPr upright="1"/>
                    </wps:wsp>
                  </a:graphicData>
                </a:graphic>
              </wp:anchor>
            </w:drawing>
          </mc:Choice>
          <mc:Fallback>
            <w:pict>
              <v:shape id="文本框 299" o:spid="_x0000_s1026" o:spt="202" type="#_x0000_t202" style="position:absolute;left:0pt;margin-left:45.7pt;margin-top:-3.3pt;height:46.8pt;width:294.8pt;z-index:251659264;mso-width-relative:page;mso-height-relative:page;" fillcolor="#FFFFFF" filled="t" stroked="t" coordsize="21600,21600" o:gfxdata="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bfM1x1wAAAAgBAAAPAAAAAAAAAAEAIAAA&#10;ACIAAABkcnMvZG93bnJldi54bWxQSwECFAAUAAAACACHTuJACapl8w0CAABGBAAADgAAAAAAAAAB&#10;ACAAAAAmAQAAZHJzL2Uyb0RvYy54bWxQSwUGAAAAAAYABgBZAQAApQUAAAAA&#10;">
                <v:fill on="t" focussize="0,0"/>
                <v:stroke color="#FFFFFF" joinstyle="miter"/>
                <v:imagedata o:title=""/>
                <o:lock v:ext="edit" aspectratio="f"/>
                <v:textbox>
                  <w:txbxContent>
                    <w:p>
                      <w:pPr>
                        <w:spacing w:line="400" w:lineRule="exact"/>
                        <w:rPr>
                          <w:rFonts w:ascii="仿宋_GB2312" w:eastAsia="仿宋_GB2312"/>
                          <w:b/>
                          <w:sz w:val="26"/>
                          <w:szCs w:val="26"/>
                        </w:rPr>
                      </w:pPr>
                      <w:r>
                        <w:rPr>
                          <w:rFonts w:hint="eastAsia" w:ascii="仿宋_GB2312" w:eastAsia="仿宋_GB2312"/>
                          <w:b/>
                          <w:sz w:val="26"/>
                          <w:szCs w:val="26"/>
                        </w:rPr>
                        <w:t>深 圳 市 中 正 招 标 有 限 公 司</w:t>
                      </w:r>
                    </w:p>
                    <w:p>
                      <w:pPr>
                        <w:spacing w:line="400" w:lineRule="exact"/>
                        <w:rPr>
                          <w:rFonts w:ascii="仿宋_GB2312" w:eastAsia="仿宋_GB2312"/>
                          <w:sz w:val="22"/>
                        </w:rPr>
                      </w:pPr>
                      <w:r>
                        <w:rPr>
                          <w:rFonts w:hint="eastAsia" w:ascii="仿宋_GB2312" w:eastAsia="仿宋_GB2312"/>
                          <w:sz w:val="22"/>
                        </w:rPr>
                        <w:t>SHENZHEN ZHONGZHENG TENDERING CO.,LTD.</w:t>
                      </w:r>
                    </w:p>
                  </w:txbxContent>
                </v:textbox>
              </v:shape>
            </w:pict>
          </mc:Fallback>
        </mc:AlternateContent>
      </w:r>
      <w:r>
        <w:rPr>
          <w:rFonts w:hint="eastAsia" w:cs="仿宋" w:asciiTheme="minorEastAsia" w:hAnsiTheme="minorEastAsia" w:eastAsiaTheme="minorEastAsia"/>
          <w:kern w:val="0"/>
          <w:sz w:val="28"/>
          <w:szCs w:val="28"/>
        </w:rPr>
        <w:drawing>
          <wp:inline distT="0" distB="0" distL="0" distR="0">
            <wp:extent cx="552450" cy="476250"/>
            <wp:effectExtent l="57150" t="19050" r="1905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7" cstate="print"/>
                    <a:srcRect/>
                    <a:stretch>
                      <a:fillRect/>
                    </a:stretch>
                  </pic:blipFill>
                  <pic:spPr>
                    <a:xfrm>
                      <a:off x="0" y="0"/>
                      <a:ext cx="552450" cy="476250"/>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jc w:val="center"/>
        <w:rPr>
          <w:rFonts w:cs="仿宋" w:asciiTheme="minorEastAsia" w:hAnsiTheme="minorEastAsia" w:eastAsiaTheme="minorEastAsia"/>
        </w:rPr>
      </w:pPr>
    </w:p>
    <w:p>
      <w:pPr>
        <w:jc w:val="center"/>
        <w:rPr>
          <w:rFonts w:hint="eastAsia" w:cs="仿宋" w:asciiTheme="minorEastAsia" w:hAnsiTheme="minorEastAsia" w:eastAsiaTheme="minorEastAsia"/>
          <w:b/>
          <w:bCs/>
          <w:snapToGrid w:val="0"/>
          <w:kern w:val="0"/>
          <w:sz w:val="56"/>
          <w:szCs w:val="56"/>
        </w:rPr>
      </w:pPr>
      <w:r>
        <w:rPr>
          <w:rFonts w:hint="eastAsia" w:cs="仿宋" w:asciiTheme="minorEastAsia" w:hAnsiTheme="minorEastAsia" w:eastAsiaTheme="minorEastAsia"/>
          <w:b/>
          <w:bCs/>
          <w:snapToGrid w:val="0"/>
          <w:kern w:val="0"/>
          <w:sz w:val="56"/>
          <w:szCs w:val="56"/>
        </w:rPr>
        <w:t>深圳市公安局交通警察局2024年辅聘人员人身意外伤害保险服务</w:t>
      </w:r>
    </w:p>
    <w:p>
      <w:pPr>
        <w:jc w:val="center"/>
        <w:rPr>
          <w:rFonts w:hint="eastAsia" w:cs="仿宋" w:asciiTheme="minorEastAsia" w:hAnsiTheme="minorEastAsia" w:eastAsiaTheme="minorEastAsia"/>
          <w:b/>
          <w:bCs/>
          <w:sz w:val="56"/>
          <w:szCs w:val="56"/>
          <w:lang w:eastAsia="zh-CN"/>
        </w:rPr>
      </w:pPr>
      <w:r>
        <w:rPr>
          <w:rFonts w:hint="eastAsia" w:cs="仿宋" w:asciiTheme="minorEastAsia" w:hAnsiTheme="minorEastAsia" w:eastAsiaTheme="minorEastAsia"/>
          <w:b/>
          <w:bCs/>
          <w:snapToGrid w:val="0"/>
          <w:kern w:val="0"/>
          <w:sz w:val="56"/>
          <w:szCs w:val="56"/>
          <w:lang w:eastAsia="zh-CN"/>
        </w:rPr>
        <w:t>（</w:t>
      </w:r>
      <w:r>
        <w:rPr>
          <w:rFonts w:hint="eastAsia" w:cs="仿宋" w:asciiTheme="minorEastAsia" w:hAnsiTheme="minorEastAsia" w:eastAsiaTheme="minorEastAsia"/>
          <w:b/>
          <w:bCs/>
          <w:snapToGrid w:val="0"/>
          <w:kern w:val="0"/>
          <w:sz w:val="56"/>
          <w:szCs w:val="56"/>
          <w:lang w:val="en-US" w:eastAsia="zh-CN"/>
        </w:rPr>
        <w:t>第二次招标</w:t>
      </w:r>
      <w:bookmarkStart w:id="20" w:name="_GoBack"/>
      <w:bookmarkEnd w:id="20"/>
      <w:r>
        <w:rPr>
          <w:rFonts w:hint="eastAsia" w:cs="仿宋" w:asciiTheme="minorEastAsia" w:hAnsiTheme="minorEastAsia" w:eastAsiaTheme="minorEastAsia"/>
          <w:b/>
          <w:bCs/>
          <w:snapToGrid w:val="0"/>
          <w:kern w:val="0"/>
          <w:sz w:val="56"/>
          <w:szCs w:val="56"/>
          <w:lang w:eastAsia="zh-CN"/>
        </w:rPr>
        <w:t>）</w:t>
      </w:r>
    </w:p>
    <w:p>
      <w:pPr>
        <w:rPr>
          <w:rFonts w:cs="仿宋" w:asciiTheme="minorEastAsia" w:hAnsiTheme="minorEastAsia" w:eastAsiaTheme="minorEastAsia"/>
        </w:rPr>
      </w:pPr>
    </w:p>
    <w:p>
      <w:pPr>
        <w:rPr>
          <w:rFonts w:cs="仿宋" w:asciiTheme="minorEastAsia" w:hAnsiTheme="minorEastAsia" w:eastAsiaTheme="minorEastAsia"/>
        </w:rPr>
      </w:pPr>
    </w:p>
    <w:p>
      <w:pPr>
        <w:pStyle w:val="2"/>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adjustRightInd w:val="0"/>
        <w:snapToGrid w:val="0"/>
        <w:spacing w:line="300" w:lineRule="auto"/>
        <w:jc w:val="center"/>
        <w:rPr>
          <w:rFonts w:cs="仿宋" w:asciiTheme="minorEastAsia" w:hAnsiTheme="minorEastAsia" w:eastAsiaTheme="minorEastAsia"/>
          <w:b/>
          <w:bCs/>
          <w:snapToGrid w:val="0"/>
          <w:kern w:val="0"/>
          <w:sz w:val="90"/>
        </w:rPr>
      </w:pPr>
      <w:r>
        <w:rPr>
          <w:rFonts w:hint="eastAsia" w:cs="仿宋" w:asciiTheme="minorEastAsia" w:hAnsiTheme="minorEastAsia" w:eastAsiaTheme="minorEastAsia"/>
          <w:b/>
          <w:bCs/>
          <w:snapToGrid w:val="0"/>
          <w:kern w:val="0"/>
          <w:sz w:val="90"/>
        </w:rPr>
        <w:t>招  标　文　件</w:t>
      </w:r>
    </w:p>
    <w:p>
      <w:pPr>
        <w:adjustRightInd w:val="0"/>
        <w:snapToGrid w:val="0"/>
        <w:spacing w:line="300" w:lineRule="auto"/>
        <w:jc w:val="center"/>
        <w:rPr>
          <w:rFonts w:cs="仿宋" w:asciiTheme="minorEastAsia" w:hAnsiTheme="minorEastAsia" w:eastAsiaTheme="minorEastAsia"/>
          <w:b/>
          <w:bCs/>
          <w:snapToGrid w:val="0"/>
          <w:kern w:val="0"/>
          <w:sz w:val="32"/>
        </w:rPr>
      </w:pPr>
    </w:p>
    <w:p>
      <w:pPr>
        <w:adjustRightInd w:val="0"/>
        <w:snapToGrid w:val="0"/>
        <w:spacing w:line="300" w:lineRule="auto"/>
        <w:jc w:val="center"/>
        <w:rPr>
          <w:rFonts w:cs="仿宋" w:asciiTheme="minorEastAsia" w:hAnsiTheme="minorEastAsia" w:eastAsiaTheme="minorEastAsia"/>
          <w:b/>
          <w:bCs/>
          <w:snapToGrid w:val="0"/>
          <w:kern w:val="0"/>
          <w:sz w:val="44"/>
        </w:rPr>
      </w:pPr>
      <w:r>
        <w:rPr>
          <w:rFonts w:hint="eastAsia" w:cs="仿宋" w:asciiTheme="minorEastAsia" w:hAnsiTheme="minorEastAsia" w:eastAsiaTheme="minorEastAsia"/>
          <w:b/>
          <w:bCs/>
          <w:snapToGrid w:val="0"/>
          <w:kern w:val="0"/>
          <w:sz w:val="32"/>
        </w:rPr>
        <w:t>项目编号：SZZZ2024-QC0011</w:t>
      </w:r>
    </w:p>
    <w:p>
      <w:pPr>
        <w:rPr>
          <w:rFonts w:cs="仿宋" w:asciiTheme="minorEastAsia" w:hAnsiTheme="minorEastAsia" w:eastAsiaTheme="minorEastAsia"/>
          <w:b/>
          <w:bCs/>
        </w:rPr>
      </w:pPr>
    </w:p>
    <w:p>
      <w:pPr>
        <w:rPr>
          <w:rFonts w:cs="仿宋" w:asciiTheme="minorEastAsia" w:hAnsiTheme="minorEastAsia" w:eastAsiaTheme="minorEastAsia"/>
          <w:b/>
          <w:bCs/>
        </w:rPr>
      </w:pPr>
    </w:p>
    <w:p>
      <w:pPr>
        <w:rPr>
          <w:rFonts w:cs="仿宋" w:asciiTheme="minorEastAsia" w:hAnsiTheme="minorEastAsia" w:eastAsiaTheme="minorEastAsia"/>
          <w:b/>
          <w:bCs/>
        </w:rPr>
      </w:pPr>
    </w:p>
    <w:p>
      <w:pPr>
        <w:pStyle w:val="14"/>
      </w:pPr>
    </w:p>
    <w:p>
      <w:pPr>
        <w:pStyle w:val="2"/>
        <w:ind w:left="0" w:leftChars="0" w:firstLine="0" w:firstLineChars="0"/>
        <w:rPr>
          <w:b/>
          <w:bCs/>
        </w:rPr>
      </w:pPr>
    </w:p>
    <w:p>
      <w:pPr>
        <w:pStyle w:val="2"/>
        <w:ind w:firstLine="422"/>
        <w:rPr>
          <w:b/>
          <w:bCs/>
        </w:rPr>
      </w:pPr>
    </w:p>
    <w:p>
      <w:pPr>
        <w:rPr>
          <w:rFonts w:cs="仿宋" w:asciiTheme="minorEastAsia" w:hAnsiTheme="minorEastAsia" w:eastAsiaTheme="minorEastAsia"/>
          <w:b/>
          <w:bCs/>
        </w:rPr>
      </w:pPr>
    </w:p>
    <w:p>
      <w:pPr>
        <w:pStyle w:val="16"/>
        <w:adjustRightInd w:val="0"/>
        <w:snapToGrid w:val="0"/>
        <w:spacing w:line="300" w:lineRule="auto"/>
        <w:jc w:val="center"/>
        <w:rPr>
          <w:rFonts w:cs="仿宋" w:asciiTheme="minorEastAsia" w:hAnsiTheme="minorEastAsia" w:eastAsiaTheme="minorEastAsia"/>
          <w:b/>
          <w:bCs/>
          <w:snapToGrid w:val="0"/>
          <w:sz w:val="30"/>
        </w:rPr>
      </w:pPr>
      <w:r>
        <w:rPr>
          <w:rFonts w:hint="eastAsia" w:cs="仿宋" w:asciiTheme="minorEastAsia" w:hAnsiTheme="minorEastAsia" w:eastAsiaTheme="minorEastAsia"/>
          <w:b/>
          <w:bCs/>
          <w:snapToGrid w:val="0"/>
          <w:sz w:val="30"/>
        </w:rPr>
        <w:t>二〇二</w:t>
      </w:r>
      <w:r>
        <w:rPr>
          <w:rFonts w:hint="eastAsia"/>
          <w:b/>
          <w:snapToGrid w:val="0"/>
          <w:sz w:val="30"/>
        </w:rPr>
        <w:t>四</w:t>
      </w:r>
      <w:r>
        <w:rPr>
          <w:rFonts w:hint="eastAsia" w:cs="仿宋" w:asciiTheme="minorEastAsia" w:hAnsiTheme="minorEastAsia" w:eastAsiaTheme="minorEastAsia"/>
          <w:b/>
          <w:bCs/>
          <w:snapToGrid w:val="0"/>
          <w:sz w:val="30"/>
        </w:rPr>
        <w:t>年</w:t>
      </w:r>
      <w:r>
        <w:rPr>
          <w:rFonts w:hint="eastAsia" w:cs="仿宋" w:asciiTheme="minorEastAsia" w:hAnsiTheme="minorEastAsia" w:eastAsiaTheme="minorEastAsia"/>
          <w:b/>
          <w:bCs/>
          <w:snapToGrid w:val="0"/>
          <w:sz w:val="30"/>
          <w:lang w:val="en-US" w:eastAsia="zh-CN"/>
        </w:rPr>
        <w:t>二</w:t>
      </w:r>
      <w:r>
        <w:rPr>
          <w:rFonts w:hint="eastAsia" w:cs="仿宋" w:asciiTheme="minorEastAsia" w:hAnsiTheme="minorEastAsia" w:eastAsiaTheme="minorEastAsia"/>
          <w:b/>
          <w:bCs/>
          <w:snapToGrid w:val="0"/>
          <w:sz w:val="30"/>
        </w:rPr>
        <w:t>月</w:t>
      </w:r>
    </w:p>
    <w:p>
      <w:pPr>
        <w:widowControl/>
        <w:jc w:val="center"/>
        <w:rPr>
          <w:rFonts w:cs="仿宋" w:asciiTheme="minorEastAsia" w:hAnsiTheme="minorEastAsia" w:eastAsiaTheme="minorEastAsia"/>
          <w:snapToGrid w:val="0"/>
        </w:rPr>
      </w:pPr>
      <w:r>
        <w:rPr>
          <w:rFonts w:hint="eastAsia" w:cs="仿宋" w:asciiTheme="minorEastAsia" w:hAnsiTheme="minorEastAsia" w:eastAsiaTheme="minorEastAsia"/>
          <w:snapToGrid w:val="0"/>
        </w:rPr>
        <w:br w:type="page"/>
      </w:r>
    </w:p>
    <w:p>
      <w:pPr>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特别警示条款</w:t>
      </w:r>
    </w:p>
    <w:p>
      <w:pPr>
        <w:spacing w:line="360" w:lineRule="auto"/>
        <w:ind w:firstLine="480" w:firstLineChars="200"/>
        <w:rPr>
          <w:rFonts w:ascii="宋体" w:hAnsi="宋体"/>
          <w:sz w:val="24"/>
          <w:szCs w:val="24"/>
        </w:rPr>
      </w:pPr>
    </w:p>
    <w:p>
      <w:pPr>
        <w:spacing w:line="440" w:lineRule="exact"/>
        <w:ind w:firstLine="480" w:firstLineChars="200"/>
        <w:rPr>
          <w:rFonts w:ascii="仿宋" w:hAnsi="仿宋" w:eastAsia="仿宋"/>
          <w:sz w:val="24"/>
          <w:szCs w:val="24"/>
        </w:rPr>
      </w:pPr>
      <w:r>
        <w:rPr>
          <w:rFonts w:hint="eastAsia" w:ascii="仿宋" w:hAnsi="仿宋" w:eastAsia="仿宋"/>
          <w:sz w:val="24"/>
          <w:szCs w:val="24"/>
        </w:rPr>
        <w:t>一、《深圳经济特区政府采购条例》</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第五十七条</w:t>
      </w:r>
      <w:r>
        <w:rPr>
          <w:rFonts w:ascii="仿宋" w:hAnsi="仿宋" w:eastAsia="仿宋"/>
          <w:sz w:val="24"/>
          <w:szCs w:val="24"/>
        </w:rPr>
        <w:t xml:space="preserve"> </w:t>
      </w:r>
      <w:r>
        <w:rPr>
          <w:rFonts w:hint="eastAsia" w:ascii="仿宋" w:hAnsi="仿宋" w:eastAsia="仿宋"/>
          <w:sz w:val="24"/>
          <w:szCs w:val="24"/>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（一）在采购活动中应当回避而未回避的；</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（二）未按本条例规定签订、履行采购合同，造成严重后果的；</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（三）隐瞒真实情况，提供虚假资料的；</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（四）以非法手段排斥其他供应商参与竞争的；</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（五）与其他采购参加人串通投标的；</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（六）恶意投诉的；</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（七）向采购项目相关人行贿或者提供其他不当利益的；</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（八）阻碍、抗拒主管部门监督检查的；</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（九）其他违反本条例规定的行为。</w:t>
      </w:r>
    </w:p>
    <w:p>
      <w:pPr>
        <w:spacing w:line="440" w:lineRule="exact"/>
        <w:ind w:firstLine="480" w:firstLineChars="200"/>
        <w:rPr>
          <w:rFonts w:ascii="仿宋" w:hAnsi="仿宋" w:eastAsia="仿宋"/>
          <w:sz w:val="24"/>
          <w:szCs w:val="24"/>
        </w:rPr>
      </w:pPr>
    </w:p>
    <w:p>
      <w:pPr>
        <w:spacing w:line="440" w:lineRule="exact"/>
        <w:ind w:firstLine="480" w:firstLineChars="200"/>
        <w:rPr>
          <w:rFonts w:ascii="仿宋" w:hAnsi="仿宋" w:eastAsia="仿宋"/>
          <w:sz w:val="24"/>
          <w:szCs w:val="24"/>
        </w:rPr>
      </w:pPr>
      <w:r>
        <w:rPr>
          <w:rFonts w:hint="eastAsia" w:ascii="仿宋" w:hAnsi="仿宋" w:eastAsia="仿宋"/>
          <w:sz w:val="24"/>
          <w:szCs w:val="24"/>
        </w:rPr>
        <w:t>二、《深圳经济特区政府采购条例实施细则》</w:t>
      </w:r>
    </w:p>
    <w:p>
      <w:pPr>
        <w:spacing w:line="440" w:lineRule="exact"/>
        <w:ind w:firstLine="482" w:firstLineChars="200"/>
        <w:rPr>
          <w:rFonts w:ascii="仿宋" w:hAnsi="仿宋" w:eastAsia="仿宋"/>
          <w:b/>
          <w:color w:val="FF0000"/>
          <w:sz w:val="24"/>
          <w:szCs w:val="24"/>
        </w:rPr>
      </w:pPr>
      <w:r>
        <w:rPr>
          <w:rFonts w:hint="eastAsia" w:ascii="仿宋" w:hAnsi="仿宋" w:eastAsia="仿宋"/>
          <w:b/>
          <w:color w:val="FF0000"/>
          <w:sz w:val="24"/>
          <w:szCs w:val="24"/>
        </w:rPr>
        <w:t>第七十九条 供应商有下列情形的，属于采购条例所称的串通投标行为，按照采购条例第五十七条有关规定处理：</w:t>
      </w:r>
    </w:p>
    <w:p>
      <w:pPr>
        <w:spacing w:line="440" w:lineRule="exact"/>
        <w:ind w:firstLine="482" w:firstLineChars="200"/>
        <w:rPr>
          <w:rFonts w:ascii="仿宋" w:hAnsi="仿宋" w:eastAsia="仿宋"/>
          <w:b/>
          <w:color w:val="FF0000"/>
          <w:sz w:val="24"/>
          <w:szCs w:val="24"/>
        </w:rPr>
      </w:pPr>
      <w:r>
        <w:rPr>
          <w:rFonts w:hint="eastAsia" w:ascii="仿宋" w:hAnsi="仿宋" w:eastAsia="仿宋"/>
          <w:b/>
          <w:color w:val="FF0000"/>
          <w:sz w:val="24"/>
          <w:szCs w:val="24"/>
        </w:rPr>
        <w:t>（一）投标供应商之间相互约定给予未中标的供应商利益补偿；</w:t>
      </w:r>
    </w:p>
    <w:p>
      <w:pPr>
        <w:spacing w:line="440" w:lineRule="exact"/>
        <w:ind w:firstLine="482" w:firstLineChars="200"/>
        <w:rPr>
          <w:rFonts w:ascii="仿宋" w:hAnsi="仿宋" w:eastAsia="仿宋"/>
          <w:b/>
          <w:color w:val="FF0000"/>
          <w:sz w:val="24"/>
          <w:szCs w:val="24"/>
        </w:rPr>
      </w:pPr>
      <w:r>
        <w:rPr>
          <w:rFonts w:hint="eastAsia" w:ascii="仿宋" w:hAnsi="仿宋" w:eastAsia="仿宋"/>
          <w:b/>
          <w:color w:val="FF0000"/>
          <w:sz w:val="24"/>
          <w:szCs w:val="24"/>
        </w:rPr>
        <w:t xml:space="preserve">（二）不同投标供应商的法定代表人、主要经营负责人、项目投标授权代表人、项目负责人、主要技术人员为同一人、属同一单位或者在同一单位缴纳社会保险；          </w:t>
      </w:r>
    </w:p>
    <w:p>
      <w:pPr>
        <w:spacing w:line="440" w:lineRule="exact"/>
        <w:ind w:firstLine="482" w:firstLineChars="200"/>
        <w:rPr>
          <w:rFonts w:ascii="仿宋" w:hAnsi="仿宋" w:eastAsia="仿宋"/>
          <w:b/>
          <w:color w:val="FF0000"/>
          <w:sz w:val="24"/>
          <w:szCs w:val="24"/>
        </w:rPr>
      </w:pPr>
      <w:r>
        <w:rPr>
          <w:rFonts w:hint="eastAsia" w:ascii="仿宋" w:hAnsi="仿宋" w:eastAsia="仿宋"/>
          <w:b/>
          <w:color w:val="FF0000"/>
          <w:sz w:val="24"/>
          <w:szCs w:val="24"/>
        </w:rPr>
        <w:t>（三）不同投标供应商的投标文件由同一单位或者同一人编制，或者由同一人分阶段参与编制的；</w:t>
      </w:r>
    </w:p>
    <w:p>
      <w:pPr>
        <w:spacing w:line="440" w:lineRule="exact"/>
        <w:ind w:firstLine="482" w:firstLineChars="200"/>
        <w:rPr>
          <w:rFonts w:ascii="仿宋" w:hAnsi="仿宋" w:eastAsia="仿宋"/>
          <w:b/>
          <w:color w:val="FF0000"/>
          <w:sz w:val="24"/>
          <w:szCs w:val="24"/>
        </w:rPr>
      </w:pPr>
      <w:r>
        <w:rPr>
          <w:rFonts w:hint="eastAsia" w:ascii="仿宋" w:hAnsi="仿宋" w:eastAsia="仿宋"/>
          <w:b/>
          <w:color w:val="FF0000"/>
          <w:sz w:val="24"/>
          <w:szCs w:val="24"/>
        </w:rPr>
        <w:t>（四）不同投标供应商的投标文件或部分投标文件相互混装；</w:t>
      </w:r>
    </w:p>
    <w:p>
      <w:pPr>
        <w:spacing w:line="440" w:lineRule="exact"/>
        <w:ind w:firstLine="482" w:firstLineChars="200"/>
        <w:rPr>
          <w:rFonts w:ascii="仿宋" w:hAnsi="仿宋" w:eastAsia="仿宋"/>
          <w:b/>
          <w:color w:val="FF0000"/>
          <w:sz w:val="24"/>
          <w:szCs w:val="24"/>
        </w:rPr>
      </w:pPr>
      <w:r>
        <w:rPr>
          <w:rFonts w:hint="eastAsia" w:ascii="仿宋" w:hAnsi="仿宋" w:eastAsia="仿宋"/>
          <w:b/>
          <w:color w:val="FF0000"/>
          <w:sz w:val="24"/>
          <w:szCs w:val="24"/>
        </w:rPr>
        <w:t>（五）不同投标供应商的投标文件内容存在非正常一致；</w:t>
      </w:r>
    </w:p>
    <w:p>
      <w:pPr>
        <w:spacing w:line="440" w:lineRule="exact"/>
        <w:ind w:firstLine="482" w:firstLineChars="200"/>
        <w:rPr>
          <w:rFonts w:ascii="仿宋" w:hAnsi="仿宋" w:eastAsia="仿宋"/>
          <w:b/>
          <w:color w:val="FF0000"/>
          <w:sz w:val="24"/>
          <w:szCs w:val="24"/>
        </w:rPr>
      </w:pPr>
      <w:r>
        <w:rPr>
          <w:rFonts w:hint="eastAsia" w:ascii="仿宋" w:hAnsi="仿宋" w:eastAsia="仿宋"/>
          <w:b/>
          <w:color w:val="FF0000"/>
          <w:sz w:val="24"/>
          <w:szCs w:val="24"/>
        </w:rPr>
        <w:t>（六）由同一单位工作人员为两家以上（含两家）供应商进行同一项投标活动的；</w:t>
      </w:r>
    </w:p>
    <w:p>
      <w:pPr>
        <w:spacing w:line="440" w:lineRule="exact"/>
        <w:ind w:firstLine="482" w:firstLineChars="200"/>
        <w:rPr>
          <w:rFonts w:ascii="仿宋" w:hAnsi="仿宋" w:eastAsia="仿宋"/>
          <w:b/>
          <w:color w:val="FF0000"/>
          <w:sz w:val="24"/>
          <w:szCs w:val="24"/>
        </w:rPr>
      </w:pPr>
      <w:r>
        <w:rPr>
          <w:rFonts w:hint="eastAsia" w:ascii="仿宋" w:hAnsi="仿宋" w:eastAsia="仿宋"/>
          <w:b/>
          <w:color w:val="FF0000"/>
          <w:sz w:val="24"/>
          <w:szCs w:val="24"/>
        </w:rPr>
        <w:t>（七）主管部门依照法律、法规认定的其他情形。</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第八十一条 供应商有下列情形之一的，属于隐瞒真实情况，提供虚假资料，按照采购条例第五十七的有关规定处理：</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（一）通过转让或者租借等方式从其他单位获取资格或者资质证书投标的；</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（二）由其他单位或者其他单位负责人在投标供应商编制的投标文件上加盖印章或者签字的；</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（三）项目负责人或者主要技术人员不是本单位人员的；</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（四）投标保证金不是从投标供应商基本账户转出的；</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（五）其他隐瞒真实情况、提供虚假资料的行为。</w:t>
      </w:r>
    </w:p>
    <w:p>
      <w:pPr>
        <w:spacing w:line="440" w:lineRule="exact"/>
        <w:ind w:firstLine="424" w:firstLineChars="177"/>
        <w:rPr>
          <w:rFonts w:ascii="仿宋" w:hAnsi="仿宋" w:eastAsia="仿宋"/>
          <w:sz w:val="24"/>
          <w:szCs w:val="24"/>
        </w:rPr>
      </w:pPr>
      <w:r>
        <w:rPr>
          <w:rFonts w:hint="eastAsia" w:ascii="仿宋" w:hAnsi="仿宋" w:eastAsia="仿宋"/>
          <w:sz w:val="24"/>
          <w:szCs w:val="24"/>
        </w:rPr>
        <w:t>投标供应商不能提供项目负责人或者主要技术人员的劳动合同、社会保险等劳动关系证明材料的，视为存在前款第（三）项规定的情形。</w:t>
      </w:r>
    </w:p>
    <w:p>
      <w:pPr>
        <w:spacing w:line="440" w:lineRule="exact"/>
        <w:ind w:firstLine="426" w:firstLineChars="177"/>
        <w:rPr>
          <w:rFonts w:ascii="仿宋_GB2312" w:eastAsia="仿宋_GB2312" w:hAnsiTheme="minorEastAsia"/>
          <w:b/>
          <w:color w:val="FF0000"/>
          <w:sz w:val="24"/>
          <w:szCs w:val="24"/>
        </w:rPr>
      </w:pPr>
    </w:p>
    <w:p>
      <w:pPr>
        <w:spacing w:line="440" w:lineRule="exact"/>
        <w:ind w:firstLine="426" w:firstLineChars="177"/>
        <w:rPr>
          <w:rFonts w:ascii="仿宋_GB2312" w:eastAsia="仿宋_GB2312" w:hAnsiTheme="minorEastAsia"/>
          <w:b/>
          <w:color w:val="FF0000"/>
          <w:sz w:val="24"/>
          <w:szCs w:val="24"/>
        </w:rPr>
      </w:pPr>
      <w:r>
        <w:rPr>
          <w:rFonts w:hint="eastAsia" w:ascii="仿宋_GB2312" w:eastAsia="仿宋_GB2312" w:hAnsiTheme="minorEastAsia"/>
          <w:b/>
          <w:color w:val="FF0000"/>
          <w:sz w:val="24"/>
          <w:szCs w:val="24"/>
        </w:rPr>
        <w:t>三、根据《中华人民共和国政府采购法实施条例》第十八条规定：“单位负责人为同一人或者存在直接控股、管理关系的不同供应商，不得参加同一合同项下的政府采购活动。”</w:t>
      </w:r>
    </w:p>
    <w:p>
      <w:pPr>
        <w:spacing w:line="440" w:lineRule="exact"/>
        <w:ind w:firstLine="426" w:firstLineChars="177"/>
        <w:rPr>
          <w:rFonts w:ascii="仿宋_GB2312" w:eastAsia="仿宋_GB2312" w:hAnsiTheme="minorEastAsia"/>
          <w:b/>
          <w:color w:val="FF0000"/>
          <w:sz w:val="24"/>
          <w:szCs w:val="24"/>
        </w:rPr>
      </w:pPr>
      <w:r>
        <w:rPr>
          <w:rFonts w:hint="eastAsia" w:ascii="仿宋_GB2312" w:eastAsia="仿宋_GB2312" w:hAnsiTheme="minorEastAsia"/>
          <w:b/>
          <w:color w:val="FF0000"/>
          <w:sz w:val="24"/>
          <w:szCs w:val="24"/>
        </w:rPr>
        <w:t>投标供应商涉嫌存在串通投标等违法行为的，将书面报告财政主管部门依法处理。</w:t>
      </w:r>
    </w:p>
    <w:p>
      <w:pPr>
        <w:widowControl/>
        <w:rPr>
          <w:rFonts w:cs="仿宋" w:asciiTheme="minorEastAsia" w:hAnsiTheme="minorEastAsia" w:eastAsiaTheme="minorEastAsia"/>
          <w:snapToGrid w:val="0"/>
        </w:rPr>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widowControl/>
        <w:jc w:val="center"/>
        <w:rPr>
          <w:rFonts w:cs="仿宋" w:asciiTheme="minorEastAsia" w:hAnsiTheme="minorEastAsia" w:eastAsiaTheme="minorEastAsia"/>
          <w:snapToGrid w:val="0"/>
        </w:rPr>
      </w:pPr>
    </w:p>
    <w:p>
      <w:pPr>
        <w:widowControl/>
        <w:jc w:val="center"/>
        <w:rPr>
          <w:rFonts w:cs="仿宋" w:asciiTheme="minorEastAsia" w:hAnsiTheme="minorEastAsia" w:eastAsiaTheme="minorEastAsia"/>
          <w:b/>
          <w:bCs/>
          <w:snapToGrid w:val="0"/>
          <w:sz w:val="48"/>
          <w:szCs w:val="48"/>
        </w:rPr>
      </w:pPr>
      <w:r>
        <w:rPr>
          <w:rFonts w:hint="eastAsia" w:cs="仿宋" w:asciiTheme="minorEastAsia" w:hAnsiTheme="minorEastAsia" w:eastAsiaTheme="minorEastAsia"/>
          <w:b/>
          <w:bCs/>
          <w:snapToGrid w:val="0"/>
          <w:sz w:val="48"/>
          <w:szCs w:val="48"/>
        </w:rPr>
        <w:t>招标文件信息</w:t>
      </w:r>
    </w:p>
    <w:p>
      <w:pPr>
        <w:widowControl/>
        <w:jc w:val="left"/>
        <w:rPr>
          <w:rFonts w:cs="仿宋" w:asciiTheme="minorEastAsia" w:hAnsiTheme="minorEastAsia" w:eastAsiaTheme="minorEastAsia"/>
          <w:sz w:val="28"/>
        </w:rPr>
      </w:pPr>
    </w:p>
    <w:tbl>
      <w:tblPr>
        <w:tblStyle w:val="24"/>
        <w:tblW w:w="8490" w:type="dxa"/>
        <w:jc w:val="center"/>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219"/>
        <w:gridCol w:w="6271"/>
      </w:tblGrid>
      <w:tr>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PrEx>
        <w:trPr>
          <w:jc w:val="center"/>
        </w:trPr>
        <w:tc>
          <w:tcPr>
            <w:tcW w:w="2219" w:type="dxa"/>
            <w:shd w:val="clear" w:color="auto" w:fill="DDD9C4" w:themeFill="background2" w:themeFillShade="E6"/>
            <w:vAlign w:val="center"/>
          </w:tcPr>
          <w:p>
            <w:pPr>
              <w:widowControl/>
              <w:spacing w:line="480" w:lineRule="auto"/>
              <w:jc w:val="center"/>
              <w:rPr>
                <w:rFonts w:cs="仿宋" w:asciiTheme="minorEastAsia" w:hAnsiTheme="minorEastAsia" w:eastAsiaTheme="minorEastAsia"/>
                <w:b/>
                <w:bCs/>
                <w:szCs w:val="21"/>
              </w:rPr>
            </w:pPr>
            <w:r>
              <w:rPr>
                <w:rFonts w:hint="eastAsia" w:cs="仿宋" w:asciiTheme="minorEastAsia" w:hAnsiTheme="minorEastAsia" w:eastAsiaTheme="minorEastAsia"/>
                <w:b/>
                <w:bCs/>
                <w:szCs w:val="21"/>
              </w:rPr>
              <w:t>项目名称</w:t>
            </w:r>
          </w:p>
        </w:tc>
        <w:tc>
          <w:tcPr>
            <w:tcW w:w="6271" w:type="dxa"/>
            <w:vAlign w:val="center"/>
          </w:tcPr>
          <w:p>
            <w:pPr>
              <w:widowControl/>
              <w:spacing w:line="48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深圳市公安局交通警察局2024年辅聘人员人身意外伤害保险服务</w:t>
            </w:r>
          </w:p>
        </w:tc>
      </w:tr>
      <w:tr>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19" w:type="dxa"/>
            <w:shd w:val="clear" w:color="auto" w:fill="DDD9C4" w:themeFill="background2" w:themeFillShade="E6"/>
            <w:vAlign w:val="center"/>
          </w:tcPr>
          <w:p>
            <w:pPr>
              <w:widowControl/>
              <w:spacing w:line="480" w:lineRule="auto"/>
              <w:jc w:val="center"/>
              <w:rPr>
                <w:rFonts w:cs="仿宋" w:asciiTheme="minorEastAsia" w:hAnsiTheme="minorEastAsia" w:eastAsiaTheme="minorEastAsia"/>
                <w:b/>
                <w:bCs/>
                <w:szCs w:val="21"/>
              </w:rPr>
            </w:pPr>
            <w:r>
              <w:rPr>
                <w:rFonts w:hint="eastAsia" w:cs="仿宋" w:asciiTheme="minorEastAsia" w:hAnsiTheme="minorEastAsia" w:eastAsiaTheme="minorEastAsia"/>
                <w:b/>
                <w:bCs/>
                <w:szCs w:val="21"/>
              </w:rPr>
              <w:t>项目编号</w:t>
            </w:r>
          </w:p>
        </w:tc>
        <w:tc>
          <w:tcPr>
            <w:tcW w:w="6271" w:type="dxa"/>
            <w:vAlign w:val="center"/>
          </w:tcPr>
          <w:p>
            <w:pPr>
              <w:widowControl/>
              <w:spacing w:line="48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SZZZ2024-QC0011</w:t>
            </w:r>
          </w:p>
        </w:tc>
      </w:tr>
      <w:tr>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19" w:type="dxa"/>
            <w:shd w:val="clear" w:color="auto" w:fill="DDD9C4" w:themeFill="background2" w:themeFillShade="E6"/>
            <w:vAlign w:val="center"/>
          </w:tcPr>
          <w:p>
            <w:pPr>
              <w:widowControl/>
              <w:spacing w:line="480" w:lineRule="auto"/>
              <w:jc w:val="center"/>
              <w:rPr>
                <w:rFonts w:cs="仿宋" w:asciiTheme="minorEastAsia" w:hAnsiTheme="minorEastAsia" w:eastAsiaTheme="minorEastAsia"/>
                <w:b/>
                <w:bCs/>
                <w:szCs w:val="21"/>
              </w:rPr>
            </w:pPr>
            <w:r>
              <w:rPr>
                <w:rFonts w:hint="eastAsia" w:cs="仿宋" w:asciiTheme="minorEastAsia" w:hAnsiTheme="minorEastAsia" w:eastAsiaTheme="minorEastAsia"/>
                <w:b/>
                <w:bCs/>
                <w:szCs w:val="21"/>
              </w:rPr>
              <w:t>项目类型</w:t>
            </w:r>
          </w:p>
        </w:tc>
        <w:tc>
          <w:tcPr>
            <w:tcW w:w="6271" w:type="dxa"/>
            <w:vAlign w:val="center"/>
          </w:tcPr>
          <w:p>
            <w:pPr>
              <w:widowControl/>
              <w:spacing w:line="48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服务类</w:t>
            </w:r>
          </w:p>
        </w:tc>
      </w:tr>
      <w:tr>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19" w:type="dxa"/>
            <w:shd w:val="clear" w:color="auto" w:fill="DDD9C4" w:themeFill="background2" w:themeFillShade="E6"/>
            <w:vAlign w:val="center"/>
          </w:tcPr>
          <w:p>
            <w:pPr>
              <w:widowControl/>
              <w:spacing w:line="480" w:lineRule="auto"/>
              <w:jc w:val="center"/>
              <w:rPr>
                <w:rFonts w:cs="仿宋" w:asciiTheme="minorEastAsia" w:hAnsiTheme="minorEastAsia" w:eastAsiaTheme="minorEastAsia"/>
                <w:b/>
                <w:bCs/>
                <w:szCs w:val="21"/>
              </w:rPr>
            </w:pPr>
            <w:r>
              <w:rPr>
                <w:rFonts w:hint="eastAsia" w:cs="仿宋" w:asciiTheme="minorEastAsia" w:hAnsiTheme="minorEastAsia" w:eastAsiaTheme="minorEastAsia"/>
                <w:b/>
                <w:bCs/>
                <w:szCs w:val="21"/>
              </w:rPr>
              <w:t>采购方式</w:t>
            </w:r>
          </w:p>
        </w:tc>
        <w:tc>
          <w:tcPr>
            <w:tcW w:w="6271" w:type="dxa"/>
            <w:vAlign w:val="center"/>
          </w:tcPr>
          <w:p>
            <w:pPr>
              <w:widowControl/>
              <w:spacing w:line="48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公开征集</w:t>
            </w:r>
          </w:p>
        </w:tc>
      </w:tr>
      <w:tr>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jc w:val="center"/>
        </w:trPr>
        <w:tc>
          <w:tcPr>
            <w:tcW w:w="2219" w:type="dxa"/>
            <w:shd w:val="clear" w:color="auto" w:fill="DDD9C4" w:themeFill="background2" w:themeFillShade="E6"/>
            <w:vAlign w:val="center"/>
          </w:tcPr>
          <w:p>
            <w:pPr>
              <w:widowControl/>
              <w:spacing w:line="480" w:lineRule="auto"/>
              <w:jc w:val="center"/>
              <w:rPr>
                <w:rFonts w:cs="仿宋" w:asciiTheme="minorEastAsia" w:hAnsiTheme="minorEastAsia" w:eastAsiaTheme="minorEastAsia"/>
                <w:b/>
                <w:bCs/>
                <w:szCs w:val="21"/>
              </w:rPr>
            </w:pPr>
            <w:r>
              <w:rPr>
                <w:rFonts w:hint="eastAsia" w:cs="仿宋" w:asciiTheme="minorEastAsia" w:hAnsiTheme="minorEastAsia" w:eastAsiaTheme="minorEastAsia"/>
                <w:b/>
                <w:bCs/>
                <w:szCs w:val="21"/>
              </w:rPr>
              <w:t>是否评定分离</w:t>
            </w:r>
          </w:p>
        </w:tc>
        <w:tc>
          <w:tcPr>
            <w:tcW w:w="6271" w:type="dxa"/>
            <w:vAlign w:val="center"/>
          </w:tcPr>
          <w:p>
            <w:pPr>
              <w:widowControl/>
              <w:spacing w:line="48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否</w:t>
            </w:r>
          </w:p>
        </w:tc>
      </w:tr>
      <w:tr>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19" w:type="dxa"/>
            <w:shd w:val="clear" w:color="auto" w:fill="DDD9C4" w:themeFill="background2" w:themeFillShade="E6"/>
            <w:vAlign w:val="center"/>
          </w:tcPr>
          <w:p>
            <w:pPr>
              <w:widowControl/>
              <w:spacing w:line="480" w:lineRule="auto"/>
              <w:jc w:val="center"/>
              <w:rPr>
                <w:rFonts w:cs="仿宋" w:asciiTheme="minorEastAsia" w:hAnsiTheme="minorEastAsia" w:eastAsiaTheme="minorEastAsia"/>
                <w:b/>
                <w:bCs/>
                <w:szCs w:val="21"/>
              </w:rPr>
            </w:pPr>
            <w:r>
              <w:rPr>
                <w:rFonts w:hint="eastAsia" w:cs="仿宋" w:asciiTheme="minorEastAsia" w:hAnsiTheme="minorEastAsia" w:eastAsiaTheme="minorEastAsia"/>
                <w:b/>
                <w:bCs/>
                <w:szCs w:val="21"/>
              </w:rPr>
              <w:t>评审方法</w:t>
            </w:r>
          </w:p>
        </w:tc>
        <w:tc>
          <w:tcPr>
            <w:tcW w:w="6271" w:type="dxa"/>
            <w:vAlign w:val="center"/>
          </w:tcPr>
          <w:p>
            <w:pPr>
              <w:widowControl/>
              <w:spacing w:line="48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综合评分法</w:t>
            </w:r>
          </w:p>
        </w:tc>
      </w:tr>
      <w:tr>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19" w:type="dxa"/>
            <w:shd w:val="clear" w:color="auto" w:fill="DDD9C4" w:themeFill="background2" w:themeFillShade="E6"/>
            <w:vAlign w:val="center"/>
          </w:tcPr>
          <w:p>
            <w:pPr>
              <w:widowControl/>
              <w:spacing w:line="480" w:lineRule="auto"/>
              <w:jc w:val="center"/>
              <w:rPr>
                <w:rFonts w:cs="仿宋" w:asciiTheme="minorEastAsia" w:hAnsiTheme="minorEastAsia" w:eastAsiaTheme="minorEastAsia"/>
                <w:b/>
                <w:bCs/>
                <w:szCs w:val="21"/>
              </w:rPr>
            </w:pPr>
            <w:r>
              <w:rPr>
                <w:rFonts w:hint="eastAsia" w:cs="仿宋" w:asciiTheme="minorEastAsia" w:hAnsiTheme="minorEastAsia" w:eastAsiaTheme="minorEastAsia"/>
                <w:b/>
                <w:bCs/>
                <w:szCs w:val="21"/>
              </w:rPr>
              <w:t>定标方法</w:t>
            </w:r>
          </w:p>
        </w:tc>
        <w:tc>
          <w:tcPr>
            <w:tcW w:w="6271" w:type="dxa"/>
            <w:vAlign w:val="center"/>
          </w:tcPr>
          <w:p>
            <w:pPr>
              <w:widowControl/>
              <w:spacing w:line="48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无</w:t>
            </w:r>
          </w:p>
        </w:tc>
      </w:tr>
      <w:tr>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19" w:type="dxa"/>
            <w:shd w:val="clear" w:color="auto" w:fill="DDD9C4" w:themeFill="background2" w:themeFillShade="E6"/>
            <w:vAlign w:val="center"/>
          </w:tcPr>
          <w:p>
            <w:pPr>
              <w:widowControl/>
              <w:spacing w:line="480" w:lineRule="auto"/>
              <w:jc w:val="center"/>
              <w:rPr>
                <w:rFonts w:cs="仿宋" w:asciiTheme="minorEastAsia" w:hAnsiTheme="minorEastAsia" w:eastAsiaTheme="minorEastAsia"/>
                <w:b/>
                <w:bCs/>
                <w:szCs w:val="21"/>
              </w:rPr>
            </w:pPr>
            <w:r>
              <w:rPr>
                <w:rFonts w:hint="eastAsia" w:cs="仿宋" w:asciiTheme="minorEastAsia" w:hAnsiTheme="minorEastAsia" w:eastAsiaTheme="minorEastAsia"/>
                <w:b/>
                <w:bCs/>
                <w:szCs w:val="21"/>
              </w:rPr>
              <w:t>候选中标供应商</w:t>
            </w:r>
          </w:p>
        </w:tc>
        <w:tc>
          <w:tcPr>
            <w:tcW w:w="6271" w:type="dxa"/>
            <w:vAlign w:val="center"/>
          </w:tcPr>
          <w:p>
            <w:pPr>
              <w:widowControl/>
              <w:spacing w:line="48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1家</w:t>
            </w:r>
          </w:p>
        </w:tc>
      </w:tr>
      <w:tr>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19" w:type="dxa"/>
            <w:shd w:val="clear" w:color="auto" w:fill="DDD9C4" w:themeFill="background2" w:themeFillShade="E6"/>
            <w:vAlign w:val="center"/>
          </w:tcPr>
          <w:p>
            <w:pPr>
              <w:widowControl/>
              <w:spacing w:line="480" w:lineRule="auto"/>
              <w:jc w:val="center"/>
              <w:rPr>
                <w:rFonts w:cs="仿宋" w:asciiTheme="minorEastAsia" w:hAnsiTheme="minorEastAsia" w:eastAsiaTheme="minorEastAsia"/>
                <w:b/>
                <w:bCs/>
                <w:szCs w:val="21"/>
              </w:rPr>
            </w:pPr>
            <w:r>
              <w:rPr>
                <w:rFonts w:hint="eastAsia" w:cs="仿宋" w:asciiTheme="minorEastAsia" w:hAnsiTheme="minorEastAsia" w:eastAsiaTheme="minorEastAsia"/>
                <w:b/>
                <w:bCs/>
                <w:szCs w:val="21"/>
              </w:rPr>
              <w:t>中标人</w:t>
            </w:r>
          </w:p>
        </w:tc>
        <w:tc>
          <w:tcPr>
            <w:tcW w:w="6271" w:type="dxa"/>
            <w:vAlign w:val="center"/>
          </w:tcPr>
          <w:p>
            <w:pPr>
              <w:widowControl/>
              <w:spacing w:line="48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1家</w:t>
            </w:r>
          </w:p>
        </w:tc>
      </w:tr>
    </w:tbl>
    <w:p>
      <w:pPr>
        <w:widowControl/>
        <w:jc w:val="left"/>
        <w:rPr>
          <w:rFonts w:cs="仿宋" w:asciiTheme="minorEastAsia" w:hAnsiTheme="minorEastAsia" w:eastAsiaTheme="minorEastAsia"/>
          <w:sz w:val="36"/>
        </w:rPr>
      </w:pPr>
      <w:r>
        <w:rPr>
          <w:rFonts w:hint="eastAsia" w:cs="仿宋" w:asciiTheme="minorEastAsia" w:hAnsiTheme="minorEastAsia" w:eastAsiaTheme="minorEastAsia"/>
          <w:sz w:val="36"/>
        </w:rPr>
        <w:br w:type="page"/>
      </w:r>
    </w:p>
    <w:p>
      <w:pPr>
        <w:spacing w:line="360" w:lineRule="auto"/>
        <w:jc w:val="center"/>
        <w:rPr>
          <w:rFonts w:cs="仿宋" w:asciiTheme="minorEastAsia" w:hAnsiTheme="minorEastAsia" w:eastAsiaTheme="minorEastAsia"/>
          <w:b/>
          <w:bCs/>
          <w:sz w:val="48"/>
          <w:szCs w:val="48"/>
        </w:rPr>
      </w:pPr>
      <w:r>
        <w:rPr>
          <w:rFonts w:hint="eastAsia" w:cs="仿宋" w:asciiTheme="minorEastAsia" w:hAnsiTheme="minorEastAsia" w:eastAsiaTheme="minorEastAsia"/>
          <w:b/>
          <w:bCs/>
          <w:sz w:val="48"/>
          <w:szCs w:val="48"/>
        </w:rPr>
        <w:t>招标文件目录</w:t>
      </w:r>
    </w:p>
    <w:p>
      <w:pPr>
        <w:jc w:val="center"/>
        <w:rPr>
          <w:rFonts w:cs="仿宋" w:asciiTheme="minorEastAsia" w:hAnsiTheme="minorEastAsia" w:eastAsiaTheme="minorEastAsia"/>
          <w:sz w:val="20"/>
        </w:rPr>
      </w:pPr>
    </w:p>
    <w:tbl>
      <w:tblPr>
        <w:tblStyle w:val="24"/>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26"/>
        <w:gridCol w:w="6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_GB2312" w:eastAsia="仿宋_GB2312" w:cs="仿宋" w:hAnsiTheme="minorEastAsia"/>
                <w:sz w:val="24"/>
              </w:rPr>
            </w:pPr>
          </w:p>
        </w:tc>
        <w:tc>
          <w:tcPr>
            <w:tcW w:w="6996" w:type="dxa"/>
            <w:vAlign w:val="center"/>
          </w:tcPr>
          <w:p>
            <w:pPr>
              <w:widowControl/>
              <w:spacing w:line="360" w:lineRule="auto"/>
              <w:rPr>
                <w:rFonts w:ascii="仿宋_GB2312" w:eastAsia="仿宋_GB2312" w:cs="仿宋" w:hAnsiTheme="minorEastAsia"/>
                <w:sz w:val="24"/>
              </w:rPr>
            </w:pPr>
            <w:r>
              <w:rPr>
                <w:rFonts w:hint="eastAsia" w:ascii="仿宋_GB2312" w:eastAsia="仿宋_GB2312" w:cs="仿宋" w:hAnsiTheme="minorEastAsia"/>
                <w:sz w:val="24"/>
              </w:rPr>
              <w:t>采购公告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_GB2312" w:eastAsia="仿宋_GB2312" w:cs="仿宋" w:hAnsiTheme="minorEastAsia"/>
                <w:b/>
                <w:bCs/>
                <w:sz w:val="24"/>
              </w:rPr>
            </w:pPr>
            <w:r>
              <w:rPr>
                <w:rFonts w:hint="eastAsia" w:ascii="仿宋_GB2312" w:eastAsia="仿宋_GB2312" w:cs="仿宋" w:hAnsiTheme="minorEastAsia"/>
                <w:b/>
                <w:bCs/>
                <w:sz w:val="24"/>
              </w:rPr>
              <w:t>第一部分</w:t>
            </w:r>
          </w:p>
        </w:tc>
        <w:tc>
          <w:tcPr>
            <w:tcW w:w="6996" w:type="dxa"/>
            <w:vAlign w:val="center"/>
          </w:tcPr>
          <w:p>
            <w:pPr>
              <w:widowControl/>
              <w:spacing w:line="360" w:lineRule="auto"/>
              <w:rPr>
                <w:rFonts w:ascii="仿宋_GB2312" w:eastAsia="仿宋_GB2312" w:cs="仿宋" w:hAnsiTheme="minorEastAsia"/>
                <w:b/>
                <w:bCs/>
                <w:sz w:val="24"/>
              </w:rPr>
            </w:pPr>
            <w:r>
              <w:rPr>
                <w:rFonts w:hint="eastAsia" w:ascii="仿宋_GB2312" w:eastAsia="仿宋_GB2312" w:cs="仿宋" w:hAnsiTheme="minorEastAsia"/>
                <w:b/>
                <w:bCs/>
                <w:sz w:val="24"/>
              </w:rPr>
              <w:t>投标须知前附表及评审信息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_GB2312" w:eastAsia="仿宋_GB2312" w:cs="仿宋" w:hAnsiTheme="minorEastAsia"/>
                <w:sz w:val="24"/>
              </w:rPr>
            </w:pPr>
          </w:p>
        </w:tc>
        <w:tc>
          <w:tcPr>
            <w:tcW w:w="6996" w:type="dxa"/>
            <w:vAlign w:val="center"/>
          </w:tcPr>
          <w:p>
            <w:pPr>
              <w:widowControl/>
              <w:spacing w:line="360" w:lineRule="auto"/>
              <w:rPr>
                <w:rFonts w:ascii="仿宋_GB2312" w:eastAsia="仿宋_GB2312" w:cs="仿宋" w:hAnsiTheme="minorEastAsia"/>
                <w:sz w:val="24"/>
              </w:rPr>
            </w:pPr>
            <w:r>
              <w:rPr>
                <w:rFonts w:hint="eastAsia" w:ascii="仿宋_GB2312" w:eastAsia="仿宋_GB2312" w:cs="仿宋" w:hAnsiTheme="minorEastAsia"/>
                <w:sz w:val="24"/>
              </w:rPr>
              <w:t>投标须知前附表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_GB2312" w:eastAsia="仿宋_GB2312" w:cs="仿宋" w:hAnsiTheme="minorEastAsia"/>
                <w:sz w:val="24"/>
              </w:rPr>
            </w:pPr>
          </w:p>
        </w:tc>
        <w:tc>
          <w:tcPr>
            <w:tcW w:w="6996" w:type="dxa"/>
            <w:vAlign w:val="center"/>
          </w:tcPr>
          <w:p>
            <w:pPr>
              <w:widowControl/>
              <w:spacing w:line="360" w:lineRule="auto"/>
              <w:rPr>
                <w:rFonts w:ascii="仿宋_GB2312" w:eastAsia="仿宋_GB2312" w:cs="仿宋" w:hAnsiTheme="minorEastAsia"/>
                <w:sz w:val="24"/>
              </w:rPr>
            </w:pPr>
            <w:r>
              <w:rPr>
                <w:rFonts w:hint="eastAsia" w:ascii="仿宋_GB2312" w:eastAsia="仿宋_GB2312" w:cs="仿宋" w:hAnsiTheme="minorEastAsia"/>
                <w:sz w:val="24"/>
              </w:rPr>
              <w:t>投标须知前附件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_GB2312" w:eastAsia="仿宋_GB2312" w:cs="仿宋" w:hAnsiTheme="minorEastAsia"/>
                <w:sz w:val="24"/>
              </w:rPr>
            </w:pPr>
          </w:p>
        </w:tc>
        <w:tc>
          <w:tcPr>
            <w:tcW w:w="6996" w:type="dxa"/>
            <w:vAlign w:val="center"/>
          </w:tcPr>
          <w:p>
            <w:pPr>
              <w:widowControl/>
              <w:spacing w:line="360" w:lineRule="auto"/>
              <w:rPr>
                <w:rFonts w:ascii="仿宋_GB2312" w:eastAsia="仿宋_GB2312" w:cs="仿宋" w:hAnsiTheme="minorEastAsia"/>
                <w:sz w:val="24"/>
              </w:rPr>
            </w:pPr>
            <w:r>
              <w:rPr>
                <w:rFonts w:hint="eastAsia" w:ascii="仿宋_GB2312" w:eastAsia="仿宋_GB2312" w:cs="仿宋" w:hAnsiTheme="minorEastAsia"/>
                <w:sz w:val="24"/>
              </w:rPr>
              <w:t>评审信息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_GB2312" w:eastAsia="仿宋_GB2312" w:cs="仿宋" w:hAnsiTheme="minorEastAsia"/>
                <w:b/>
                <w:bCs/>
                <w:sz w:val="24"/>
              </w:rPr>
            </w:pPr>
            <w:r>
              <w:rPr>
                <w:rFonts w:hint="eastAsia" w:ascii="仿宋_GB2312" w:eastAsia="仿宋_GB2312" w:cs="仿宋" w:hAnsiTheme="minorEastAsia"/>
                <w:b/>
                <w:bCs/>
                <w:sz w:val="24"/>
              </w:rPr>
              <w:t>第二部分</w:t>
            </w:r>
          </w:p>
        </w:tc>
        <w:tc>
          <w:tcPr>
            <w:tcW w:w="6996" w:type="dxa"/>
            <w:vAlign w:val="center"/>
          </w:tcPr>
          <w:p>
            <w:pPr>
              <w:widowControl/>
              <w:spacing w:line="360" w:lineRule="auto"/>
              <w:rPr>
                <w:rFonts w:ascii="仿宋_GB2312" w:eastAsia="仿宋_GB2312" w:cs="仿宋" w:hAnsiTheme="minorEastAsia"/>
                <w:b/>
                <w:bCs/>
                <w:sz w:val="24"/>
              </w:rPr>
            </w:pPr>
            <w:r>
              <w:rPr>
                <w:rFonts w:hint="eastAsia" w:ascii="仿宋_GB2312" w:eastAsia="仿宋_GB2312" w:cs="仿宋" w:hAnsiTheme="minorEastAsia"/>
                <w:b/>
                <w:bCs/>
                <w:sz w:val="24"/>
              </w:rPr>
              <w:t>采购项目需求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_GB2312" w:eastAsia="仿宋_GB2312" w:cs="仿宋" w:hAnsiTheme="minorEastAsia"/>
                <w:sz w:val="24"/>
              </w:rPr>
            </w:pPr>
          </w:p>
        </w:tc>
        <w:tc>
          <w:tcPr>
            <w:tcW w:w="6996" w:type="dxa"/>
            <w:vAlign w:val="center"/>
          </w:tcPr>
          <w:p>
            <w:pPr>
              <w:widowControl/>
              <w:spacing w:line="360" w:lineRule="auto"/>
              <w:rPr>
                <w:rFonts w:ascii="仿宋_GB2312" w:eastAsia="仿宋_GB2312" w:cs="仿宋" w:hAnsiTheme="minorEastAsia"/>
                <w:sz w:val="24"/>
              </w:rPr>
            </w:pPr>
            <w:r>
              <w:rPr>
                <w:rFonts w:hint="eastAsia" w:ascii="仿宋_GB2312" w:eastAsia="仿宋_GB2312" w:cs="仿宋" w:hAnsiTheme="minorEastAsia"/>
                <w:sz w:val="24"/>
              </w:rPr>
              <w:t>采购项目需求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_GB2312" w:eastAsia="仿宋_GB2312" w:cs="仿宋" w:hAnsiTheme="minorEastAsia"/>
                <w:b/>
                <w:bCs/>
                <w:sz w:val="24"/>
              </w:rPr>
            </w:pPr>
            <w:r>
              <w:rPr>
                <w:rFonts w:hint="eastAsia" w:ascii="仿宋_GB2312" w:eastAsia="仿宋_GB2312" w:cs="仿宋" w:hAnsiTheme="minorEastAsia"/>
                <w:b/>
                <w:bCs/>
                <w:sz w:val="24"/>
              </w:rPr>
              <w:t>第三部分</w:t>
            </w:r>
          </w:p>
        </w:tc>
        <w:tc>
          <w:tcPr>
            <w:tcW w:w="6996" w:type="dxa"/>
            <w:vAlign w:val="center"/>
          </w:tcPr>
          <w:p>
            <w:pPr>
              <w:widowControl/>
              <w:spacing w:line="360" w:lineRule="auto"/>
              <w:rPr>
                <w:rFonts w:ascii="仿宋_GB2312" w:eastAsia="仿宋_GB2312" w:cs="仿宋" w:hAnsiTheme="minorEastAsia"/>
                <w:b/>
                <w:bCs/>
                <w:sz w:val="24"/>
              </w:rPr>
            </w:pPr>
            <w:r>
              <w:rPr>
                <w:rFonts w:hint="eastAsia" w:ascii="仿宋_GB2312" w:eastAsia="仿宋_GB2312" w:cs="仿宋" w:hAnsiTheme="minorEastAsia"/>
                <w:b/>
                <w:bCs/>
                <w:sz w:val="24"/>
              </w:rPr>
              <w:t>投标文件格式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_GB2312" w:eastAsia="仿宋_GB2312" w:cs="仿宋" w:hAnsiTheme="minorEastAsia"/>
                <w:sz w:val="24"/>
              </w:rPr>
            </w:pPr>
          </w:p>
        </w:tc>
        <w:tc>
          <w:tcPr>
            <w:tcW w:w="6996" w:type="dxa"/>
            <w:vAlign w:val="center"/>
          </w:tcPr>
          <w:p>
            <w:pPr>
              <w:widowControl/>
              <w:spacing w:line="360" w:lineRule="auto"/>
              <w:rPr>
                <w:rFonts w:ascii="仿宋_GB2312" w:eastAsia="仿宋_GB2312" w:cs="仿宋" w:hAnsiTheme="minorEastAsia"/>
                <w:sz w:val="24"/>
              </w:rPr>
            </w:pPr>
            <w:r>
              <w:rPr>
                <w:rFonts w:hint="eastAsia" w:ascii="仿宋_GB2312" w:eastAsia="仿宋_GB2312" w:cs="仿宋" w:hAnsiTheme="minorEastAsia"/>
                <w:sz w:val="24"/>
              </w:rPr>
              <w:t>投标文件目录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_GB2312" w:eastAsia="仿宋_GB2312" w:cs="仿宋" w:hAnsiTheme="minorEastAsia"/>
                <w:sz w:val="24"/>
              </w:rPr>
            </w:pPr>
          </w:p>
        </w:tc>
        <w:tc>
          <w:tcPr>
            <w:tcW w:w="6996" w:type="dxa"/>
            <w:vAlign w:val="center"/>
          </w:tcPr>
          <w:p>
            <w:pPr>
              <w:widowControl/>
              <w:spacing w:line="360" w:lineRule="auto"/>
              <w:rPr>
                <w:rFonts w:ascii="仿宋_GB2312" w:eastAsia="仿宋_GB2312" w:cs="仿宋" w:hAnsiTheme="minorEastAsia"/>
                <w:sz w:val="24"/>
              </w:rPr>
            </w:pPr>
            <w:r>
              <w:rPr>
                <w:rFonts w:hint="eastAsia" w:ascii="仿宋_GB2312" w:eastAsia="仿宋_GB2312" w:cs="仿宋" w:hAnsiTheme="minorEastAsia"/>
                <w:sz w:val="24"/>
              </w:rPr>
              <w:t>政府采购违法行为风险知悉确认书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_GB2312" w:eastAsia="仿宋_GB2312" w:cs="仿宋" w:hAnsiTheme="minorEastAsia"/>
                <w:sz w:val="24"/>
              </w:rPr>
            </w:pPr>
          </w:p>
        </w:tc>
        <w:tc>
          <w:tcPr>
            <w:tcW w:w="6996" w:type="dxa"/>
            <w:vAlign w:val="center"/>
          </w:tcPr>
          <w:p>
            <w:pPr>
              <w:widowControl/>
              <w:spacing w:line="360" w:lineRule="auto"/>
              <w:rPr>
                <w:rFonts w:ascii="仿宋_GB2312" w:eastAsia="仿宋_GB2312" w:cs="仿宋" w:hAnsiTheme="minorEastAsia"/>
                <w:sz w:val="24"/>
              </w:rPr>
            </w:pPr>
            <w:r>
              <w:rPr>
                <w:rFonts w:hint="eastAsia" w:ascii="仿宋_GB2312" w:eastAsia="仿宋_GB2312" w:cs="仿宋" w:hAnsiTheme="minorEastAsia"/>
                <w:sz w:val="24"/>
              </w:rPr>
              <w:t>评审指引表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_GB2312" w:eastAsia="仿宋_GB2312" w:cs="仿宋" w:hAnsiTheme="minorEastAsia"/>
                <w:sz w:val="24"/>
              </w:rPr>
            </w:pPr>
          </w:p>
        </w:tc>
        <w:tc>
          <w:tcPr>
            <w:tcW w:w="6996" w:type="dxa"/>
            <w:vAlign w:val="center"/>
          </w:tcPr>
          <w:p>
            <w:pPr>
              <w:widowControl/>
              <w:spacing w:line="360" w:lineRule="auto"/>
              <w:rPr>
                <w:rFonts w:ascii="仿宋_GB2312" w:eastAsia="仿宋_GB2312" w:cs="仿宋" w:hAnsiTheme="minorEastAsia"/>
                <w:sz w:val="24"/>
              </w:rPr>
            </w:pPr>
            <w:r>
              <w:rPr>
                <w:rFonts w:hint="eastAsia" w:ascii="仿宋_GB2312" w:eastAsia="仿宋_GB2312" w:cs="仿宋" w:hAnsiTheme="minorEastAsia"/>
                <w:sz w:val="24"/>
              </w:rPr>
              <w:t>格式1 声明函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_GB2312" w:eastAsia="仿宋_GB2312" w:cs="仿宋" w:hAnsiTheme="minorEastAsia"/>
                <w:sz w:val="24"/>
              </w:rPr>
            </w:pPr>
          </w:p>
        </w:tc>
        <w:tc>
          <w:tcPr>
            <w:tcW w:w="6996" w:type="dxa"/>
            <w:vAlign w:val="center"/>
          </w:tcPr>
          <w:p>
            <w:pPr>
              <w:widowControl/>
              <w:spacing w:line="360" w:lineRule="auto"/>
              <w:rPr>
                <w:rFonts w:ascii="仿宋_GB2312" w:eastAsia="仿宋_GB2312" w:cs="仿宋" w:hAnsiTheme="minorEastAsia"/>
                <w:sz w:val="24"/>
              </w:rPr>
            </w:pPr>
            <w:r>
              <w:rPr>
                <w:rFonts w:hint="eastAsia" w:ascii="仿宋_GB2312" w:eastAsia="仿宋_GB2312" w:cs="仿宋" w:hAnsiTheme="minorEastAsia"/>
                <w:sz w:val="24"/>
              </w:rPr>
              <w:t>格式2 投标人资格证明文件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_GB2312" w:eastAsia="仿宋_GB2312" w:cs="仿宋" w:hAnsiTheme="minorEastAsia"/>
                <w:sz w:val="24"/>
              </w:rPr>
            </w:pPr>
          </w:p>
        </w:tc>
        <w:tc>
          <w:tcPr>
            <w:tcW w:w="6996" w:type="dxa"/>
            <w:vAlign w:val="center"/>
          </w:tcPr>
          <w:p>
            <w:pPr>
              <w:widowControl/>
              <w:spacing w:line="360" w:lineRule="auto"/>
              <w:rPr>
                <w:rFonts w:ascii="仿宋_GB2312" w:eastAsia="仿宋_GB2312" w:cs="仿宋" w:hAnsiTheme="minorEastAsia"/>
                <w:sz w:val="24"/>
              </w:rPr>
            </w:pPr>
            <w:r>
              <w:rPr>
                <w:rFonts w:hint="eastAsia" w:ascii="仿宋_GB2312" w:eastAsia="仿宋_GB2312" w:cs="仿宋" w:hAnsiTheme="minorEastAsia"/>
                <w:sz w:val="24"/>
              </w:rPr>
              <w:t>格式3评分中涉及的承诺及声明函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_GB2312" w:eastAsia="仿宋_GB2312" w:cs="仿宋" w:hAnsiTheme="minorEastAsia"/>
                <w:sz w:val="24"/>
              </w:rPr>
            </w:pPr>
          </w:p>
        </w:tc>
        <w:tc>
          <w:tcPr>
            <w:tcW w:w="6996" w:type="dxa"/>
            <w:vAlign w:val="center"/>
          </w:tcPr>
          <w:p>
            <w:pPr>
              <w:widowControl/>
              <w:spacing w:line="360" w:lineRule="auto"/>
              <w:rPr>
                <w:rFonts w:ascii="仿宋_GB2312" w:eastAsia="仿宋_GB2312" w:cs="仿宋" w:hAnsiTheme="minorEastAsia"/>
                <w:sz w:val="24"/>
              </w:rPr>
            </w:pPr>
            <w:r>
              <w:rPr>
                <w:rFonts w:hint="eastAsia" w:ascii="仿宋_GB2312" w:eastAsia="仿宋_GB2312" w:cs="仿宋" w:hAnsiTheme="minorEastAsia"/>
                <w:sz w:val="24"/>
              </w:rPr>
              <w:t>格式4 开标一览表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_GB2312" w:eastAsia="仿宋_GB2312" w:cs="仿宋" w:hAnsiTheme="minorEastAsia"/>
                <w:sz w:val="24"/>
              </w:rPr>
            </w:pPr>
          </w:p>
        </w:tc>
        <w:tc>
          <w:tcPr>
            <w:tcW w:w="6996" w:type="dxa"/>
            <w:vAlign w:val="center"/>
          </w:tcPr>
          <w:p>
            <w:pPr>
              <w:widowControl/>
              <w:spacing w:line="360" w:lineRule="auto"/>
              <w:rPr>
                <w:rFonts w:ascii="仿宋_GB2312" w:eastAsia="仿宋_GB2312" w:cs="仿宋" w:hAnsiTheme="minorEastAsia"/>
                <w:sz w:val="24"/>
              </w:rPr>
            </w:pPr>
            <w:r>
              <w:rPr>
                <w:rFonts w:hint="eastAsia" w:ascii="仿宋_GB2312" w:eastAsia="仿宋_GB2312" w:cs="仿宋" w:hAnsiTheme="minorEastAsia"/>
                <w:sz w:val="24"/>
              </w:rPr>
              <w:t>格式5 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_GB2312" w:eastAsia="仿宋_GB2312" w:cs="仿宋" w:hAnsiTheme="minorEastAsia"/>
                <w:sz w:val="24"/>
              </w:rPr>
            </w:pPr>
          </w:p>
        </w:tc>
        <w:tc>
          <w:tcPr>
            <w:tcW w:w="6996" w:type="dxa"/>
            <w:vAlign w:val="center"/>
          </w:tcPr>
          <w:p>
            <w:pPr>
              <w:widowControl/>
              <w:spacing w:line="360" w:lineRule="auto"/>
              <w:rPr>
                <w:rFonts w:ascii="仿宋_GB2312" w:eastAsia="仿宋_GB2312" w:cs="仿宋" w:hAnsiTheme="minorEastAsia"/>
                <w:sz w:val="24"/>
              </w:rPr>
            </w:pPr>
            <w:r>
              <w:rPr>
                <w:rFonts w:hint="eastAsia" w:ascii="仿宋_GB2312" w:eastAsia="仿宋_GB2312" w:cs="仿宋" w:hAnsiTheme="minorEastAsia"/>
                <w:sz w:val="24"/>
              </w:rPr>
              <w:t>格式6 服务方案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_GB2312" w:eastAsia="仿宋_GB2312" w:cs="仿宋" w:hAnsiTheme="minorEastAsia"/>
                <w:sz w:val="24"/>
              </w:rPr>
            </w:pPr>
          </w:p>
        </w:tc>
        <w:tc>
          <w:tcPr>
            <w:tcW w:w="6996" w:type="dxa"/>
            <w:vAlign w:val="center"/>
          </w:tcPr>
          <w:p>
            <w:pPr>
              <w:widowControl/>
              <w:spacing w:line="360" w:lineRule="auto"/>
              <w:rPr>
                <w:rFonts w:ascii="仿宋_GB2312" w:eastAsia="仿宋_GB2312" w:cs="仿宋" w:hAnsiTheme="minorEastAsia"/>
                <w:sz w:val="24"/>
              </w:rPr>
            </w:pPr>
            <w:r>
              <w:rPr>
                <w:rFonts w:hint="eastAsia" w:ascii="仿宋_GB2312" w:eastAsia="仿宋_GB2312" w:cs="仿宋" w:hAnsiTheme="minorEastAsia"/>
                <w:sz w:val="24"/>
              </w:rPr>
              <w:t>格式7 投标人情况介绍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_GB2312" w:eastAsia="仿宋_GB2312" w:cs="仿宋" w:hAnsiTheme="minorEastAsia"/>
                <w:sz w:val="24"/>
              </w:rPr>
            </w:pPr>
          </w:p>
        </w:tc>
        <w:tc>
          <w:tcPr>
            <w:tcW w:w="6996" w:type="dxa"/>
            <w:vAlign w:val="center"/>
          </w:tcPr>
          <w:p>
            <w:pPr>
              <w:widowControl/>
              <w:spacing w:line="360" w:lineRule="auto"/>
              <w:rPr>
                <w:rFonts w:ascii="仿宋_GB2312" w:eastAsia="仿宋_GB2312" w:cs="仿宋" w:hAnsiTheme="minorEastAsia"/>
                <w:sz w:val="24"/>
              </w:rPr>
            </w:pPr>
            <w:r>
              <w:rPr>
                <w:rFonts w:hint="eastAsia" w:ascii="仿宋_GB2312" w:eastAsia="仿宋_GB2312" w:cs="仿宋" w:hAnsiTheme="minorEastAsia"/>
                <w:sz w:val="24"/>
              </w:rPr>
              <w:t>格式8 偏离表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_GB2312" w:eastAsia="仿宋_GB2312" w:cs="仿宋" w:hAnsiTheme="minorEastAsia"/>
                <w:sz w:val="24"/>
              </w:rPr>
            </w:pPr>
          </w:p>
        </w:tc>
        <w:tc>
          <w:tcPr>
            <w:tcW w:w="6996" w:type="dxa"/>
            <w:vAlign w:val="center"/>
          </w:tcPr>
          <w:p>
            <w:pPr>
              <w:widowControl/>
              <w:spacing w:line="360" w:lineRule="auto"/>
              <w:rPr>
                <w:rFonts w:ascii="仿宋_GB2312" w:eastAsia="仿宋_GB2312" w:cs="仿宋" w:hAnsiTheme="minorEastAsia"/>
                <w:sz w:val="24"/>
              </w:rPr>
            </w:pPr>
            <w:r>
              <w:rPr>
                <w:rFonts w:hint="eastAsia" w:ascii="仿宋_GB2312" w:eastAsia="仿宋_GB2312" w:cs="仿宋" w:hAnsiTheme="minorEastAsia"/>
                <w:sz w:val="24"/>
              </w:rPr>
              <w:t>格式9 其他招标文件要求的资料或投标人认为需要补充的资料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_GB2312" w:eastAsia="仿宋_GB2312" w:cs="仿宋" w:hAnsiTheme="minorEastAsia"/>
                <w:b/>
                <w:bCs/>
                <w:sz w:val="24"/>
              </w:rPr>
            </w:pPr>
            <w:r>
              <w:rPr>
                <w:rFonts w:hint="eastAsia" w:ascii="仿宋_GB2312" w:eastAsia="仿宋_GB2312" w:cs="仿宋" w:hAnsiTheme="minorEastAsia"/>
                <w:b/>
                <w:bCs/>
                <w:sz w:val="24"/>
              </w:rPr>
              <w:t>第四部分</w:t>
            </w:r>
          </w:p>
        </w:tc>
        <w:tc>
          <w:tcPr>
            <w:tcW w:w="6996" w:type="dxa"/>
            <w:vAlign w:val="center"/>
          </w:tcPr>
          <w:p>
            <w:pPr>
              <w:widowControl/>
              <w:spacing w:line="360" w:lineRule="auto"/>
              <w:rPr>
                <w:rFonts w:ascii="仿宋_GB2312" w:eastAsia="仿宋_GB2312" w:cs="仿宋" w:hAnsiTheme="minorEastAsia"/>
                <w:b/>
                <w:bCs/>
                <w:sz w:val="24"/>
              </w:rPr>
            </w:pPr>
            <w:r>
              <w:rPr>
                <w:rFonts w:hint="eastAsia" w:ascii="仿宋_GB2312" w:eastAsia="仿宋_GB2312" w:cs="仿宋" w:hAnsiTheme="minorEastAsia"/>
                <w:b/>
                <w:bCs/>
                <w:sz w:val="24"/>
              </w:rPr>
              <w:t>合同条款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_GB2312" w:eastAsia="仿宋_GB2312" w:cs="仿宋" w:hAnsiTheme="minorEastAsia"/>
                <w:sz w:val="24"/>
              </w:rPr>
            </w:pPr>
          </w:p>
        </w:tc>
        <w:tc>
          <w:tcPr>
            <w:tcW w:w="6996" w:type="dxa"/>
            <w:vAlign w:val="center"/>
          </w:tcPr>
          <w:p>
            <w:pPr>
              <w:widowControl/>
              <w:spacing w:line="360" w:lineRule="auto"/>
              <w:rPr>
                <w:rFonts w:ascii="仿宋_GB2312" w:eastAsia="仿宋_GB2312" w:cs="仿宋" w:hAnsiTheme="minorEastAsia"/>
                <w:sz w:val="24"/>
              </w:rPr>
            </w:pPr>
            <w:r>
              <w:rPr>
                <w:rFonts w:hint="eastAsia" w:ascii="仿宋_GB2312" w:eastAsia="仿宋_GB2312" w:cs="仿宋" w:hAnsiTheme="minorEastAsia"/>
                <w:sz w:val="24"/>
              </w:rPr>
              <w:t>合同条款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_GB2312" w:eastAsia="仿宋_GB2312" w:cs="仿宋" w:hAnsiTheme="minorEastAsia"/>
                <w:b/>
                <w:bCs/>
                <w:sz w:val="24"/>
              </w:rPr>
            </w:pPr>
            <w:r>
              <w:rPr>
                <w:rFonts w:hint="eastAsia" w:ascii="仿宋_GB2312" w:eastAsia="仿宋_GB2312" w:cs="仿宋" w:hAnsiTheme="minorEastAsia"/>
                <w:b/>
                <w:bCs/>
                <w:sz w:val="24"/>
              </w:rPr>
              <w:t>第五部分</w:t>
            </w:r>
          </w:p>
        </w:tc>
        <w:tc>
          <w:tcPr>
            <w:tcW w:w="6996" w:type="dxa"/>
            <w:vAlign w:val="center"/>
          </w:tcPr>
          <w:p>
            <w:pPr>
              <w:widowControl/>
              <w:spacing w:line="360" w:lineRule="auto"/>
              <w:rPr>
                <w:rFonts w:ascii="仿宋_GB2312" w:eastAsia="仿宋_GB2312" w:cs="仿宋" w:hAnsiTheme="minorEastAsia"/>
                <w:b/>
                <w:bCs/>
                <w:sz w:val="24"/>
              </w:rPr>
            </w:pPr>
            <w:r>
              <w:rPr>
                <w:rFonts w:hint="eastAsia" w:ascii="仿宋_GB2312" w:eastAsia="仿宋_GB2312" w:cs="仿宋" w:hAnsiTheme="minorEastAsia"/>
                <w:b/>
                <w:bCs/>
                <w:sz w:val="24"/>
              </w:rPr>
              <w:t>通用条款（投标须知）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_GB2312" w:eastAsia="仿宋_GB2312" w:cs="仿宋" w:hAnsiTheme="minorEastAsia"/>
                <w:sz w:val="24"/>
              </w:rPr>
            </w:pPr>
          </w:p>
        </w:tc>
        <w:tc>
          <w:tcPr>
            <w:tcW w:w="6996" w:type="dxa"/>
            <w:vAlign w:val="center"/>
          </w:tcPr>
          <w:p>
            <w:pPr>
              <w:widowControl/>
              <w:spacing w:line="360" w:lineRule="auto"/>
              <w:rPr>
                <w:rFonts w:ascii="仿宋_GB2312" w:eastAsia="仿宋_GB2312" w:cs="仿宋" w:hAnsiTheme="minorEastAsia"/>
                <w:sz w:val="24"/>
              </w:rPr>
            </w:pPr>
            <w:r>
              <w:rPr>
                <w:rFonts w:hint="eastAsia" w:ascii="仿宋_GB2312" w:eastAsia="仿宋_GB2312" w:cs="仿宋" w:hAnsiTheme="minorEastAsia"/>
                <w:sz w:val="24"/>
              </w:rPr>
              <w:t>A、说明；B、招标文件说明；C、投标文件的编写；</w:t>
            </w:r>
          </w:p>
          <w:p>
            <w:pPr>
              <w:widowControl/>
              <w:spacing w:line="360" w:lineRule="auto"/>
              <w:rPr>
                <w:rFonts w:ascii="仿宋_GB2312" w:eastAsia="仿宋_GB2312" w:cs="仿宋" w:hAnsiTheme="minorEastAsia"/>
                <w:sz w:val="24"/>
              </w:rPr>
            </w:pPr>
            <w:r>
              <w:rPr>
                <w:rFonts w:hint="eastAsia" w:ascii="仿宋_GB2312" w:eastAsia="仿宋_GB2312" w:cs="仿宋" w:hAnsiTheme="minorEastAsia"/>
                <w:sz w:val="24"/>
              </w:rPr>
              <w:t>D、投标文件递交；E、开标和评审；F、授予合同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_GB2312" w:eastAsia="仿宋_GB2312" w:cs="仿宋" w:hAnsiTheme="minorEastAsia"/>
                <w:b/>
                <w:bCs/>
                <w:sz w:val="24"/>
              </w:rPr>
            </w:pPr>
            <w:r>
              <w:rPr>
                <w:rFonts w:hint="eastAsia" w:ascii="仿宋_GB2312" w:eastAsia="仿宋_GB2312" w:cs="仿宋" w:hAnsiTheme="minorEastAsia"/>
                <w:b/>
                <w:bCs/>
                <w:sz w:val="24"/>
              </w:rPr>
              <w:t>第六部分</w:t>
            </w:r>
          </w:p>
        </w:tc>
        <w:tc>
          <w:tcPr>
            <w:tcW w:w="6996" w:type="dxa"/>
            <w:vAlign w:val="center"/>
          </w:tcPr>
          <w:p>
            <w:pPr>
              <w:widowControl/>
              <w:spacing w:line="360" w:lineRule="auto"/>
              <w:rPr>
                <w:rFonts w:ascii="仿宋_GB2312" w:eastAsia="仿宋_GB2312" w:cs="仿宋" w:hAnsiTheme="minorEastAsia"/>
                <w:b/>
                <w:bCs/>
                <w:sz w:val="24"/>
              </w:rPr>
            </w:pPr>
            <w:r>
              <w:rPr>
                <w:rFonts w:hint="eastAsia" w:ascii="仿宋_GB2312" w:eastAsia="仿宋_GB2312" w:cs="仿宋" w:hAnsiTheme="minorEastAsia"/>
                <w:b/>
                <w:bCs/>
                <w:sz w:val="24"/>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_GB2312" w:eastAsia="仿宋_GB2312" w:cs="仿宋" w:hAnsiTheme="minorEastAsia"/>
                <w:sz w:val="24"/>
              </w:rPr>
            </w:pPr>
          </w:p>
        </w:tc>
        <w:tc>
          <w:tcPr>
            <w:tcW w:w="6996" w:type="dxa"/>
            <w:vAlign w:val="center"/>
          </w:tcPr>
          <w:p>
            <w:pPr>
              <w:spacing w:line="360" w:lineRule="auto"/>
              <w:rPr>
                <w:rFonts w:ascii="仿宋_GB2312" w:eastAsia="仿宋_GB2312" w:cs="仿宋" w:hAnsiTheme="minorEastAsia"/>
                <w:sz w:val="24"/>
              </w:rPr>
            </w:pPr>
          </w:p>
        </w:tc>
      </w:tr>
    </w:tbl>
    <w:p>
      <w:pPr>
        <w:widowControl/>
        <w:jc w:val="left"/>
        <w:rPr>
          <w:rFonts w:cs="仿宋" w:asciiTheme="minorEastAsia" w:hAnsiTheme="minorEastAsia" w:eastAsiaTheme="minorEastAsia"/>
        </w:rPr>
      </w:pPr>
      <w:r>
        <w:rPr>
          <w:rFonts w:hint="eastAsia" w:cs="仿宋" w:asciiTheme="minorEastAsia" w:hAnsiTheme="minorEastAsia" w:eastAsiaTheme="minorEastAsia"/>
        </w:rPr>
        <w:br w:type="page"/>
      </w:r>
    </w:p>
    <w:p>
      <w:pPr>
        <w:jc w:val="left"/>
        <w:rPr>
          <w:rFonts w:cs="仿宋" w:asciiTheme="minorEastAsia" w:hAnsiTheme="minorEastAsia" w:eastAsiaTheme="minorEastAsia"/>
        </w:rPr>
      </w:pPr>
    </w:p>
    <w:p>
      <w:pPr>
        <w:rPr>
          <w:rFonts w:cs="仿宋" w:asciiTheme="minorEastAsia" w:hAnsiTheme="minorEastAsia" w:eastAsiaTheme="minorEastAsia"/>
        </w:rPr>
      </w:pPr>
    </w:p>
    <w:p>
      <w:pPr>
        <w:pStyle w:val="5"/>
        <w:keepNext w:val="0"/>
        <w:rPr>
          <w:rFonts w:cs="仿宋" w:asciiTheme="minorEastAsia" w:hAnsiTheme="minorEastAsia" w:eastAsiaTheme="minorEastAsia"/>
          <w:snapToGrid w:val="0"/>
          <w:color w:val="auto"/>
          <w:kern w:val="0"/>
          <w:sz w:val="72"/>
        </w:rPr>
      </w:pPr>
    </w:p>
    <w:p>
      <w:pPr>
        <w:pStyle w:val="5"/>
        <w:keepNext w:val="0"/>
        <w:rPr>
          <w:rFonts w:cs="仿宋" w:asciiTheme="minorEastAsia" w:hAnsiTheme="minorEastAsia" w:eastAsiaTheme="minorEastAsia"/>
          <w:snapToGrid w:val="0"/>
          <w:color w:val="auto"/>
          <w:kern w:val="0"/>
          <w:sz w:val="72"/>
        </w:rPr>
      </w:pPr>
    </w:p>
    <w:p>
      <w:pPr>
        <w:pStyle w:val="5"/>
        <w:keepNext w:val="0"/>
        <w:rPr>
          <w:rFonts w:cs="仿宋" w:asciiTheme="minorEastAsia" w:hAnsiTheme="minorEastAsia" w:eastAsiaTheme="minorEastAsia"/>
          <w:snapToGrid w:val="0"/>
          <w:color w:val="auto"/>
          <w:kern w:val="0"/>
          <w:sz w:val="72"/>
        </w:rPr>
      </w:pPr>
    </w:p>
    <w:p>
      <w:pPr>
        <w:pStyle w:val="5"/>
        <w:keepNext w:val="0"/>
        <w:rPr>
          <w:rFonts w:cs="仿宋" w:asciiTheme="minorEastAsia" w:hAnsiTheme="minorEastAsia" w:eastAsiaTheme="minorEastAsia"/>
          <w:snapToGrid w:val="0"/>
          <w:color w:val="auto"/>
          <w:kern w:val="0"/>
          <w:sz w:val="72"/>
        </w:rPr>
      </w:pPr>
    </w:p>
    <w:p>
      <w:pPr>
        <w:pStyle w:val="5"/>
        <w:keepNext w:val="0"/>
        <w:rPr>
          <w:rFonts w:cs="仿宋" w:asciiTheme="minorEastAsia" w:hAnsiTheme="minorEastAsia" w:eastAsiaTheme="minorEastAsia"/>
          <w:snapToGrid w:val="0"/>
          <w:color w:val="auto"/>
          <w:kern w:val="0"/>
          <w:sz w:val="72"/>
        </w:rPr>
      </w:pPr>
    </w:p>
    <w:p>
      <w:pPr>
        <w:pStyle w:val="5"/>
        <w:keepNext w:val="0"/>
        <w:rPr>
          <w:rFonts w:cs="仿宋" w:asciiTheme="minorEastAsia" w:hAnsiTheme="minorEastAsia" w:eastAsiaTheme="minorEastAsia"/>
          <w:b/>
          <w:bCs/>
          <w:snapToGrid w:val="0"/>
          <w:color w:val="auto"/>
          <w:kern w:val="0"/>
          <w:sz w:val="72"/>
        </w:rPr>
      </w:pPr>
      <w:r>
        <w:rPr>
          <w:rFonts w:hint="eastAsia" w:cs="仿宋" w:asciiTheme="minorEastAsia" w:hAnsiTheme="minorEastAsia" w:eastAsiaTheme="minorEastAsia"/>
          <w:b/>
          <w:bCs/>
          <w:snapToGrid w:val="0"/>
          <w:color w:val="auto"/>
          <w:kern w:val="0"/>
          <w:sz w:val="96"/>
        </w:rPr>
        <w:t>采购公告</w:t>
      </w:r>
    </w:p>
    <w:p>
      <w:pPr>
        <w:rPr>
          <w:rFonts w:cs="仿宋" w:asciiTheme="minorEastAsia" w:hAnsiTheme="minorEastAsia" w:eastAsiaTheme="minorEastAsia"/>
          <w:snapToGrid w:val="0"/>
          <w:kern w:val="0"/>
          <w:szCs w:val="20"/>
        </w:rPr>
      </w:pPr>
      <w:r>
        <w:rPr>
          <w:rFonts w:hint="eastAsia" w:cs="仿宋" w:asciiTheme="minorEastAsia" w:hAnsiTheme="minorEastAsia" w:eastAsiaTheme="minorEastAsia"/>
          <w:snapToGrid w:val="0"/>
          <w:kern w:val="0"/>
        </w:rPr>
        <w:br w:type="page"/>
      </w:r>
    </w:p>
    <w:p>
      <w:pPr>
        <w:jc w:val="center"/>
        <w:rPr>
          <w:rFonts w:ascii="仿宋_GB2312" w:hAnsi="黑体" w:eastAsia="仿宋_GB2312" w:cs="仿宋"/>
          <w:b/>
          <w:bCs/>
          <w:snapToGrid w:val="0"/>
          <w:kern w:val="0"/>
          <w:sz w:val="32"/>
          <w:szCs w:val="32"/>
        </w:rPr>
      </w:pPr>
      <w:r>
        <w:rPr>
          <w:rFonts w:hint="eastAsia" w:ascii="仿宋_GB2312" w:hAnsi="黑体" w:eastAsia="仿宋_GB2312" w:cs="仿宋"/>
          <w:b/>
          <w:bCs/>
          <w:snapToGrid w:val="0"/>
          <w:kern w:val="0"/>
          <w:sz w:val="32"/>
          <w:szCs w:val="32"/>
        </w:rPr>
        <w:t>深圳市公安局交通警察局2024年辅聘人员人身意外伤害保险服务项目采购公告</w:t>
      </w:r>
    </w:p>
    <w:p>
      <w:pPr>
        <w:spacing w:line="360" w:lineRule="auto"/>
        <w:rPr>
          <w:rFonts w:cs="仿宋" w:asciiTheme="minorEastAsia" w:hAnsiTheme="minorEastAsia" w:eastAsiaTheme="minorEastAsia"/>
          <w:sz w:val="24"/>
          <w:szCs w:val="24"/>
        </w:rPr>
      </w:pPr>
    </w:p>
    <w:p>
      <w:pPr>
        <w:spacing w:line="360" w:lineRule="auto"/>
        <w:rPr>
          <w:rFonts w:cs="仿宋" w:asciiTheme="minorEastAsia" w:hAnsiTheme="minorEastAsia" w:eastAsiaTheme="minorEastAsia"/>
          <w:szCs w:val="21"/>
        </w:rPr>
      </w:pPr>
      <w:r>
        <w:rPr>
          <w:rFonts w:hint="eastAsia" w:cs="仿宋" w:asciiTheme="minorEastAsia" w:hAnsiTheme="minorEastAsia" w:eastAsiaTheme="minorEastAsia"/>
          <w:b/>
          <w:bCs/>
          <w:szCs w:val="21"/>
        </w:rPr>
        <w:t>一、项目概况</w:t>
      </w:r>
    </w:p>
    <w:p>
      <w:pPr>
        <w:spacing w:line="360" w:lineRule="auto"/>
        <w:ind w:firstLine="424" w:firstLineChars="202"/>
        <w:rPr>
          <w:rFonts w:cs="仿宋" w:asciiTheme="minorEastAsia" w:hAnsiTheme="minorEastAsia" w:eastAsiaTheme="minorEastAsia"/>
          <w:szCs w:val="21"/>
        </w:rPr>
      </w:pPr>
      <w:r>
        <w:rPr>
          <w:rFonts w:hint="eastAsia" w:cs="仿宋" w:asciiTheme="minorEastAsia" w:hAnsiTheme="minorEastAsia" w:eastAsiaTheme="minorEastAsia"/>
          <w:szCs w:val="21"/>
          <w:u w:val="single"/>
        </w:rPr>
        <w:t>深圳市公安局交通警察局2024年辅聘人员人身意外伤害保险服务</w:t>
      </w:r>
      <w:r>
        <w:rPr>
          <w:rFonts w:hint="eastAsia" w:cs="仿宋" w:asciiTheme="minorEastAsia" w:hAnsiTheme="minorEastAsia" w:eastAsiaTheme="minorEastAsia"/>
          <w:szCs w:val="21"/>
        </w:rPr>
        <w:t>项目的潜在投标人应在</w:t>
      </w:r>
      <w:r>
        <w:rPr>
          <w:rFonts w:hint="eastAsia" w:cs="仿宋" w:asciiTheme="minorEastAsia" w:hAnsiTheme="minorEastAsia" w:eastAsiaTheme="minorEastAsia"/>
          <w:szCs w:val="21"/>
          <w:u w:val="single"/>
        </w:rPr>
        <w:t>深圳市中正招标有限公司</w:t>
      </w:r>
      <w:r>
        <w:rPr>
          <w:rFonts w:hint="eastAsia" w:cs="仿宋" w:asciiTheme="minorEastAsia" w:hAnsiTheme="minorEastAsia" w:eastAsiaTheme="minorEastAsia"/>
          <w:szCs w:val="21"/>
        </w:rPr>
        <w:t>获取招标文件，并于</w:t>
      </w:r>
      <w:r>
        <w:rPr>
          <w:rFonts w:hint="eastAsia" w:cs="仿宋" w:asciiTheme="minorEastAsia" w:hAnsiTheme="minorEastAsia" w:eastAsiaTheme="minorEastAsia"/>
          <w:szCs w:val="21"/>
          <w:u w:val="single"/>
        </w:rPr>
        <w:t>2024</w:t>
      </w:r>
      <w:r>
        <w:rPr>
          <w:rFonts w:hint="eastAsia" w:cs="仿宋" w:asciiTheme="minorEastAsia" w:hAnsiTheme="minorEastAsia" w:eastAsiaTheme="minorEastAsia"/>
          <w:szCs w:val="21"/>
        </w:rPr>
        <w:t>年</w:t>
      </w:r>
      <w:r>
        <w:rPr>
          <w:rFonts w:hint="eastAsia" w:cs="仿宋" w:asciiTheme="minorEastAsia" w:hAnsiTheme="minorEastAsia" w:eastAsiaTheme="minorEastAsia"/>
          <w:szCs w:val="21"/>
          <w:u w:val="single"/>
          <w:lang w:val="en-US" w:eastAsia="zh-CN"/>
        </w:rPr>
        <w:t>02</w:t>
      </w:r>
      <w:r>
        <w:rPr>
          <w:rFonts w:hint="eastAsia" w:cs="仿宋" w:asciiTheme="minorEastAsia" w:hAnsiTheme="minorEastAsia" w:eastAsiaTheme="minorEastAsia"/>
          <w:szCs w:val="21"/>
        </w:rPr>
        <w:t>月</w:t>
      </w:r>
      <w:r>
        <w:rPr>
          <w:rFonts w:hint="eastAsia" w:cs="仿宋" w:asciiTheme="minorEastAsia" w:hAnsiTheme="minorEastAsia" w:eastAsiaTheme="minorEastAsia"/>
          <w:szCs w:val="21"/>
          <w:u w:val="single"/>
          <w:lang w:val="en-US" w:eastAsia="zh-CN"/>
        </w:rPr>
        <w:t>27</w:t>
      </w:r>
      <w:r>
        <w:rPr>
          <w:rFonts w:hint="eastAsia" w:cs="仿宋" w:asciiTheme="minorEastAsia" w:hAnsiTheme="minorEastAsia" w:eastAsiaTheme="minorEastAsia"/>
          <w:szCs w:val="21"/>
        </w:rPr>
        <w:t>日</w:t>
      </w:r>
      <w:r>
        <w:rPr>
          <w:rFonts w:hint="eastAsia" w:cs="仿宋" w:asciiTheme="minorEastAsia" w:hAnsiTheme="minorEastAsia" w:eastAsiaTheme="minorEastAsia"/>
          <w:szCs w:val="21"/>
          <w:u w:val="single"/>
          <w:lang w:val="en-US" w:eastAsia="zh-CN"/>
        </w:rPr>
        <w:t>10</w:t>
      </w:r>
      <w:r>
        <w:rPr>
          <w:rFonts w:hint="eastAsia" w:cs="仿宋" w:asciiTheme="minorEastAsia" w:hAnsiTheme="minorEastAsia" w:eastAsiaTheme="minorEastAsia"/>
          <w:szCs w:val="21"/>
        </w:rPr>
        <w:t>点</w:t>
      </w:r>
      <w:r>
        <w:rPr>
          <w:rFonts w:hint="eastAsia" w:cs="仿宋" w:asciiTheme="minorEastAsia" w:hAnsiTheme="minorEastAsia" w:eastAsiaTheme="minorEastAsia"/>
          <w:szCs w:val="21"/>
          <w:u w:val="single"/>
          <w:lang w:val="en-US" w:eastAsia="zh-CN"/>
        </w:rPr>
        <w:t>0</w:t>
      </w:r>
      <w:r>
        <w:rPr>
          <w:rFonts w:hint="eastAsia" w:cs="仿宋" w:asciiTheme="minorEastAsia" w:hAnsiTheme="minorEastAsia" w:eastAsiaTheme="minorEastAsia"/>
          <w:szCs w:val="21"/>
          <w:u w:val="single"/>
        </w:rPr>
        <w:t>0</w:t>
      </w:r>
      <w:r>
        <w:rPr>
          <w:rFonts w:hint="eastAsia" w:cs="仿宋" w:asciiTheme="minorEastAsia" w:hAnsiTheme="minorEastAsia" w:eastAsiaTheme="minorEastAsia"/>
          <w:szCs w:val="21"/>
        </w:rPr>
        <w:t>分（北京时间）前递交投标文件。</w:t>
      </w:r>
    </w:p>
    <w:p>
      <w:pPr>
        <w:spacing w:line="360" w:lineRule="auto"/>
        <w:rPr>
          <w:rFonts w:cs="仿宋" w:asciiTheme="minorEastAsia" w:hAnsiTheme="minorEastAsia" w:eastAsiaTheme="minorEastAsia"/>
          <w:szCs w:val="21"/>
        </w:rPr>
      </w:pPr>
    </w:p>
    <w:p>
      <w:pPr>
        <w:spacing w:line="360" w:lineRule="auto"/>
        <w:rPr>
          <w:rFonts w:cs="仿宋" w:asciiTheme="minorEastAsia" w:hAnsiTheme="minorEastAsia" w:eastAsiaTheme="minorEastAsia"/>
          <w:b/>
          <w:bCs/>
          <w:szCs w:val="21"/>
        </w:rPr>
      </w:pPr>
      <w:r>
        <w:rPr>
          <w:rFonts w:hint="eastAsia" w:cs="仿宋" w:asciiTheme="minorEastAsia" w:hAnsiTheme="minorEastAsia" w:eastAsiaTheme="minorEastAsia"/>
          <w:b/>
          <w:bCs/>
          <w:szCs w:val="21"/>
        </w:rPr>
        <w:t>二、项目基本情况</w:t>
      </w:r>
    </w:p>
    <w:p>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1、项目编号：SZZZ2024-QC0011</w:t>
      </w:r>
    </w:p>
    <w:p>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2、项目名称：深圳市公安局交通警察局2024年辅聘人员人身意外伤害保险服务</w:t>
      </w:r>
    </w:p>
    <w:p>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3、预算金额：人民币37.54万元</w:t>
      </w:r>
    </w:p>
    <w:p>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4、最高限价：人民币37.54万元</w:t>
      </w:r>
    </w:p>
    <w:p>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5、采购方式：公开征集</w:t>
      </w:r>
    </w:p>
    <w:p>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6、采购需求：</w:t>
      </w:r>
    </w:p>
    <w:tbl>
      <w:tblPr>
        <w:tblStyle w:val="23"/>
        <w:tblW w:w="851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8"/>
        <w:gridCol w:w="4389"/>
        <w:gridCol w:w="934"/>
        <w:gridCol w:w="202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8" w:type="dxa"/>
            <w:shd w:val="clear" w:color="auto" w:fill="C6D9F1"/>
            <w:vAlign w:val="center"/>
          </w:tcPr>
          <w:p>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序号</w:t>
            </w:r>
          </w:p>
        </w:tc>
        <w:tc>
          <w:tcPr>
            <w:tcW w:w="4389" w:type="dxa"/>
            <w:shd w:val="clear" w:color="auto" w:fill="C6D9F1"/>
            <w:vAlign w:val="center"/>
          </w:tcPr>
          <w:p>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标的名称</w:t>
            </w:r>
          </w:p>
        </w:tc>
        <w:tc>
          <w:tcPr>
            <w:tcW w:w="934" w:type="dxa"/>
            <w:shd w:val="clear" w:color="auto" w:fill="C6D9F1"/>
            <w:vAlign w:val="center"/>
          </w:tcPr>
          <w:p>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数量</w:t>
            </w:r>
          </w:p>
        </w:tc>
        <w:tc>
          <w:tcPr>
            <w:tcW w:w="2028" w:type="dxa"/>
            <w:shd w:val="clear" w:color="auto" w:fill="C6D9F1"/>
            <w:vAlign w:val="center"/>
          </w:tcPr>
          <w:p>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简要技术需求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168" w:type="dxa"/>
            <w:vAlign w:val="center"/>
          </w:tcPr>
          <w:p>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1</w:t>
            </w:r>
          </w:p>
        </w:tc>
        <w:tc>
          <w:tcPr>
            <w:tcW w:w="4389" w:type="dxa"/>
            <w:vAlign w:val="center"/>
          </w:tcPr>
          <w:p>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深圳市公安局交通警察局2024年辅聘人员人身意外伤害保险服务</w:t>
            </w:r>
          </w:p>
        </w:tc>
        <w:tc>
          <w:tcPr>
            <w:tcW w:w="934" w:type="dxa"/>
            <w:vAlign w:val="center"/>
          </w:tcPr>
          <w:p>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1项</w:t>
            </w:r>
          </w:p>
        </w:tc>
        <w:tc>
          <w:tcPr>
            <w:tcW w:w="2028" w:type="dxa"/>
            <w:vAlign w:val="center"/>
          </w:tcPr>
          <w:p>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详见附件内容</w:t>
            </w:r>
          </w:p>
        </w:tc>
      </w:tr>
    </w:tbl>
    <w:p>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7、合同履行期限：详见招标文件。</w:t>
      </w:r>
    </w:p>
    <w:p>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8、是否联合体：本项目不接受联合体投标。</w:t>
      </w:r>
    </w:p>
    <w:p>
      <w:pPr>
        <w:spacing w:line="360" w:lineRule="auto"/>
        <w:rPr>
          <w:rFonts w:cs="仿宋" w:asciiTheme="minorEastAsia" w:hAnsiTheme="minorEastAsia" w:eastAsiaTheme="minorEastAsia"/>
          <w:szCs w:val="21"/>
        </w:rPr>
      </w:pPr>
    </w:p>
    <w:p>
      <w:pPr>
        <w:spacing w:line="360" w:lineRule="auto"/>
        <w:rPr>
          <w:rFonts w:cs="仿宋" w:asciiTheme="minorEastAsia" w:hAnsiTheme="minorEastAsia" w:eastAsiaTheme="minorEastAsia"/>
          <w:b/>
          <w:bCs/>
          <w:szCs w:val="21"/>
        </w:rPr>
      </w:pPr>
      <w:r>
        <w:rPr>
          <w:rFonts w:hint="eastAsia" w:cs="仿宋" w:asciiTheme="minorEastAsia" w:hAnsiTheme="minorEastAsia" w:eastAsiaTheme="minorEastAsia"/>
          <w:b/>
          <w:bCs/>
          <w:szCs w:val="21"/>
        </w:rPr>
        <w:t>三、申请人的资格要求</w:t>
      </w:r>
    </w:p>
    <w:p>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1、须是在中华人民共和国境内注册的法人或其他组织【须提供合法有效的营业执照或法人证书等证明材料的扫描件或复印件加盖投标供应商公章，原件备查</w:t>
      </w:r>
      <w:r>
        <w:rPr>
          <w:rFonts w:hint="eastAsia" w:cs="仿宋" w:asciiTheme="minorEastAsia" w:hAnsiTheme="minorEastAsia" w:eastAsiaTheme="minorEastAsia"/>
          <w:bCs/>
          <w:szCs w:val="21"/>
        </w:rPr>
        <w:t>。</w:t>
      </w:r>
      <w:r>
        <w:rPr>
          <w:rFonts w:hint="eastAsia" w:asciiTheme="minorEastAsia" w:hAnsiTheme="minorEastAsia" w:eastAsiaTheme="minorEastAsia"/>
          <w:snapToGrid w:val="0"/>
        </w:rPr>
        <w:t>如果是分支机构参与投标，还须同时提供其具有独立法人资格的上级主体出具的</w:t>
      </w:r>
      <w:r>
        <w:rPr>
          <w:rFonts w:hint="eastAsia" w:ascii="宋体" w:hAnsi="宋体"/>
          <w:snapToGrid w:val="0"/>
        </w:rPr>
        <w:t>有效授权书及</w:t>
      </w:r>
      <w:r>
        <w:rPr>
          <w:rFonts w:hint="eastAsia" w:asciiTheme="minorEastAsia" w:hAnsiTheme="minorEastAsia" w:eastAsiaTheme="minorEastAsia"/>
          <w:snapToGrid w:val="0"/>
        </w:rPr>
        <w:t>上级主体的</w:t>
      </w:r>
      <w:r>
        <w:rPr>
          <w:rFonts w:hint="eastAsia" w:ascii="宋体" w:hAnsi="宋体"/>
          <w:snapToGrid w:val="0"/>
        </w:rPr>
        <w:t>营业执照或法人证书等证明材料复印件或扫描件加盖</w:t>
      </w:r>
      <w:r>
        <w:rPr>
          <w:rFonts w:hint="eastAsia" w:asciiTheme="minorEastAsia" w:hAnsiTheme="minorEastAsia" w:eastAsiaTheme="minorEastAsia"/>
          <w:snapToGrid w:val="0"/>
        </w:rPr>
        <w:t>投标供应商</w:t>
      </w:r>
      <w:r>
        <w:rPr>
          <w:rFonts w:hint="eastAsia" w:ascii="宋体" w:hAnsi="宋体"/>
          <w:snapToGrid w:val="0"/>
        </w:rPr>
        <w:t>公章，原件备查</w:t>
      </w:r>
      <w:r>
        <w:rPr>
          <w:rFonts w:hint="eastAsia" w:asciiTheme="minorEastAsia" w:hAnsiTheme="minorEastAsia" w:eastAsiaTheme="minorEastAsia"/>
          <w:snapToGrid w:val="0"/>
        </w:rPr>
        <w:t>；</w:t>
      </w:r>
      <w:r>
        <w:rPr>
          <w:rFonts w:hint="eastAsia" w:ascii="宋体" w:hAnsi="宋体"/>
          <w:snapToGrid w:val="0"/>
        </w:rPr>
        <w:t>本项目不接受总公司与分支机构同时参与投标，也不接受同一总公司有两个或以上分支机构参与投标，如出现以上情形，该两家或以上投标供应商均按无效投标处理</w:t>
      </w:r>
      <w:r>
        <w:rPr>
          <w:rFonts w:hint="eastAsia" w:cs="仿宋" w:asciiTheme="minorEastAsia" w:hAnsiTheme="minorEastAsia" w:eastAsiaTheme="minorEastAsia"/>
          <w:bCs/>
          <w:szCs w:val="21"/>
        </w:rPr>
        <w:t>】</w:t>
      </w:r>
      <w:r>
        <w:rPr>
          <w:rFonts w:hint="eastAsia" w:cs="仿宋" w:asciiTheme="minorEastAsia" w:hAnsiTheme="minorEastAsia" w:eastAsiaTheme="minorEastAsia"/>
          <w:szCs w:val="21"/>
        </w:rPr>
        <w:t>；</w:t>
      </w:r>
    </w:p>
    <w:p>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2、总公司投标的须提供由国家金融监督管理总局（或原中国银保监会/中国保险监督管理委员会）或其派出机构核发的《保险公司法人许可证》或《保险许可证》，分公司投标的须同时提供总公司的《保险公司法人许可证》或《保险许可证》和分公司的《经营保险业务许可证》或《保险许可证》，业务范围须包含意外伤害保险（</w:t>
      </w:r>
      <w:r>
        <w:rPr>
          <w:rFonts w:hint="eastAsia" w:cs="仿宋" w:asciiTheme="minorEastAsia" w:hAnsiTheme="minorEastAsia" w:eastAsiaTheme="minorEastAsia"/>
          <w:szCs w:val="21"/>
          <w:lang w:val="en-US" w:eastAsia="zh-CN"/>
        </w:rPr>
        <w:t>投标供应商</w:t>
      </w:r>
      <w:r>
        <w:rPr>
          <w:rFonts w:hint="eastAsia" w:cs="仿宋" w:asciiTheme="minorEastAsia" w:hAnsiTheme="minorEastAsia" w:eastAsiaTheme="minorEastAsia"/>
          <w:szCs w:val="21"/>
        </w:rPr>
        <w:t>须提供有效的保险许可证，如分公司</w:t>
      </w:r>
      <w:r>
        <w:rPr>
          <w:rFonts w:hint="eastAsia" w:cs="仿宋" w:asciiTheme="minorEastAsia" w:hAnsiTheme="minorEastAsia" w:eastAsiaTheme="minorEastAsia"/>
          <w:szCs w:val="21"/>
          <w:lang w:val="en-US" w:eastAsia="zh-CN"/>
        </w:rPr>
        <w:t>参与投标且分公司的</w:t>
      </w:r>
      <w:r>
        <w:rPr>
          <w:rFonts w:hint="eastAsia" w:cs="仿宋" w:asciiTheme="minorEastAsia" w:hAnsiTheme="minorEastAsia" w:eastAsiaTheme="minorEastAsia"/>
          <w:szCs w:val="21"/>
        </w:rPr>
        <w:t>保险许可证</w:t>
      </w:r>
      <w:r>
        <w:rPr>
          <w:rFonts w:hint="eastAsia" w:cs="仿宋" w:asciiTheme="minorEastAsia" w:hAnsiTheme="minorEastAsia" w:eastAsiaTheme="minorEastAsia"/>
          <w:szCs w:val="21"/>
          <w:lang w:val="en-US" w:eastAsia="zh-CN"/>
        </w:rPr>
        <w:t>业务范围</w:t>
      </w:r>
      <w:r>
        <w:rPr>
          <w:rFonts w:hint="eastAsia" w:cs="仿宋" w:asciiTheme="minorEastAsia" w:hAnsiTheme="minorEastAsia" w:eastAsiaTheme="minorEastAsia"/>
          <w:szCs w:val="21"/>
        </w:rPr>
        <w:t>未</w:t>
      </w:r>
      <w:r>
        <w:rPr>
          <w:rFonts w:hint="eastAsia" w:cs="仿宋" w:asciiTheme="minorEastAsia" w:hAnsiTheme="minorEastAsia" w:eastAsiaTheme="minorEastAsia"/>
          <w:szCs w:val="21"/>
          <w:lang w:val="en-US" w:eastAsia="zh-CN"/>
        </w:rPr>
        <w:t>明确包含</w:t>
      </w:r>
      <w:r>
        <w:rPr>
          <w:rFonts w:hint="eastAsia" w:cs="仿宋" w:asciiTheme="minorEastAsia" w:hAnsiTheme="minorEastAsia" w:eastAsiaTheme="minorEastAsia"/>
          <w:szCs w:val="21"/>
        </w:rPr>
        <w:t>意外伤害保险，</w:t>
      </w:r>
      <w:r>
        <w:rPr>
          <w:rFonts w:hint="eastAsia" w:cs="仿宋" w:asciiTheme="minorEastAsia" w:hAnsiTheme="minorEastAsia" w:eastAsiaTheme="minorEastAsia"/>
          <w:szCs w:val="21"/>
          <w:lang w:val="en-US" w:eastAsia="zh-CN"/>
        </w:rPr>
        <w:t>在提供分公司有效的保险许可证的</w:t>
      </w:r>
      <w:r>
        <w:rPr>
          <w:rFonts w:hint="eastAsia" w:cs="仿宋" w:asciiTheme="minorEastAsia" w:hAnsiTheme="minorEastAsia" w:eastAsiaTheme="minorEastAsia"/>
          <w:szCs w:val="21"/>
        </w:rPr>
        <w:t>同时</w:t>
      </w:r>
      <w:r>
        <w:rPr>
          <w:rFonts w:hint="eastAsia" w:cs="仿宋" w:asciiTheme="minorEastAsia" w:hAnsiTheme="minorEastAsia" w:eastAsiaTheme="minorEastAsia"/>
          <w:szCs w:val="21"/>
          <w:lang w:val="en-US" w:eastAsia="zh-CN"/>
        </w:rPr>
        <w:t>须</w:t>
      </w:r>
      <w:r>
        <w:rPr>
          <w:rFonts w:hint="eastAsia" w:cs="仿宋" w:asciiTheme="minorEastAsia" w:hAnsiTheme="minorEastAsia" w:eastAsiaTheme="minorEastAsia"/>
          <w:szCs w:val="21"/>
        </w:rPr>
        <w:t>提供总公司</w:t>
      </w:r>
      <w:r>
        <w:rPr>
          <w:rFonts w:hint="eastAsia" w:cs="仿宋" w:asciiTheme="minorEastAsia" w:hAnsiTheme="minorEastAsia" w:eastAsiaTheme="minorEastAsia"/>
          <w:szCs w:val="21"/>
          <w:lang w:val="en-US" w:eastAsia="zh-CN"/>
        </w:rPr>
        <w:t>有效的保险许可证以及由总公司</w:t>
      </w:r>
      <w:r>
        <w:rPr>
          <w:rFonts w:hint="eastAsia" w:cs="仿宋" w:asciiTheme="minorEastAsia" w:hAnsiTheme="minorEastAsia" w:eastAsiaTheme="minorEastAsia"/>
          <w:szCs w:val="21"/>
        </w:rPr>
        <w:t>出具的有效授权书</w:t>
      </w:r>
      <w:r>
        <w:rPr>
          <w:rFonts w:hint="eastAsia" w:cs="仿宋" w:asciiTheme="minorEastAsia" w:hAnsiTheme="minorEastAsia" w:eastAsiaTheme="minorEastAsia"/>
          <w:szCs w:val="21"/>
          <w:lang w:val="en-US" w:eastAsia="zh-CN"/>
        </w:rPr>
        <w:t>作为</w:t>
      </w:r>
      <w:r>
        <w:rPr>
          <w:rFonts w:hint="eastAsia" w:cs="仿宋" w:asciiTheme="minorEastAsia" w:hAnsiTheme="minorEastAsia" w:eastAsiaTheme="minorEastAsia"/>
          <w:szCs w:val="21"/>
        </w:rPr>
        <w:t>证明文件，均提供复印件或扫描件加盖投标供应商公章，原件备查）；</w:t>
      </w:r>
    </w:p>
    <w:p>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3、参与本项目的投标供应商须满足《中华人民共和国政府采购法》第二十二条规定【由投标供应商按招标文件规定的格式在《承诺函》中作出声明】；</w:t>
      </w:r>
    </w:p>
    <w:p>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4、参与本项目采购活动前三年内，在经营活动中没有重大违法记录【由投标供应商按招标文件规定的格式在《承诺函》中作出声明】；</w:t>
      </w:r>
    </w:p>
    <w:p>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5、参与本项目政府采购活动时不存在被有关部门禁止参与政府采购活动且在有效期内的情况【由投标供应商按招标文件规定的格式在《承诺函》中作出声明】；</w:t>
      </w:r>
    </w:p>
    <w:p>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6、除单一来源采购项目外，为采购项目提供整体设计、规范编制或者项目管理、监理、检测等服务的人，不得再参加该采购项目的其他采购活动【由投标供应商按招标文件规定的格式在《承诺函》中作出声明】；</w:t>
      </w:r>
    </w:p>
    <w:p>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7、参与本项目政府采购活动不存在与其他采购参加人串通投标，隐瞒真实情况，提供虚假资料等违法违规情形【由投标供应商按招标文件规定的格式在《承诺函》中作出声明】；</w:t>
      </w:r>
    </w:p>
    <w:p>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8、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供应商信息，投标供应商无需提供证明材料；</w:t>
      </w:r>
    </w:p>
    <w:p>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bCs/>
          <w:szCs w:val="21"/>
        </w:rPr>
        <w:t>9、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供应商信用信息查询渠道，相关信息以开标当日的查询结果为准。由采购代理机构查询，投标供应商无需提供证明材料】</w:t>
      </w:r>
      <w:r>
        <w:rPr>
          <w:rFonts w:hint="eastAsia" w:cs="仿宋" w:asciiTheme="minorEastAsia" w:hAnsiTheme="minorEastAsia" w:eastAsiaTheme="minorEastAsia"/>
          <w:szCs w:val="21"/>
        </w:rPr>
        <w:t>；</w:t>
      </w:r>
    </w:p>
    <w:p>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10、本项目不接受联合体投标，不允许非法分包或转包。</w:t>
      </w:r>
    </w:p>
    <w:p>
      <w:pPr>
        <w:pStyle w:val="2"/>
      </w:pPr>
    </w:p>
    <w:p>
      <w:pPr>
        <w:spacing w:line="360" w:lineRule="auto"/>
        <w:rPr>
          <w:rFonts w:cs="仿宋" w:asciiTheme="minorEastAsia" w:hAnsiTheme="minorEastAsia" w:eastAsiaTheme="minorEastAsia"/>
          <w:b/>
          <w:bCs/>
          <w:szCs w:val="21"/>
        </w:rPr>
      </w:pPr>
      <w:r>
        <w:rPr>
          <w:rFonts w:hint="eastAsia" w:cs="仿宋" w:asciiTheme="minorEastAsia" w:hAnsiTheme="minorEastAsia" w:eastAsiaTheme="minorEastAsia"/>
          <w:b/>
          <w:bCs/>
          <w:szCs w:val="21"/>
        </w:rPr>
        <w:t>四、获取招标文件</w:t>
      </w:r>
    </w:p>
    <w:p>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1、时间：</w:t>
      </w:r>
      <w:r>
        <w:rPr>
          <w:rFonts w:hint="eastAsia" w:cs="仿宋" w:asciiTheme="minorEastAsia" w:hAnsiTheme="minorEastAsia" w:eastAsiaTheme="minorEastAsia"/>
          <w:szCs w:val="21"/>
          <w:u w:val="single"/>
        </w:rPr>
        <w:t>2024</w:t>
      </w:r>
      <w:r>
        <w:rPr>
          <w:rFonts w:hint="eastAsia" w:cs="仿宋" w:asciiTheme="minorEastAsia" w:hAnsiTheme="minorEastAsia" w:eastAsiaTheme="minorEastAsia"/>
          <w:szCs w:val="21"/>
        </w:rPr>
        <w:t>年</w:t>
      </w:r>
      <w:r>
        <w:rPr>
          <w:rFonts w:hint="eastAsia" w:cs="仿宋" w:asciiTheme="minorEastAsia" w:hAnsiTheme="minorEastAsia" w:eastAsiaTheme="minorEastAsia"/>
          <w:szCs w:val="21"/>
          <w:u w:val="single"/>
          <w:lang w:val="en-US" w:eastAsia="zh-CN"/>
        </w:rPr>
        <w:t>02</w:t>
      </w:r>
      <w:r>
        <w:rPr>
          <w:rFonts w:hint="eastAsia" w:cs="仿宋" w:asciiTheme="minorEastAsia" w:hAnsiTheme="minorEastAsia" w:eastAsiaTheme="minorEastAsia"/>
          <w:szCs w:val="21"/>
        </w:rPr>
        <w:t>月</w:t>
      </w:r>
      <w:r>
        <w:rPr>
          <w:rFonts w:hint="eastAsia" w:cs="仿宋" w:asciiTheme="minorEastAsia" w:hAnsiTheme="minorEastAsia" w:eastAsiaTheme="minorEastAsia"/>
          <w:szCs w:val="21"/>
          <w:u w:val="single"/>
          <w:lang w:val="en-US" w:eastAsia="zh-CN"/>
        </w:rPr>
        <w:t>07</w:t>
      </w:r>
      <w:r>
        <w:rPr>
          <w:rFonts w:hint="eastAsia" w:cs="仿宋" w:asciiTheme="minorEastAsia" w:hAnsiTheme="minorEastAsia" w:eastAsiaTheme="minorEastAsia"/>
          <w:szCs w:val="21"/>
        </w:rPr>
        <w:t>日至</w:t>
      </w:r>
      <w:r>
        <w:rPr>
          <w:rFonts w:hint="eastAsia" w:cs="仿宋" w:asciiTheme="minorEastAsia" w:hAnsiTheme="minorEastAsia" w:eastAsiaTheme="minorEastAsia"/>
          <w:szCs w:val="21"/>
          <w:u w:val="single"/>
        </w:rPr>
        <w:t>2024</w:t>
      </w:r>
      <w:r>
        <w:rPr>
          <w:rFonts w:hint="eastAsia" w:cs="仿宋" w:asciiTheme="minorEastAsia" w:hAnsiTheme="minorEastAsia" w:eastAsiaTheme="minorEastAsia"/>
          <w:szCs w:val="21"/>
        </w:rPr>
        <w:t>年</w:t>
      </w:r>
      <w:r>
        <w:rPr>
          <w:rFonts w:hint="eastAsia" w:cs="仿宋" w:asciiTheme="minorEastAsia" w:hAnsiTheme="minorEastAsia" w:eastAsiaTheme="minorEastAsia"/>
          <w:szCs w:val="21"/>
          <w:u w:val="single"/>
          <w:lang w:val="en-US" w:eastAsia="zh-CN"/>
        </w:rPr>
        <w:t>02</w:t>
      </w:r>
      <w:r>
        <w:rPr>
          <w:rFonts w:hint="eastAsia" w:cs="仿宋" w:asciiTheme="minorEastAsia" w:hAnsiTheme="minorEastAsia" w:eastAsiaTheme="minorEastAsia"/>
          <w:szCs w:val="21"/>
        </w:rPr>
        <w:t>月</w:t>
      </w:r>
      <w:r>
        <w:rPr>
          <w:rFonts w:hint="eastAsia" w:cs="仿宋" w:asciiTheme="minorEastAsia" w:hAnsiTheme="minorEastAsia" w:eastAsiaTheme="minorEastAsia"/>
          <w:szCs w:val="21"/>
          <w:u w:val="single"/>
          <w:lang w:val="en-US" w:eastAsia="zh-CN"/>
        </w:rPr>
        <w:t>26</w:t>
      </w:r>
      <w:r>
        <w:rPr>
          <w:rFonts w:hint="eastAsia" w:cs="仿宋" w:asciiTheme="minorEastAsia" w:hAnsiTheme="minorEastAsia" w:eastAsiaTheme="minorEastAsia"/>
          <w:szCs w:val="21"/>
        </w:rPr>
        <w:t>日，每天上午</w:t>
      </w:r>
      <w:r>
        <w:rPr>
          <w:rFonts w:hint="eastAsia" w:cs="仿宋" w:asciiTheme="minorEastAsia" w:hAnsiTheme="minorEastAsia" w:eastAsiaTheme="minorEastAsia"/>
          <w:szCs w:val="21"/>
          <w:u w:val="single"/>
        </w:rPr>
        <w:t>09</w:t>
      </w:r>
      <w:r>
        <w:rPr>
          <w:rFonts w:hint="eastAsia" w:cs="仿宋" w:asciiTheme="minorEastAsia" w:hAnsiTheme="minorEastAsia" w:eastAsiaTheme="minorEastAsia"/>
          <w:szCs w:val="21"/>
        </w:rPr>
        <w:t>时至</w:t>
      </w:r>
      <w:r>
        <w:rPr>
          <w:rFonts w:hint="eastAsia" w:cs="仿宋" w:asciiTheme="minorEastAsia" w:hAnsiTheme="minorEastAsia" w:eastAsiaTheme="minorEastAsia"/>
          <w:szCs w:val="21"/>
          <w:u w:val="single"/>
        </w:rPr>
        <w:t>11</w:t>
      </w:r>
      <w:r>
        <w:rPr>
          <w:rFonts w:hint="eastAsia" w:cs="仿宋" w:asciiTheme="minorEastAsia" w:hAnsiTheme="minorEastAsia" w:eastAsiaTheme="minorEastAsia"/>
          <w:szCs w:val="21"/>
        </w:rPr>
        <w:t>时</w:t>
      </w:r>
      <w:r>
        <w:rPr>
          <w:rFonts w:hint="eastAsia" w:cs="仿宋" w:asciiTheme="minorEastAsia" w:hAnsiTheme="minorEastAsia" w:eastAsiaTheme="minorEastAsia"/>
          <w:szCs w:val="21"/>
          <w:u w:val="single"/>
        </w:rPr>
        <w:t>30</w:t>
      </w:r>
      <w:r>
        <w:rPr>
          <w:rFonts w:hint="eastAsia" w:cs="仿宋" w:asciiTheme="minorEastAsia" w:hAnsiTheme="minorEastAsia" w:eastAsiaTheme="minorEastAsia"/>
          <w:szCs w:val="21"/>
        </w:rPr>
        <w:t>分，下午</w:t>
      </w:r>
      <w:r>
        <w:rPr>
          <w:rFonts w:hint="eastAsia" w:cs="仿宋" w:asciiTheme="minorEastAsia" w:hAnsiTheme="minorEastAsia" w:eastAsiaTheme="minorEastAsia"/>
          <w:szCs w:val="21"/>
          <w:u w:val="single"/>
        </w:rPr>
        <w:t>02</w:t>
      </w:r>
      <w:r>
        <w:rPr>
          <w:rFonts w:hint="eastAsia" w:cs="仿宋" w:asciiTheme="minorEastAsia" w:hAnsiTheme="minorEastAsia" w:eastAsiaTheme="minorEastAsia"/>
          <w:szCs w:val="21"/>
        </w:rPr>
        <w:t>时</w:t>
      </w:r>
      <w:r>
        <w:rPr>
          <w:rFonts w:hint="eastAsia" w:cs="仿宋" w:asciiTheme="minorEastAsia" w:hAnsiTheme="minorEastAsia" w:eastAsiaTheme="minorEastAsia"/>
          <w:szCs w:val="21"/>
          <w:u w:val="single"/>
        </w:rPr>
        <w:t>30</w:t>
      </w:r>
      <w:r>
        <w:rPr>
          <w:rFonts w:hint="eastAsia" w:cs="仿宋" w:asciiTheme="minorEastAsia" w:hAnsiTheme="minorEastAsia" w:eastAsiaTheme="minorEastAsia"/>
          <w:szCs w:val="21"/>
        </w:rPr>
        <w:t>分至</w:t>
      </w:r>
      <w:r>
        <w:rPr>
          <w:rFonts w:hint="eastAsia" w:cs="仿宋" w:asciiTheme="minorEastAsia" w:hAnsiTheme="minorEastAsia" w:eastAsiaTheme="minorEastAsia"/>
          <w:szCs w:val="21"/>
          <w:u w:val="single"/>
        </w:rPr>
        <w:t>05</w:t>
      </w:r>
      <w:r>
        <w:rPr>
          <w:rFonts w:hint="eastAsia" w:cs="仿宋" w:asciiTheme="minorEastAsia" w:hAnsiTheme="minorEastAsia" w:eastAsiaTheme="minorEastAsia"/>
          <w:szCs w:val="21"/>
        </w:rPr>
        <w:t>时</w:t>
      </w:r>
      <w:r>
        <w:rPr>
          <w:rFonts w:hint="eastAsia" w:cs="仿宋" w:asciiTheme="minorEastAsia" w:hAnsiTheme="minorEastAsia" w:eastAsiaTheme="minorEastAsia"/>
          <w:szCs w:val="21"/>
          <w:u w:val="single"/>
        </w:rPr>
        <w:t>30</w:t>
      </w:r>
      <w:r>
        <w:rPr>
          <w:rFonts w:hint="eastAsia" w:cs="仿宋" w:asciiTheme="minorEastAsia" w:hAnsiTheme="minorEastAsia" w:eastAsiaTheme="minorEastAsia"/>
          <w:szCs w:val="21"/>
        </w:rPr>
        <w:t>分（北京时间，法定节假日除外）</w:t>
      </w:r>
    </w:p>
    <w:p>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2、地点：深圳市福田区民田路171号新华保险大厦903中正招标（中正官网www.szzzt.com）</w:t>
      </w:r>
    </w:p>
    <w:p>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3、方式：现场获取或线上获取</w:t>
      </w:r>
    </w:p>
    <w:p>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（1）现场获取：投标供应商按以上时间和地点现场报名和获取招标文件，需携带以下资料:</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1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①</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加盖公章的营业执照或法人证书等复印件或扫描件；</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2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②</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加盖公章的法定代表人授权委托书复印件或扫描件。</w:t>
      </w:r>
    </w:p>
    <w:p>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 xml:space="preserve">（2）线上获取：投标供应商通过邮件报名及获取招标文件，报名时间以我司邮箱收件时间为准（我司邮箱：qtszzzzb@163.com），逾期不予受理。需提供以下资料: </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1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①</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加盖公章的《购买标书登记表》（下载地址：www.szzzt.com 首页“下载中心”）；</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2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②</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加盖公章的营业执照或法人证书等复印件或扫描件；</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3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③</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加盖公章的法定代表人授权委托书复印件或扫描件；</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4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④</w:t>
      </w:r>
      <w:r>
        <w:rPr>
          <w:rFonts w:ascii="宋体" w:hAnsi="宋体" w:cs="Arial Unicode MS"/>
          <w:snapToGrid w:val="0"/>
          <w:kern w:val="0"/>
          <w:szCs w:val="21"/>
        </w:rPr>
        <w:fldChar w:fldCharType="end"/>
      </w:r>
      <w:r>
        <w:rPr>
          <w:rFonts w:hint="eastAsia" w:ascii="宋体" w:hAnsi="宋体" w:cs="Arial Unicode MS"/>
          <w:snapToGrid w:val="0"/>
          <w:kern w:val="0"/>
          <w:szCs w:val="21"/>
        </w:rPr>
        <w:t>购买招标文件费用的银行转账凭证。</w:t>
      </w:r>
    </w:p>
    <w:p>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4、售价：人民币600元，招标文件售后不退。</w:t>
      </w:r>
    </w:p>
    <w:p>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购买招标文件账号信息如下：</w:t>
      </w:r>
    </w:p>
    <w:p>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银行账号：03003729353</w:t>
      </w:r>
    </w:p>
    <w:p>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开户名称：深圳市中正招标有限公司</w:t>
      </w:r>
    </w:p>
    <w:p>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开户银行：上海银行深圳天安支行</w:t>
      </w:r>
    </w:p>
    <w:p>
      <w:pPr>
        <w:spacing w:line="360" w:lineRule="auto"/>
        <w:ind w:firstLine="371" w:firstLineChars="177"/>
        <w:rPr>
          <w:rFonts w:cs="仿宋" w:asciiTheme="minorEastAsia" w:hAnsiTheme="minorEastAsia" w:eastAsiaTheme="minorEastAsia"/>
          <w:szCs w:val="21"/>
        </w:rPr>
      </w:pPr>
    </w:p>
    <w:p>
      <w:pPr>
        <w:spacing w:line="360" w:lineRule="auto"/>
        <w:rPr>
          <w:rFonts w:cs="仿宋" w:asciiTheme="minorEastAsia" w:hAnsiTheme="minorEastAsia" w:eastAsiaTheme="minorEastAsia"/>
          <w:b/>
          <w:bCs/>
          <w:szCs w:val="21"/>
        </w:rPr>
      </w:pPr>
      <w:r>
        <w:rPr>
          <w:rFonts w:hint="eastAsia" w:cs="仿宋" w:asciiTheme="minorEastAsia" w:hAnsiTheme="minorEastAsia" w:eastAsiaTheme="minorEastAsia"/>
          <w:b/>
          <w:bCs/>
          <w:szCs w:val="21"/>
        </w:rPr>
        <w:t>五、提交投标文件截止时间、开标时间和地点</w:t>
      </w:r>
    </w:p>
    <w:p>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1、时间：</w:t>
      </w:r>
      <w:r>
        <w:rPr>
          <w:rFonts w:hint="eastAsia" w:cs="仿宋" w:asciiTheme="minorEastAsia" w:hAnsiTheme="minorEastAsia" w:eastAsiaTheme="minorEastAsia"/>
          <w:szCs w:val="21"/>
          <w:u w:val="single"/>
        </w:rPr>
        <w:t>2024</w:t>
      </w:r>
      <w:r>
        <w:rPr>
          <w:rFonts w:hint="eastAsia" w:cs="仿宋" w:asciiTheme="minorEastAsia" w:hAnsiTheme="minorEastAsia" w:eastAsiaTheme="minorEastAsia"/>
          <w:szCs w:val="21"/>
        </w:rPr>
        <w:t>年</w:t>
      </w:r>
      <w:r>
        <w:rPr>
          <w:rFonts w:hint="eastAsia" w:cs="仿宋" w:asciiTheme="minorEastAsia" w:hAnsiTheme="minorEastAsia" w:eastAsiaTheme="minorEastAsia"/>
          <w:szCs w:val="21"/>
          <w:u w:val="single"/>
          <w:lang w:val="en-US" w:eastAsia="zh-CN"/>
        </w:rPr>
        <w:t>02</w:t>
      </w:r>
      <w:r>
        <w:rPr>
          <w:rFonts w:hint="eastAsia" w:cs="仿宋" w:asciiTheme="minorEastAsia" w:hAnsiTheme="minorEastAsia" w:eastAsiaTheme="minorEastAsia"/>
          <w:szCs w:val="21"/>
        </w:rPr>
        <w:t>月</w:t>
      </w:r>
      <w:r>
        <w:rPr>
          <w:rFonts w:hint="eastAsia" w:cs="仿宋" w:asciiTheme="minorEastAsia" w:hAnsiTheme="minorEastAsia" w:eastAsiaTheme="minorEastAsia"/>
          <w:szCs w:val="21"/>
          <w:u w:val="single"/>
          <w:lang w:val="en-US" w:eastAsia="zh-CN"/>
        </w:rPr>
        <w:t>27</w:t>
      </w:r>
      <w:r>
        <w:rPr>
          <w:rFonts w:hint="eastAsia" w:cs="仿宋" w:asciiTheme="minorEastAsia" w:hAnsiTheme="minorEastAsia" w:eastAsiaTheme="minorEastAsia"/>
          <w:szCs w:val="21"/>
        </w:rPr>
        <w:t>日</w:t>
      </w:r>
      <w:r>
        <w:rPr>
          <w:rFonts w:hint="eastAsia" w:cs="仿宋" w:asciiTheme="minorEastAsia" w:hAnsiTheme="minorEastAsia" w:eastAsiaTheme="minorEastAsia"/>
          <w:szCs w:val="21"/>
          <w:u w:val="single"/>
          <w:lang w:val="en-US" w:eastAsia="zh-CN"/>
        </w:rPr>
        <w:t>10</w:t>
      </w:r>
      <w:r>
        <w:rPr>
          <w:rFonts w:hint="eastAsia" w:cs="仿宋" w:asciiTheme="minorEastAsia" w:hAnsiTheme="minorEastAsia" w:eastAsiaTheme="minorEastAsia"/>
          <w:szCs w:val="21"/>
        </w:rPr>
        <w:t>点</w:t>
      </w:r>
      <w:r>
        <w:rPr>
          <w:rFonts w:hint="eastAsia" w:cs="仿宋" w:asciiTheme="minorEastAsia" w:hAnsiTheme="minorEastAsia" w:eastAsiaTheme="minorEastAsia"/>
          <w:szCs w:val="21"/>
          <w:u w:val="single"/>
          <w:lang w:val="en-US" w:eastAsia="zh-CN"/>
        </w:rPr>
        <w:t>0</w:t>
      </w:r>
      <w:r>
        <w:rPr>
          <w:rFonts w:hint="eastAsia" w:cs="仿宋" w:asciiTheme="minorEastAsia" w:hAnsiTheme="minorEastAsia" w:eastAsiaTheme="minorEastAsia"/>
          <w:szCs w:val="21"/>
          <w:u w:val="single"/>
        </w:rPr>
        <w:t>0</w:t>
      </w:r>
      <w:r>
        <w:rPr>
          <w:rFonts w:hint="eastAsia" w:cs="仿宋" w:asciiTheme="minorEastAsia" w:hAnsiTheme="minorEastAsia" w:eastAsiaTheme="minorEastAsia"/>
          <w:szCs w:val="21"/>
        </w:rPr>
        <w:t>分（北京时间）</w:t>
      </w:r>
    </w:p>
    <w:p>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2、地点：深圳市福田区民田路171号新华保险大厦903中正招标</w:t>
      </w:r>
    </w:p>
    <w:p>
      <w:pPr>
        <w:spacing w:line="360" w:lineRule="auto"/>
        <w:rPr>
          <w:rFonts w:cs="仿宋" w:asciiTheme="minorEastAsia" w:hAnsiTheme="minorEastAsia" w:eastAsiaTheme="minorEastAsia"/>
          <w:szCs w:val="21"/>
        </w:rPr>
      </w:pPr>
    </w:p>
    <w:p>
      <w:pPr>
        <w:spacing w:line="360" w:lineRule="auto"/>
        <w:rPr>
          <w:rFonts w:cs="仿宋" w:asciiTheme="minorEastAsia" w:hAnsiTheme="minorEastAsia" w:eastAsiaTheme="minorEastAsia"/>
          <w:b/>
          <w:bCs/>
          <w:szCs w:val="21"/>
        </w:rPr>
      </w:pPr>
      <w:r>
        <w:rPr>
          <w:rFonts w:hint="eastAsia" w:cs="仿宋" w:asciiTheme="minorEastAsia" w:hAnsiTheme="minorEastAsia" w:eastAsiaTheme="minorEastAsia"/>
          <w:b/>
          <w:bCs/>
          <w:szCs w:val="21"/>
        </w:rPr>
        <w:t>六、公告期限</w:t>
      </w:r>
    </w:p>
    <w:p>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自本公告发布之日起5个日历日</w:t>
      </w:r>
    </w:p>
    <w:p>
      <w:pPr>
        <w:spacing w:line="360" w:lineRule="auto"/>
        <w:rPr>
          <w:rFonts w:cs="仿宋" w:asciiTheme="minorEastAsia" w:hAnsiTheme="minorEastAsia" w:eastAsiaTheme="minorEastAsia"/>
          <w:szCs w:val="21"/>
        </w:rPr>
      </w:pPr>
    </w:p>
    <w:p>
      <w:pPr>
        <w:spacing w:line="360" w:lineRule="auto"/>
        <w:rPr>
          <w:rFonts w:cs="仿宋" w:asciiTheme="minorEastAsia" w:hAnsiTheme="minorEastAsia" w:eastAsiaTheme="minorEastAsia"/>
          <w:b/>
          <w:bCs/>
          <w:szCs w:val="21"/>
        </w:rPr>
      </w:pPr>
      <w:r>
        <w:rPr>
          <w:rFonts w:hint="eastAsia" w:cs="仿宋" w:asciiTheme="minorEastAsia" w:hAnsiTheme="minorEastAsia" w:eastAsiaTheme="minorEastAsia"/>
          <w:b/>
          <w:bCs/>
          <w:szCs w:val="21"/>
        </w:rPr>
        <w:t>七、其他补充事宜</w:t>
      </w:r>
    </w:p>
    <w:p>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1、本项目需要落实的政府采购政策：《财政部工业和信息化部关于印发《政府采购促进中小企业发展管理办法》的通知》(财库〔2020〕46号)、《关于政府采购支持监狱企业发展有关问题的通知》(财库〔2014〕68号)、《关于促进残疾人就业政府采购政策的通知》（财库〔2017〕141号)。</w:t>
      </w:r>
    </w:p>
    <w:p>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2、本项目相关公告在以下媒体发布：</w:t>
      </w:r>
    </w:p>
    <w:p>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① 深圳公共资源交易中心网（www.szzfcg.cn）</w:t>
      </w:r>
    </w:p>
    <w:p>
      <w:pPr>
        <w:spacing w:line="360" w:lineRule="auto"/>
        <w:ind w:firstLine="371" w:firstLineChars="177"/>
        <w:rPr>
          <w:rFonts w:cs="仿宋" w:asciiTheme="minorEastAsia" w:hAnsiTheme="minorEastAsia" w:eastAsiaTheme="minorEastAsia"/>
          <w:szCs w:val="21"/>
        </w:rPr>
      </w:pPr>
      <w:r>
        <w:rPr>
          <w:rFonts w:cs="仿宋" w:asciiTheme="minorEastAsia" w:hAnsiTheme="minorEastAsia" w:eastAsiaTheme="minorEastAsia"/>
          <w:szCs w:val="21"/>
        </w:rPr>
        <w:fldChar w:fldCharType="begin"/>
      </w:r>
      <w:r>
        <w:rPr>
          <w:rFonts w:cs="仿宋" w:asciiTheme="minorEastAsia" w:hAnsiTheme="minorEastAsia" w:eastAsiaTheme="minorEastAsia"/>
          <w:szCs w:val="21"/>
        </w:rPr>
        <w:instrText xml:space="preserve"> </w:instrText>
      </w:r>
      <w:r>
        <w:rPr>
          <w:rFonts w:hint="eastAsia" w:cs="仿宋" w:asciiTheme="minorEastAsia" w:hAnsiTheme="minorEastAsia" w:eastAsiaTheme="minorEastAsia"/>
          <w:szCs w:val="21"/>
        </w:rPr>
        <w:instrText xml:space="preserve">= 2 \* GB3</w:instrText>
      </w:r>
      <w:r>
        <w:rPr>
          <w:rFonts w:cs="仿宋" w:asciiTheme="minorEastAsia" w:hAnsiTheme="minorEastAsia" w:eastAsiaTheme="minorEastAsia"/>
          <w:szCs w:val="21"/>
        </w:rPr>
        <w:instrText xml:space="preserve"> </w:instrText>
      </w:r>
      <w:r>
        <w:rPr>
          <w:rFonts w:cs="仿宋" w:asciiTheme="minorEastAsia" w:hAnsiTheme="minorEastAsia" w:eastAsiaTheme="minorEastAsia"/>
          <w:szCs w:val="21"/>
        </w:rPr>
        <w:fldChar w:fldCharType="separate"/>
      </w:r>
      <w:r>
        <w:rPr>
          <w:rFonts w:hint="eastAsia" w:cs="仿宋" w:asciiTheme="minorEastAsia" w:hAnsiTheme="minorEastAsia" w:eastAsiaTheme="minorEastAsia"/>
          <w:szCs w:val="21"/>
        </w:rPr>
        <w:t>②</w:t>
      </w:r>
      <w:r>
        <w:rPr>
          <w:rFonts w:cs="仿宋" w:asciiTheme="minorEastAsia" w:hAnsiTheme="minorEastAsia" w:eastAsiaTheme="minorEastAsia"/>
          <w:szCs w:val="21"/>
        </w:rPr>
        <w:fldChar w:fldCharType="end"/>
      </w:r>
      <w:r>
        <w:rPr>
          <w:rFonts w:hint="eastAsia" w:cs="仿宋" w:asciiTheme="minorEastAsia" w:hAnsiTheme="minorEastAsia" w:eastAsiaTheme="minorEastAsia"/>
          <w:szCs w:val="21"/>
        </w:rPr>
        <w:t xml:space="preserve"> 采购代理机构网站（www.szzzt.com）</w:t>
      </w:r>
    </w:p>
    <w:p>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相关公告在以上媒体上公布之日即视为有效送达，不再另行通知。</w:t>
      </w:r>
    </w:p>
    <w:p>
      <w:pPr>
        <w:pStyle w:val="50"/>
        <w:adjustRightInd w:val="0"/>
        <w:snapToGrid w:val="0"/>
        <w:spacing w:before="0" w:beforeAutospacing="0" w:after="0" w:afterAutospacing="0" w:line="360" w:lineRule="auto"/>
        <w:ind w:firstLine="426" w:firstLineChars="202"/>
        <w:rPr>
          <w:rFonts w:ascii="宋体" w:hAnsi="宋体" w:eastAsia="宋体"/>
          <w:b/>
          <w:snapToGrid w:val="0"/>
          <w:color w:val="auto"/>
          <w:sz w:val="21"/>
          <w:szCs w:val="21"/>
        </w:rPr>
      </w:pPr>
      <w:r>
        <w:rPr>
          <w:rFonts w:hint="eastAsia" w:cs="仿宋" w:asciiTheme="minorEastAsia" w:hAnsiTheme="minorEastAsia" w:eastAsiaTheme="minorEastAsia"/>
          <w:b/>
          <w:color w:val="auto"/>
          <w:kern w:val="2"/>
          <w:sz w:val="21"/>
          <w:szCs w:val="21"/>
        </w:rPr>
        <w:t>3、本项目投标供应商可以通过快递方式在提交投标文件截止时间前将投标文件邮寄至</w:t>
      </w:r>
      <w:r>
        <w:rPr>
          <w:rFonts w:hint="eastAsia" w:ascii="宋体" w:hAnsi="宋体" w:eastAsia="宋体"/>
          <w:b/>
          <w:snapToGrid w:val="0"/>
          <w:color w:val="auto"/>
          <w:sz w:val="21"/>
          <w:szCs w:val="21"/>
        </w:rPr>
        <w:t>我司，送达时间以我司工作人员签收时间为准。快递箱封面需用A4纸清晰标注项目名称、项目编号和投标供应商名称；投标供应商自行承担因寄错地址、逾期送达、未按照征集文件要求密封或者邮寄过程中出现包装密封破损等可能导致投标无效情形的责任与后果。投标供应商未参加开标会的，视同认可开标结果。</w:t>
      </w:r>
    </w:p>
    <w:p>
      <w:pPr>
        <w:pStyle w:val="14"/>
      </w:pPr>
    </w:p>
    <w:p>
      <w:pPr>
        <w:spacing w:line="360" w:lineRule="auto"/>
        <w:rPr>
          <w:rFonts w:cs="仿宋" w:asciiTheme="minorEastAsia" w:hAnsiTheme="minorEastAsia" w:eastAsiaTheme="minorEastAsia"/>
          <w:b/>
          <w:bCs/>
          <w:szCs w:val="21"/>
        </w:rPr>
      </w:pPr>
      <w:r>
        <w:rPr>
          <w:rFonts w:hint="eastAsia" w:cs="仿宋" w:asciiTheme="minorEastAsia" w:hAnsiTheme="minorEastAsia" w:eastAsiaTheme="minorEastAsia"/>
          <w:b/>
          <w:bCs/>
          <w:szCs w:val="21"/>
        </w:rPr>
        <w:t>八、本项目联系方式</w:t>
      </w:r>
    </w:p>
    <w:p>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1、采购人信息</w:t>
      </w:r>
    </w:p>
    <w:p>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名　    称：深圳市公安局交通警察局</w:t>
      </w:r>
    </w:p>
    <w:p>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地　    址：福田区莲花支路1006号</w:t>
      </w:r>
    </w:p>
    <w:p>
      <w:pPr>
        <w:spacing w:line="360" w:lineRule="auto"/>
        <w:ind w:firstLine="371" w:firstLineChars="177"/>
      </w:pPr>
      <w:r>
        <w:rPr>
          <w:rFonts w:hint="eastAsia" w:cs="仿宋" w:asciiTheme="minorEastAsia" w:hAnsiTheme="minorEastAsia" w:eastAsiaTheme="minorEastAsia"/>
          <w:szCs w:val="21"/>
        </w:rPr>
        <w:t>联系 方式：</w:t>
      </w:r>
      <w:r>
        <w:rPr>
          <w:rFonts w:hint="eastAsia" w:cs="仿宋" w:asciiTheme="minorEastAsia" w:hAnsiTheme="minorEastAsia" w:eastAsiaTheme="minorEastAsia"/>
          <w:szCs w:val="21"/>
          <w:lang w:val="en-US" w:eastAsia="zh-CN"/>
        </w:rPr>
        <w:t>曾</w:t>
      </w:r>
      <w:r>
        <w:rPr>
          <w:rFonts w:hint="eastAsia" w:cs="仿宋" w:asciiTheme="minorEastAsia" w:hAnsiTheme="minorEastAsia" w:eastAsiaTheme="minorEastAsia"/>
          <w:szCs w:val="21"/>
        </w:rPr>
        <w:t>警官</w:t>
      </w:r>
    </w:p>
    <w:p>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2、采购代理机构信息</w:t>
      </w:r>
    </w:p>
    <w:p>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名　   称：深圳市中正招标有限公司</w:t>
      </w:r>
    </w:p>
    <w:p>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地　   址：深圳市福田区民田路171号新华保险大厦903</w:t>
      </w:r>
    </w:p>
    <w:p>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联系 方式：杨工，0755-83026699</w:t>
      </w:r>
    </w:p>
    <w:p>
      <w:pPr>
        <w:pStyle w:val="10"/>
        <w:rPr>
          <w:rFonts w:cs="仿宋" w:asciiTheme="minorEastAsia" w:hAnsiTheme="minorEastAsia" w:eastAsiaTheme="minorEastAsia"/>
          <w:szCs w:val="21"/>
        </w:rPr>
      </w:pPr>
    </w:p>
    <w:p>
      <w:pPr>
        <w:pStyle w:val="14"/>
      </w:pPr>
    </w:p>
    <w:p>
      <w:pPr>
        <w:spacing w:line="360" w:lineRule="auto"/>
        <w:jc w:val="left"/>
        <w:rPr>
          <w:rFonts w:cs="仿宋" w:asciiTheme="minorEastAsia" w:hAnsiTheme="minorEastAsia" w:eastAsiaTheme="minorEastAsia"/>
          <w:b/>
          <w:bCs/>
          <w:szCs w:val="21"/>
        </w:rPr>
      </w:pPr>
      <w:r>
        <w:rPr>
          <w:rFonts w:hint="eastAsia" w:cs="仿宋" w:asciiTheme="minorEastAsia" w:hAnsiTheme="minorEastAsia" w:eastAsiaTheme="minorEastAsia"/>
          <w:b/>
          <w:bCs/>
          <w:szCs w:val="21"/>
        </w:rPr>
        <w:t>九、附件</w:t>
      </w:r>
    </w:p>
    <w:p>
      <w:pPr>
        <w:spacing w:line="360" w:lineRule="auto"/>
        <w:ind w:firstLine="411" w:firstLineChars="196"/>
        <w:jc w:val="left"/>
        <w:rPr>
          <w:rFonts w:cs="仿宋" w:asciiTheme="minorEastAsia" w:hAnsiTheme="minorEastAsia" w:eastAsiaTheme="minorEastAsia"/>
          <w:szCs w:val="21"/>
        </w:rPr>
      </w:pPr>
      <w:r>
        <w:rPr>
          <w:rFonts w:hint="eastAsia" w:cs="仿宋" w:asciiTheme="minorEastAsia" w:hAnsiTheme="minorEastAsia" w:eastAsiaTheme="minorEastAsia"/>
          <w:szCs w:val="21"/>
        </w:rPr>
        <w:t>招标文件</w:t>
      </w:r>
    </w:p>
    <w:p>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（附件内容请登陆采购代理机构官网下载查阅）</w:t>
      </w:r>
    </w:p>
    <w:p>
      <w:pPr>
        <w:spacing w:line="360" w:lineRule="auto"/>
        <w:rPr>
          <w:rFonts w:cs="仿宋" w:asciiTheme="minorEastAsia" w:hAnsiTheme="minorEastAsia" w:eastAsiaTheme="minorEastAsia"/>
          <w:szCs w:val="21"/>
        </w:rPr>
      </w:pPr>
    </w:p>
    <w:p>
      <w:pPr>
        <w:spacing w:line="360" w:lineRule="auto"/>
        <w:ind w:firstLine="743" w:firstLineChars="354"/>
        <w:jc w:val="right"/>
        <w:rPr>
          <w:rFonts w:cs="仿宋" w:asciiTheme="minorEastAsia" w:hAnsiTheme="minorEastAsia" w:eastAsiaTheme="minorEastAsia"/>
          <w:szCs w:val="21"/>
        </w:rPr>
      </w:pPr>
      <w:r>
        <w:rPr>
          <w:rFonts w:hint="eastAsia" w:cs="仿宋" w:asciiTheme="minorEastAsia" w:hAnsiTheme="minorEastAsia" w:eastAsiaTheme="minorEastAsia"/>
          <w:szCs w:val="21"/>
        </w:rPr>
        <w:t>深圳市中正招标有限公司</w:t>
      </w:r>
    </w:p>
    <w:p>
      <w:pPr>
        <w:spacing w:line="360" w:lineRule="auto"/>
        <w:ind w:firstLine="743" w:firstLineChars="354"/>
        <w:jc w:val="right"/>
        <w:rPr>
          <w:rFonts w:cs="仿宋" w:asciiTheme="minorEastAsia" w:hAnsiTheme="minorEastAsia" w:eastAsiaTheme="minorEastAsia"/>
          <w:szCs w:val="21"/>
        </w:rPr>
      </w:pPr>
      <w:r>
        <w:rPr>
          <w:rFonts w:hint="eastAsia" w:cs="仿宋" w:asciiTheme="minorEastAsia" w:hAnsiTheme="minorEastAsia" w:eastAsiaTheme="minorEastAsia"/>
          <w:szCs w:val="21"/>
        </w:rPr>
        <w:t>2024年</w:t>
      </w:r>
      <w:r>
        <w:rPr>
          <w:rFonts w:hint="eastAsia" w:cs="仿宋" w:asciiTheme="minorEastAsia" w:hAnsiTheme="minorEastAsia" w:eastAsiaTheme="minorEastAsia"/>
          <w:szCs w:val="21"/>
          <w:lang w:val="en-US" w:eastAsia="zh-CN"/>
        </w:rPr>
        <w:t>02</w:t>
      </w:r>
      <w:r>
        <w:rPr>
          <w:rFonts w:hint="eastAsia" w:cs="仿宋" w:asciiTheme="minorEastAsia" w:hAnsiTheme="minorEastAsia" w:eastAsiaTheme="minorEastAsia"/>
          <w:szCs w:val="21"/>
        </w:rPr>
        <w:t>月</w:t>
      </w:r>
      <w:r>
        <w:rPr>
          <w:rFonts w:hint="eastAsia" w:cs="仿宋" w:asciiTheme="minorEastAsia" w:hAnsiTheme="minorEastAsia" w:eastAsiaTheme="minorEastAsia"/>
          <w:szCs w:val="21"/>
          <w:lang w:val="en-US" w:eastAsia="zh-CN"/>
        </w:rPr>
        <w:t>07</w:t>
      </w:r>
      <w:r>
        <w:rPr>
          <w:rFonts w:hint="eastAsia" w:cs="仿宋" w:asciiTheme="minorEastAsia" w:hAnsiTheme="minorEastAsia" w:eastAsiaTheme="minorEastAsia"/>
          <w:szCs w:val="21"/>
        </w:rPr>
        <w:t>日</w:t>
      </w:r>
    </w:p>
    <w:p>
      <w:pPr>
        <w:widowControl/>
        <w:jc w:val="left"/>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adjustRightInd w:val="0"/>
        <w:snapToGrid w:val="0"/>
        <w:spacing w:line="300" w:lineRule="auto"/>
        <w:jc w:val="center"/>
        <w:rPr>
          <w:rFonts w:cs="仿宋" w:asciiTheme="minorEastAsia" w:hAnsiTheme="minorEastAsia" w:eastAsiaTheme="minorEastAsia"/>
          <w:b/>
          <w:bCs/>
          <w:snapToGrid w:val="0"/>
          <w:kern w:val="0"/>
          <w:sz w:val="56"/>
          <w:szCs w:val="96"/>
        </w:rPr>
      </w:pPr>
      <w:r>
        <w:rPr>
          <w:rFonts w:hint="eastAsia" w:cs="仿宋" w:asciiTheme="minorEastAsia" w:hAnsiTheme="minorEastAsia" w:eastAsiaTheme="minorEastAsia"/>
          <w:b/>
          <w:bCs/>
          <w:snapToGrid w:val="0"/>
          <w:kern w:val="0"/>
          <w:sz w:val="56"/>
          <w:szCs w:val="96"/>
        </w:rPr>
        <w:t>第一部分</w:t>
      </w:r>
    </w:p>
    <w:p>
      <w:pPr>
        <w:spacing w:line="360" w:lineRule="auto"/>
        <w:jc w:val="center"/>
        <w:rPr>
          <w:rFonts w:cs="仿宋" w:asciiTheme="minorEastAsia" w:hAnsiTheme="minorEastAsia" w:eastAsiaTheme="minorEastAsia"/>
          <w:b/>
          <w:bCs/>
          <w:snapToGrid w:val="0"/>
          <w:kern w:val="0"/>
          <w:sz w:val="56"/>
          <w:szCs w:val="96"/>
        </w:rPr>
      </w:pPr>
      <w:r>
        <w:rPr>
          <w:rFonts w:hint="eastAsia" w:cs="仿宋" w:asciiTheme="minorEastAsia" w:hAnsiTheme="minorEastAsia" w:eastAsiaTheme="minorEastAsia"/>
          <w:b/>
          <w:bCs/>
          <w:snapToGrid w:val="0"/>
          <w:kern w:val="0"/>
          <w:sz w:val="56"/>
          <w:szCs w:val="96"/>
        </w:rPr>
        <w:t>投标须知前附表及评审信息</w:t>
      </w:r>
    </w:p>
    <w:p>
      <w:pPr>
        <w:widowControl/>
        <w:jc w:val="left"/>
        <w:rPr>
          <w:rFonts w:cs="仿宋" w:asciiTheme="minorEastAsia" w:hAnsiTheme="minorEastAsia" w:eastAsiaTheme="minorEastAsia"/>
          <w:snapToGrid w:val="0"/>
          <w:kern w:val="0"/>
          <w:sz w:val="72"/>
        </w:rPr>
      </w:pPr>
      <w:r>
        <w:rPr>
          <w:rFonts w:hint="eastAsia" w:cs="仿宋" w:asciiTheme="minorEastAsia" w:hAnsiTheme="minorEastAsia" w:eastAsiaTheme="minorEastAsia"/>
          <w:snapToGrid w:val="0"/>
          <w:kern w:val="0"/>
          <w:sz w:val="72"/>
        </w:rPr>
        <w:br w:type="page"/>
      </w:r>
    </w:p>
    <w:p>
      <w:pPr>
        <w:spacing w:line="360" w:lineRule="auto"/>
        <w:jc w:val="center"/>
        <w:rPr>
          <w:rFonts w:cs="仿宋" w:asciiTheme="minorEastAsia" w:hAnsiTheme="minorEastAsia" w:eastAsiaTheme="minorEastAsia"/>
          <w:b/>
          <w:bCs/>
          <w:sz w:val="36"/>
        </w:rPr>
      </w:pPr>
      <w:r>
        <w:rPr>
          <w:rFonts w:hint="eastAsia" w:cs="仿宋" w:asciiTheme="minorEastAsia" w:hAnsiTheme="minorEastAsia" w:eastAsiaTheme="minorEastAsia"/>
          <w:b/>
          <w:bCs/>
          <w:sz w:val="36"/>
        </w:rPr>
        <w:t>投标须知前附表</w:t>
      </w:r>
    </w:p>
    <w:tbl>
      <w:tblPr>
        <w:tblStyle w:val="23"/>
        <w:tblW w:w="8916"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883"/>
        <w:gridCol w:w="1548"/>
        <w:gridCol w:w="585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blHeader/>
          <w:jc w:val="center"/>
        </w:trPr>
        <w:tc>
          <w:tcPr>
            <w:tcW w:w="629" w:type="dxa"/>
            <w:tcBorders>
              <w:top w:val="double" w:color="auto" w:sz="4" w:space="0"/>
              <w:bottom w:val="single" w:color="auto" w:sz="4" w:space="0"/>
            </w:tcBorders>
            <w:shd w:val="clear" w:color="auto" w:fill="C6D9F0" w:themeFill="text2" w:themeFillTint="33"/>
            <w:vAlign w:val="center"/>
          </w:tcPr>
          <w:p>
            <w:pPr>
              <w:pStyle w:val="15"/>
              <w:spacing w:line="360" w:lineRule="auto"/>
              <w:jc w:val="center"/>
              <w:rPr>
                <w:rFonts w:cs="仿宋" w:asciiTheme="minorEastAsia" w:hAnsiTheme="minorEastAsia"/>
                <w:b/>
                <w:bCs/>
              </w:rPr>
            </w:pPr>
            <w:r>
              <w:rPr>
                <w:rFonts w:hint="eastAsia" w:cs="仿宋" w:asciiTheme="minorEastAsia" w:hAnsiTheme="minorEastAsia"/>
                <w:b/>
                <w:bCs/>
              </w:rPr>
              <w:t>项号</w:t>
            </w:r>
          </w:p>
        </w:tc>
        <w:tc>
          <w:tcPr>
            <w:tcW w:w="883" w:type="dxa"/>
            <w:tcBorders>
              <w:top w:val="double" w:color="auto" w:sz="4" w:space="0"/>
              <w:bottom w:val="single" w:color="auto" w:sz="4" w:space="0"/>
            </w:tcBorders>
            <w:shd w:val="clear" w:color="auto" w:fill="C6D9F0" w:themeFill="text2" w:themeFillTint="33"/>
            <w:vAlign w:val="center"/>
          </w:tcPr>
          <w:p>
            <w:pPr>
              <w:pStyle w:val="15"/>
              <w:spacing w:line="360" w:lineRule="auto"/>
              <w:jc w:val="center"/>
              <w:rPr>
                <w:rFonts w:cs="仿宋" w:asciiTheme="minorEastAsia" w:hAnsiTheme="minorEastAsia"/>
                <w:b/>
                <w:bCs/>
              </w:rPr>
            </w:pPr>
            <w:r>
              <w:rPr>
                <w:rFonts w:hint="eastAsia" w:cs="仿宋" w:asciiTheme="minorEastAsia" w:hAnsiTheme="minorEastAsia"/>
                <w:b/>
                <w:bCs/>
              </w:rPr>
              <w:t>条款号</w:t>
            </w:r>
          </w:p>
        </w:tc>
        <w:tc>
          <w:tcPr>
            <w:tcW w:w="1548" w:type="dxa"/>
            <w:tcBorders>
              <w:top w:val="double" w:color="auto" w:sz="4" w:space="0"/>
              <w:bottom w:val="single" w:color="auto" w:sz="4" w:space="0"/>
            </w:tcBorders>
            <w:shd w:val="clear" w:color="auto" w:fill="C6D9F0" w:themeFill="text2" w:themeFillTint="33"/>
            <w:vAlign w:val="center"/>
          </w:tcPr>
          <w:p>
            <w:pPr>
              <w:pStyle w:val="15"/>
              <w:spacing w:line="360" w:lineRule="auto"/>
              <w:jc w:val="center"/>
              <w:rPr>
                <w:rFonts w:cs="仿宋" w:asciiTheme="minorEastAsia" w:hAnsiTheme="minorEastAsia"/>
                <w:b/>
                <w:bCs/>
              </w:rPr>
            </w:pPr>
            <w:r>
              <w:rPr>
                <w:rFonts w:hint="eastAsia" w:cs="仿宋" w:asciiTheme="minorEastAsia" w:hAnsiTheme="minorEastAsia"/>
                <w:b/>
                <w:bCs/>
              </w:rPr>
              <w:t>内容</w:t>
            </w:r>
          </w:p>
        </w:tc>
        <w:tc>
          <w:tcPr>
            <w:tcW w:w="5856" w:type="dxa"/>
            <w:tcBorders>
              <w:top w:val="double" w:color="auto" w:sz="4" w:space="0"/>
              <w:bottom w:val="single" w:color="auto" w:sz="4" w:space="0"/>
            </w:tcBorders>
            <w:shd w:val="clear" w:color="auto" w:fill="C6D9F0" w:themeFill="text2" w:themeFillTint="33"/>
            <w:vAlign w:val="center"/>
          </w:tcPr>
          <w:p>
            <w:pPr>
              <w:pStyle w:val="15"/>
              <w:spacing w:line="360" w:lineRule="auto"/>
              <w:jc w:val="center"/>
              <w:rPr>
                <w:rFonts w:cs="仿宋" w:asciiTheme="minorEastAsia" w:hAnsiTheme="minorEastAsia"/>
                <w:b/>
                <w:bCs/>
              </w:rPr>
            </w:pPr>
            <w:r>
              <w:rPr>
                <w:rFonts w:hint="eastAsia" w:cs="仿宋" w:asciiTheme="minorEastAsia" w:hAnsiTheme="minorEastAsia"/>
                <w:b/>
                <w:bCs/>
              </w:rPr>
              <w:t>内容规定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629" w:type="dxa"/>
            <w:tcBorders>
              <w:top w:val="single" w:color="auto" w:sz="4" w:space="0"/>
            </w:tcBorders>
            <w:vAlign w:val="center"/>
          </w:tcPr>
          <w:p>
            <w:pPr>
              <w:pStyle w:val="15"/>
              <w:spacing w:line="360" w:lineRule="auto"/>
              <w:jc w:val="center"/>
              <w:rPr>
                <w:rFonts w:cs="仿宋" w:asciiTheme="minorEastAsia" w:hAnsiTheme="minorEastAsia"/>
              </w:rPr>
            </w:pPr>
            <w:r>
              <w:rPr>
                <w:rFonts w:hint="eastAsia" w:cs="仿宋" w:asciiTheme="minorEastAsia" w:hAnsiTheme="minorEastAsia"/>
              </w:rPr>
              <w:t>1</w:t>
            </w:r>
          </w:p>
        </w:tc>
        <w:tc>
          <w:tcPr>
            <w:tcW w:w="883" w:type="dxa"/>
            <w:tcBorders>
              <w:top w:val="single" w:color="auto" w:sz="4" w:space="0"/>
            </w:tcBorders>
            <w:vAlign w:val="center"/>
          </w:tcPr>
          <w:p>
            <w:pPr>
              <w:pStyle w:val="15"/>
              <w:spacing w:line="360" w:lineRule="auto"/>
              <w:jc w:val="center"/>
              <w:rPr>
                <w:rFonts w:cs="仿宋" w:asciiTheme="minorEastAsia" w:hAnsiTheme="minorEastAsia"/>
              </w:rPr>
            </w:pPr>
            <w:r>
              <w:rPr>
                <w:rFonts w:hint="eastAsia" w:cs="仿宋" w:asciiTheme="minorEastAsia" w:hAnsiTheme="minorEastAsia"/>
              </w:rPr>
              <w:t>1.1</w:t>
            </w:r>
          </w:p>
        </w:tc>
        <w:tc>
          <w:tcPr>
            <w:tcW w:w="1548" w:type="dxa"/>
            <w:tcBorders>
              <w:top w:val="single" w:color="auto" w:sz="4" w:space="0"/>
            </w:tcBorders>
            <w:vAlign w:val="center"/>
          </w:tcPr>
          <w:p>
            <w:pPr>
              <w:pStyle w:val="15"/>
              <w:spacing w:line="360" w:lineRule="auto"/>
              <w:jc w:val="center"/>
              <w:rPr>
                <w:rFonts w:cs="仿宋" w:asciiTheme="minorEastAsia" w:hAnsiTheme="minorEastAsia"/>
              </w:rPr>
            </w:pPr>
            <w:r>
              <w:rPr>
                <w:rFonts w:hint="eastAsia" w:cs="仿宋" w:asciiTheme="minorEastAsia" w:hAnsiTheme="minorEastAsia"/>
              </w:rPr>
              <w:t>项目名称</w:t>
            </w:r>
          </w:p>
        </w:tc>
        <w:tc>
          <w:tcPr>
            <w:tcW w:w="5856" w:type="dxa"/>
            <w:tcBorders>
              <w:top w:val="single" w:color="auto" w:sz="4" w:space="0"/>
            </w:tcBorders>
            <w:vAlign w:val="center"/>
          </w:tcPr>
          <w:p>
            <w:pPr>
              <w:pStyle w:val="15"/>
              <w:spacing w:line="360" w:lineRule="auto"/>
              <w:rPr>
                <w:rFonts w:cs="仿宋" w:asciiTheme="minorEastAsia" w:hAnsiTheme="minorEastAsia"/>
              </w:rPr>
            </w:pPr>
            <w:r>
              <w:rPr>
                <w:rFonts w:hint="eastAsia" w:cs="仿宋" w:asciiTheme="minorEastAsia" w:hAnsiTheme="minorEastAsia"/>
              </w:rPr>
              <w:t>深圳市公安局交通警察局2024年辅聘人员人身意外伤害保险服务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629" w:type="dxa"/>
            <w:vAlign w:val="center"/>
          </w:tcPr>
          <w:p>
            <w:pPr>
              <w:pStyle w:val="15"/>
              <w:spacing w:line="360" w:lineRule="auto"/>
              <w:jc w:val="center"/>
              <w:rPr>
                <w:rFonts w:cs="仿宋" w:asciiTheme="minorEastAsia" w:hAnsiTheme="minorEastAsia"/>
              </w:rPr>
            </w:pPr>
            <w:r>
              <w:rPr>
                <w:rFonts w:hint="eastAsia" w:cs="仿宋" w:asciiTheme="minorEastAsia" w:hAnsiTheme="minorEastAsia"/>
              </w:rPr>
              <w:t>2</w:t>
            </w:r>
          </w:p>
        </w:tc>
        <w:tc>
          <w:tcPr>
            <w:tcW w:w="883" w:type="dxa"/>
            <w:vAlign w:val="center"/>
          </w:tcPr>
          <w:p>
            <w:pPr>
              <w:pStyle w:val="15"/>
              <w:spacing w:line="360" w:lineRule="auto"/>
              <w:jc w:val="center"/>
              <w:rPr>
                <w:rFonts w:cs="仿宋" w:asciiTheme="minorEastAsia" w:hAnsiTheme="minorEastAsia"/>
              </w:rPr>
            </w:pPr>
            <w:r>
              <w:rPr>
                <w:rFonts w:hint="eastAsia" w:cs="仿宋" w:asciiTheme="minorEastAsia" w:hAnsiTheme="minorEastAsia"/>
              </w:rPr>
              <w:t>2.1</w:t>
            </w:r>
          </w:p>
        </w:tc>
        <w:tc>
          <w:tcPr>
            <w:tcW w:w="1548" w:type="dxa"/>
            <w:vAlign w:val="center"/>
          </w:tcPr>
          <w:p>
            <w:pPr>
              <w:pStyle w:val="15"/>
              <w:spacing w:line="360" w:lineRule="auto"/>
              <w:jc w:val="center"/>
              <w:rPr>
                <w:rFonts w:cs="仿宋" w:asciiTheme="minorEastAsia" w:hAnsiTheme="minorEastAsia"/>
              </w:rPr>
            </w:pPr>
            <w:r>
              <w:rPr>
                <w:rFonts w:hint="eastAsia" w:cs="仿宋" w:asciiTheme="minorEastAsia" w:hAnsiTheme="minorEastAsia"/>
              </w:rPr>
              <w:t>采购人名称</w:t>
            </w:r>
          </w:p>
        </w:tc>
        <w:tc>
          <w:tcPr>
            <w:tcW w:w="5856" w:type="dxa"/>
            <w:vAlign w:val="center"/>
          </w:tcPr>
          <w:p>
            <w:pPr>
              <w:spacing w:line="360" w:lineRule="auto"/>
              <w:rPr>
                <w:rFonts w:cs="仿宋" w:asciiTheme="minorEastAsia" w:hAnsiTheme="minorEastAsia" w:eastAsiaTheme="minorEastAsia"/>
              </w:rPr>
            </w:pPr>
            <w:r>
              <w:rPr>
                <w:rFonts w:hint="eastAsia" w:cs="仿宋" w:asciiTheme="minorEastAsia" w:hAnsiTheme="minorEastAsia" w:eastAsiaTheme="minorEastAsia"/>
              </w:rPr>
              <w:t>深圳市公安局交通警察局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629" w:type="dxa"/>
            <w:vAlign w:val="center"/>
          </w:tcPr>
          <w:p>
            <w:pPr>
              <w:pStyle w:val="15"/>
              <w:spacing w:line="360" w:lineRule="auto"/>
              <w:jc w:val="center"/>
              <w:rPr>
                <w:rFonts w:cs="仿宋" w:asciiTheme="minorEastAsia" w:hAnsiTheme="minorEastAsia"/>
              </w:rPr>
            </w:pPr>
            <w:r>
              <w:rPr>
                <w:rFonts w:hint="eastAsia" w:cs="仿宋" w:asciiTheme="minorEastAsia" w:hAnsiTheme="minorEastAsia"/>
              </w:rPr>
              <w:t>3</w:t>
            </w:r>
          </w:p>
        </w:tc>
        <w:tc>
          <w:tcPr>
            <w:tcW w:w="883" w:type="dxa"/>
            <w:vAlign w:val="center"/>
          </w:tcPr>
          <w:p>
            <w:pPr>
              <w:pStyle w:val="15"/>
              <w:spacing w:line="360" w:lineRule="auto"/>
              <w:jc w:val="center"/>
              <w:rPr>
                <w:rFonts w:cs="仿宋" w:asciiTheme="minorEastAsia" w:hAnsiTheme="minorEastAsia"/>
              </w:rPr>
            </w:pPr>
            <w:r>
              <w:rPr>
                <w:rFonts w:hint="eastAsia" w:cs="仿宋" w:asciiTheme="minorEastAsia" w:hAnsiTheme="minorEastAsia"/>
              </w:rPr>
              <w:t>2.2</w:t>
            </w:r>
          </w:p>
        </w:tc>
        <w:tc>
          <w:tcPr>
            <w:tcW w:w="1548" w:type="dxa"/>
            <w:vAlign w:val="center"/>
          </w:tcPr>
          <w:p>
            <w:pPr>
              <w:pStyle w:val="15"/>
              <w:spacing w:line="360" w:lineRule="auto"/>
              <w:jc w:val="center"/>
              <w:rPr>
                <w:rFonts w:cs="仿宋" w:asciiTheme="minorEastAsia" w:hAnsiTheme="minorEastAsia"/>
              </w:rPr>
            </w:pPr>
            <w:r>
              <w:rPr>
                <w:rFonts w:hint="eastAsia" w:cs="仿宋" w:asciiTheme="minorEastAsia" w:hAnsiTheme="minorEastAsia"/>
              </w:rPr>
              <w:t>采购代理机构</w:t>
            </w:r>
          </w:p>
        </w:tc>
        <w:tc>
          <w:tcPr>
            <w:tcW w:w="5856" w:type="dxa"/>
            <w:vAlign w:val="center"/>
          </w:tcPr>
          <w:p>
            <w:pPr>
              <w:pStyle w:val="15"/>
              <w:spacing w:line="360" w:lineRule="auto"/>
              <w:rPr>
                <w:rFonts w:cs="仿宋" w:asciiTheme="minorEastAsia" w:hAnsiTheme="minorEastAsia"/>
              </w:rPr>
            </w:pPr>
            <w:r>
              <w:rPr>
                <w:rFonts w:hint="eastAsia" w:cs="仿宋" w:asciiTheme="minorEastAsia" w:hAnsiTheme="minorEastAsia"/>
              </w:rPr>
              <w:t>深圳市中正招标有限公司</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629" w:type="dxa"/>
            <w:vAlign w:val="center"/>
          </w:tcPr>
          <w:p>
            <w:pPr>
              <w:pStyle w:val="15"/>
              <w:spacing w:line="360" w:lineRule="auto"/>
              <w:jc w:val="center"/>
              <w:rPr>
                <w:rFonts w:cs="仿宋" w:asciiTheme="minorEastAsia" w:hAnsiTheme="minorEastAsia"/>
              </w:rPr>
            </w:pPr>
            <w:r>
              <w:rPr>
                <w:rFonts w:hint="eastAsia" w:cs="仿宋" w:asciiTheme="minorEastAsia" w:hAnsiTheme="minorEastAsia"/>
              </w:rPr>
              <w:t>4</w:t>
            </w:r>
          </w:p>
        </w:tc>
        <w:tc>
          <w:tcPr>
            <w:tcW w:w="883" w:type="dxa"/>
            <w:vAlign w:val="center"/>
          </w:tcPr>
          <w:p>
            <w:pPr>
              <w:pStyle w:val="15"/>
              <w:spacing w:line="360" w:lineRule="auto"/>
              <w:jc w:val="center"/>
              <w:rPr>
                <w:rFonts w:cs="仿宋" w:asciiTheme="minorEastAsia" w:hAnsiTheme="minorEastAsia"/>
              </w:rPr>
            </w:pPr>
            <w:r>
              <w:rPr>
                <w:rFonts w:hint="eastAsia" w:cs="仿宋" w:asciiTheme="minorEastAsia" w:hAnsiTheme="minorEastAsia"/>
              </w:rPr>
              <w:t>3.1</w:t>
            </w:r>
          </w:p>
        </w:tc>
        <w:tc>
          <w:tcPr>
            <w:tcW w:w="1548" w:type="dxa"/>
            <w:vAlign w:val="center"/>
          </w:tcPr>
          <w:p>
            <w:pPr>
              <w:pStyle w:val="15"/>
              <w:spacing w:line="360" w:lineRule="auto"/>
              <w:jc w:val="center"/>
              <w:rPr>
                <w:rFonts w:cs="仿宋" w:asciiTheme="minorEastAsia" w:hAnsiTheme="minorEastAsia"/>
              </w:rPr>
            </w:pPr>
            <w:r>
              <w:rPr>
                <w:rFonts w:hint="eastAsia" w:cs="仿宋" w:asciiTheme="minorEastAsia" w:hAnsiTheme="minorEastAsia"/>
              </w:rPr>
              <w:t>资金来源</w:t>
            </w:r>
          </w:p>
        </w:tc>
        <w:tc>
          <w:tcPr>
            <w:tcW w:w="5856" w:type="dxa"/>
            <w:vAlign w:val="center"/>
          </w:tcPr>
          <w:p>
            <w:pPr>
              <w:pStyle w:val="15"/>
              <w:spacing w:line="360" w:lineRule="auto"/>
              <w:rPr>
                <w:rFonts w:cs="仿宋" w:asciiTheme="minorEastAsia" w:hAnsiTheme="minorEastAsia"/>
              </w:rPr>
            </w:pPr>
            <w:r>
              <w:rPr>
                <w:rFonts w:hint="eastAsia" w:cs="仿宋" w:asciiTheme="minorEastAsia" w:hAnsiTheme="minorEastAsia"/>
              </w:rPr>
              <w:t>财政</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629" w:type="dxa"/>
            <w:vAlign w:val="center"/>
          </w:tcPr>
          <w:p>
            <w:pPr>
              <w:pStyle w:val="15"/>
              <w:spacing w:line="360" w:lineRule="auto"/>
              <w:jc w:val="center"/>
              <w:rPr>
                <w:rFonts w:cs="仿宋" w:asciiTheme="minorEastAsia" w:hAnsiTheme="minorEastAsia"/>
              </w:rPr>
            </w:pPr>
            <w:r>
              <w:rPr>
                <w:rFonts w:hint="eastAsia" w:cs="仿宋" w:asciiTheme="minorEastAsia" w:hAnsiTheme="minorEastAsia"/>
              </w:rPr>
              <w:t>5</w:t>
            </w:r>
          </w:p>
        </w:tc>
        <w:tc>
          <w:tcPr>
            <w:tcW w:w="883" w:type="dxa"/>
            <w:vAlign w:val="center"/>
          </w:tcPr>
          <w:p>
            <w:pPr>
              <w:pStyle w:val="15"/>
              <w:spacing w:line="360" w:lineRule="auto"/>
              <w:jc w:val="center"/>
              <w:rPr>
                <w:rFonts w:cs="仿宋" w:asciiTheme="minorEastAsia" w:hAnsiTheme="minorEastAsia"/>
              </w:rPr>
            </w:pPr>
            <w:r>
              <w:rPr>
                <w:rFonts w:hint="eastAsia" w:cs="仿宋" w:asciiTheme="minorEastAsia" w:hAnsiTheme="minorEastAsia"/>
              </w:rPr>
              <w:t>4.7</w:t>
            </w:r>
          </w:p>
        </w:tc>
        <w:tc>
          <w:tcPr>
            <w:tcW w:w="1548" w:type="dxa"/>
            <w:vAlign w:val="center"/>
          </w:tcPr>
          <w:p>
            <w:pPr>
              <w:pStyle w:val="15"/>
              <w:spacing w:line="360" w:lineRule="auto"/>
              <w:jc w:val="center"/>
              <w:rPr>
                <w:rFonts w:cs="仿宋" w:asciiTheme="minorEastAsia" w:hAnsiTheme="minorEastAsia"/>
              </w:rPr>
            </w:pPr>
            <w:r>
              <w:rPr>
                <w:rFonts w:hint="eastAsia" w:cs="仿宋" w:asciiTheme="minorEastAsia" w:hAnsiTheme="minorEastAsia"/>
              </w:rPr>
              <w:t>投标人资格要求</w:t>
            </w:r>
          </w:p>
        </w:tc>
        <w:tc>
          <w:tcPr>
            <w:tcW w:w="5856" w:type="dxa"/>
            <w:vAlign w:val="center"/>
          </w:tcPr>
          <w:p>
            <w:pPr>
              <w:spacing w:line="300" w:lineRule="auto"/>
              <w:rPr>
                <w:rFonts w:ascii="宋体" w:hAnsi="宋体"/>
                <w:szCs w:val="21"/>
              </w:rPr>
            </w:pPr>
            <w:r>
              <w:rPr>
                <w:rFonts w:hint="eastAsia" w:ascii="宋体" w:hAnsi="宋体"/>
                <w:szCs w:val="21"/>
              </w:rPr>
              <w:t>详见《采购公告》“申请人的资格要求”</w:t>
            </w:r>
            <w:r>
              <w:rPr>
                <w:rFonts w:ascii="宋体" w:hAnsi="宋体"/>
                <w:szCs w:val="21"/>
              </w:rPr>
              <w:t xml:space="preserve"> </w:t>
            </w:r>
          </w:p>
          <w:p>
            <w:pPr>
              <w:spacing w:line="400" w:lineRule="exact"/>
              <w:rPr>
                <w:rFonts w:cs="仿宋" w:asciiTheme="minorEastAsia" w:hAnsiTheme="minorEastAsia"/>
                <w:szCs w:val="21"/>
              </w:rPr>
            </w:pPr>
            <w:r>
              <w:rPr>
                <w:rFonts w:hint="eastAsia" w:ascii="Times New Roman" w:hAnsi="宋体"/>
                <w:szCs w:val="21"/>
              </w:rPr>
              <w:t>（资格证明文件详见第三部分 投标文件格式）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629" w:type="dxa"/>
            <w:vAlign w:val="center"/>
          </w:tcPr>
          <w:p>
            <w:pPr>
              <w:pStyle w:val="15"/>
              <w:spacing w:line="360" w:lineRule="auto"/>
              <w:jc w:val="center"/>
              <w:rPr>
                <w:rFonts w:cs="仿宋" w:asciiTheme="minorEastAsia" w:hAnsiTheme="minorEastAsia"/>
              </w:rPr>
            </w:pPr>
            <w:r>
              <w:rPr>
                <w:rFonts w:hint="eastAsia" w:cs="仿宋" w:asciiTheme="minorEastAsia" w:hAnsiTheme="minorEastAsia"/>
              </w:rPr>
              <w:t>6</w:t>
            </w:r>
          </w:p>
        </w:tc>
        <w:tc>
          <w:tcPr>
            <w:tcW w:w="883" w:type="dxa"/>
            <w:vAlign w:val="center"/>
          </w:tcPr>
          <w:p>
            <w:pPr>
              <w:pStyle w:val="15"/>
              <w:spacing w:line="360" w:lineRule="auto"/>
              <w:jc w:val="center"/>
              <w:rPr>
                <w:rFonts w:cs="仿宋" w:asciiTheme="minorEastAsia" w:hAnsiTheme="minorEastAsia"/>
              </w:rPr>
            </w:pPr>
            <w:r>
              <w:rPr>
                <w:rFonts w:hint="eastAsia" w:cs="仿宋" w:asciiTheme="minorEastAsia" w:hAnsiTheme="minorEastAsia"/>
              </w:rPr>
              <w:t>6.1</w:t>
            </w:r>
          </w:p>
        </w:tc>
        <w:tc>
          <w:tcPr>
            <w:tcW w:w="1548" w:type="dxa"/>
            <w:vAlign w:val="center"/>
          </w:tcPr>
          <w:p>
            <w:pPr>
              <w:pStyle w:val="15"/>
              <w:spacing w:line="360" w:lineRule="auto"/>
              <w:jc w:val="center"/>
              <w:rPr>
                <w:rFonts w:cs="仿宋" w:asciiTheme="minorEastAsia" w:hAnsiTheme="minorEastAsia"/>
              </w:rPr>
            </w:pPr>
            <w:r>
              <w:rPr>
                <w:rFonts w:hint="eastAsia" w:cs="仿宋" w:asciiTheme="minorEastAsia" w:hAnsiTheme="minorEastAsia"/>
              </w:rPr>
              <w:t>踏勘现场</w:t>
            </w:r>
          </w:p>
        </w:tc>
        <w:tc>
          <w:tcPr>
            <w:tcW w:w="5856" w:type="dxa"/>
            <w:vAlign w:val="center"/>
          </w:tcPr>
          <w:p>
            <w:pPr>
              <w:pStyle w:val="15"/>
              <w:spacing w:line="360" w:lineRule="auto"/>
              <w:rPr>
                <w:rFonts w:cs="仿宋" w:asciiTheme="minorEastAsia" w:hAnsiTheme="minorEastAsia"/>
              </w:rPr>
            </w:pPr>
            <w:r>
              <w:rPr>
                <w:rFonts w:hint="eastAsia" w:cs="仿宋" w:asciiTheme="minorEastAsia" w:hAnsiTheme="minorEastAsia"/>
              </w:rPr>
              <w:t>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629" w:type="dxa"/>
            <w:vAlign w:val="center"/>
          </w:tcPr>
          <w:p>
            <w:pPr>
              <w:pStyle w:val="15"/>
              <w:spacing w:line="360" w:lineRule="auto"/>
              <w:jc w:val="center"/>
              <w:rPr>
                <w:rFonts w:cs="仿宋" w:asciiTheme="minorEastAsia" w:hAnsiTheme="minorEastAsia"/>
              </w:rPr>
            </w:pPr>
            <w:r>
              <w:rPr>
                <w:rFonts w:hint="eastAsia" w:cs="仿宋" w:asciiTheme="minorEastAsia" w:hAnsiTheme="minorEastAsia"/>
              </w:rPr>
              <w:t>7</w:t>
            </w:r>
          </w:p>
        </w:tc>
        <w:tc>
          <w:tcPr>
            <w:tcW w:w="883" w:type="dxa"/>
            <w:vAlign w:val="center"/>
          </w:tcPr>
          <w:p>
            <w:pPr>
              <w:pStyle w:val="15"/>
              <w:spacing w:line="360" w:lineRule="auto"/>
              <w:jc w:val="center"/>
              <w:rPr>
                <w:rFonts w:cs="仿宋" w:asciiTheme="minorEastAsia" w:hAnsiTheme="minorEastAsia"/>
              </w:rPr>
            </w:pPr>
            <w:r>
              <w:rPr>
                <w:rFonts w:hint="eastAsia" w:cs="仿宋" w:asciiTheme="minorEastAsia" w:hAnsiTheme="minorEastAsia"/>
              </w:rPr>
              <w:t>14.1</w:t>
            </w:r>
          </w:p>
        </w:tc>
        <w:tc>
          <w:tcPr>
            <w:tcW w:w="1548" w:type="dxa"/>
            <w:vAlign w:val="center"/>
          </w:tcPr>
          <w:p>
            <w:pPr>
              <w:pStyle w:val="15"/>
              <w:spacing w:line="360" w:lineRule="auto"/>
              <w:jc w:val="center"/>
              <w:rPr>
                <w:rFonts w:cs="仿宋" w:asciiTheme="minorEastAsia" w:hAnsiTheme="minorEastAsia"/>
              </w:rPr>
            </w:pPr>
            <w:r>
              <w:rPr>
                <w:rFonts w:hint="eastAsia" w:cs="仿宋" w:asciiTheme="minorEastAsia" w:hAnsiTheme="minorEastAsia"/>
              </w:rPr>
              <w:t>投标文件有效期</w:t>
            </w:r>
          </w:p>
        </w:tc>
        <w:tc>
          <w:tcPr>
            <w:tcW w:w="5856" w:type="dxa"/>
            <w:vAlign w:val="center"/>
          </w:tcPr>
          <w:p>
            <w:pPr>
              <w:pStyle w:val="15"/>
              <w:spacing w:line="360" w:lineRule="auto"/>
              <w:rPr>
                <w:rFonts w:cs="仿宋" w:asciiTheme="minorEastAsia" w:hAnsiTheme="minorEastAsia"/>
              </w:rPr>
            </w:pPr>
            <w:r>
              <w:rPr>
                <w:rFonts w:hint="eastAsia" w:cs="仿宋" w:asciiTheme="minorEastAsia" w:hAnsiTheme="minorEastAsia"/>
              </w:rPr>
              <w:t>90天（日历日）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629" w:type="dxa"/>
            <w:vAlign w:val="center"/>
          </w:tcPr>
          <w:p>
            <w:pPr>
              <w:pStyle w:val="15"/>
              <w:spacing w:line="360" w:lineRule="auto"/>
              <w:jc w:val="center"/>
              <w:rPr>
                <w:rFonts w:cs="仿宋" w:asciiTheme="minorEastAsia" w:hAnsiTheme="minorEastAsia"/>
              </w:rPr>
            </w:pPr>
            <w:r>
              <w:rPr>
                <w:rFonts w:hint="eastAsia" w:cs="仿宋" w:asciiTheme="minorEastAsia" w:hAnsiTheme="minorEastAsia"/>
              </w:rPr>
              <w:t>8</w:t>
            </w:r>
          </w:p>
        </w:tc>
        <w:tc>
          <w:tcPr>
            <w:tcW w:w="883" w:type="dxa"/>
            <w:vAlign w:val="center"/>
          </w:tcPr>
          <w:p>
            <w:pPr>
              <w:pStyle w:val="15"/>
              <w:spacing w:line="360" w:lineRule="auto"/>
              <w:jc w:val="center"/>
              <w:rPr>
                <w:rFonts w:cs="仿宋" w:asciiTheme="minorEastAsia" w:hAnsiTheme="minorEastAsia"/>
              </w:rPr>
            </w:pPr>
            <w:r>
              <w:rPr>
                <w:rFonts w:hint="eastAsia" w:cs="仿宋" w:asciiTheme="minorEastAsia" w:hAnsiTheme="minorEastAsia"/>
              </w:rPr>
              <w:t>15.2</w:t>
            </w:r>
          </w:p>
        </w:tc>
        <w:tc>
          <w:tcPr>
            <w:tcW w:w="1548" w:type="dxa"/>
            <w:vAlign w:val="center"/>
          </w:tcPr>
          <w:p>
            <w:pPr>
              <w:pStyle w:val="15"/>
              <w:spacing w:line="360" w:lineRule="auto"/>
              <w:jc w:val="center"/>
              <w:rPr>
                <w:rFonts w:cs="仿宋" w:asciiTheme="minorEastAsia" w:hAnsiTheme="minorEastAsia"/>
              </w:rPr>
            </w:pPr>
            <w:r>
              <w:rPr>
                <w:rFonts w:hint="eastAsia" w:cs="仿宋" w:asciiTheme="minorEastAsia" w:hAnsiTheme="minorEastAsia"/>
              </w:rPr>
              <w:t>项目保证金</w:t>
            </w:r>
          </w:p>
        </w:tc>
        <w:tc>
          <w:tcPr>
            <w:tcW w:w="5856" w:type="dxa"/>
            <w:vAlign w:val="center"/>
          </w:tcPr>
          <w:p>
            <w:pPr>
              <w:pStyle w:val="15"/>
              <w:spacing w:line="360" w:lineRule="auto"/>
              <w:rPr>
                <w:rFonts w:cs="仿宋" w:asciiTheme="minorEastAsia" w:hAnsiTheme="minorEastAsia"/>
              </w:rPr>
            </w:pPr>
            <w:r>
              <w:rPr>
                <w:rFonts w:hint="eastAsia" w:cs="仿宋" w:asciiTheme="minorEastAsia" w:hAnsiTheme="minorEastAsia"/>
              </w:rPr>
              <w:t>本项目不收取项目保证金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629" w:type="dxa"/>
            <w:vAlign w:val="center"/>
          </w:tcPr>
          <w:p>
            <w:pPr>
              <w:pStyle w:val="15"/>
              <w:spacing w:line="360" w:lineRule="auto"/>
              <w:jc w:val="center"/>
              <w:rPr>
                <w:rFonts w:cs="仿宋" w:asciiTheme="minorEastAsia" w:hAnsiTheme="minorEastAsia"/>
              </w:rPr>
            </w:pPr>
            <w:r>
              <w:rPr>
                <w:rFonts w:hint="eastAsia" w:cs="仿宋" w:asciiTheme="minorEastAsia" w:hAnsiTheme="minorEastAsia"/>
              </w:rPr>
              <w:t>10</w:t>
            </w:r>
          </w:p>
        </w:tc>
        <w:tc>
          <w:tcPr>
            <w:tcW w:w="883" w:type="dxa"/>
            <w:vAlign w:val="center"/>
          </w:tcPr>
          <w:p>
            <w:pPr>
              <w:pStyle w:val="15"/>
              <w:spacing w:line="360" w:lineRule="auto"/>
              <w:jc w:val="center"/>
              <w:rPr>
                <w:rFonts w:cs="仿宋" w:asciiTheme="minorEastAsia" w:hAnsiTheme="minorEastAsia"/>
              </w:rPr>
            </w:pPr>
            <w:r>
              <w:rPr>
                <w:rFonts w:hint="eastAsia" w:cs="仿宋" w:asciiTheme="minorEastAsia" w:hAnsiTheme="minorEastAsia"/>
              </w:rPr>
              <w:t>17.1</w:t>
            </w:r>
          </w:p>
        </w:tc>
        <w:tc>
          <w:tcPr>
            <w:tcW w:w="1548" w:type="dxa"/>
            <w:vAlign w:val="center"/>
          </w:tcPr>
          <w:p>
            <w:pPr>
              <w:pStyle w:val="15"/>
              <w:spacing w:line="360" w:lineRule="auto"/>
              <w:jc w:val="center"/>
              <w:rPr>
                <w:rFonts w:cs="仿宋" w:asciiTheme="minorEastAsia" w:hAnsiTheme="minorEastAsia"/>
              </w:rPr>
            </w:pPr>
            <w:r>
              <w:rPr>
                <w:rFonts w:hint="eastAsia" w:cs="仿宋" w:asciiTheme="minorEastAsia" w:hAnsiTheme="minorEastAsia"/>
              </w:rPr>
              <w:t>投标文件份数</w:t>
            </w:r>
          </w:p>
        </w:tc>
        <w:tc>
          <w:tcPr>
            <w:tcW w:w="5856" w:type="dxa"/>
            <w:vAlign w:val="center"/>
          </w:tcPr>
          <w:p>
            <w:pPr>
              <w:pStyle w:val="15"/>
              <w:rPr>
                <w:rFonts w:cs="仿宋" w:asciiTheme="minorEastAsia" w:hAnsiTheme="minorEastAsia"/>
              </w:rPr>
            </w:pPr>
            <w:r>
              <w:rPr>
                <w:rFonts w:hint="eastAsia" w:cs="仿宋" w:asciiTheme="minorEastAsia" w:hAnsiTheme="minorEastAsia"/>
              </w:rPr>
              <w:t>正本2份，副本 4 份，投标文件正文扫描件电子档2份。</w:t>
            </w:r>
          </w:p>
          <w:p>
            <w:pPr>
              <w:pStyle w:val="15"/>
              <w:rPr>
                <w:rFonts w:cs="仿宋" w:asciiTheme="minorEastAsia" w:hAnsiTheme="minorEastAsia"/>
              </w:rPr>
            </w:pPr>
            <w:r>
              <w:rPr>
                <w:rFonts w:hint="eastAsia" w:asciiTheme="minorEastAsia" w:hAnsiTheme="minorEastAsia"/>
                <w:snapToGrid w:val="0"/>
                <w:kern w:val="0"/>
              </w:rPr>
              <w:t>投标文件必须标注页码并装订成册。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629" w:type="dxa"/>
            <w:vAlign w:val="center"/>
          </w:tcPr>
          <w:p>
            <w:pPr>
              <w:pStyle w:val="15"/>
              <w:spacing w:line="360" w:lineRule="auto"/>
              <w:jc w:val="center"/>
              <w:rPr>
                <w:rFonts w:cs="仿宋" w:asciiTheme="minorEastAsia" w:hAnsiTheme="minorEastAsia"/>
              </w:rPr>
            </w:pPr>
            <w:r>
              <w:rPr>
                <w:rFonts w:hint="eastAsia" w:cs="仿宋" w:asciiTheme="minorEastAsia" w:hAnsiTheme="minorEastAsia"/>
              </w:rPr>
              <w:t>11</w:t>
            </w:r>
          </w:p>
        </w:tc>
        <w:tc>
          <w:tcPr>
            <w:tcW w:w="883" w:type="dxa"/>
            <w:vAlign w:val="center"/>
          </w:tcPr>
          <w:p>
            <w:pPr>
              <w:pStyle w:val="15"/>
              <w:spacing w:line="360" w:lineRule="auto"/>
              <w:jc w:val="center"/>
              <w:rPr>
                <w:rFonts w:cs="仿宋" w:asciiTheme="minorEastAsia" w:hAnsiTheme="minorEastAsia"/>
              </w:rPr>
            </w:pPr>
            <w:r>
              <w:rPr>
                <w:rFonts w:hint="eastAsia" w:cs="仿宋" w:asciiTheme="minorEastAsia" w:hAnsiTheme="minorEastAsia"/>
              </w:rPr>
              <w:t>18.8</w:t>
            </w:r>
          </w:p>
        </w:tc>
        <w:tc>
          <w:tcPr>
            <w:tcW w:w="1548" w:type="dxa"/>
            <w:vAlign w:val="center"/>
          </w:tcPr>
          <w:p>
            <w:pPr>
              <w:pStyle w:val="15"/>
              <w:spacing w:line="360" w:lineRule="auto"/>
              <w:jc w:val="center"/>
              <w:rPr>
                <w:rFonts w:cs="仿宋" w:asciiTheme="minorEastAsia" w:hAnsiTheme="minorEastAsia"/>
              </w:rPr>
            </w:pPr>
            <w:r>
              <w:rPr>
                <w:rFonts w:hint="eastAsia" w:cs="仿宋" w:asciiTheme="minorEastAsia" w:hAnsiTheme="minorEastAsia"/>
              </w:rPr>
              <w:t>开标</w:t>
            </w:r>
          </w:p>
        </w:tc>
        <w:tc>
          <w:tcPr>
            <w:tcW w:w="5856" w:type="dxa"/>
            <w:vAlign w:val="center"/>
          </w:tcPr>
          <w:p>
            <w:pPr>
              <w:pStyle w:val="15"/>
              <w:spacing w:line="360" w:lineRule="auto"/>
              <w:ind w:left="4" w:hanging="4" w:hangingChars="2"/>
              <w:rPr>
                <w:rFonts w:cs="仿宋" w:asciiTheme="minorEastAsia" w:hAnsiTheme="minorEastAsia"/>
              </w:rPr>
            </w:pPr>
            <w:r>
              <w:rPr>
                <w:rFonts w:hint="eastAsia" w:hAnsi="宋体"/>
                <w:szCs w:val="21"/>
              </w:rPr>
              <w:t>详见《采购公告》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629" w:type="dxa"/>
            <w:vAlign w:val="center"/>
          </w:tcPr>
          <w:p>
            <w:pPr>
              <w:pStyle w:val="15"/>
              <w:spacing w:line="360" w:lineRule="auto"/>
              <w:jc w:val="center"/>
              <w:rPr>
                <w:rFonts w:cs="仿宋" w:asciiTheme="minorEastAsia" w:hAnsiTheme="minorEastAsia"/>
              </w:rPr>
            </w:pPr>
            <w:r>
              <w:rPr>
                <w:rFonts w:hint="eastAsia" w:cs="仿宋" w:asciiTheme="minorEastAsia" w:hAnsiTheme="minorEastAsia"/>
              </w:rPr>
              <w:t>12</w:t>
            </w:r>
          </w:p>
        </w:tc>
        <w:tc>
          <w:tcPr>
            <w:tcW w:w="883" w:type="dxa"/>
            <w:vAlign w:val="center"/>
          </w:tcPr>
          <w:p>
            <w:pPr>
              <w:pStyle w:val="15"/>
              <w:spacing w:line="360" w:lineRule="auto"/>
              <w:jc w:val="center"/>
              <w:rPr>
                <w:rFonts w:cs="仿宋" w:asciiTheme="minorEastAsia" w:hAnsiTheme="minorEastAsia"/>
              </w:rPr>
            </w:pPr>
            <w:r>
              <w:rPr>
                <w:rFonts w:hint="eastAsia" w:cs="仿宋" w:asciiTheme="minorEastAsia" w:hAnsiTheme="minorEastAsia"/>
              </w:rPr>
              <w:t>19.2</w:t>
            </w:r>
          </w:p>
        </w:tc>
        <w:tc>
          <w:tcPr>
            <w:tcW w:w="1548" w:type="dxa"/>
            <w:vAlign w:val="center"/>
          </w:tcPr>
          <w:p>
            <w:pPr>
              <w:pStyle w:val="15"/>
              <w:spacing w:line="360" w:lineRule="auto"/>
              <w:jc w:val="center"/>
              <w:rPr>
                <w:rFonts w:cs="仿宋" w:asciiTheme="minorEastAsia" w:hAnsiTheme="minorEastAsia"/>
              </w:rPr>
            </w:pPr>
            <w:r>
              <w:rPr>
                <w:rFonts w:hint="eastAsia" w:cs="仿宋" w:asciiTheme="minorEastAsia" w:hAnsiTheme="minorEastAsia"/>
                <w:bCs/>
              </w:rPr>
              <w:t>提交</w:t>
            </w:r>
            <w:r>
              <w:rPr>
                <w:rFonts w:hint="eastAsia" w:cs="仿宋" w:asciiTheme="minorEastAsia" w:hAnsiTheme="minorEastAsia"/>
              </w:rPr>
              <w:t>投标文件截止时间</w:t>
            </w:r>
          </w:p>
        </w:tc>
        <w:tc>
          <w:tcPr>
            <w:tcW w:w="5856" w:type="dxa"/>
            <w:vAlign w:val="center"/>
          </w:tcPr>
          <w:p>
            <w:pPr>
              <w:pStyle w:val="15"/>
              <w:spacing w:line="360" w:lineRule="auto"/>
              <w:rPr>
                <w:rFonts w:cs="仿宋" w:asciiTheme="minorEastAsia" w:hAnsiTheme="minorEastAsia"/>
              </w:rPr>
            </w:pPr>
            <w:r>
              <w:rPr>
                <w:rFonts w:hint="eastAsia" w:hAnsi="宋体"/>
                <w:szCs w:val="21"/>
              </w:rPr>
              <w:t>详见《采购公告》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629" w:type="dxa"/>
            <w:vAlign w:val="center"/>
          </w:tcPr>
          <w:p>
            <w:pPr>
              <w:pStyle w:val="15"/>
              <w:spacing w:line="360" w:lineRule="auto"/>
              <w:jc w:val="center"/>
              <w:rPr>
                <w:rFonts w:cs="仿宋" w:asciiTheme="minorEastAsia" w:hAnsiTheme="minorEastAsia"/>
              </w:rPr>
            </w:pPr>
            <w:r>
              <w:rPr>
                <w:rFonts w:hint="eastAsia" w:cs="仿宋" w:asciiTheme="minorEastAsia" w:hAnsiTheme="minorEastAsia"/>
              </w:rPr>
              <w:t>13</w:t>
            </w:r>
          </w:p>
        </w:tc>
        <w:tc>
          <w:tcPr>
            <w:tcW w:w="883" w:type="dxa"/>
            <w:vAlign w:val="center"/>
          </w:tcPr>
          <w:p>
            <w:pPr>
              <w:pStyle w:val="15"/>
              <w:spacing w:line="360" w:lineRule="auto"/>
              <w:jc w:val="center"/>
              <w:rPr>
                <w:rFonts w:cs="仿宋" w:asciiTheme="minorEastAsia" w:hAnsiTheme="minorEastAsia"/>
              </w:rPr>
            </w:pPr>
            <w:r>
              <w:rPr>
                <w:rFonts w:hint="eastAsia" w:cs="仿宋" w:asciiTheme="minorEastAsia" w:hAnsiTheme="minorEastAsia"/>
              </w:rPr>
              <w:t>26.5</w:t>
            </w:r>
          </w:p>
        </w:tc>
        <w:tc>
          <w:tcPr>
            <w:tcW w:w="1548" w:type="dxa"/>
            <w:vAlign w:val="center"/>
          </w:tcPr>
          <w:p>
            <w:pPr>
              <w:pStyle w:val="15"/>
              <w:spacing w:line="360" w:lineRule="auto"/>
              <w:jc w:val="center"/>
              <w:rPr>
                <w:rFonts w:cs="仿宋" w:asciiTheme="minorEastAsia" w:hAnsiTheme="minorEastAsia"/>
              </w:rPr>
            </w:pPr>
            <w:r>
              <w:rPr>
                <w:rFonts w:hint="eastAsia" w:cs="仿宋" w:asciiTheme="minorEastAsia" w:hAnsiTheme="minorEastAsia"/>
              </w:rPr>
              <w:t>评审方法</w:t>
            </w:r>
          </w:p>
        </w:tc>
        <w:tc>
          <w:tcPr>
            <w:tcW w:w="5856" w:type="dxa"/>
            <w:vAlign w:val="center"/>
          </w:tcPr>
          <w:p>
            <w:pPr>
              <w:pStyle w:val="15"/>
              <w:spacing w:line="360" w:lineRule="auto"/>
              <w:rPr>
                <w:rFonts w:cs="仿宋" w:asciiTheme="minorEastAsia" w:hAnsiTheme="minorEastAsia"/>
              </w:rPr>
            </w:pPr>
            <w:r>
              <w:rPr>
                <w:rFonts w:hint="eastAsia" w:cs="仿宋" w:asciiTheme="minorEastAsia" w:hAnsiTheme="minorEastAsia"/>
              </w:rPr>
              <w:t>综合评分法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629" w:type="dxa"/>
            <w:vAlign w:val="center"/>
          </w:tcPr>
          <w:p>
            <w:pPr>
              <w:pStyle w:val="15"/>
              <w:spacing w:line="360" w:lineRule="auto"/>
              <w:jc w:val="center"/>
              <w:rPr>
                <w:rFonts w:cs="仿宋" w:asciiTheme="minorEastAsia" w:hAnsiTheme="minorEastAsia"/>
              </w:rPr>
            </w:pPr>
            <w:r>
              <w:rPr>
                <w:rFonts w:hint="eastAsia" w:cs="仿宋" w:asciiTheme="minorEastAsia" w:hAnsiTheme="minorEastAsia"/>
              </w:rPr>
              <w:t>14</w:t>
            </w:r>
          </w:p>
        </w:tc>
        <w:tc>
          <w:tcPr>
            <w:tcW w:w="883" w:type="dxa"/>
            <w:vAlign w:val="center"/>
          </w:tcPr>
          <w:p>
            <w:pPr>
              <w:pStyle w:val="15"/>
              <w:spacing w:line="360" w:lineRule="auto"/>
              <w:jc w:val="center"/>
              <w:rPr>
                <w:rFonts w:cs="仿宋" w:asciiTheme="minorEastAsia" w:hAnsiTheme="minorEastAsia"/>
              </w:rPr>
            </w:pPr>
            <w:r>
              <w:rPr>
                <w:rFonts w:hint="eastAsia" w:cs="仿宋" w:asciiTheme="minorEastAsia" w:hAnsiTheme="minorEastAsia"/>
              </w:rPr>
              <w:t>33.1</w:t>
            </w:r>
          </w:p>
        </w:tc>
        <w:tc>
          <w:tcPr>
            <w:tcW w:w="1548" w:type="dxa"/>
            <w:vAlign w:val="center"/>
          </w:tcPr>
          <w:p>
            <w:pPr>
              <w:pStyle w:val="15"/>
              <w:spacing w:line="340" w:lineRule="exact"/>
              <w:jc w:val="center"/>
              <w:rPr>
                <w:rFonts w:cs="仿宋" w:asciiTheme="minorEastAsia" w:hAnsiTheme="minorEastAsia"/>
              </w:rPr>
            </w:pPr>
            <w:r>
              <w:rPr>
                <w:rFonts w:hint="eastAsia" w:cs="仿宋" w:asciiTheme="minorEastAsia" w:hAnsiTheme="minorEastAsia"/>
              </w:rPr>
              <w:t>采购代理服务费</w:t>
            </w:r>
          </w:p>
        </w:tc>
        <w:tc>
          <w:tcPr>
            <w:tcW w:w="5856" w:type="dxa"/>
            <w:vAlign w:val="center"/>
          </w:tcPr>
          <w:p>
            <w:pPr>
              <w:pStyle w:val="15"/>
              <w:spacing w:line="340" w:lineRule="exact"/>
              <w:rPr>
                <w:rFonts w:cs="仿宋" w:asciiTheme="minorEastAsia" w:hAnsiTheme="minorEastAsia"/>
              </w:rPr>
            </w:pPr>
            <w:r>
              <w:rPr>
                <w:rFonts w:hint="eastAsia" w:cs="仿宋" w:asciiTheme="minorEastAsia" w:hAnsiTheme="minorEastAsia"/>
              </w:rPr>
              <w:t>采购代理机构按预算金额的一定比例向中标人收取人民币5631.00元。</w:t>
            </w:r>
          </w:p>
          <w:p>
            <w:pPr>
              <w:pStyle w:val="15"/>
              <w:spacing w:line="340" w:lineRule="exact"/>
              <w:rPr>
                <w:rFonts w:cs="仿宋" w:asciiTheme="minorEastAsia" w:hAnsiTheme="minorEastAsia"/>
              </w:rPr>
            </w:pPr>
            <w:r>
              <w:rPr>
                <w:rFonts w:hint="eastAsia" w:cs="仿宋" w:asciiTheme="minorEastAsia" w:hAnsiTheme="minorEastAsia"/>
              </w:rPr>
              <w:t>（详见“第五部分-通用条款（投标须知）第33条款”）</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629" w:type="dxa"/>
            <w:vAlign w:val="center"/>
          </w:tcPr>
          <w:p>
            <w:pPr>
              <w:pStyle w:val="15"/>
              <w:spacing w:line="360" w:lineRule="auto"/>
              <w:jc w:val="center"/>
              <w:rPr>
                <w:rFonts w:cs="仿宋" w:asciiTheme="minorEastAsia" w:hAnsiTheme="minorEastAsia"/>
              </w:rPr>
            </w:pPr>
            <w:r>
              <w:rPr>
                <w:rFonts w:hint="eastAsia" w:cs="仿宋" w:asciiTheme="minorEastAsia" w:hAnsiTheme="minorEastAsia"/>
              </w:rPr>
              <w:t>15</w:t>
            </w:r>
          </w:p>
        </w:tc>
        <w:tc>
          <w:tcPr>
            <w:tcW w:w="883" w:type="dxa"/>
            <w:vAlign w:val="center"/>
          </w:tcPr>
          <w:p>
            <w:pPr>
              <w:pStyle w:val="15"/>
              <w:spacing w:line="360" w:lineRule="auto"/>
              <w:jc w:val="center"/>
              <w:rPr>
                <w:rFonts w:cs="仿宋" w:asciiTheme="minorEastAsia" w:hAnsiTheme="minorEastAsia"/>
              </w:rPr>
            </w:pPr>
          </w:p>
        </w:tc>
        <w:tc>
          <w:tcPr>
            <w:tcW w:w="1548" w:type="dxa"/>
            <w:vAlign w:val="center"/>
          </w:tcPr>
          <w:p>
            <w:pPr>
              <w:pStyle w:val="15"/>
              <w:spacing w:line="340" w:lineRule="exact"/>
              <w:jc w:val="center"/>
              <w:rPr>
                <w:rFonts w:cs="仿宋" w:asciiTheme="minorEastAsia" w:hAnsiTheme="minorEastAsia"/>
              </w:rPr>
            </w:pPr>
            <w:r>
              <w:rPr>
                <w:rFonts w:hint="eastAsia" w:cs="仿宋" w:asciiTheme="minorEastAsia" w:hAnsiTheme="minorEastAsia"/>
              </w:rPr>
              <w:t>采购控制金额</w:t>
            </w:r>
          </w:p>
          <w:p>
            <w:pPr>
              <w:pStyle w:val="15"/>
              <w:spacing w:line="340" w:lineRule="exact"/>
              <w:jc w:val="center"/>
              <w:rPr>
                <w:rFonts w:cs="仿宋" w:asciiTheme="minorEastAsia" w:hAnsiTheme="minorEastAsia"/>
              </w:rPr>
            </w:pPr>
            <w:r>
              <w:rPr>
                <w:rFonts w:hint="eastAsia" w:cs="仿宋" w:asciiTheme="minorEastAsia" w:hAnsiTheme="minorEastAsia"/>
              </w:rPr>
              <w:t>（最高限价）</w:t>
            </w:r>
          </w:p>
        </w:tc>
        <w:tc>
          <w:tcPr>
            <w:tcW w:w="5856" w:type="dxa"/>
            <w:vAlign w:val="center"/>
          </w:tcPr>
          <w:p>
            <w:pPr>
              <w:pStyle w:val="15"/>
              <w:spacing w:line="340" w:lineRule="exact"/>
              <w:rPr>
                <w:rFonts w:cs="仿宋" w:asciiTheme="minorEastAsia" w:hAnsiTheme="minorEastAsia"/>
              </w:rPr>
            </w:pPr>
            <w:r>
              <w:rPr>
                <w:rFonts w:hint="eastAsia" w:cs="仿宋" w:asciiTheme="minorEastAsia" w:hAnsiTheme="minorEastAsia"/>
              </w:rPr>
              <w:t>人民币37.54万元</w:t>
            </w:r>
          </w:p>
        </w:tc>
      </w:tr>
    </w:tbl>
    <w:p>
      <w:pPr>
        <w:jc w:val="center"/>
        <w:rPr>
          <w:rFonts w:cs="仿宋" w:asciiTheme="minorEastAsia" w:hAnsiTheme="minorEastAsia" w:eastAsiaTheme="minorEastAsia"/>
          <w:b/>
          <w:bCs/>
          <w:sz w:val="36"/>
          <w:szCs w:val="32"/>
        </w:rPr>
      </w:pPr>
      <w:r>
        <w:rPr>
          <w:rFonts w:hint="eastAsia" w:cs="仿宋" w:asciiTheme="minorEastAsia" w:hAnsiTheme="minorEastAsia" w:eastAsiaTheme="minorEastAsia"/>
        </w:rPr>
        <w:br w:type="page"/>
      </w:r>
      <w:r>
        <w:rPr>
          <w:rFonts w:hint="eastAsia" w:cs="仿宋" w:asciiTheme="minorEastAsia" w:hAnsiTheme="minorEastAsia" w:eastAsiaTheme="minorEastAsia"/>
          <w:b/>
          <w:bCs/>
          <w:sz w:val="36"/>
          <w:szCs w:val="32"/>
        </w:rPr>
        <w:t>投标须知前附件</w:t>
      </w:r>
    </w:p>
    <w:p>
      <w:pPr>
        <w:adjustRightInd w:val="0"/>
        <w:spacing w:line="360" w:lineRule="auto"/>
        <w:ind w:firstLine="420" w:firstLineChars="200"/>
        <w:rPr>
          <w:rFonts w:cs="仿宋" w:asciiTheme="minorEastAsia" w:hAnsiTheme="minorEastAsia" w:eastAsiaTheme="minorEastAsia"/>
          <w:snapToGrid w:val="0"/>
          <w:kern w:val="0"/>
        </w:rPr>
      </w:pPr>
    </w:p>
    <w:p>
      <w:pPr>
        <w:adjustRightInd w:val="0"/>
        <w:spacing w:line="360" w:lineRule="auto"/>
        <w:ind w:firstLine="424" w:firstLineChars="201"/>
        <w:rPr>
          <w:rFonts w:ascii="宋体" w:hAnsi="宋体"/>
          <w:b/>
          <w:snapToGrid w:val="0"/>
          <w:kern w:val="0"/>
          <w:szCs w:val="24"/>
        </w:rPr>
      </w:pPr>
      <w:r>
        <w:rPr>
          <w:rFonts w:hint="eastAsia" w:ascii="宋体" w:hAnsi="宋体"/>
          <w:b/>
          <w:snapToGrid w:val="0"/>
          <w:kern w:val="0"/>
          <w:szCs w:val="24"/>
        </w:rPr>
        <w:t>本章是本招标文件中涉及的所有无效标和废标情形的摘要，除法律法规另有规定外，投标文件的其他任何情形均不得作无效标和废标处理。招标文件中有关无效标和废标与本章节不一致的，以本章节内容为准。</w:t>
      </w:r>
    </w:p>
    <w:p>
      <w:pPr>
        <w:adjustRightInd w:val="0"/>
        <w:spacing w:line="360" w:lineRule="auto"/>
        <w:ind w:firstLine="424" w:firstLineChars="201"/>
        <w:rPr>
          <w:rFonts w:ascii="宋体" w:hAnsi="宋体"/>
          <w:b/>
          <w:snapToGrid w:val="0"/>
          <w:kern w:val="0"/>
          <w:szCs w:val="24"/>
        </w:rPr>
      </w:pPr>
      <w:r>
        <w:rPr>
          <w:rFonts w:hint="eastAsia" w:ascii="宋体" w:hAnsi="宋体"/>
          <w:b/>
          <w:snapToGrid w:val="0"/>
          <w:kern w:val="0"/>
          <w:szCs w:val="24"/>
        </w:rPr>
        <w:t>请评委重点审查供应商是否存在《深圳经济特区政府采购条例实施细则》第七十九条规定的串通投标情形：</w:t>
      </w:r>
    </w:p>
    <w:p>
      <w:pPr>
        <w:adjustRightInd w:val="0"/>
        <w:spacing w:line="360" w:lineRule="auto"/>
        <w:ind w:firstLine="424" w:firstLineChars="201"/>
        <w:rPr>
          <w:rFonts w:ascii="宋体" w:hAnsi="宋体"/>
          <w:b/>
          <w:snapToGrid w:val="0"/>
          <w:kern w:val="0"/>
          <w:szCs w:val="24"/>
        </w:rPr>
      </w:pPr>
      <w:r>
        <w:rPr>
          <w:rFonts w:hint="eastAsia" w:ascii="宋体" w:hAnsi="宋体"/>
          <w:b/>
          <w:snapToGrid w:val="0"/>
          <w:kern w:val="0"/>
          <w:szCs w:val="24"/>
        </w:rPr>
        <w:t>（一）投标供应商之间相互约定给予未中标的供应商利益补偿；</w:t>
      </w:r>
    </w:p>
    <w:p>
      <w:pPr>
        <w:adjustRightInd w:val="0"/>
        <w:spacing w:line="360" w:lineRule="auto"/>
        <w:ind w:firstLine="424" w:firstLineChars="201"/>
        <w:rPr>
          <w:rFonts w:ascii="宋体" w:hAnsi="宋体"/>
          <w:b/>
          <w:snapToGrid w:val="0"/>
          <w:kern w:val="0"/>
          <w:szCs w:val="24"/>
        </w:rPr>
      </w:pPr>
      <w:r>
        <w:rPr>
          <w:rFonts w:hint="eastAsia" w:ascii="宋体" w:hAnsi="宋体"/>
          <w:b/>
          <w:snapToGrid w:val="0"/>
          <w:kern w:val="0"/>
          <w:szCs w:val="24"/>
        </w:rPr>
        <w:t>（二）不同投标供应商的法定代表人、主要经营负责人、项目投标授权代表人、项目负责人、主要技术人员为同一人、属同一单位或者在同一单位缴纳社会保险；</w:t>
      </w:r>
    </w:p>
    <w:p>
      <w:pPr>
        <w:adjustRightInd w:val="0"/>
        <w:spacing w:line="360" w:lineRule="auto"/>
        <w:ind w:firstLine="424" w:firstLineChars="201"/>
        <w:rPr>
          <w:rFonts w:ascii="宋体" w:hAnsi="宋体"/>
          <w:b/>
          <w:snapToGrid w:val="0"/>
          <w:kern w:val="0"/>
          <w:szCs w:val="24"/>
        </w:rPr>
      </w:pPr>
      <w:r>
        <w:rPr>
          <w:rFonts w:hint="eastAsia" w:ascii="宋体" w:hAnsi="宋体"/>
          <w:b/>
          <w:snapToGrid w:val="0"/>
          <w:kern w:val="0"/>
          <w:szCs w:val="24"/>
        </w:rPr>
        <w:t>（三）不同投标供应商的投标文件由同一单位或者同一人编制，或者由同一人分阶段参与编制的；</w:t>
      </w:r>
    </w:p>
    <w:p>
      <w:pPr>
        <w:adjustRightInd w:val="0"/>
        <w:spacing w:line="360" w:lineRule="auto"/>
        <w:ind w:firstLine="424" w:firstLineChars="201"/>
        <w:rPr>
          <w:rFonts w:ascii="宋体" w:hAnsi="宋体"/>
          <w:b/>
          <w:snapToGrid w:val="0"/>
          <w:kern w:val="0"/>
          <w:szCs w:val="24"/>
        </w:rPr>
      </w:pPr>
      <w:r>
        <w:rPr>
          <w:rFonts w:hint="eastAsia" w:ascii="宋体" w:hAnsi="宋体"/>
          <w:b/>
          <w:snapToGrid w:val="0"/>
          <w:kern w:val="0"/>
          <w:szCs w:val="24"/>
        </w:rPr>
        <w:t>（四）不同投标供应商的投标文件或部分投标文件相互混装；</w:t>
      </w:r>
    </w:p>
    <w:p>
      <w:pPr>
        <w:adjustRightInd w:val="0"/>
        <w:spacing w:line="360" w:lineRule="auto"/>
        <w:ind w:firstLine="424" w:firstLineChars="201"/>
        <w:rPr>
          <w:rFonts w:ascii="宋体" w:hAnsi="宋体"/>
          <w:b/>
          <w:snapToGrid w:val="0"/>
          <w:kern w:val="0"/>
          <w:szCs w:val="24"/>
        </w:rPr>
      </w:pPr>
      <w:r>
        <w:rPr>
          <w:rFonts w:hint="eastAsia" w:ascii="宋体" w:hAnsi="宋体"/>
          <w:b/>
          <w:snapToGrid w:val="0"/>
          <w:kern w:val="0"/>
          <w:szCs w:val="24"/>
        </w:rPr>
        <w:t>（五）不同投标供应商的投标文件内容存在非正常一致；</w:t>
      </w:r>
    </w:p>
    <w:p>
      <w:pPr>
        <w:adjustRightInd w:val="0"/>
        <w:spacing w:line="360" w:lineRule="auto"/>
        <w:ind w:firstLine="424" w:firstLineChars="201"/>
        <w:rPr>
          <w:rFonts w:ascii="宋体" w:hAnsi="宋体"/>
          <w:b/>
          <w:snapToGrid w:val="0"/>
          <w:kern w:val="0"/>
          <w:szCs w:val="24"/>
        </w:rPr>
      </w:pPr>
      <w:r>
        <w:rPr>
          <w:rFonts w:hint="eastAsia" w:ascii="宋体" w:hAnsi="宋体"/>
          <w:b/>
          <w:snapToGrid w:val="0"/>
          <w:kern w:val="0"/>
          <w:szCs w:val="24"/>
        </w:rPr>
        <w:t>（六）由同一单位工作人员为两家以上（含两家）供应商进行同一项投标活动的；</w:t>
      </w:r>
    </w:p>
    <w:p>
      <w:pPr>
        <w:adjustRightInd w:val="0"/>
        <w:spacing w:line="360" w:lineRule="auto"/>
        <w:ind w:firstLine="424" w:firstLineChars="201"/>
        <w:rPr>
          <w:rFonts w:ascii="宋体" w:hAnsi="宋体"/>
          <w:b/>
          <w:snapToGrid w:val="0"/>
          <w:kern w:val="0"/>
          <w:szCs w:val="24"/>
        </w:rPr>
      </w:pPr>
      <w:r>
        <w:rPr>
          <w:rFonts w:hint="eastAsia" w:ascii="宋体" w:hAnsi="宋体"/>
          <w:b/>
          <w:snapToGrid w:val="0"/>
          <w:kern w:val="0"/>
          <w:szCs w:val="24"/>
        </w:rPr>
        <w:t>（七）主管部门依照法律、法规认定的其他情形。</w:t>
      </w:r>
    </w:p>
    <w:p>
      <w:pPr>
        <w:adjustRightInd w:val="0"/>
        <w:spacing w:line="360" w:lineRule="auto"/>
        <w:rPr>
          <w:rFonts w:cs="仿宋" w:asciiTheme="minorEastAsia" w:hAnsiTheme="minorEastAsia" w:eastAsiaTheme="minorEastAsia"/>
          <w:snapToGrid w:val="0"/>
          <w:kern w:val="0"/>
        </w:rPr>
      </w:pPr>
    </w:p>
    <w:p>
      <w:pPr>
        <w:adjustRightInd w:val="0"/>
        <w:spacing w:line="360" w:lineRule="auto"/>
        <w:rPr>
          <w:rFonts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一、资格性审查</w:t>
      </w:r>
    </w:p>
    <w:p>
      <w:pPr>
        <w:numPr>
          <w:ilvl w:val="0"/>
          <w:numId w:val="3"/>
        </w:numPr>
        <w:adjustRightInd w:val="0"/>
        <w:spacing w:line="360" w:lineRule="auto"/>
        <w:rPr>
          <w:rFonts w:cs="仿宋" w:asciiTheme="minorEastAsia" w:hAnsiTheme="minorEastAsia" w:eastAsiaTheme="minorEastAsia"/>
          <w:snapToGrid w:val="0"/>
          <w:kern w:val="0"/>
        </w:rPr>
      </w:pPr>
      <w:r>
        <w:rPr>
          <w:rFonts w:hint="eastAsia" w:cs="仿宋" w:asciiTheme="minorEastAsia" w:hAnsiTheme="minorEastAsia" w:eastAsiaTheme="minorEastAsia"/>
          <w:szCs w:val="21"/>
        </w:rPr>
        <w:t>投标人</w:t>
      </w:r>
      <w:r>
        <w:rPr>
          <w:rFonts w:hint="eastAsia" w:cs="仿宋" w:asciiTheme="minorEastAsia" w:hAnsiTheme="minorEastAsia" w:eastAsiaTheme="minorEastAsia"/>
          <w:snapToGrid w:val="0"/>
          <w:kern w:val="0"/>
        </w:rPr>
        <w:t>的资格不符合招标文件要求或资格证明文件提供不全。</w:t>
      </w:r>
    </w:p>
    <w:p>
      <w:pPr>
        <w:adjustRightInd w:val="0"/>
        <w:spacing w:line="360" w:lineRule="auto"/>
        <w:rPr>
          <w:rFonts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二、符合性审查</w:t>
      </w:r>
    </w:p>
    <w:p>
      <w:pPr>
        <w:numPr>
          <w:ilvl w:val="0"/>
          <w:numId w:val="4"/>
        </w:numPr>
        <w:adjustRightInd w:val="0"/>
        <w:spacing w:line="360" w:lineRule="auto"/>
        <w:rPr>
          <w:rFonts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投标人提供的投标文件数量不符合招标文件要求。</w:t>
      </w:r>
    </w:p>
    <w:p>
      <w:pPr>
        <w:numPr>
          <w:ilvl w:val="0"/>
          <w:numId w:val="4"/>
        </w:numPr>
        <w:adjustRightInd w:val="0"/>
        <w:spacing w:line="360" w:lineRule="auto"/>
        <w:rPr>
          <w:rFonts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投标文件未按照招标文件要求制作、密封和标记。</w:t>
      </w:r>
    </w:p>
    <w:p>
      <w:pPr>
        <w:numPr>
          <w:ilvl w:val="0"/>
          <w:numId w:val="4"/>
        </w:numPr>
        <w:adjustRightInd w:val="0"/>
        <w:spacing w:line="360" w:lineRule="auto"/>
        <w:rPr>
          <w:rFonts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投标文件有关内容未按招标文件要求加盖投标人印章、或未经法定代表人或其委托代理人签字（或盖章）。</w:t>
      </w:r>
    </w:p>
    <w:p>
      <w:pPr>
        <w:numPr>
          <w:ilvl w:val="0"/>
          <w:numId w:val="4"/>
        </w:numPr>
        <w:adjustRightInd w:val="0"/>
        <w:spacing w:line="360" w:lineRule="auto"/>
        <w:rPr>
          <w:rFonts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投标文件的关键内容字迹模糊、无法辨认的。</w:t>
      </w:r>
    </w:p>
    <w:p>
      <w:pPr>
        <w:numPr>
          <w:ilvl w:val="0"/>
          <w:numId w:val="4"/>
        </w:numPr>
        <w:adjustRightInd w:val="0"/>
        <w:spacing w:line="360" w:lineRule="auto"/>
        <w:rPr>
          <w:rFonts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投标报价有严重缺漏项的。</w:t>
      </w:r>
    </w:p>
    <w:p>
      <w:pPr>
        <w:numPr>
          <w:ilvl w:val="0"/>
          <w:numId w:val="4"/>
        </w:numPr>
        <w:adjustRightInd w:val="0"/>
        <w:spacing w:line="360" w:lineRule="auto"/>
        <w:rPr>
          <w:rFonts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未实质性响应招标文件要求的。</w:t>
      </w:r>
    </w:p>
    <w:p>
      <w:pPr>
        <w:numPr>
          <w:ilvl w:val="0"/>
          <w:numId w:val="4"/>
        </w:numPr>
        <w:adjustRightInd w:val="0"/>
        <w:spacing w:line="360" w:lineRule="auto"/>
        <w:rPr>
          <w:rFonts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任一项带★的指标未投标或不满足要求（如有带★号条款）。</w:t>
      </w:r>
    </w:p>
    <w:p>
      <w:pPr>
        <w:numPr>
          <w:ilvl w:val="0"/>
          <w:numId w:val="4"/>
        </w:numPr>
        <w:adjustRightInd w:val="0"/>
        <w:spacing w:line="360" w:lineRule="auto"/>
        <w:rPr>
          <w:rFonts w:cs="仿宋" w:asciiTheme="minorEastAsia" w:hAnsiTheme="minorEastAsia" w:eastAsiaTheme="minorEastAsia"/>
          <w:snapToGrid w:val="0"/>
          <w:color w:val="FF0000"/>
          <w:kern w:val="0"/>
        </w:rPr>
      </w:pPr>
      <w:r>
        <w:rPr>
          <w:rFonts w:hint="eastAsia" w:cs="仿宋" w:asciiTheme="minorEastAsia" w:hAnsiTheme="minorEastAsia" w:eastAsiaTheme="minorEastAsia"/>
          <w:snapToGrid w:val="0"/>
          <w:kern w:val="0"/>
        </w:rPr>
        <w:t>未按招标文件所提供的样式填写《声明函》。</w:t>
      </w:r>
    </w:p>
    <w:p>
      <w:pPr>
        <w:numPr>
          <w:ilvl w:val="0"/>
          <w:numId w:val="4"/>
        </w:numPr>
        <w:adjustRightInd w:val="0"/>
        <w:spacing w:line="360" w:lineRule="auto"/>
        <w:rPr>
          <w:rFonts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将一个项目包拆分投标，同时提供两套或以上的投标方案</w:t>
      </w:r>
      <w:r>
        <w:rPr>
          <w:rFonts w:ascii="Times New Roman" w:hAnsi="Times New Roman"/>
          <w:szCs w:val="21"/>
        </w:rPr>
        <w:t>（招标文件另有规定的除外）</w:t>
      </w:r>
      <w:r>
        <w:rPr>
          <w:rFonts w:hint="eastAsia" w:cs="仿宋" w:asciiTheme="minorEastAsia" w:hAnsiTheme="minorEastAsia" w:eastAsiaTheme="minorEastAsia"/>
          <w:snapToGrid w:val="0"/>
          <w:kern w:val="0"/>
        </w:rPr>
        <w:t>。</w:t>
      </w:r>
    </w:p>
    <w:p>
      <w:pPr>
        <w:numPr>
          <w:ilvl w:val="0"/>
          <w:numId w:val="4"/>
        </w:numPr>
        <w:adjustRightInd w:val="0"/>
        <w:spacing w:line="360" w:lineRule="auto"/>
        <w:rPr>
          <w:rFonts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投标文件附有采购人不能接受的条件。</w:t>
      </w:r>
    </w:p>
    <w:p>
      <w:pPr>
        <w:numPr>
          <w:ilvl w:val="0"/>
          <w:numId w:val="4"/>
        </w:numPr>
        <w:adjustRightInd w:val="0"/>
        <w:spacing w:line="360" w:lineRule="auto"/>
        <w:rPr>
          <w:rFonts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出现违规行为：如以他人名义竞标、串通投标或者以其他弄虚作假方式投标的。</w:t>
      </w:r>
    </w:p>
    <w:p>
      <w:pPr>
        <w:numPr>
          <w:ilvl w:val="0"/>
          <w:numId w:val="4"/>
        </w:numPr>
        <w:adjustRightInd w:val="0"/>
        <w:spacing w:line="360" w:lineRule="auto"/>
        <w:rPr>
          <w:rFonts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投标总价或单个采购条目的分项报价超过采购预算金额或最高限价的。</w:t>
      </w:r>
    </w:p>
    <w:p>
      <w:pPr>
        <w:numPr>
          <w:ilvl w:val="0"/>
          <w:numId w:val="4"/>
        </w:numPr>
        <w:adjustRightInd w:val="0"/>
        <w:spacing w:line="360" w:lineRule="auto"/>
        <w:rPr>
          <w:rFonts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法律、法规规定的其他情形。</w:t>
      </w:r>
    </w:p>
    <w:p>
      <w:pPr>
        <w:adjustRightInd w:val="0"/>
        <w:spacing w:line="360" w:lineRule="auto"/>
        <w:rPr>
          <w:rFonts w:ascii="宋体" w:hAnsi="宋体"/>
          <w:b/>
          <w:snapToGrid w:val="0"/>
          <w:kern w:val="0"/>
          <w:szCs w:val="24"/>
        </w:rPr>
      </w:pPr>
    </w:p>
    <w:p>
      <w:pPr>
        <w:pStyle w:val="18"/>
      </w:pPr>
    </w:p>
    <w:p>
      <w:pPr>
        <w:widowControl/>
        <w:jc w:val="left"/>
        <w:rPr>
          <w:rFonts w:cs="仿宋" w:asciiTheme="minorEastAsia" w:hAnsiTheme="minorEastAsia" w:eastAsiaTheme="minorEastAsia"/>
          <w:sz w:val="32"/>
        </w:rPr>
      </w:pPr>
      <w:r>
        <w:rPr>
          <w:rFonts w:hint="eastAsia" w:cs="仿宋" w:asciiTheme="minorEastAsia" w:hAnsiTheme="minorEastAsia" w:eastAsiaTheme="minorEastAsia"/>
          <w:sz w:val="32"/>
        </w:rPr>
        <w:br w:type="page"/>
      </w:r>
    </w:p>
    <w:p>
      <w:pPr>
        <w:spacing w:line="360" w:lineRule="auto"/>
        <w:jc w:val="center"/>
        <w:outlineLvl w:val="0"/>
        <w:rPr>
          <w:rFonts w:cs="仿宋" w:asciiTheme="minorEastAsia" w:hAnsiTheme="minorEastAsia" w:eastAsiaTheme="minorEastAsia"/>
          <w:b/>
          <w:bCs/>
          <w:sz w:val="36"/>
        </w:rPr>
      </w:pPr>
      <w:r>
        <w:rPr>
          <w:rFonts w:hint="eastAsia" w:cs="仿宋" w:asciiTheme="minorEastAsia" w:hAnsiTheme="minorEastAsia" w:eastAsiaTheme="minorEastAsia"/>
          <w:b/>
          <w:bCs/>
          <w:sz w:val="36"/>
        </w:rPr>
        <w:t>评审信息</w:t>
      </w:r>
    </w:p>
    <w:p>
      <w:pPr>
        <w:spacing w:line="360" w:lineRule="auto"/>
        <w:jc w:val="left"/>
        <w:rPr>
          <w:rFonts w:cs="仿宋" w:asciiTheme="minorEastAsia" w:hAnsiTheme="minorEastAsia" w:eastAsiaTheme="minorEastAsia"/>
          <w:szCs w:val="21"/>
        </w:rPr>
      </w:pPr>
    </w:p>
    <w:p>
      <w:pPr>
        <w:spacing w:line="360" w:lineRule="auto"/>
        <w:jc w:val="left"/>
        <w:rPr>
          <w:rFonts w:cs="仿宋" w:asciiTheme="minorEastAsia" w:hAnsiTheme="minorEastAsia" w:eastAsiaTheme="minorEastAsia"/>
          <w:szCs w:val="21"/>
        </w:rPr>
      </w:pPr>
      <w:r>
        <w:rPr>
          <w:rFonts w:hint="eastAsia" w:asciiTheme="minorEastAsia" w:hAnsiTheme="minorEastAsia" w:eastAsiaTheme="minorEastAsia"/>
          <w:b/>
          <w:szCs w:val="21"/>
        </w:rPr>
        <w:t>评标方法：</w:t>
      </w:r>
      <w:r>
        <w:rPr>
          <w:rFonts w:hint="eastAsia" w:cs="仿宋" w:asciiTheme="minorEastAsia" w:hAnsiTheme="minorEastAsia" w:eastAsiaTheme="minorEastAsia"/>
          <w:szCs w:val="21"/>
        </w:rPr>
        <w:t>综合评分法。</w:t>
      </w:r>
    </w:p>
    <w:p>
      <w:pPr>
        <w:spacing w:line="360" w:lineRule="auto"/>
        <w:ind w:firstLine="420" w:firstLineChars="200"/>
        <w:jc w:val="left"/>
        <w:rPr>
          <w:rFonts w:cs="仿宋" w:asciiTheme="minorEastAsia" w:hAnsiTheme="minorEastAsia" w:eastAsiaTheme="minorEastAsia"/>
          <w:szCs w:val="21"/>
        </w:rPr>
      </w:pPr>
      <w:r>
        <w:rPr>
          <w:rFonts w:hint="eastAsia" w:cs="仿宋" w:asciiTheme="minorEastAsia" w:hAnsiTheme="minorEastAsia" w:eastAsiaTheme="minorEastAsia"/>
          <w:szCs w:val="21"/>
        </w:rPr>
        <w:t>综合评分法，是指在最大限度地满足招标文件实质性要求的前提下，按照招标文件中规定的各项因素进行综合评审，评标总得分排名前列的投标供应商，作为推荐的候选中标供应商。</w:t>
      </w:r>
    </w:p>
    <w:tbl>
      <w:tblPr>
        <w:tblStyle w:val="23"/>
        <w:tblW w:w="9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144"/>
        <w:gridCol w:w="850"/>
        <w:gridCol w:w="6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065" w:type="dxa"/>
            <w:tcBorders>
              <w:top w:val="double" w:color="auto" w:sz="4" w:space="0"/>
              <w:left w:val="double" w:color="auto" w:sz="4" w:space="0"/>
              <w:bottom w:val="single" w:color="auto" w:sz="4" w:space="0"/>
            </w:tcBorders>
            <w:shd w:val="clear" w:color="auto" w:fill="8DB3E2"/>
            <w:vAlign w:val="center"/>
          </w:tcPr>
          <w:p>
            <w:pPr>
              <w:adjustRightInd w:val="0"/>
              <w:snapToGrid/>
              <w:spacing w:line="360" w:lineRule="auto"/>
              <w:jc w:val="center"/>
              <w:rPr>
                <w:rFonts w:ascii="宋体" w:hAnsi="宋体" w:cs="宋体"/>
                <w:snapToGrid w:val="0"/>
                <w:kern w:val="0"/>
                <w:szCs w:val="21"/>
              </w:rPr>
            </w:pPr>
            <w:r>
              <w:rPr>
                <w:rFonts w:hint="eastAsia" w:ascii="宋体" w:hAnsi="宋体" w:cs="宋体"/>
                <w:snapToGrid w:val="0"/>
                <w:kern w:val="0"/>
                <w:szCs w:val="21"/>
              </w:rPr>
              <w:t>类别</w:t>
            </w:r>
          </w:p>
        </w:tc>
        <w:tc>
          <w:tcPr>
            <w:tcW w:w="1144" w:type="dxa"/>
            <w:tcBorders>
              <w:top w:val="double" w:color="auto" w:sz="4" w:space="0"/>
            </w:tcBorders>
            <w:shd w:val="clear" w:color="auto" w:fill="8DB3E2"/>
            <w:vAlign w:val="center"/>
          </w:tcPr>
          <w:p>
            <w:pPr>
              <w:adjustRightInd w:val="0"/>
              <w:snapToGrid/>
              <w:spacing w:line="360" w:lineRule="auto"/>
              <w:jc w:val="center"/>
              <w:rPr>
                <w:rFonts w:ascii="宋体" w:hAnsi="宋体" w:cs="宋体"/>
                <w:snapToGrid w:val="0"/>
                <w:kern w:val="0"/>
                <w:szCs w:val="21"/>
              </w:rPr>
            </w:pPr>
            <w:r>
              <w:rPr>
                <w:rFonts w:hint="eastAsia" w:ascii="宋体" w:hAnsi="宋体" w:cs="宋体"/>
                <w:snapToGrid w:val="0"/>
                <w:kern w:val="0"/>
                <w:szCs w:val="21"/>
              </w:rPr>
              <w:t>评分项目</w:t>
            </w:r>
          </w:p>
        </w:tc>
        <w:tc>
          <w:tcPr>
            <w:tcW w:w="850" w:type="dxa"/>
            <w:tcBorders>
              <w:top w:val="double" w:color="auto" w:sz="4" w:space="0"/>
            </w:tcBorders>
            <w:shd w:val="clear" w:color="auto" w:fill="8DB3E2"/>
            <w:vAlign w:val="center"/>
          </w:tcPr>
          <w:p>
            <w:pPr>
              <w:widowControl/>
              <w:adjustRightInd w:val="0"/>
              <w:snapToGrid/>
              <w:spacing w:line="360" w:lineRule="auto"/>
              <w:jc w:val="center"/>
              <w:rPr>
                <w:rFonts w:ascii="宋体" w:hAnsi="宋体" w:cs="宋体"/>
                <w:snapToGrid w:val="0"/>
                <w:kern w:val="0"/>
                <w:szCs w:val="21"/>
              </w:rPr>
            </w:pPr>
            <w:r>
              <w:rPr>
                <w:rFonts w:hint="eastAsia" w:ascii="宋体" w:hAnsi="宋体" w:cs="宋体"/>
                <w:snapToGrid w:val="0"/>
                <w:kern w:val="0"/>
                <w:szCs w:val="21"/>
              </w:rPr>
              <w:t>权重</w:t>
            </w:r>
          </w:p>
        </w:tc>
        <w:tc>
          <w:tcPr>
            <w:tcW w:w="6261" w:type="dxa"/>
            <w:tcBorders>
              <w:top w:val="double" w:color="auto" w:sz="4" w:space="0"/>
              <w:right w:val="double" w:color="auto" w:sz="4" w:space="0"/>
            </w:tcBorders>
            <w:shd w:val="clear" w:color="auto" w:fill="8DB3E2"/>
            <w:vAlign w:val="center"/>
          </w:tcPr>
          <w:p>
            <w:pPr>
              <w:adjustRightInd w:val="0"/>
              <w:snapToGrid/>
              <w:spacing w:line="360" w:lineRule="auto"/>
              <w:jc w:val="center"/>
              <w:rPr>
                <w:rFonts w:ascii="宋体" w:hAnsi="宋体" w:cs="宋体"/>
                <w:snapToGrid w:val="0"/>
                <w:kern w:val="0"/>
                <w:szCs w:val="21"/>
              </w:rPr>
            </w:pPr>
            <w:r>
              <w:rPr>
                <w:rFonts w:hint="eastAsia" w:ascii="宋体" w:hAnsi="宋体" w:cs="宋体"/>
                <w:snapToGrid w:val="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tcBorders>
              <w:left w:val="double" w:color="auto" w:sz="4" w:space="0"/>
            </w:tcBorders>
            <w:vAlign w:val="center"/>
          </w:tcPr>
          <w:p>
            <w:pPr>
              <w:adjustRightInd w:val="0"/>
              <w:spacing w:line="360" w:lineRule="auto"/>
              <w:jc w:val="center"/>
              <w:rPr>
                <w:rFonts w:ascii="宋体" w:hAnsi="宋体" w:cs="宋体"/>
                <w:snapToGrid w:val="0"/>
                <w:kern w:val="0"/>
                <w:szCs w:val="21"/>
              </w:rPr>
            </w:pPr>
            <w:r>
              <w:rPr>
                <w:rFonts w:hint="eastAsia" w:ascii="宋体" w:hAnsi="宋体" w:cs="宋体"/>
                <w:snapToGrid w:val="0"/>
                <w:kern w:val="0"/>
                <w:szCs w:val="21"/>
              </w:rPr>
              <w:t>价格部分（G）</w:t>
            </w:r>
          </w:p>
          <w:p>
            <w:pPr>
              <w:adjustRightInd w:val="0"/>
              <w:spacing w:line="360" w:lineRule="auto"/>
              <w:jc w:val="center"/>
              <w:rPr>
                <w:rFonts w:ascii="宋体" w:hAnsi="宋体" w:cs="宋体"/>
                <w:snapToGrid w:val="0"/>
                <w:kern w:val="0"/>
                <w:szCs w:val="21"/>
              </w:rPr>
            </w:pPr>
            <w:r>
              <w:rPr>
                <w:rFonts w:hint="eastAsia" w:ascii="宋体" w:hAnsi="宋体" w:cs="宋体"/>
                <w:snapToGrid w:val="0"/>
                <w:kern w:val="0"/>
                <w:szCs w:val="21"/>
              </w:rPr>
              <w:t>（总分10分）</w:t>
            </w:r>
          </w:p>
        </w:tc>
        <w:tc>
          <w:tcPr>
            <w:tcW w:w="1144" w:type="dxa"/>
            <w:vAlign w:val="center"/>
          </w:tcPr>
          <w:p>
            <w:pPr>
              <w:adjustRightInd w:val="0"/>
              <w:spacing w:line="360" w:lineRule="auto"/>
              <w:jc w:val="center"/>
              <w:rPr>
                <w:rFonts w:ascii="宋体" w:hAnsi="宋体" w:cs="宋体"/>
                <w:kern w:val="0"/>
                <w:szCs w:val="21"/>
              </w:rPr>
            </w:pPr>
            <w:r>
              <w:rPr>
                <w:rFonts w:hint="eastAsia" w:ascii="宋体" w:hAnsi="宋体" w:cs="宋体"/>
                <w:kern w:val="0"/>
                <w:szCs w:val="21"/>
              </w:rPr>
              <w:t>投标报价</w:t>
            </w:r>
          </w:p>
        </w:tc>
        <w:tc>
          <w:tcPr>
            <w:tcW w:w="850" w:type="dxa"/>
            <w:vAlign w:val="center"/>
          </w:tcPr>
          <w:p>
            <w:pPr>
              <w:adjustRightInd w:val="0"/>
              <w:spacing w:line="360" w:lineRule="auto"/>
              <w:jc w:val="center"/>
              <w:rPr>
                <w:rFonts w:ascii="宋体" w:hAnsi="宋体" w:cs="宋体"/>
                <w:kern w:val="0"/>
                <w:szCs w:val="21"/>
              </w:rPr>
            </w:pPr>
            <w:r>
              <w:rPr>
                <w:rFonts w:hint="eastAsia" w:ascii="宋体" w:hAnsi="宋体" w:cs="宋体"/>
                <w:kern w:val="0"/>
                <w:szCs w:val="21"/>
              </w:rPr>
              <w:t>10</w:t>
            </w:r>
          </w:p>
        </w:tc>
        <w:tc>
          <w:tcPr>
            <w:tcW w:w="6261" w:type="dxa"/>
            <w:tcBorders>
              <w:right w:val="double" w:color="auto" w:sz="4" w:space="0"/>
            </w:tcBorders>
            <w:vAlign w:val="center"/>
          </w:tcPr>
          <w:p>
            <w:pPr>
              <w:widowControl/>
              <w:spacing w:line="360" w:lineRule="auto"/>
              <w:jc w:val="left"/>
              <w:rPr>
                <w:rFonts w:ascii="宋体" w:hAnsi="宋体" w:cs="仿宋"/>
                <w:szCs w:val="21"/>
              </w:rPr>
            </w:pPr>
            <w:r>
              <w:rPr>
                <w:rFonts w:hint="eastAsia" w:ascii="宋体" w:hAnsi="宋体" w:cs="仿宋"/>
                <w:szCs w:val="21"/>
              </w:rPr>
              <w:t>价格分采用低价优先法计算，即满足招标文件要求且投标价格最低的投标报价为评标基准价，其价格分为满分。其他投标人的价格分统一按照下列公式计算：</w:t>
            </w:r>
          </w:p>
          <w:p>
            <w:pPr>
              <w:widowControl/>
              <w:spacing w:line="360" w:lineRule="auto"/>
              <w:jc w:val="left"/>
              <w:rPr>
                <w:rFonts w:ascii="宋体" w:hAnsi="宋体" w:cs="仿宋"/>
                <w:szCs w:val="21"/>
              </w:rPr>
            </w:pPr>
            <w:r>
              <w:rPr>
                <w:rFonts w:hint="eastAsia" w:ascii="宋体" w:hAnsi="宋体" w:cs="仿宋"/>
                <w:szCs w:val="21"/>
              </w:rPr>
              <w:t>投标报价得分=(评标基准价／投标报价)×权重</w:t>
            </w:r>
          </w:p>
          <w:p>
            <w:pPr>
              <w:adjustRightInd w:val="0"/>
              <w:snapToGrid/>
              <w:spacing w:line="360" w:lineRule="auto"/>
              <w:rPr>
                <w:rFonts w:ascii="宋体" w:hAnsi="宋体"/>
                <w:snapToGrid w:val="0"/>
                <w:kern w:val="0"/>
                <w:szCs w:val="21"/>
              </w:rPr>
            </w:pPr>
            <w:r>
              <w:rPr>
                <w:rFonts w:hint="eastAsia" w:ascii="宋体" w:hAnsi="宋体"/>
                <w:snapToGrid w:val="0"/>
                <w:kern w:val="0"/>
                <w:szCs w:val="21"/>
              </w:rPr>
              <w:t>备注：</w:t>
            </w:r>
          </w:p>
          <w:p>
            <w:pPr>
              <w:adjustRightInd w:val="0"/>
              <w:snapToGrid/>
              <w:spacing w:line="360" w:lineRule="auto"/>
              <w:rPr>
                <w:rFonts w:ascii="宋体" w:hAnsi="宋体"/>
                <w:bCs/>
                <w:snapToGrid w:val="0"/>
                <w:kern w:val="0"/>
                <w:szCs w:val="24"/>
              </w:rPr>
            </w:pPr>
            <w:r>
              <w:rPr>
                <w:rFonts w:hint="eastAsia" w:ascii="宋体" w:hAnsi="宋体"/>
                <w:snapToGrid w:val="0"/>
                <w:kern w:val="0"/>
                <w:szCs w:val="21"/>
              </w:rPr>
              <w:t>1、因落实政府采购政策进行价格调整的，以调整后的价格计算评标基准价和投标报价</w:t>
            </w:r>
            <w:r>
              <w:rPr>
                <w:rFonts w:hint="eastAsia" w:ascii="宋体" w:hAnsi="宋体"/>
                <w:bCs/>
                <w:snapToGrid w:val="0"/>
                <w:kern w:val="0"/>
                <w:szCs w:val="24"/>
              </w:rPr>
              <w:t>；</w:t>
            </w:r>
          </w:p>
          <w:p>
            <w:pPr>
              <w:pStyle w:val="14"/>
              <w:spacing w:after="0" w:line="360" w:lineRule="auto"/>
              <w:rPr>
                <w:rFonts w:ascii="宋体" w:hAnsi="宋体" w:cs="宋体"/>
                <w:szCs w:val="21"/>
              </w:rPr>
            </w:pPr>
            <w:r>
              <w:rPr>
                <w:rFonts w:hint="eastAsia" w:ascii="宋体" w:hAnsi="宋体"/>
                <w:snapToGrid w:val="0"/>
                <w:kern w:val="0"/>
                <w:szCs w:val="21"/>
              </w:rPr>
              <w:t>2、投标报价得分四舍五入后，小数点后保留两位有效数</w:t>
            </w:r>
            <w:r>
              <w:rPr>
                <w:rFonts w:hint="eastAsia" w:cs="仿宋"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Merge w:val="restart"/>
            <w:tcBorders>
              <w:left w:val="double" w:color="auto" w:sz="4" w:space="0"/>
            </w:tcBorders>
            <w:vAlign w:val="center"/>
          </w:tcPr>
          <w:p>
            <w:pPr>
              <w:adjustRightInd w:val="0"/>
              <w:spacing w:line="360" w:lineRule="auto"/>
              <w:jc w:val="center"/>
              <w:rPr>
                <w:rFonts w:ascii="宋体" w:hAnsi="宋体" w:cs="宋体"/>
                <w:snapToGrid w:val="0"/>
                <w:kern w:val="0"/>
                <w:szCs w:val="21"/>
              </w:rPr>
            </w:pPr>
            <w:r>
              <w:rPr>
                <w:rFonts w:hint="eastAsia" w:ascii="宋体" w:hAnsi="宋体" w:cs="宋体"/>
                <w:snapToGrid w:val="0"/>
                <w:kern w:val="0"/>
                <w:szCs w:val="21"/>
              </w:rPr>
              <w:t>技术部分（J）</w:t>
            </w:r>
          </w:p>
          <w:p>
            <w:pPr>
              <w:adjustRightInd w:val="0"/>
              <w:spacing w:line="360" w:lineRule="auto"/>
              <w:jc w:val="center"/>
              <w:rPr>
                <w:rFonts w:ascii="宋体" w:hAnsi="宋体" w:cs="宋体"/>
                <w:snapToGrid w:val="0"/>
                <w:kern w:val="0"/>
                <w:szCs w:val="21"/>
              </w:rPr>
            </w:pPr>
            <w:r>
              <w:rPr>
                <w:rFonts w:hint="eastAsia" w:ascii="宋体" w:hAnsi="宋体" w:cs="宋体"/>
                <w:snapToGrid w:val="0"/>
                <w:kern w:val="0"/>
                <w:szCs w:val="21"/>
              </w:rPr>
              <w:t>（总分57分）</w:t>
            </w:r>
          </w:p>
        </w:tc>
        <w:tc>
          <w:tcPr>
            <w:tcW w:w="1144" w:type="dxa"/>
            <w:vAlign w:val="center"/>
          </w:tcPr>
          <w:p>
            <w:pPr>
              <w:widowControl/>
              <w:spacing w:line="360" w:lineRule="auto"/>
              <w:jc w:val="center"/>
              <w:rPr>
                <w:rFonts w:ascii="宋体" w:hAnsi="宋体" w:cs="宋体"/>
                <w:kern w:val="0"/>
                <w:szCs w:val="21"/>
              </w:rPr>
            </w:pPr>
            <w:r>
              <w:rPr>
                <w:rFonts w:hint="eastAsia" w:ascii="宋体" w:hAnsi="宋体" w:cs="宋体"/>
                <w:szCs w:val="21"/>
              </w:rPr>
              <w:t>实施方案</w:t>
            </w:r>
          </w:p>
        </w:tc>
        <w:tc>
          <w:tcPr>
            <w:tcW w:w="850" w:type="dxa"/>
            <w:vAlign w:val="center"/>
          </w:tcPr>
          <w:p>
            <w:pPr>
              <w:widowControl/>
              <w:spacing w:line="360" w:lineRule="auto"/>
              <w:jc w:val="center"/>
              <w:rPr>
                <w:rFonts w:ascii="宋体" w:hAnsi="宋体" w:cs="宋体"/>
                <w:kern w:val="0"/>
                <w:szCs w:val="21"/>
              </w:rPr>
            </w:pPr>
            <w:r>
              <w:rPr>
                <w:rFonts w:hint="eastAsia" w:ascii="宋体" w:hAnsi="宋体" w:cs="宋体"/>
                <w:szCs w:val="21"/>
              </w:rPr>
              <w:t>10</w:t>
            </w:r>
          </w:p>
        </w:tc>
        <w:tc>
          <w:tcPr>
            <w:tcW w:w="6261" w:type="dxa"/>
            <w:tcBorders>
              <w:right w:val="double" w:color="auto" w:sz="4" w:space="0"/>
            </w:tcBorders>
          </w:tcPr>
          <w:p>
            <w:pPr>
              <w:widowControl/>
              <w:spacing w:line="360" w:lineRule="auto"/>
              <w:rPr>
                <w:rFonts w:ascii="宋体" w:hAnsi="宋体" w:cs="宋体"/>
                <w:szCs w:val="21"/>
              </w:rPr>
            </w:pPr>
            <w:r>
              <w:rPr>
                <w:rFonts w:hint="eastAsia" w:ascii="宋体" w:hAnsi="宋体" w:cs="宋体"/>
                <w:szCs w:val="21"/>
              </w:rPr>
              <w:t>评审内容：</w:t>
            </w:r>
          </w:p>
          <w:p>
            <w:pPr>
              <w:widowControl/>
              <w:spacing w:line="360" w:lineRule="auto"/>
              <w:rPr>
                <w:rFonts w:ascii="宋体" w:hAnsi="宋体" w:cs="宋体"/>
                <w:szCs w:val="21"/>
              </w:rPr>
            </w:pPr>
            <w:r>
              <w:rPr>
                <w:rFonts w:hint="eastAsia" w:ascii="宋体" w:hAnsi="宋体" w:cs="宋体"/>
                <w:szCs w:val="21"/>
              </w:rPr>
              <w:t>考察投标人提供的基础服务方案，包括承保服务和增值服务，具体考察以下4点内容：</w:t>
            </w:r>
          </w:p>
          <w:p>
            <w:pPr>
              <w:widowControl/>
              <w:spacing w:line="360" w:lineRule="auto"/>
              <w:rPr>
                <w:rFonts w:ascii="宋体" w:hAnsi="宋体" w:cs="宋体"/>
                <w:szCs w:val="21"/>
              </w:rPr>
            </w:pPr>
            <w:r>
              <w:rPr>
                <w:rFonts w:hint="eastAsia" w:ascii="宋体" w:hAnsi="宋体" w:cs="宋体"/>
                <w:szCs w:val="21"/>
              </w:rPr>
              <w:t>1.投保资料；</w:t>
            </w:r>
          </w:p>
          <w:p>
            <w:pPr>
              <w:widowControl/>
              <w:spacing w:line="360" w:lineRule="auto"/>
              <w:rPr>
                <w:rFonts w:ascii="宋体" w:hAnsi="宋体" w:cs="宋体"/>
                <w:szCs w:val="21"/>
              </w:rPr>
            </w:pPr>
            <w:r>
              <w:rPr>
                <w:rFonts w:hint="eastAsia" w:ascii="宋体" w:hAnsi="宋体" w:cs="宋体"/>
                <w:szCs w:val="21"/>
              </w:rPr>
              <w:t>2.投保流程；</w:t>
            </w:r>
          </w:p>
          <w:p>
            <w:pPr>
              <w:widowControl/>
              <w:spacing w:line="360" w:lineRule="auto"/>
              <w:rPr>
                <w:rFonts w:ascii="宋体" w:hAnsi="宋体" w:cs="宋体"/>
                <w:szCs w:val="21"/>
              </w:rPr>
            </w:pPr>
            <w:r>
              <w:rPr>
                <w:rFonts w:hint="eastAsia" w:ascii="宋体" w:hAnsi="宋体" w:cs="宋体"/>
                <w:szCs w:val="21"/>
              </w:rPr>
              <w:t>3.保单批改时效；</w:t>
            </w:r>
          </w:p>
          <w:p>
            <w:pPr>
              <w:widowControl/>
              <w:spacing w:line="360" w:lineRule="auto"/>
              <w:rPr>
                <w:rFonts w:ascii="宋体" w:hAnsi="宋体" w:cs="宋体"/>
                <w:szCs w:val="21"/>
              </w:rPr>
            </w:pPr>
            <w:r>
              <w:rPr>
                <w:rFonts w:hint="eastAsia" w:ascii="宋体" w:hAnsi="宋体" w:cs="宋体"/>
                <w:szCs w:val="21"/>
              </w:rPr>
              <w:t>4.培训方案，包含培训内容及培训场次。</w:t>
            </w:r>
          </w:p>
          <w:p>
            <w:pPr>
              <w:widowControl/>
              <w:spacing w:line="360" w:lineRule="auto"/>
              <w:rPr>
                <w:rFonts w:ascii="宋体" w:hAnsi="宋体" w:cs="宋体"/>
                <w:szCs w:val="21"/>
              </w:rPr>
            </w:pPr>
            <w:r>
              <w:rPr>
                <w:rFonts w:hint="eastAsia" w:ascii="宋体" w:hAnsi="宋体" w:cs="宋体"/>
                <w:szCs w:val="21"/>
              </w:rPr>
              <w:t>评审标准：</w:t>
            </w:r>
          </w:p>
          <w:p>
            <w:pPr>
              <w:widowControl/>
              <w:spacing w:line="360" w:lineRule="auto"/>
              <w:rPr>
                <w:rFonts w:ascii="宋体" w:hAnsi="宋体" w:cs="宋体"/>
                <w:szCs w:val="21"/>
              </w:rPr>
            </w:pPr>
            <w:r>
              <w:rPr>
                <w:rFonts w:hint="eastAsia" w:ascii="宋体" w:hAnsi="宋体" w:cs="宋体"/>
                <w:szCs w:val="21"/>
              </w:rPr>
              <w:t>考察以上4点内容，满足4点得5分，满足任意3点得3.5分，满足任意2点得2分，满足任意1点得0.5分，其他情况不得分。在此基础上，专家根据各供应商的具体响应内容按照量化的评审因素指标进一步评审：</w:t>
            </w:r>
          </w:p>
          <w:p>
            <w:pPr>
              <w:widowControl/>
              <w:spacing w:line="360" w:lineRule="auto"/>
              <w:rPr>
                <w:rFonts w:ascii="宋体" w:hAnsi="宋体" w:cs="宋体"/>
                <w:szCs w:val="21"/>
              </w:rPr>
            </w:pPr>
            <w:r>
              <w:rPr>
                <w:rFonts w:hint="eastAsia" w:ascii="宋体" w:hAnsi="宋体" w:cs="宋体"/>
                <w:szCs w:val="21"/>
              </w:rPr>
              <w:t>1、投保资料简化、投保流程便捷、批改时效短，培训</w:t>
            </w:r>
            <w:r>
              <w:rPr>
                <w:rFonts w:hint="eastAsia" w:ascii="宋体" w:hAnsi="宋体" w:cs="宋体"/>
                <w:kern w:val="0"/>
                <w:szCs w:val="21"/>
              </w:rPr>
              <w:t>方案内容完整、全面、具体</w:t>
            </w:r>
            <w:r>
              <w:rPr>
                <w:rFonts w:hint="eastAsia" w:ascii="宋体" w:hAnsi="宋体" w:cs="宋体"/>
                <w:szCs w:val="21"/>
              </w:rPr>
              <w:t>的，加5分；</w:t>
            </w:r>
          </w:p>
          <w:p>
            <w:pPr>
              <w:widowControl/>
              <w:spacing w:line="360" w:lineRule="auto"/>
              <w:rPr>
                <w:rFonts w:ascii="宋体" w:hAnsi="宋体" w:cs="宋体"/>
                <w:szCs w:val="21"/>
              </w:rPr>
            </w:pPr>
            <w:r>
              <w:rPr>
                <w:rFonts w:hint="eastAsia" w:ascii="宋体" w:hAnsi="宋体" w:cs="宋体"/>
                <w:szCs w:val="21"/>
              </w:rPr>
              <w:t>2、投保资料较简化、投保流程较便捷、批改时效较短，培训</w:t>
            </w:r>
            <w:r>
              <w:rPr>
                <w:rFonts w:hint="eastAsia" w:ascii="宋体" w:hAnsi="宋体" w:cs="宋体"/>
                <w:kern w:val="0"/>
                <w:szCs w:val="21"/>
              </w:rPr>
              <w:t>方案内容较完整、较全面</w:t>
            </w:r>
            <w:r>
              <w:rPr>
                <w:rFonts w:hint="eastAsia" w:ascii="宋体" w:hAnsi="宋体" w:cs="宋体"/>
                <w:szCs w:val="21"/>
              </w:rPr>
              <w:t>的，加3分；</w:t>
            </w:r>
          </w:p>
          <w:p>
            <w:pPr>
              <w:widowControl/>
              <w:spacing w:line="360" w:lineRule="auto"/>
              <w:rPr>
                <w:rFonts w:ascii="宋体" w:hAnsi="宋体" w:cs="宋体"/>
                <w:szCs w:val="21"/>
              </w:rPr>
            </w:pPr>
            <w:r>
              <w:rPr>
                <w:rFonts w:hint="eastAsia" w:ascii="宋体" w:hAnsi="宋体" w:cs="宋体"/>
                <w:szCs w:val="21"/>
              </w:rPr>
              <w:t>3、投保资料简化性一般、投保流程便捷性一般、批改时效一般，培训</w:t>
            </w:r>
            <w:r>
              <w:rPr>
                <w:rFonts w:hint="eastAsia" w:ascii="宋体" w:hAnsi="宋体" w:cs="宋体"/>
                <w:kern w:val="0"/>
                <w:szCs w:val="21"/>
              </w:rPr>
              <w:t>方案内容</w:t>
            </w:r>
            <w:r>
              <w:rPr>
                <w:rFonts w:hint="eastAsia" w:ascii="宋体" w:hAnsi="宋体" w:cs="宋体"/>
                <w:szCs w:val="21"/>
              </w:rPr>
              <w:t>完整性、全面性</w:t>
            </w:r>
            <w:r>
              <w:rPr>
                <w:rFonts w:hint="eastAsia" w:ascii="宋体" w:hAnsi="宋体" w:cs="宋体"/>
                <w:kern w:val="0"/>
                <w:szCs w:val="21"/>
              </w:rPr>
              <w:t>一般</w:t>
            </w:r>
            <w:r>
              <w:rPr>
                <w:rFonts w:hint="eastAsia" w:ascii="宋体" w:hAnsi="宋体" w:cs="宋体"/>
                <w:szCs w:val="21"/>
              </w:rPr>
              <w:t>的，加1分；</w:t>
            </w:r>
          </w:p>
          <w:p>
            <w:pPr>
              <w:widowControl/>
              <w:spacing w:line="360" w:lineRule="auto"/>
              <w:rPr>
                <w:rFonts w:ascii="宋体" w:hAnsi="宋体" w:cs="宋体"/>
                <w:kern w:val="0"/>
                <w:szCs w:val="21"/>
              </w:rPr>
            </w:pPr>
            <w:r>
              <w:rPr>
                <w:rFonts w:hint="eastAsia" w:ascii="宋体" w:hAnsi="宋体" w:cs="宋体"/>
                <w:szCs w:val="21"/>
              </w:rPr>
              <w:t>4、投保资料简化性差、投保流程便捷性差、批改时效差，培训</w:t>
            </w:r>
            <w:r>
              <w:rPr>
                <w:rFonts w:hint="eastAsia" w:ascii="宋体" w:hAnsi="宋体" w:cs="宋体"/>
                <w:kern w:val="0"/>
                <w:szCs w:val="21"/>
              </w:rPr>
              <w:t>方案内容</w:t>
            </w:r>
            <w:r>
              <w:rPr>
                <w:rFonts w:hint="eastAsia" w:ascii="宋体" w:hAnsi="宋体" w:cs="宋体"/>
                <w:szCs w:val="21"/>
              </w:rPr>
              <w:t>完整性、全面性差的，不加分。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5" w:type="dxa"/>
            <w:vMerge w:val="continue"/>
            <w:tcBorders>
              <w:left w:val="double" w:color="auto" w:sz="4" w:space="0"/>
            </w:tcBorders>
            <w:vAlign w:val="center"/>
          </w:tcPr>
          <w:p>
            <w:pPr>
              <w:adjustRightInd w:val="0"/>
              <w:spacing w:line="360" w:lineRule="auto"/>
              <w:jc w:val="center"/>
              <w:rPr>
                <w:rFonts w:ascii="宋体" w:hAnsi="宋体" w:cs="宋体"/>
                <w:snapToGrid w:val="0"/>
                <w:kern w:val="0"/>
                <w:szCs w:val="21"/>
              </w:rPr>
            </w:pPr>
          </w:p>
        </w:tc>
        <w:tc>
          <w:tcPr>
            <w:tcW w:w="1144" w:type="dxa"/>
            <w:vAlign w:val="center"/>
          </w:tcPr>
          <w:p>
            <w:pPr>
              <w:widowControl/>
              <w:spacing w:line="360" w:lineRule="auto"/>
              <w:jc w:val="center"/>
              <w:rPr>
                <w:rFonts w:ascii="宋体" w:hAnsi="宋体" w:cs="宋体"/>
                <w:kern w:val="0"/>
                <w:szCs w:val="21"/>
              </w:rPr>
            </w:pPr>
            <w:r>
              <w:rPr>
                <w:rFonts w:hint="eastAsia" w:ascii="宋体" w:hAnsi="宋体" w:cs="宋体"/>
                <w:szCs w:val="21"/>
              </w:rPr>
              <w:t>项目重点难点分析、应对措施及相关的合理化建议</w:t>
            </w:r>
          </w:p>
        </w:tc>
        <w:tc>
          <w:tcPr>
            <w:tcW w:w="850" w:type="dxa"/>
            <w:vAlign w:val="center"/>
          </w:tcPr>
          <w:p>
            <w:pPr>
              <w:widowControl/>
              <w:spacing w:line="360" w:lineRule="auto"/>
              <w:jc w:val="center"/>
              <w:rPr>
                <w:rFonts w:ascii="宋体" w:hAnsi="宋体" w:cs="宋体"/>
                <w:kern w:val="0"/>
                <w:szCs w:val="21"/>
              </w:rPr>
            </w:pPr>
            <w:r>
              <w:rPr>
                <w:rFonts w:hint="eastAsia" w:ascii="宋体" w:hAnsi="宋体" w:cs="宋体"/>
                <w:szCs w:val="21"/>
              </w:rPr>
              <w:t>10</w:t>
            </w:r>
          </w:p>
        </w:tc>
        <w:tc>
          <w:tcPr>
            <w:tcW w:w="6261" w:type="dxa"/>
            <w:tcBorders>
              <w:right w:val="double" w:color="auto" w:sz="4" w:space="0"/>
            </w:tcBorders>
            <w:vAlign w:val="center"/>
          </w:tcPr>
          <w:p>
            <w:pPr>
              <w:widowControl/>
              <w:spacing w:line="360" w:lineRule="auto"/>
              <w:rPr>
                <w:rFonts w:ascii="宋体" w:hAnsi="宋体" w:cs="宋体"/>
                <w:szCs w:val="21"/>
              </w:rPr>
            </w:pPr>
            <w:r>
              <w:rPr>
                <w:rFonts w:hint="eastAsia" w:ascii="宋体" w:hAnsi="宋体" w:cs="宋体"/>
                <w:szCs w:val="21"/>
              </w:rPr>
              <w:t>评审内容：</w:t>
            </w:r>
          </w:p>
          <w:p>
            <w:pPr>
              <w:widowControl/>
              <w:spacing w:line="360" w:lineRule="auto"/>
              <w:rPr>
                <w:rFonts w:ascii="宋体" w:hAnsi="宋体" w:cs="宋体"/>
                <w:szCs w:val="21"/>
              </w:rPr>
            </w:pPr>
            <w:r>
              <w:rPr>
                <w:rFonts w:hint="eastAsia" w:ascii="宋体" w:hAnsi="宋体" w:cs="宋体"/>
                <w:szCs w:val="21"/>
              </w:rPr>
              <w:t>考察投标人提供的理赔服务方案，具体考察以下5点内容：</w:t>
            </w:r>
          </w:p>
          <w:p>
            <w:pPr>
              <w:widowControl/>
              <w:spacing w:line="360" w:lineRule="auto"/>
              <w:rPr>
                <w:rFonts w:ascii="宋体" w:hAnsi="宋体" w:cs="宋体"/>
                <w:szCs w:val="21"/>
              </w:rPr>
            </w:pPr>
            <w:r>
              <w:rPr>
                <w:rFonts w:hint="eastAsia" w:ascii="宋体" w:hAnsi="宋体" w:cs="宋体"/>
                <w:szCs w:val="21"/>
              </w:rPr>
              <w:t>1.理赔服务团队设置分工；</w:t>
            </w:r>
          </w:p>
          <w:p>
            <w:pPr>
              <w:widowControl/>
              <w:spacing w:line="360" w:lineRule="auto"/>
              <w:rPr>
                <w:rFonts w:ascii="宋体" w:hAnsi="宋体" w:cs="宋体"/>
                <w:szCs w:val="21"/>
              </w:rPr>
            </w:pPr>
            <w:r>
              <w:rPr>
                <w:rFonts w:hint="eastAsia" w:ascii="宋体" w:hAnsi="宋体" w:cs="宋体"/>
                <w:szCs w:val="21"/>
              </w:rPr>
              <w:t>2.理赔各环节（涵盖从报案到赔款支付全流程）；</w:t>
            </w:r>
          </w:p>
          <w:p>
            <w:pPr>
              <w:widowControl/>
              <w:spacing w:line="360" w:lineRule="auto"/>
              <w:rPr>
                <w:rFonts w:ascii="宋体" w:hAnsi="宋体" w:cs="宋体"/>
                <w:szCs w:val="21"/>
              </w:rPr>
            </w:pPr>
            <w:r>
              <w:rPr>
                <w:rFonts w:hint="eastAsia" w:ascii="宋体" w:hAnsi="宋体" w:cs="宋体"/>
                <w:szCs w:val="21"/>
              </w:rPr>
              <w:t>3.理赔各环节服务时效；</w:t>
            </w:r>
          </w:p>
          <w:p>
            <w:pPr>
              <w:widowControl/>
              <w:spacing w:line="360" w:lineRule="auto"/>
              <w:rPr>
                <w:rFonts w:ascii="宋体" w:hAnsi="宋体" w:cs="宋体"/>
                <w:szCs w:val="21"/>
              </w:rPr>
            </w:pPr>
            <w:r>
              <w:rPr>
                <w:rFonts w:hint="eastAsia" w:ascii="宋体" w:hAnsi="宋体" w:cs="宋体"/>
                <w:szCs w:val="21"/>
              </w:rPr>
              <w:t>4.理赔单证简化，即在“服务要求”中理赔服务要求理赔单证基本要求的基础上，针对小额案件或特殊情形等进行简化；</w:t>
            </w:r>
          </w:p>
          <w:p>
            <w:pPr>
              <w:widowControl/>
              <w:spacing w:line="360" w:lineRule="auto"/>
              <w:rPr>
                <w:rFonts w:ascii="宋体" w:hAnsi="宋体" w:cs="宋体"/>
                <w:szCs w:val="21"/>
              </w:rPr>
            </w:pPr>
            <w:r>
              <w:rPr>
                <w:rFonts w:hint="eastAsia" w:ascii="宋体" w:hAnsi="宋体" w:cs="宋体"/>
                <w:szCs w:val="21"/>
              </w:rPr>
              <w:t>5.单证提交方式。</w:t>
            </w:r>
          </w:p>
          <w:p>
            <w:pPr>
              <w:widowControl/>
              <w:spacing w:line="360" w:lineRule="auto"/>
              <w:rPr>
                <w:rFonts w:ascii="宋体" w:hAnsi="宋体" w:cs="宋体"/>
                <w:szCs w:val="21"/>
              </w:rPr>
            </w:pPr>
            <w:r>
              <w:rPr>
                <w:rFonts w:hint="eastAsia" w:ascii="宋体" w:hAnsi="宋体" w:cs="宋体"/>
                <w:szCs w:val="21"/>
              </w:rPr>
              <w:t>评审标准：</w:t>
            </w:r>
          </w:p>
          <w:p>
            <w:pPr>
              <w:widowControl/>
              <w:spacing w:line="360" w:lineRule="auto"/>
              <w:jc w:val="left"/>
              <w:rPr>
                <w:rFonts w:ascii="宋体" w:hAnsi="宋体" w:cs="宋体"/>
                <w:szCs w:val="21"/>
              </w:rPr>
            </w:pPr>
            <w:r>
              <w:rPr>
                <w:rFonts w:hint="eastAsia" w:ascii="宋体" w:hAnsi="宋体" w:cs="宋体"/>
                <w:szCs w:val="21"/>
              </w:rPr>
              <w:t>考察以上5点内容，满足5点得5分，满足任意4点得4分，满足任意3点得3分，满足任意2点得2分，满足任意1点得1分，其他情况不得分。在此基础上，专家根据各供应商的具体响应内容按照量化的评审因素指标进一步评审：</w:t>
            </w:r>
          </w:p>
          <w:p>
            <w:pPr>
              <w:widowControl/>
              <w:spacing w:line="360" w:lineRule="auto"/>
              <w:jc w:val="left"/>
              <w:rPr>
                <w:rFonts w:ascii="宋体" w:hAnsi="宋体" w:cs="宋体"/>
                <w:szCs w:val="21"/>
              </w:rPr>
            </w:pPr>
            <w:r>
              <w:rPr>
                <w:rFonts w:hint="eastAsia" w:ascii="宋体" w:hAnsi="宋体" w:cs="宋体"/>
                <w:szCs w:val="21"/>
              </w:rPr>
              <w:t>1、团队分工设置合理、各环节流程规范清晰、理赔速度快、理赔单证简化实用性和可操作性强、单证提交方式丰富多样的，加5分；</w:t>
            </w:r>
          </w:p>
          <w:p>
            <w:pPr>
              <w:widowControl/>
              <w:spacing w:line="360" w:lineRule="auto"/>
              <w:jc w:val="left"/>
              <w:rPr>
                <w:rFonts w:ascii="宋体" w:hAnsi="宋体" w:cs="宋体"/>
                <w:szCs w:val="21"/>
              </w:rPr>
            </w:pPr>
            <w:r>
              <w:rPr>
                <w:rFonts w:hint="eastAsia" w:ascii="宋体" w:hAnsi="宋体" w:cs="宋体"/>
                <w:szCs w:val="21"/>
              </w:rPr>
              <w:t>2、团队分工设置较合理、各环节流程较规范清晰、理赔速度较快、理赔单证简化实用性和可操作性较强、单证提交方式较多样的，加3分；</w:t>
            </w:r>
          </w:p>
          <w:p>
            <w:pPr>
              <w:widowControl/>
              <w:spacing w:line="360" w:lineRule="auto"/>
              <w:jc w:val="left"/>
              <w:rPr>
                <w:rFonts w:ascii="宋体" w:hAnsi="宋体" w:cs="宋体"/>
                <w:szCs w:val="21"/>
              </w:rPr>
            </w:pPr>
            <w:r>
              <w:rPr>
                <w:rFonts w:hint="eastAsia" w:ascii="宋体" w:hAnsi="宋体" w:cs="宋体"/>
                <w:szCs w:val="21"/>
              </w:rPr>
              <w:t>3、团队分工设置合理性一般、各环节流程规范性一般、理赔速度一般、理赔单证简化实用性和可操作性性一般、单证提交方式多样性一般的，加1分；</w:t>
            </w:r>
          </w:p>
          <w:p>
            <w:pPr>
              <w:widowControl/>
              <w:spacing w:line="360" w:lineRule="auto"/>
              <w:jc w:val="left"/>
              <w:rPr>
                <w:rFonts w:ascii="宋体" w:hAnsi="宋体" w:cs="宋体"/>
                <w:szCs w:val="21"/>
              </w:rPr>
            </w:pPr>
            <w:r>
              <w:rPr>
                <w:rFonts w:hint="eastAsia" w:ascii="宋体" w:hAnsi="宋体" w:cs="宋体"/>
                <w:szCs w:val="21"/>
              </w:rPr>
              <w:t>4、团队分工设置合理性差、各环节流程规范性差、理赔速度差、理赔单证简化实用性和可操作性性差、单证提交方式多样性差的，不加分。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5" w:type="dxa"/>
            <w:vMerge w:val="continue"/>
            <w:tcBorders>
              <w:left w:val="double" w:color="auto" w:sz="4" w:space="0"/>
            </w:tcBorders>
            <w:vAlign w:val="center"/>
          </w:tcPr>
          <w:p>
            <w:pPr>
              <w:adjustRightInd w:val="0"/>
              <w:spacing w:line="360" w:lineRule="auto"/>
              <w:jc w:val="center"/>
              <w:rPr>
                <w:rFonts w:ascii="宋体" w:hAnsi="宋体" w:cs="宋体"/>
                <w:snapToGrid w:val="0"/>
                <w:kern w:val="0"/>
                <w:szCs w:val="21"/>
              </w:rPr>
            </w:pPr>
          </w:p>
        </w:tc>
        <w:tc>
          <w:tcPr>
            <w:tcW w:w="1144" w:type="dxa"/>
            <w:vAlign w:val="center"/>
          </w:tcPr>
          <w:p>
            <w:pPr>
              <w:widowControl/>
              <w:spacing w:line="360" w:lineRule="auto"/>
              <w:jc w:val="center"/>
              <w:rPr>
                <w:rFonts w:hint="eastAsia" w:ascii="宋体" w:hAnsi="宋体" w:eastAsia="宋体" w:cs="宋体"/>
                <w:kern w:val="0"/>
                <w:szCs w:val="21"/>
              </w:rPr>
            </w:pPr>
            <w:r>
              <w:rPr>
                <w:rFonts w:hint="eastAsia" w:ascii="宋体" w:hAnsi="宋体" w:eastAsia="宋体" w:cs="宋体"/>
                <w:szCs w:val="21"/>
              </w:rPr>
              <w:t>保险方案响应</w:t>
            </w:r>
            <w:r>
              <w:rPr>
                <w:rFonts w:hint="eastAsia" w:ascii="宋体" w:hAnsi="宋体" w:cs="宋体"/>
                <w:szCs w:val="21"/>
                <w:lang w:val="en-US" w:eastAsia="zh-CN"/>
              </w:rPr>
              <w:t>及优化</w:t>
            </w:r>
            <w:r>
              <w:rPr>
                <w:rFonts w:hint="eastAsia" w:ascii="宋体" w:hAnsi="宋体" w:eastAsia="宋体" w:cs="宋体"/>
                <w:szCs w:val="21"/>
              </w:rPr>
              <w:t>情况</w:t>
            </w:r>
          </w:p>
        </w:tc>
        <w:tc>
          <w:tcPr>
            <w:tcW w:w="850" w:type="dxa"/>
            <w:vAlign w:val="center"/>
          </w:tcPr>
          <w:p>
            <w:pPr>
              <w:widowControl/>
              <w:spacing w:line="360" w:lineRule="auto"/>
              <w:jc w:val="center"/>
              <w:rPr>
                <w:rFonts w:hint="eastAsia" w:ascii="宋体" w:hAnsi="宋体" w:eastAsia="宋体" w:cs="宋体"/>
                <w:kern w:val="0"/>
                <w:szCs w:val="21"/>
              </w:rPr>
            </w:pPr>
            <w:r>
              <w:rPr>
                <w:rFonts w:hint="eastAsia" w:ascii="宋体" w:hAnsi="宋体" w:eastAsia="宋体" w:cs="宋体"/>
                <w:szCs w:val="21"/>
              </w:rPr>
              <w:t>15</w:t>
            </w:r>
          </w:p>
        </w:tc>
        <w:tc>
          <w:tcPr>
            <w:tcW w:w="6261" w:type="dxa"/>
            <w:tcBorders>
              <w:right w:val="double" w:color="auto" w:sz="4" w:space="0"/>
            </w:tcBorders>
            <w:vAlign w:val="center"/>
          </w:tcPr>
          <w:p>
            <w:pPr>
              <w:widowControl w:val="0"/>
              <w:spacing w:line="360" w:lineRule="auto"/>
              <w:rPr>
                <w:rFonts w:hint="eastAsia" w:ascii="宋体" w:hAnsi="宋体" w:eastAsia="宋体" w:cs="宋体"/>
              </w:rPr>
            </w:pPr>
            <w:r>
              <w:rPr>
                <w:rFonts w:hint="eastAsia" w:ascii="宋体" w:hAnsi="宋体" w:eastAsia="宋体" w:cs="宋体"/>
              </w:rPr>
              <w:t>评审内容：</w:t>
            </w:r>
          </w:p>
          <w:p>
            <w:pPr>
              <w:widowControl w:val="0"/>
              <w:spacing w:line="360" w:lineRule="auto"/>
              <w:rPr>
                <w:rFonts w:hint="eastAsia" w:ascii="宋体" w:hAnsi="宋体" w:eastAsia="宋体" w:cs="宋体"/>
              </w:rPr>
            </w:pPr>
            <w:r>
              <w:rPr>
                <w:rFonts w:hint="eastAsia" w:ascii="宋体" w:hAnsi="宋体" w:eastAsia="宋体" w:cs="宋体"/>
              </w:rPr>
              <w:t>考察投标人对招标文件基础保险方案响应情况，考察点包括：</w:t>
            </w:r>
          </w:p>
          <w:p>
            <w:pPr>
              <w:widowControl w:val="0"/>
              <w:spacing w:line="360" w:lineRule="auto"/>
              <w:rPr>
                <w:rFonts w:hint="eastAsia" w:ascii="宋体" w:hAnsi="宋体" w:eastAsia="宋体" w:cs="宋体"/>
              </w:rPr>
            </w:pPr>
            <w:r>
              <w:rPr>
                <w:rFonts w:hint="eastAsia" w:ascii="宋体" w:hAnsi="宋体" w:eastAsia="宋体" w:cs="宋体"/>
              </w:rPr>
              <w:t>（1）保障项目完全响应；</w:t>
            </w:r>
          </w:p>
          <w:p>
            <w:pPr>
              <w:widowControl w:val="0"/>
              <w:spacing w:line="360" w:lineRule="auto"/>
              <w:rPr>
                <w:rFonts w:hint="eastAsia" w:ascii="宋体" w:hAnsi="宋体" w:eastAsia="宋体" w:cs="宋体"/>
              </w:rPr>
            </w:pPr>
            <w:r>
              <w:rPr>
                <w:rFonts w:hint="eastAsia" w:ascii="宋体" w:hAnsi="宋体" w:eastAsia="宋体" w:cs="宋体"/>
              </w:rPr>
              <w:t>（2）保障责任完全响应；</w:t>
            </w:r>
          </w:p>
          <w:p>
            <w:pPr>
              <w:widowControl w:val="0"/>
              <w:spacing w:line="360" w:lineRule="auto"/>
              <w:rPr>
                <w:rFonts w:hint="eastAsia" w:ascii="宋体" w:hAnsi="宋体" w:eastAsia="宋体" w:cs="宋体"/>
              </w:rPr>
            </w:pPr>
            <w:r>
              <w:rPr>
                <w:rFonts w:hint="eastAsia" w:ascii="宋体" w:hAnsi="宋体" w:eastAsia="宋体" w:cs="宋体"/>
              </w:rPr>
              <w:t>（3）保障额度完全响应；</w:t>
            </w:r>
          </w:p>
          <w:p>
            <w:pPr>
              <w:widowControl w:val="0"/>
              <w:spacing w:line="360" w:lineRule="auto"/>
              <w:rPr>
                <w:rFonts w:hint="eastAsia" w:ascii="宋体" w:hAnsi="宋体" w:eastAsia="宋体" w:cs="宋体"/>
              </w:rPr>
            </w:pPr>
            <w:r>
              <w:rPr>
                <w:rFonts w:hint="eastAsia" w:ascii="宋体" w:hAnsi="宋体" w:eastAsia="宋体" w:cs="宋体"/>
              </w:rPr>
              <w:t>（4）特别约定完全响应。</w:t>
            </w:r>
          </w:p>
          <w:p>
            <w:pPr>
              <w:widowControl w:val="0"/>
              <w:spacing w:line="360" w:lineRule="auto"/>
              <w:rPr>
                <w:rFonts w:hint="eastAsia" w:ascii="宋体" w:hAnsi="宋体" w:eastAsia="宋体" w:cs="宋体"/>
              </w:rPr>
            </w:pPr>
            <w:r>
              <w:rPr>
                <w:rFonts w:hint="eastAsia" w:ascii="宋体" w:hAnsi="宋体" w:eastAsia="宋体" w:cs="宋体"/>
              </w:rPr>
              <w:t>评审标准：</w:t>
            </w:r>
          </w:p>
          <w:p>
            <w:pPr>
              <w:widowControl w:val="0"/>
              <w:spacing w:line="360" w:lineRule="auto"/>
              <w:rPr>
                <w:rFonts w:hint="eastAsia" w:ascii="宋体" w:hAnsi="宋体" w:eastAsia="宋体" w:cs="宋体"/>
              </w:rPr>
            </w:pPr>
            <w:r>
              <w:rPr>
                <w:rFonts w:hint="eastAsia" w:ascii="宋体" w:hAnsi="宋体" w:eastAsia="宋体" w:cs="宋体"/>
              </w:rPr>
              <w:t>考察以上4点内容，满足4点得10分，不满足任意一点不得分。在完全响应方案的基础上，对原有保险方案中的保障额度进行优化，保障额度方案共分为十类：</w:t>
            </w:r>
          </w:p>
          <w:p>
            <w:pPr>
              <w:widowControl w:val="0"/>
              <w:spacing w:line="360" w:lineRule="auto"/>
              <w:rPr>
                <w:rFonts w:hint="eastAsia" w:ascii="宋体" w:hAnsi="宋体" w:eastAsia="宋体" w:cs="宋体"/>
              </w:rPr>
            </w:pPr>
            <w:r>
              <w:rPr>
                <w:rFonts w:hint="eastAsia" w:ascii="宋体" w:hAnsi="宋体" w:eastAsia="宋体" w:cs="宋体"/>
              </w:rPr>
              <w:t>1.意外身故/</w:t>
            </w:r>
            <w:r>
              <w:rPr>
                <w:rFonts w:hint="eastAsia" w:ascii="宋体" w:hAnsi="宋体" w:cs="宋体"/>
                <w:lang w:eastAsia="zh-CN"/>
              </w:rPr>
              <w:t>伤残</w:t>
            </w:r>
            <w:r>
              <w:rPr>
                <w:rFonts w:hint="eastAsia" w:ascii="宋体" w:hAnsi="宋体" w:eastAsia="宋体" w:cs="宋体"/>
              </w:rPr>
              <w:t>（0.5分）</w:t>
            </w:r>
          </w:p>
          <w:p>
            <w:pPr>
              <w:widowControl w:val="0"/>
              <w:spacing w:line="360" w:lineRule="auto"/>
              <w:rPr>
                <w:rFonts w:hint="eastAsia" w:ascii="宋体" w:hAnsi="宋体" w:eastAsia="宋体" w:cs="宋体"/>
              </w:rPr>
            </w:pPr>
            <w:r>
              <w:rPr>
                <w:rFonts w:hint="eastAsia" w:ascii="宋体" w:hAnsi="宋体" w:eastAsia="宋体" w:cs="宋体"/>
              </w:rPr>
              <w:t>2.意外医疗</w:t>
            </w:r>
            <w:r>
              <w:rPr>
                <w:rFonts w:hint="eastAsia" w:ascii="宋体" w:hAnsi="宋体" w:cs="宋体"/>
                <w:lang w:eastAsia="zh-CN"/>
              </w:rPr>
              <w:t>（门诊</w:t>
            </w:r>
            <w:r>
              <w:rPr>
                <w:rFonts w:hint="eastAsia" w:ascii="宋体" w:hAnsi="宋体" w:cs="宋体"/>
                <w:lang w:val="en-US" w:eastAsia="zh-CN"/>
              </w:rPr>
              <w:t>+住院</w:t>
            </w:r>
            <w:r>
              <w:rPr>
                <w:rFonts w:hint="eastAsia" w:ascii="宋体" w:hAnsi="宋体" w:cs="宋体"/>
                <w:lang w:eastAsia="zh-CN"/>
              </w:rPr>
              <w:t>）</w:t>
            </w:r>
            <w:r>
              <w:rPr>
                <w:rFonts w:hint="eastAsia" w:ascii="宋体" w:hAnsi="宋体" w:eastAsia="宋体" w:cs="宋体"/>
              </w:rPr>
              <w:t>（0.5分）</w:t>
            </w:r>
          </w:p>
          <w:p>
            <w:pPr>
              <w:widowControl w:val="0"/>
              <w:spacing w:line="360" w:lineRule="auto"/>
              <w:rPr>
                <w:rFonts w:hint="eastAsia" w:ascii="宋体" w:hAnsi="宋体" w:eastAsia="宋体" w:cs="宋体"/>
              </w:rPr>
            </w:pPr>
            <w:r>
              <w:rPr>
                <w:rFonts w:hint="eastAsia" w:ascii="宋体" w:hAnsi="宋体" w:eastAsia="宋体" w:cs="宋体"/>
              </w:rPr>
              <w:t>3.意外住院津贴（0.5分）</w:t>
            </w:r>
          </w:p>
          <w:p>
            <w:pPr>
              <w:widowControl w:val="0"/>
              <w:spacing w:line="360" w:lineRule="auto"/>
              <w:rPr>
                <w:rFonts w:hint="eastAsia" w:ascii="宋体" w:hAnsi="宋体" w:eastAsia="宋体" w:cs="宋体"/>
              </w:rPr>
            </w:pPr>
            <w:r>
              <w:rPr>
                <w:rFonts w:hint="eastAsia" w:ascii="宋体" w:hAnsi="宋体" w:eastAsia="宋体" w:cs="宋体"/>
              </w:rPr>
              <w:t>4.猝死保险金（0.5分）</w:t>
            </w:r>
          </w:p>
          <w:p>
            <w:pPr>
              <w:widowControl w:val="0"/>
              <w:spacing w:line="360" w:lineRule="auto"/>
              <w:rPr>
                <w:rFonts w:hint="eastAsia" w:ascii="宋体" w:hAnsi="宋体" w:eastAsia="宋体" w:cs="宋体"/>
              </w:rPr>
            </w:pPr>
            <w:r>
              <w:rPr>
                <w:rFonts w:hint="eastAsia" w:ascii="宋体" w:hAnsi="宋体" w:eastAsia="宋体" w:cs="宋体"/>
              </w:rPr>
              <w:t>5.重大疾病（0.5分）</w:t>
            </w:r>
          </w:p>
          <w:p>
            <w:pPr>
              <w:widowControl w:val="0"/>
              <w:spacing w:line="360" w:lineRule="auto"/>
              <w:rPr>
                <w:rFonts w:hint="eastAsia" w:ascii="宋体" w:hAnsi="宋体" w:eastAsia="宋体" w:cs="宋体"/>
              </w:rPr>
            </w:pPr>
            <w:r>
              <w:rPr>
                <w:rFonts w:hint="eastAsia" w:ascii="宋体" w:hAnsi="宋体" w:eastAsia="宋体" w:cs="宋体"/>
              </w:rPr>
              <w:t>6.疾病身故（0.5分）</w:t>
            </w:r>
          </w:p>
          <w:p>
            <w:pPr>
              <w:widowControl w:val="0"/>
              <w:spacing w:line="360" w:lineRule="auto"/>
              <w:rPr>
                <w:rFonts w:hint="eastAsia" w:ascii="宋体" w:hAnsi="宋体" w:eastAsia="宋体" w:cs="宋体"/>
              </w:rPr>
            </w:pPr>
            <w:r>
              <w:rPr>
                <w:rFonts w:hint="eastAsia" w:ascii="宋体" w:hAnsi="宋体" w:eastAsia="宋体" w:cs="宋体"/>
              </w:rPr>
              <w:t>7.疾病住院补充医疗（0.5分）</w:t>
            </w:r>
          </w:p>
          <w:p>
            <w:pPr>
              <w:widowControl w:val="0"/>
              <w:spacing w:line="360" w:lineRule="auto"/>
              <w:rPr>
                <w:rFonts w:hint="eastAsia" w:ascii="宋体" w:hAnsi="宋体" w:eastAsia="宋体" w:cs="宋体"/>
              </w:rPr>
            </w:pPr>
            <w:r>
              <w:rPr>
                <w:rFonts w:hint="eastAsia" w:ascii="宋体" w:hAnsi="宋体" w:eastAsia="宋体" w:cs="宋体"/>
              </w:rPr>
              <w:t>8.疾病住院津贴（0.5分）</w:t>
            </w:r>
          </w:p>
          <w:p>
            <w:pPr>
              <w:widowControl w:val="0"/>
              <w:spacing w:line="360" w:lineRule="auto"/>
              <w:rPr>
                <w:rFonts w:hint="eastAsia" w:ascii="宋体" w:hAnsi="宋体" w:eastAsia="宋体" w:cs="宋体"/>
              </w:rPr>
            </w:pPr>
            <w:r>
              <w:rPr>
                <w:rFonts w:hint="eastAsia" w:ascii="宋体" w:hAnsi="宋体" w:eastAsia="宋体" w:cs="宋体"/>
              </w:rPr>
              <w:t>9.轻症疾病（0.5分）</w:t>
            </w:r>
          </w:p>
          <w:p>
            <w:pPr>
              <w:widowControl w:val="0"/>
              <w:spacing w:line="360" w:lineRule="auto"/>
              <w:rPr>
                <w:rFonts w:hint="eastAsia" w:ascii="宋体" w:hAnsi="宋体" w:eastAsia="宋体" w:cs="宋体"/>
              </w:rPr>
            </w:pPr>
            <w:r>
              <w:rPr>
                <w:rFonts w:hint="eastAsia" w:ascii="宋体" w:hAnsi="宋体" w:eastAsia="宋体" w:cs="宋体"/>
              </w:rPr>
              <w:t>10.</w:t>
            </w:r>
            <w:r>
              <w:rPr>
                <w:rFonts w:hint="eastAsia" w:ascii="宋体" w:hAnsi="宋体" w:cs="宋体"/>
              </w:rPr>
              <w:t>公共交通工具意外伤害(死亡、伤残)</w:t>
            </w:r>
            <w:r>
              <w:rPr>
                <w:rFonts w:hint="eastAsia" w:ascii="宋体" w:hAnsi="宋体" w:eastAsia="宋体" w:cs="宋体"/>
              </w:rPr>
              <w:t>（0.5分）</w:t>
            </w:r>
          </w:p>
          <w:p>
            <w:pPr>
              <w:widowControl w:val="0"/>
              <w:spacing w:line="360" w:lineRule="auto"/>
              <w:rPr>
                <w:rFonts w:hint="eastAsia" w:ascii="宋体" w:hAnsi="宋体" w:eastAsia="宋体" w:cs="宋体"/>
              </w:rPr>
            </w:pPr>
            <w:r>
              <w:rPr>
                <w:rFonts w:hint="eastAsia" w:ascii="宋体" w:hAnsi="宋体" w:eastAsia="宋体" w:cs="宋体"/>
              </w:rPr>
              <w:t>每一类最高的优化额度作为评分基准值，其得分为满分（0.5分），其他投标人的得分统一按照下列公式计算：</w:t>
            </w:r>
          </w:p>
          <w:p>
            <w:pPr>
              <w:widowControl w:val="0"/>
              <w:spacing w:line="360" w:lineRule="auto"/>
              <w:rPr>
                <w:rFonts w:hint="eastAsia" w:ascii="宋体" w:hAnsi="宋体" w:eastAsia="宋体" w:cs="宋体"/>
              </w:rPr>
            </w:pPr>
            <w:r>
              <w:rPr>
                <w:rFonts w:hint="eastAsia" w:ascii="宋体" w:hAnsi="宋体" w:eastAsia="宋体" w:cs="宋体"/>
              </w:rPr>
              <w:t>得分=(其他投标人优化额度／评分基准值)×0.5（得分计算结果按四舍五入法最多保留两位小数）</w:t>
            </w:r>
            <w:r>
              <w:rPr>
                <w:rFonts w:hint="eastAsia" w:ascii="宋体" w:hAnsi="宋体" w:cs="宋体"/>
                <w:lang w:eastAsia="zh-CN"/>
              </w:rPr>
              <w:t>，</w:t>
            </w:r>
            <w:r>
              <w:rPr>
                <w:rFonts w:hint="eastAsia" w:ascii="宋体" w:hAnsi="宋体" w:eastAsia="宋体" w:cs="宋体"/>
              </w:rPr>
              <w:t>如投标人未优化该类保障项目，则该类不得分，投标人优化总得分=∑保障项目1得分+保障项目2得分...保障项目10得分；</w:t>
            </w:r>
          </w:p>
          <w:p>
            <w:pPr>
              <w:widowControl w:val="0"/>
              <w:spacing w:line="360" w:lineRule="auto"/>
              <w:rPr>
                <w:rFonts w:hint="eastAsia" w:ascii="宋体" w:hAnsi="宋体" w:eastAsia="宋体" w:cs="宋体"/>
              </w:rPr>
            </w:pPr>
            <w:r>
              <w:rPr>
                <w:rFonts w:hint="eastAsia" w:ascii="宋体" w:hAnsi="宋体" w:eastAsia="宋体" w:cs="宋体"/>
              </w:rPr>
              <w:t>每一类保障项目仅能出现一个优化额度，不得针对不同的方案出具不同的优化额度（出现不同优化额度的不计得分），如多款</w:t>
            </w:r>
            <w:r>
              <w:rPr>
                <w:rFonts w:hint="eastAsia" w:ascii="宋体" w:hAnsi="宋体" w:cs="宋体"/>
                <w:lang w:val="en-US" w:eastAsia="zh-CN"/>
              </w:rPr>
              <w:t>保险</w:t>
            </w:r>
            <w:r>
              <w:rPr>
                <w:rFonts w:hint="eastAsia" w:ascii="宋体" w:hAnsi="宋体" w:eastAsia="宋体" w:cs="宋体"/>
              </w:rPr>
              <w:t>方案同时包含该类保障项目，则该保障项目优化额度自动适用于含有该类项目的</w:t>
            </w:r>
            <w:r>
              <w:rPr>
                <w:rFonts w:hint="eastAsia" w:ascii="宋体" w:hAnsi="宋体" w:cs="宋体"/>
                <w:lang w:val="en-US" w:eastAsia="zh-CN"/>
              </w:rPr>
              <w:t>保险</w:t>
            </w:r>
            <w:r>
              <w:rPr>
                <w:rFonts w:hint="eastAsia" w:ascii="宋体" w:hAnsi="宋体" w:eastAsia="宋体" w:cs="宋体"/>
              </w:rPr>
              <w:t>方案。</w:t>
            </w:r>
          </w:p>
          <w:p>
            <w:pPr>
              <w:spacing w:line="360" w:lineRule="auto"/>
              <w:rPr>
                <w:rFonts w:hint="eastAsia" w:eastAsia="宋体"/>
                <w:lang w:eastAsia="zh-CN"/>
              </w:rPr>
            </w:pPr>
            <w:r>
              <w:rPr>
                <w:rFonts w:hint="eastAsia" w:ascii="宋体" w:hAnsi="宋体" w:eastAsia="宋体" w:cs="宋体"/>
                <w:b/>
                <w:bCs/>
                <w:color w:val="auto"/>
                <w:sz w:val="21"/>
                <w:szCs w:val="21"/>
                <w:highlight w:val="none"/>
                <w:lang w:eastAsia="zh-CN"/>
              </w:rPr>
              <w:t>备注：</w:t>
            </w:r>
            <w:r>
              <w:rPr>
                <w:rFonts w:hint="eastAsia" w:ascii="宋体" w:hAnsi="宋体" w:eastAsia="宋体" w:cs="宋体"/>
                <w:color w:val="auto"/>
                <w:sz w:val="21"/>
                <w:szCs w:val="21"/>
                <w:highlight w:val="none"/>
              </w:rPr>
              <w:t>投标人需</w:t>
            </w:r>
            <w:r>
              <w:rPr>
                <w:rFonts w:hint="eastAsia" w:ascii="宋体" w:hAnsi="宋体" w:eastAsia="宋体" w:cs="宋体"/>
                <w:sz w:val="21"/>
                <w:szCs w:val="21"/>
                <w:highlight w:val="none"/>
              </w:rPr>
              <w:t>提供《</w:t>
            </w:r>
            <w:r>
              <w:rPr>
                <w:rFonts w:hint="eastAsia" w:ascii="宋体" w:hAnsi="宋体" w:cs="宋体"/>
                <w:szCs w:val="21"/>
                <w:highlight w:val="none"/>
              </w:rPr>
              <w:t>保险方案响应情况表</w:t>
            </w: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及《保险方案优化情况表》</w:t>
            </w:r>
            <w:r>
              <w:rPr>
                <w:rFonts w:hint="eastAsia" w:ascii="宋体" w:hAnsi="宋体" w:eastAsia="宋体" w:cs="宋体"/>
                <w:sz w:val="21"/>
                <w:szCs w:val="21"/>
                <w:highlight w:val="none"/>
              </w:rPr>
              <w:t>作为得分依据</w:t>
            </w:r>
            <w:r>
              <w:rPr>
                <w:rFonts w:hint="eastAsia" w:ascii="宋体" w:hAnsi="宋体" w:eastAsia="宋体" w:cs="宋体"/>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Merge w:val="continue"/>
            <w:tcBorders>
              <w:left w:val="double" w:color="auto" w:sz="4" w:space="0"/>
            </w:tcBorders>
            <w:vAlign w:val="center"/>
          </w:tcPr>
          <w:p>
            <w:pPr>
              <w:adjustRightInd w:val="0"/>
              <w:spacing w:line="360" w:lineRule="auto"/>
              <w:jc w:val="center"/>
              <w:rPr>
                <w:rFonts w:ascii="宋体" w:hAnsi="宋体" w:cs="宋体"/>
                <w:snapToGrid w:val="0"/>
                <w:kern w:val="0"/>
                <w:szCs w:val="21"/>
              </w:rPr>
            </w:pPr>
          </w:p>
        </w:tc>
        <w:tc>
          <w:tcPr>
            <w:tcW w:w="1144" w:type="dxa"/>
            <w:vAlign w:val="center"/>
          </w:tcPr>
          <w:p>
            <w:pPr>
              <w:widowControl/>
              <w:spacing w:line="360" w:lineRule="auto"/>
              <w:jc w:val="center"/>
              <w:rPr>
                <w:rFonts w:ascii="宋体" w:hAnsi="宋体" w:cs="宋体"/>
                <w:szCs w:val="21"/>
              </w:rPr>
            </w:pPr>
            <w:r>
              <w:rPr>
                <w:rFonts w:hint="eastAsia" w:ascii="宋体" w:hAnsi="宋体" w:cs="宋体"/>
                <w:szCs w:val="21"/>
              </w:rPr>
              <w:t>违约承诺</w:t>
            </w:r>
          </w:p>
        </w:tc>
        <w:tc>
          <w:tcPr>
            <w:tcW w:w="850" w:type="dxa"/>
            <w:vAlign w:val="center"/>
          </w:tcPr>
          <w:p>
            <w:pPr>
              <w:widowControl/>
              <w:spacing w:line="360" w:lineRule="auto"/>
              <w:jc w:val="center"/>
              <w:rPr>
                <w:rFonts w:ascii="宋体" w:hAnsi="宋体" w:cs="宋体"/>
                <w:szCs w:val="21"/>
              </w:rPr>
            </w:pPr>
            <w:r>
              <w:rPr>
                <w:rFonts w:hint="eastAsia" w:ascii="宋体" w:hAnsi="宋体" w:cs="宋体"/>
                <w:szCs w:val="21"/>
              </w:rPr>
              <w:t>5</w:t>
            </w:r>
          </w:p>
        </w:tc>
        <w:tc>
          <w:tcPr>
            <w:tcW w:w="6261" w:type="dxa"/>
            <w:tcBorders>
              <w:right w:val="double" w:color="auto" w:sz="4" w:space="0"/>
            </w:tcBorders>
          </w:tcPr>
          <w:p>
            <w:pPr>
              <w:widowControl/>
              <w:spacing w:line="360" w:lineRule="auto"/>
            </w:pPr>
            <w:r>
              <w:rPr>
                <w:rFonts w:hint="eastAsia"/>
              </w:rPr>
              <w:t>评审内容：</w:t>
            </w:r>
          </w:p>
          <w:p>
            <w:pPr>
              <w:widowControl/>
              <w:spacing w:line="360" w:lineRule="auto"/>
              <w:rPr>
                <w:rFonts w:ascii="宋体" w:hAnsi="宋体" w:cs="宋体"/>
                <w:szCs w:val="21"/>
              </w:rPr>
            </w:pPr>
            <w:r>
              <w:rPr>
                <w:rFonts w:hint="eastAsia" w:ascii="宋体" w:hAnsi="宋体" w:cs="宋体"/>
                <w:szCs w:val="21"/>
              </w:rPr>
              <w:t>投标人提供项目违约承诺，承诺以下全部3项的得5分，否则不得分。</w:t>
            </w:r>
          </w:p>
          <w:p>
            <w:pPr>
              <w:widowControl/>
              <w:spacing w:line="360" w:lineRule="auto"/>
              <w:rPr>
                <w:rFonts w:ascii="宋体" w:hAnsi="宋体" w:cs="宋体"/>
                <w:szCs w:val="21"/>
              </w:rPr>
            </w:pPr>
            <w:r>
              <w:rPr>
                <w:rFonts w:hint="eastAsia" w:ascii="宋体" w:hAnsi="宋体" w:cs="宋体"/>
                <w:szCs w:val="21"/>
              </w:rPr>
              <w:t>1.人员严格按照招标文件及投标承诺配置；</w:t>
            </w:r>
          </w:p>
          <w:p>
            <w:pPr>
              <w:widowControl/>
              <w:spacing w:line="360" w:lineRule="auto"/>
              <w:rPr>
                <w:rFonts w:ascii="宋体" w:hAnsi="宋体" w:cs="宋体"/>
                <w:szCs w:val="21"/>
              </w:rPr>
            </w:pPr>
            <w:r>
              <w:rPr>
                <w:rFonts w:hint="eastAsia" w:ascii="宋体" w:hAnsi="宋体" w:cs="宋体"/>
                <w:szCs w:val="21"/>
              </w:rPr>
              <w:t>2.各项服务质量达到招标文件要求及投标文件承诺；</w:t>
            </w:r>
          </w:p>
          <w:p>
            <w:pPr>
              <w:widowControl/>
              <w:spacing w:line="360" w:lineRule="auto"/>
              <w:rPr>
                <w:rFonts w:ascii="宋体" w:hAnsi="宋体" w:cs="宋体"/>
                <w:szCs w:val="21"/>
              </w:rPr>
            </w:pPr>
            <w:r>
              <w:rPr>
                <w:rFonts w:hint="eastAsia" w:ascii="宋体" w:hAnsi="宋体" w:cs="宋体"/>
                <w:szCs w:val="21"/>
              </w:rPr>
              <w:t>3.对未能达到的管理要求承担管理责任。</w:t>
            </w:r>
          </w:p>
          <w:p>
            <w:pPr>
              <w:widowControl/>
              <w:spacing w:line="360" w:lineRule="auto"/>
              <w:rPr>
                <w:rFonts w:ascii="宋体" w:hAnsi="宋体" w:cs="宋体"/>
                <w:szCs w:val="21"/>
              </w:rPr>
            </w:pPr>
            <w:r>
              <w:rPr>
                <w:rFonts w:hint="eastAsia" w:ascii="宋体" w:hAnsi="宋体" w:cs="宋体"/>
                <w:szCs w:val="21"/>
              </w:rPr>
              <w:t>评审依据：</w:t>
            </w:r>
          </w:p>
          <w:p>
            <w:pPr>
              <w:widowControl/>
              <w:spacing w:line="360" w:lineRule="auto"/>
              <w:rPr>
                <w:rFonts w:ascii="宋体" w:hAnsi="宋体" w:cs="宋体"/>
                <w:szCs w:val="21"/>
              </w:rPr>
            </w:pPr>
            <w:r>
              <w:rPr>
                <w:rFonts w:hint="eastAsia" w:ascii="宋体" w:hAnsi="宋体" w:cs="宋体"/>
                <w:szCs w:val="21"/>
              </w:rPr>
              <w:t>提供《违约承诺函》（格式自定）作为得分依据，未提供承诺或承诺内容不满足要求不得分。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Merge w:val="continue"/>
            <w:tcBorders>
              <w:left w:val="double" w:color="auto" w:sz="4" w:space="0"/>
            </w:tcBorders>
            <w:vAlign w:val="center"/>
          </w:tcPr>
          <w:p>
            <w:pPr>
              <w:adjustRightInd w:val="0"/>
              <w:spacing w:line="360" w:lineRule="auto"/>
              <w:jc w:val="center"/>
              <w:rPr>
                <w:rFonts w:ascii="宋体" w:hAnsi="宋体" w:cs="宋体"/>
                <w:snapToGrid w:val="0"/>
                <w:kern w:val="0"/>
                <w:szCs w:val="21"/>
              </w:rPr>
            </w:pPr>
          </w:p>
        </w:tc>
        <w:tc>
          <w:tcPr>
            <w:tcW w:w="1144" w:type="dxa"/>
            <w:vAlign w:val="center"/>
          </w:tcPr>
          <w:p>
            <w:pPr>
              <w:widowControl/>
              <w:spacing w:line="360" w:lineRule="auto"/>
              <w:jc w:val="center"/>
              <w:rPr>
                <w:rFonts w:ascii="宋体" w:hAnsi="宋体" w:cs="仿宋_GB2312"/>
                <w:szCs w:val="21"/>
              </w:rPr>
            </w:pPr>
            <w:r>
              <w:rPr>
                <w:rFonts w:hint="eastAsia" w:ascii="宋体" w:hAnsi="宋体" w:cs="宋体"/>
                <w:szCs w:val="21"/>
              </w:rPr>
              <w:t>拟安排的项目负责人情况（仅限一人）</w:t>
            </w:r>
          </w:p>
        </w:tc>
        <w:tc>
          <w:tcPr>
            <w:tcW w:w="850" w:type="dxa"/>
            <w:vAlign w:val="center"/>
          </w:tcPr>
          <w:p>
            <w:pPr>
              <w:widowControl/>
              <w:spacing w:line="360" w:lineRule="auto"/>
              <w:jc w:val="center"/>
              <w:rPr>
                <w:rFonts w:ascii="宋体" w:hAnsi="宋体" w:cs="宋体"/>
                <w:kern w:val="0"/>
                <w:szCs w:val="21"/>
              </w:rPr>
            </w:pPr>
            <w:r>
              <w:rPr>
                <w:rFonts w:hint="eastAsia" w:ascii="宋体" w:hAnsi="宋体" w:cs="宋体"/>
                <w:szCs w:val="21"/>
              </w:rPr>
              <w:t>5</w:t>
            </w:r>
          </w:p>
        </w:tc>
        <w:tc>
          <w:tcPr>
            <w:tcW w:w="6261" w:type="dxa"/>
            <w:tcBorders>
              <w:right w:val="double" w:color="auto" w:sz="4" w:space="0"/>
            </w:tcBorders>
          </w:tcPr>
          <w:p>
            <w:pPr>
              <w:widowControl/>
              <w:spacing w:line="360" w:lineRule="auto"/>
              <w:rPr>
                <w:rFonts w:ascii="宋体" w:hAnsi="宋体" w:cs="宋体"/>
                <w:szCs w:val="21"/>
              </w:rPr>
            </w:pPr>
            <w:r>
              <w:rPr>
                <w:rFonts w:hint="eastAsia" w:ascii="宋体" w:hAnsi="宋体" w:cs="宋体"/>
                <w:szCs w:val="21"/>
              </w:rPr>
              <w:t>评审内容：</w:t>
            </w:r>
          </w:p>
          <w:p>
            <w:pPr>
              <w:widowControl/>
              <w:spacing w:line="360" w:lineRule="auto"/>
              <w:rPr>
                <w:rFonts w:ascii="宋体" w:hAnsi="宋体" w:cs="宋体"/>
                <w:szCs w:val="21"/>
              </w:rPr>
            </w:pPr>
            <w:r>
              <w:rPr>
                <w:rFonts w:hint="eastAsia" w:ascii="宋体" w:hAnsi="宋体" w:cs="宋体"/>
                <w:szCs w:val="21"/>
              </w:rPr>
              <w:t>拟安排项目负责人（仅限一人）为投标单位员工，否则本项不得分。在此基础上，按以下标准进行打分：</w:t>
            </w:r>
          </w:p>
          <w:p>
            <w:pPr>
              <w:widowControl/>
              <w:spacing w:line="360" w:lineRule="auto"/>
              <w:rPr>
                <w:rFonts w:ascii="宋体" w:hAnsi="宋体" w:cs="宋体"/>
                <w:szCs w:val="21"/>
              </w:rPr>
            </w:pPr>
            <w:r>
              <w:rPr>
                <w:rFonts w:hint="eastAsia" w:ascii="宋体" w:hAnsi="宋体" w:cs="宋体"/>
                <w:szCs w:val="21"/>
              </w:rPr>
              <w:t>1.具有团体意外险的服务经验，每提供一个项目业绩得1.5分，本项最高得1.5分；</w:t>
            </w:r>
          </w:p>
          <w:p>
            <w:pPr>
              <w:widowControl/>
              <w:spacing w:line="360" w:lineRule="auto"/>
              <w:rPr>
                <w:rFonts w:ascii="宋体" w:hAnsi="宋体" w:cs="宋体"/>
                <w:szCs w:val="21"/>
              </w:rPr>
            </w:pPr>
            <w:r>
              <w:rPr>
                <w:rFonts w:hint="eastAsia" w:ascii="宋体" w:hAnsi="宋体" w:cs="宋体"/>
                <w:szCs w:val="21"/>
              </w:rPr>
              <w:t>2.具有人力资源和社会保障部门颁发的中级或以上职称证书，得2分；</w:t>
            </w:r>
          </w:p>
          <w:p>
            <w:pPr>
              <w:widowControl/>
              <w:spacing w:line="360" w:lineRule="auto"/>
              <w:rPr>
                <w:rFonts w:ascii="宋体" w:hAnsi="宋体" w:cs="宋体"/>
                <w:szCs w:val="21"/>
              </w:rPr>
            </w:pPr>
            <w:r>
              <w:rPr>
                <w:rFonts w:hint="eastAsia" w:ascii="宋体" w:hAnsi="宋体" w:cs="宋体"/>
                <w:szCs w:val="21"/>
              </w:rPr>
              <w:t>3.具有本科或以上学历的，得1.5分；</w:t>
            </w:r>
          </w:p>
          <w:p>
            <w:pPr>
              <w:widowControl/>
              <w:spacing w:line="360" w:lineRule="auto"/>
              <w:rPr>
                <w:rFonts w:ascii="宋体" w:hAnsi="宋体" w:cs="宋体"/>
                <w:szCs w:val="21"/>
              </w:rPr>
            </w:pPr>
            <w:r>
              <w:rPr>
                <w:rFonts w:hint="eastAsia" w:ascii="宋体" w:hAnsi="宋体" w:cs="宋体"/>
                <w:szCs w:val="21"/>
              </w:rPr>
              <w:t>以上3项累计计分，最高得5分。</w:t>
            </w:r>
          </w:p>
          <w:p>
            <w:pPr>
              <w:widowControl/>
              <w:spacing w:line="360" w:lineRule="auto"/>
              <w:rPr>
                <w:rFonts w:ascii="宋体" w:hAnsi="宋体" w:cs="宋体"/>
                <w:szCs w:val="21"/>
              </w:rPr>
            </w:pPr>
            <w:r>
              <w:rPr>
                <w:rFonts w:hint="eastAsia" w:ascii="宋体" w:hAnsi="宋体" w:cs="宋体"/>
                <w:szCs w:val="21"/>
              </w:rPr>
              <w:t xml:space="preserve">评审依据： </w:t>
            </w:r>
          </w:p>
          <w:p>
            <w:pPr>
              <w:widowControl/>
              <w:spacing w:line="360" w:lineRule="auto"/>
              <w:rPr>
                <w:rFonts w:ascii="宋体" w:hAnsi="宋体" w:cs="宋体"/>
                <w:szCs w:val="21"/>
              </w:rPr>
            </w:pPr>
            <w:r>
              <w:rPr>
                <w:rFonts w:hint="eastAsia" w:ascii="宋体" w:hAnsi="宋体" w:cs="宋体"/>
                <w:szCs w:val="21"/>
              </w:rPr>
              <w:t>1.提供项目负责人通过投标单位缴纳</w:t>
            </w:r>
            <w:r>
              <w:rPr>
                <w:rFonts w:hint="eastAsia" w:ascii="宋体" w:hAnsi="宋体"/>
                <w:szCs w:val="21"/>
              </w:rPr>
              <w:t>载有</w:t>
            </w:r>
            <w:r>
              <w:rPr>
                <w:rFonts w:hint="eastAsia" w:cs="宋体" w:asciiTheme="minorEastAsia" w:hAnsiTheme="minorEastAsia" w:eastAsiaTheme="minorEastAsia"/>
                <w:szCs w:val="21"/>
              </w:rPr>
              <w:t>社保部门或税务部门</w:t>
            </w:r>
            <w:r>
              <w:rPr>
                <w:rFonts w:hint="eastAsia" w:ascii="宋体" w:hAnsi="宋体"/>
                <w:szCs w:val="21"/>
              </w:rPr>
              <w:t>公章的</w:t>
            </w:r>
            <w:r>
              <w:rPr>
                <w:rFonts w:hint="eastAsia" w:ascii="宋体" w:hAnsi="宋体" w:cs="宋体"/>
                <w:szCs w:val="21"/>
              </w:rPr>
              <w:t>的</w:t>
            </w:r>
            <w:r>
              <w:rPr>
                <w:rFonts w:hint="eastAsia" w:ascii="宋体" w:hAnsi="宋体" w:cs="宋体"/>
                <w:szCs w:val="21"/>
                <w:lang w:eastAsia="zh-CN"/>
              </w:rPr>
              <w:t>近一个月</w:t>
            </w:r>
            <w:r>
              <w:rPr>
                <w:rFonts w:hint="eastAsia" w:ascii="宋体" w:hAnsi="宋体" w:cs="宋体"/>
                <w:szCs w:val="21"/>
              </w:rPr>
              <w:t>（由于社保部门</w:t>
            </w:r>
            <w:r>
              <w:rPr>
                <w:rFonts w:hint="eastAsia" w:cs="宋体" w:asciiTheme="minorEastAsia" w:hAnsiTheme="minorEastAsia" w:eastAsiaTheme="minorEastAsia"/>
                <w:szCs w:val="21"/>
              </w:rPr>
              <w:t>或税务部门</w:t>
            </w:r>
            <w:r>
              <w:rPr>
                <w:rFonts w:hint="eastAsia" w:ascii="宋体" w:hAnsi="宋体" w:cs="宋体"/>
                <w:szCs w:val="21"/>
              </w:rPr>
              <w:t>原因最近一个月的社保证明无法提供的可往前顺延一个月）的个人社保证明</w:t>
            </w:r>
            <w:r>
              <w:rPr>
                <w:rFonts w:hint="eastAsia" w:ascii="宋体" w:hAnsi="宋体"/>
                <w:szCs w:val="21"/>
              </w:rPr>
              <w:t>，如供应商为新成立单位且成立时间不足一个月的，</w:t>
            </w:r>
            <w:r>
              <w:rPr>
                <w:rFonts w:hint="eastAsia" w:ascii="宋体" w:hAnsi="宋体" w:cs="宋体"/>
                <w:szCs w:val="21"/>
              </w:rPr>
              <w:t>可提供加盖公章的情况说明或者证明材料亦视为符合；</w:t>
            </w:r>
          </w:p>
          <w:p>
            <w:pPr>
              <w:widowControl/>
              <w:spacing w:line="360" w:lineRule="auto"/>
              <w:rPr>
                <w:rFonts w:ascii="宋体" w:hAnsi="宋体" w:cs="宋体"/>
                <w:szCs w:val="21"/>
              </w:rPr>
            </w:pPr>
            <w:r>
              <w:rPr>
                <w:rFonts w:hint="eastAsia" w:ascii="宋体" w:hAnsi="宋体" w:cs="宋体"/>
                <w:szCs w:val="21"/>
              </w:rPr>
              <w:t>2.如涉及人员工作经验的，要求提供拟安排项目负责人的团体意外险服务经验的证明材料，如项目服务合同关键信息，通过合同关键信息无法判断是否得分的，须同时提供投标人出具的承诺函（格式自拟）），证明材料均须加盖投标人公章，原件备查；</w:t>
            </w:r>
          </w:p>
          <w:p>
            <w:pPr>
              <w:widowControl/>
              <w:spacing w:line="360" w:lineRule="auto"/>
              <w:rPr>
                <w:rFonts w:ascii="宋体" w:hAnsi="宋体" w:cs="宋体"/>
                <w:szCs w:val="21"/>
              </w:rPr>
            </w:pPr>
            <w:r>
              <w:rPr>
                <w:rFonts w:hint="eastAsia" w:ascii="宋体" w:hAnsi="宋体" w:cs="宋体"/>
                <w:szCs w:val="21"/>
              </w:rPr>
              <w:t>3.提供上述职称证书，毕业证书（或学位证书）及学信网查询记录，对于学信网无法查询的，还需提供毕业院校或人社部门或教育部门等颁发机构或监管机构等单位出具的证明；海外留学人员学历无法通过学信网站查询的，需提供教育部留学服务中心出具的学历学位认证书及教育部留学服务中心官网查询截图；</w:t>
            </w:r>
          </w:p>
          <w:p>
            <w:pPr>
              <w:widowControl/>
              <w:spacing w:line="360" w:lineRule="auto"/>
              <w:rPr>
                <w:rFonts w:ascii="宋体" w:hAnsi="宋体" w:cs="宋体"/>
                <w:szCs w:val="21"/>
              </w:rPr>
            </w:pPr>
            <w:r>
              <w:rPr>
                <w:rFonts w:hint="eastAsia" w:ascii="宋体" w:hAnsi="宋体" w:cs="宋体"/>
                <w:szCs w:val="21"/>
              </w:rPr>
              <w:t>4.</w:t>
            </w:r>
            <w:r>
              <w:rPr>
                <w:rFonts w:hint="eastAsia" w:ascii="宋体" w:hAnsi="宋体"/>
                <w:szCs w:val="21"/>
              </w:rPr>
              <w:t>提供以上证明文件复印件或扫描件，如涉及网站截图或照片等证明材料，需提供清晰图片，均要求加盖投标人公章，原件备查。未按要求提供有效证明材料或提供不清晰导致评委无法识别的不计得分。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Merge w:val="continue"/>
            <w:tcBorders>
              <w:left w:val="double" w:color="auto" w:sz="4" w:space="0"/>
            </w:tcBorders>
            <w:vAlign w:val="center"/>
          </w:tcPr>
          <w:p>
            <w:pPr>
              <w:adjustRightInd w:val="0"/>
              <w:spacing w:line="360" w:lineRule="auto"/>
              <w:jc w:val="center"/>
              <w:rPr>
                <w:rFonts w:ascii="宋体" w:hAnsi="宋体" w:cs="宋体"/>
                <w:snapToGrid w:val="0"/>
                <w:kern w:val="0"/>
                <w:szCs w:val="21"/>
              </w:rPr>
            </w:pPr>
          </w:p>
        </w:tc>
        <w:tc>
          <w:tcPr>
            <w:tcW w:w="1144" w:type="dxa"/>
            <w:vAlign w:val="center"/>
          </w:tcPr>
          <w:p>
            <w:pPr>
              <w:widowControl/>
              <w:spacing w:line="360" w:lineRule="auto"/>
              <w:jc w:val="center"/>
              <w:rPr>
                <w:rFonts w:ascii="宋体" w:hAnsi="宋体" w:cs="宋体"/>
                <w:szCs w:val="21"/>
              </w:rPr>
            </w:pPr>
            <w:r>
              <w:rPr>
                <w:rFonts w:hint="eastAsia" w:ascii="宋体" w:hAnsi="宋体" w:cs="宋体"/>
                <w:szCs w:val="21"/>
              </w:rPr>
              <w:t>拟安排的项目主要团队成员（主要技术人员）情况（项目负责人除外）</w:t>
            </w:r>
          </w:p>
        </w:tc>
        <w:tc>
          <w:tcPr>
            <w:tcW w:w="850" w:type="dxa"/>
            <w:vAlign w:val="center"/>
          </w:tcPr>
          <w:p>
            <w:pPr>
              <w:widowControl/>
              <w:spacing w:line="360" w:lineRule="auto"/>
              <w:jc w:val="center"/>
              <w:rPr>
                <w:rFonts w:ascii="宋体" w:hAnsi="宋体" w:cs="宋体"/>
                <w:szCs w:val="21"/>
              </w:rPr>
            </w:pPr>
            <w:r>
              <w:rPr>
                <w:rFonts w:hint="eastAsia" w:ascii="宋体" w:hAnsi="宋体" w:cs="宋体"/>
                <w:szCs w:val="21"/>
              </w:rPr>
              <w:t>12</w:t>
            </w:r>
          </w:p>
        </w:tc>
        <w:tc>
          <w:tcPr>
            <w:tcW w:w="6261" w:type="dxa"/>
            <w:tcBorders>
              <w:right w:val="double" w:color="auto" w:sz="4" w:space="0"/>
            </w:tcBorders>
          </w:tcPr>
          <w:p>
            <w:pPr>
              <w:widowControl/>
              <w:numPr>
                <w:ilvl w:val="255"/>
                <w:numId w:val="0"/>
              </w:numPr>
              <w:spacing w:line="360" w:lineRule="auto"/>
              <w:rPr>
                <w:rFonts w:ascii="宋体" w:hAnsi="宋体" w:cs="宋体"/>
                <w:szCs w:val="21"/>
              </w:rPr>
            </w:pPr>
            <w:r>
              <w:rPr>
                <w:rFonts w:hint="eastAsia" w:ascii="宋体" w:hAnsi="宋体" w:cs="宋体"/>
                <w:szCs w:val="21"/>
              </w:rPr>
              <w:t>评审内容：</w:t>
            </w:r>
          </w:p>
          <w:p>
            <w:pPr>
              <w:widowControl/>
              <w:spacing w:line="360" w:lineRule="auto"/>
              <w:rPr>
                <w:rFonts w:ascii="宋体" w:hAnsi="宋体" w:cs="宋体"/>
                <w:szCs w:val="21"/>
              </w:rPr>
            </w:pPr>
            <w:r>
              <w:rPr>
                <w:rFonts w:hint="eastAsia" w:ascii="宋体" w:hAnsi="宋体" w:cs="宋体"/>
                <w:szCs w:val="21"/>
              </w:rPr>
              <w:t>拟安排项目主要团队成员为投标单位员工，且团队人数不少于5人，否则本项不得分。在此基础上，按以下标准进行打分：</w:t>
            </w:r>
          </w:p>
          <w:p>
            <w:pPr>
              <w:widowControl/>
              <w:spacing w:line="360" w:lineRule="auto"/>
              <w:rPr>
                <w:rFonts w:ascii="宋体" w:hAnsi="宋体" w:cs="宋体"/>
                <w:szCs w:val="21"/>
              </w:rPr>
            </w:pPr>
            <w:r>
              <w:rPr>
                <w:rFonts w:hint="eastAsia" w:ascii="宋体" w:hAnsi="宋体" w:cs="宋体"/>
                <w:szCs w:val="21"/>
              </w:rPr>
              <w:t>1.拟安排项目主要团队成员，具有团体意外险服务经验的，每提供1人得1.2分，本项最高得6分；</w:t>
            </w:r>
          </w:p>
          <w:p>
            <w:pPr>
              <w:widowControl/>
              <w:spacing w:line="360" w:lineRule="auto"/>
              <w:rPr>
                <w:rFonts w:ascii="宋体" w:hAnsi="宋体" w:cs="宋体"/>
                <w:szCs w:val="21"/>
              </w:rPr>
            </w:pPr>
            <w:r>
              <w:rPr>
                <w:rFonts w:hint="eastAsia" w:ascii="宋体" w:hAnsi="宋体" w:cs="宋体"/>
                <w:szCs w:val="21"/>
              </w:rPr>
              <w:t>2.拟安排项目主要团队成员，具有保险专业</w:t>
            </w:r>
            <w:r>
              <w:rPr>
                <w:rFonts w:hint="eastAsia" w:ascii="宋体" w:hAnsi="宋体" w:cs="宋体"/>
                <w:szCs w:val="21"/>
                <w:lang w:eastAsia="zh-CN"/>
              </w:rPr>
              <w:t>类</w:t>
            </w:r>
            <w:r>
              <w:rPr>
                <w:rFonts w:hint="eastAsia" w:ascii="宋体" w:hAnsi="宋体" w:cs="宋体"/>
                <w:szCs w:val="21"/>
              </w:rPr>
              <w:t>或医学专业</w:t>
            </w:r>
            <w:r>
              <w:rPr>
                <w:rFonts w:hint="eastAsia" w:ascii="宋体" w:hAnsi="宋体" w:cs="宋体"/>
                <w:szCs w:val="21"/>
                <w:lang w:eastAsia="zh-CN"/>
              </w:rPr>
              <w:t>类</w:t>
            </w:r>
            <w:r>
              <w:rPr>
                <w:rFonts w:hint="eastAsia" w:ascii="宋体" w:hAnsi="宋体" w:cs="宋体"/>
                <w:szCs w:val="21"/>
              </w:rPr>
              <w:t>本科或以上学历的，每提供1人得2分，本项最高得6分。</w:t>
            </w:r>
          </w:p>
          <w:p>
            <w:pPr>
              <w:widowControl/>
              <w:spacing w:line="360" w:lineRule="auto"/>
              <w:rPr>
                <w:rFonts w:ascii="宋体" w:hAnsi="宋体" w:cs="宋体"/>
                <w:szCs w:val="21"/>
              </w:rPr>
            </w:pPr>
            <w:r>
              <w:rPr>
                <w:rFonts w:hint="eastAsia" w:ascii="宋体" w:hAnsi="宋体" w:cs="宋体"/>
                <w:szCs w:val="21"/>
              </w:rPr>
              <w:t>以上2项累计计分，最高得12分。</w:t>
            </w:r>
          </w:p>
          <w:p>
            <w:pPr>
              <w:widowControl/>
              <w:spacing w:line="360" w:lineRule="auto"/>
              <w:rPr>
                <w:rFonts w:ascii="宋体" w:hAnsi="宋体" w:cs="宋体"/>
                <w:szCs w:val="21"/>
              </w:rPr>
            </w:pPr>
            <w:r>
              <w:rPr>
                <w:rFonts w:hint="eastAsia" w:ascii="宋体" w:hAnsi="宋体" w:cs="宋体"/>
                <w:szCs w:val="21"/>
              </w:rPr>
              <w:t>评审依据：</w:t>
            </w:r>
          </w:p>
          <w:p>
            <w:pPr>
              <w:widowControl/>
              <w:spacing w:line="360" w:lineRule="auto"/>
              <w:rPr>
                <w:rFonts w:ascii="宋体" w:hAnsi="宋体" w:cs="宋体"/>
                <w:szCs w:val="21"/>
              </w:rPr>
            </w:pPr>
            <w:r>
              <w:rPr>
                <w:rFonts w:hint="eastAsia" w:ascii="宋体" w:hAnsi="宋体" w:cs="宋体"/>
                <w:szCs w:val="21"/>
              </w:rPr>
              <w:t>1.提供项目团队成员通过投标单位缴纳的</w:t>
            </w:r>
            <w:r>
              <w:rPr>
                <w:rFonts w:hint="eastAsia" w:ascii="宋体" w:hAnsi="宋体"/>
                <w:szCs w:val="21"/>
              </w:rPr>
              <w:t>载有</w:t>
            </w:r>
            <w:r>
              <w:rPr>
                <w:rFonts w:hint="eastAsia" w:cs="宋体" w:asciiTheme="minorEastAsia" w:hAnsiTheme="minorEastAsia" w:eastAsiaTheme="minorEastAsia"/>
                <w:szCs w:val="21"/>
              </w:rPr>
              <w:t>社保部门或税务部门</w:t>
            </w:r>
            <w:r>
              <w:rPr>
                <w:rFonts w:hint="eastAsia" w:ascii="宋体" w:hAnsi="宋体"/>
                <w:szCs w:val="21"/>
              </w:rPr>
              <w:t>公章的</w:t>
            </w:r>
            <w:r>
              <w:rPr>
                <w:rFonts w:hint="eastAsia" w:ascii="宋体" w:hAnsi="宋体"/>
                <w:szCs w:val="21"/>
                <w:lang w:eastAsia="zh-CN"/>
              </w:rPr>
              <w:t>近</w:t>
            </w:r>
            <w:r>
              <w:rPr>
                <w:rFonts w:hint="eastAsia" w:ascii="宋体" w:hAnsi="宋体"/>
                <w:szCs w:val="21"/>
                <w:lang w:val="en-US" w:eastAsia="zh-CN"/>
              </w:rPr>
              <w:t>1个月</w:t>
            </w:r>
            <w:r>
              <w:rPr>
                <w:rFonts w:hint="eastAsia" w:ascii="宋体" w:hAnsi="宋体" w:cs="宋体"/>
                <w:szCs w:val="21"/>
              </w:rPr>
              <w:t>（由于社保部门</w:t>
            </w:r>
            <w:r>
              <w:rPr>
                <w:rFonts w:hint="eastAsia" w:cs="宋体" w:asciiTheme="minorEastAsia" w:hAnsiTheme="minorEastAsia" w:eastAsiaTheme="minorEastAsia"/>
                <w:szCs w:val="21"/>
              </w:rPr>
              <w:t>或税务部门</w:t>
            </w:r>
            <w:r>
              <w:rPr>
                <w:rFonts w:hint="eastAsia" w:ascii="宋体" w:hAnsi="宋体" w:cs="宋体"/>
                <w:szCs w:val="21"/>
              </w:rPr>
              <w:t>原因最近一个月的社保证明无法提供的可往前顺延一个月）的个人社保证明</w:t>
            </w:r>
            <w:r>
              <w:rPr>
                <w:rFonts w:hint="eastAsia" w:ascii="宋体" w:hAnsi="宋体"/>
                <w:szCs w:val="21"/>
              </w:rPr>
              <w:t>，如供应商为新成立单位且成立时间不足一个月的，</w:t>
            </w:r>
            <w:r>
              <w:rPr>
                <w:rFonts w:hint="eastAsia" w:ascii="宋体" w:hAnsi="宋体" w:cs="宋体"/>
                <w:szCs w:val="21"/>
              </w:rPr>
              <w:t>可提供加盖公章的情况说明或者证明材料亦视为符合；</w:t>
            </w:r>
          </w:p>
          <w:p>
            <w:pPr>
              <w:widowControl/>
              <w:spacing w:line="360" w:lineRule="auto"/>
              <w:rPr>
                <w:rFonts w:ascii="宋体" w:hAnsi="宋体" w:cs="宋体"/>
                <w:szCs w:val="21"/>
              </w:rPr>
            </w:pPr>
            <w:r>
              <w:rPr>
                <w:rFonts w:hint="eastAsia" w:ascii="宋体" w:hAnsi="宋体" w:cs="宋体"/>
                <w:szCs w:val="21"/>
              </w:rPr>
              <w:t>2.如涉及人员工作经验的，要求提供拟安排项目</w:t>
            </w:r>
            <w:r>
              <w:rPr>
                <w:rFonts w:ascii="宋体" w:hAnsi="宋体" w:cs="宋体"/>
                <w:szCs w:val="21"/>
              </w:rPr>
              <w:t>主要团队成员</w:t>
            </w:r>
            <w:r>
              <w:rPr>
                <w:rFonts w:hint="eastAsia" w:ascii="宋体" w:hAnsi="宋体" w:cs="宋体"/>
                <w:szCs w:val="21"/>
              </w:rPr>
              <w:t>的团体意外险服务经验的证明材料，如项目服务合同关键信息，通过合同关键信息无法判断是否得分的，须同时提供投标人出具的承诺函（格式自拟），证明材料均须加盖投标人公章，原件备查。</w:t>
            </w:r>
          </w:p>
          <w:p>
            <w:pPr>
              <w:widowControl/>
              <w:spacing w:line="360" w:lineRule="auto"/>
              <w:rPr>
                <w:rFonts w:ascii="宋体" w:hAnsi="宋体" w:cs="宋体"/>
                <w:szCs w:val="21"/>
              </w:rPr>
            </w:pPr>
            <w:r>
              <w:rPr>
                <w:rFonts w:hint="eastAsia" w:ascii="宋体" w:hAnsi="宋体" w:cs="宋体"/>
                <w:szCs w:val="21"/>
              </w:rPr>
              <w:t>3.提供团队成员毕业证书（或学位证书）及学信网查询记录，对于学信网无法查询的需提供毕业院校或人社部门或教育部门等颁发机构或监管机构等单位出具的证明；海外留学人员学历无法通过学信网站查询的，需提供教育部留学服务中心出具的学历学位认证书及教育部留学服务中心官网查询截图；</w:t>
            </w:r>
          </w:p>
          <w:p>
            <w:pPr>
              <w:widowControl/>
              <w:spacing w:line="360" w:lineRule="auto"/>
              <w:rPr>
                <w:rFonts w:ascii="宋体" w:hAnsi="宋体" w:cs="宋体"/>
                <w:szCs w:val="21"/>
              </w:rPr>
            </w:pPr>
            <w:r>
              <w:rPr>
                <w:rFonts w:hint="eastAsia" w:ascii="宋体" w:hAnsi="宋体"/>
                <w:szCs w:val="21"/>
              </w:rPr>
              <w:t>4.提供以上证明文件复印件或扫描件，如涉及网站截图或照片等证明材料，需提供清晰图片，均要求加盖投标人公章，原件备查。未按要求提供有效证明材料或提供不清晰导致评委无法识别的不计得分。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65" w:type="dxa"/>
            <w:vMerge w:val="restart"/>
            <w:tcBorders>
              <w:left w:val="double" w:color="auto" w:sz="4" w:space="0"/>
            </w:tcBorders>
            <w:vAlign w:val="center"/>
          </w:tcPr>
          <w:p>
            <w:pPr>
              <w:adjustRightInd w:val="0"/>
              <w:spacing w:line="360" w:lineRule="auto"/>
              <w:jc w:val="center"/>
              <w:rPr>
                <w:rFonts w:ascii="宋体" w:hAnsi="宋体" w:cs="宋体"/>
                <w:snapToGrid w:val="0"/>
                <w:kern w:val="0"/>
                <w:szCs w:val="21"/>
              </w:rPr>
            </w:pPr>
            <w:r>
              <w:rPr>
                <w:rFonts w:hint="eastAsia" w:ascii="宋体" w:hAnsi="宋体" w:cs="宋体"/>
                <w:snapToGrid w:val="0"/>
                <w:kern w:val="0"/>
                <w:szCs w:val="21"/>
              </w:rPr>
              <w:t>商务部分（S）</w:t>
            </w:r>
          </w:p>
          <w:p>
            <w:pPr>
              <w:adjustRightInd w:val="0"/>
              <w:spacing w:line="360" w:lineRule="auto"/>
              <w:jc w:val="center"/>
              <w:rPr>
                <w:rFonts w:ascii="宋体" w:hAnsi="宋体" w:cs="宋体"/>
                <w:snapToGrid w:val="0"/>
                <w:kern w:val="0"/>
                <w:szCs w:val="21"/>
              </w:rPr>
            </w:pPr>
            <w:r>
              <w:rPr>
                <w:rFonts w:hint="eastAsia" w:ascii="宋体" w:hAnsi="宋体" w:cs="宋体"/>
                <w:snapToGrid w:val="0"/>
                <w:kern w:val="0"/>
                <w:szCs w:val="21"/>
              </w:rPr>
              <w:t>（总分33分）</w:t>
            </w:r>
          </w:p>
        </w:tc>
        <w:tc>
          <w:tcPr>
            <w:tcW w:w="1144" w:type="dxa"/>
            <w:vAlign w:val="center"/>
          </w:tcPr>
          <w:p>
            <w:pPr>
              <w:widowControl/>
              <w:spacing w:line="360" w:lineRule="auto"/>
              <w:jc w:val="center"/>
              <w:rPr>
                <w:rFonts w:ascii="宋体" w:hAnsi="宋体" w:cs="宋体"/>
                <w:szCs w:val="21"/>
              </w:rPr>
            </w:pPr>
            <w:r>
              <w:rPr>
                <w:rFonts w:hint="eastAsia" w:ascii="宋体" w:hAnsi="宋体" w:cs="宋体"/>
                <w:szCs w:val="21"/>
              </w:rPr>
              <w:t>投标人服务质量情况</w:t>
            </w:r>
          </w:p>
        </w:tc>
        <w:tc>
          <w:tcPr>
            <w:tcW w:w="850" w:type="dxa"/>
            <w:tcBorders>
              <w:right w:val="single" w:color="auto" w:sz="4" w:space="0"/>
            </w:tcBorders>
            <w:vAlign w:val="center"/>
          </w:tcPr>
          <w:p>
            <w:pPr>
              <w:widowControl/>
              <w:spacing w:line="360" w:lineRule="auto"/>
              <w:jc w:val="center"/>
              <w:rPr>
                <w:rFonts w:ascii="宋体" w:hAnsi="宋体" w:cs="宋体"/>
                <w:szCs w:val="21"/>
              </w:rPr>
            </w:pPr>
            <w:r>
              <w:rPr>
                <w:rFonts w:hint="eastAsia" w:ascii="宋体" w:hAnsi="宋体" w:cs="宋体"/>
                <w:szCs w:val="21"/>
              </w:rPr>
              <w:t>10</w:t>
            </w:r>
          </w:p>
        </w:tc>
        <w:tc>
          <w:tcPr>
            <w:tcW w:w="6261" w:type="dxa"/>
            <w:tcBorders>
              <w:left w:val="single" w:color="auto" w:sz="4" w:space="0"/>
              <w:right w:val="double" w:color="auto" w:sz="4" w:space="0"/>
            </w:tcBorders>
          </w:tcPr>
          <w:p>
            <w:pPr>
              <w:widowControl/>
              <w:spacing w:line="360" w:lineRule="auto"/>
              <w:rPr>
                <w:rFonts w:ascii="宋体" w:hAnsi="宋体" w:cs="宋体"/>
                <w:szCs w:val="21"/>
              </w:rPr>
            </w:pPr>
            <w:r>
              <w:rPr>
                <w:rFonts w:hint="eastAsia" w:ascii="宋体" w:hAnsi="宋体" w:cs="宋体"/>
                <w:szCs w:val="21"/>
              </w:rPr>
              <w:t>评审内容：</w:t>
            </w:r>
          </w:p>
          <w:p>
            <w:pPr>
              <w:widowControl/>
              <w:spacing w:line="360" w:lineRule="auto"/>
              <w:rPr>
                <w:rFonts w:ascii="宋体" w:hAnsi="宋体" w:cs="宋体"/>
                <w:szCs w:val="21"/>
                <w:highlight w:val="none"/>
              </w:rPr>
            </w:pPr>
            <w:r>
              <w:rPr>
                <w:rFonts w:hint="eastAsia" w:ascii="宋体" w:hAnsi="宋体" w:cs="宋体"/>
                <w:szCs w:val="21"/>
              </w:rPr>
              <w:t>考察投标人总公司2022年2季度-2023年1季度</w:t>
            </w:r>
            <w:r>
              <w:rPr>
                <w:rFonts w:hint="eastAsia"/>
              </w:rPr>
              <w:t>（共4个季度）</w:t>
            </w:r>
            <w:r>
              <w:rPr>
                <w:rFonts w:hint="eastAsia" w:ascii="宋体" w:hAnsi="宋体" w:cs="宋体"/>
                <w:szCs w:val="21"/>
              </w:rPr>
              <w:t>万张保单投</w:t>
            </w:r>
            <w:r>
              <w:rPr>
                <w:rFonts w:hint="eastAsia" w:ascii="宋体" w:hAnsi="宋体" w:cs="宋体"/>
                <w:szCs w:val="21"/>
                <w:highlight w:val="none"/>
              </w:rPr>
              <w:t>诉量平均值（件/万张）情况，进行评分：</w:t>
            </w:r>
          </w:p>
          <w:p>
            <w:pPr>
              <w:widowControl/>
              <w:spacing w:line="360" w:lineRule="auto"/>
              <w:rPr>
                <w:rFonts w:ascii="宋体" w:hAnsi="宋体" w:cs="宋体"/>
                <w:szCs w:val="21"/>
                <w:highlight w:val="none"/>
              </w:rPr>
            </w:pPr>
            <w:r>
              <w:rPr>
                <w:rFonts w:hint="eastAsia" w:ascii="宋体" w:hAnsi="宋体" w:cs="宋体"/>
                <w:szCs w:val="21"/>
                <w:highlight w:val="none"/>
              </w:rPr>
              <w:t>（1）投诉量在（0，0.01]区间的，得10分；</w:t>
            </w:r>
          </w:p>
          <w:p>
            <w:pPr>
              <w:widowControl/>
              <w:spacing w:line="360" w:lineRule="auto"/>
              <w:rPr>
                <w:rFonts w:ascii="宋体" w:hAnsi="宋体" w:cs="宋体"/>
                <w:szCs w:val="21"/>
                <w:highlight w:val="none"/>
              </w:rPr>
            </w:pPr>
            <w:r>
              <w:rPr>
                <w:rFonts w:hint="eastAsia" w:ascii="宋体" w:hAnsi="宋体" w:cs="宋体"/>
                <w:szCs w:val="21"/>
                <w:highlight w:val="none"/>
              </w:rPr>
              <w:t>（2）投诉量在（0.01，0.1]区间的，得7分；</w:t>
            </w:r>
          </w:p>
          <w:p>
            <w:pPr>
              <w:widowControl/>
              <w:spacing w:line="360" w:lineRule="auto"/>
              <w:rPr>
                <w:rFonts w:ascii="宋体" w:hAnsi="宋体" w:cs="宋体"/>
                <w:szCs w:val="21"/>
              </w:rPr>
            </w:pPr>
            <w:r>
              <w:rPr>
                <w:rFonts w:hint="eastAsia" w:ascii="宋体" w:hAnsi="宋体" w:cs="宋体"/>
                <w:szCs w:val="21"/>
                <w:highlight w:val="none"/>
              </w:rPr>
              <w:t>（3）投诉量在（0.1，0.3]区间的，</w:t>
            </w:r>
            <w:r>
              <w:rPr>
                <w:rFonts w:hint="eastAsia" w:ascii="宋体" w:hAnsi="宋体" w:cs="宋体"/>
                <w:szCs w:val="21"/>
              </w:rPr>
              <w:t>得4分；</w:t>
            </w:r>
          </w:p>
          <w:p>
            <w:pPr>
              <w:widowControl/>
              <w:spacing w:line="360" w:lineRule="auto"/>
              <w:rPr>
                <w:rFonts w:ascii="宋体" w:hAnsi="宋体" w:cs="宋体"/>
                <w:szCs w:val="21"/>
              </w:rPr>
            </w:pPr>
            <w:r>
              <w:rPr>
                <w:rFonts w:hint="eastAsia" w:ascii="宋体" w:hAnsi="宋体" w:cs="宋体"/>
                <w:szCs w:val="21"/>
              </w:rPr>
              <w:t>（4）投诉量＞0.3的，不得分。</w:t>
            </w:r>
          </w:p>
          <w:p>
            <w:pPr>
              <w:widowControl/>
              <w:spacing w:line="360" w:lineRule="auto"/>
              <w:rPr>
                <w:rFonts w:ascii="宋体" w:hAnsi="宋体" w:cs="宋体"/>
                <w:szCs w:val="21"/>
              </w:rPr>
            </w:pPr>
            <w:r>
              <w:rPr>
                <w:rFonts w:hint="eastAsia" w:ascii="宋体" w:hAnsi="宋体" w:cs="宋体"/>
                <w:szCs w:val="21"/>
              </w:rPr>
              <w:t>评审依据：</w:t>
            </w:r>
          </w:p>
          <w:p>
            <w:pPr>
              <w:spacing w:line="360" w:lineRule="auto"/>
              <w:rPr>
                <w:rFonts w:ascii="宋体" w:hAnsi="宋体" w:cs="宋体"/>
              </w:rPr>
            </w:pPr>
            <w:r>
              <w:rPr>
                <w:rFonts w:hint="eastAsia" w:ascii="宋体" w:hAnsi="宋体" w:cs="宋体"/>
              </w:rPr>
              <w:t>（1）《中国银保监会消费者权益保护局关于2022年第二季度保险消费投诉情况的通报》（银保监消保发[2022]11号）中的附件《保险消费投诉情况统计表》。查询链接：</w:t>
            </w:r>
          </w:p>
          <w:p>
            <w:pPr>
              <w:spacing w:line="360" w:lineRule="auto"/>
              <w:rPr>
                <w:rFonts w:ascii="宋体" w:hAnsi="宋体" w:cs="宋体"/>
              </w:rPr>
            </w:pPr>
            <w:r>
              <w:rPr>
                <w:rFonts w:hint="eastAsia" w:ascii="宋体" w:hAnsi="宋体" w:cs="宋体"/>
              </w:rPr>
              <w:t>http://www.cbirc.gov.cn/cn/view/pages/ItemDetail.html?docId=1075275&amp;itemId=925&amp;generaltype=0</w:t>
            </w:r>
          </w:p>
          <w:p>
            <w:pPr>
              <w:spacing w:line="360" w:lineRule="auto"/>
              <w:rPr>
                <w:rFonts w:ascii="宋体" w:hAnsi="宋体" w:cs="宋体"/>
              </w:rPr>
            </w:pPr>
            <w:r>
              <w:rPr>
                <w:rFonts w:hint="eastAsia" w:ascii="宋体" w:hAnsi="宋体" w:cs="宋体"/>
              </w:rPr>
              <w:t>（2）《中国银保监会消费者权益保护局关于2022年第三季度保险消费投诉情况的通报》（银保监消保发[2023]2号）中的附件《保险消费投诉情况统计表》。查询链接：</w:t>
            </w:r>
          </w:p>
          <w:p>
            <w:pPr>
              <w:spacing w:line="360" w:lineRule="auto"/>
              <w:rPr>
                <w:rFonts w:ascii="宋体" w:hAnsi="宋体" w:cs="宋体"/>
              </w:rPr>
            </w:pPr>
            <w:r>
              <w:rPr>
                <w:rFonts w:hint="eastAsia" w:ascii="宋体" w:hAnsi="宋体" w:cs="宋体"/>
              </w:rPr>
              <w:t>http://www.cbirc.gov.cn/cn/view/pages/ItemDetail.html?docId=1093470&amp;itemId=925&amp;generaltype=0</w:t>
            </w:r>
          </w:p>
          <w:p>
            <w:pPr>
              <w:spacing w:line="360" w:lineRule="auto"/>
              <w:rPr>
                <w:rFonts w:ascii="宋体" w:hAnsi="宋体" w:cs="宋体"/>
              </w:rPr>
            </w:pPr>
            <w:r>
              <w:rPr>
                <w:rFonts w:hint="eastAsia" w:ascii="宋体" w:hAnsi="宋体" w:cs="宋体"/>
              </w:rPr>
              <w:t>（3）《中国银保监会消费者权益保护局关于2022年第四季度保险消费投诉情况的通报》（银保监消保发[2023]4号）中的附件《保险消费投诉情况统计表》。查询链接：</w:t>
            </w:r>
          </w:p>
          <w:p>
            <w:pPr>
              <w:spacing w:line="360" w:lineRule="auto"/>
              <w:rPr>
                <w:rFonts w:ascii="宋体" w:hAnsi="宋体" w:cs="宋体"/>
              </w:rPr>
            </w:pPr>
            <w:r>
              <w:rPr>
                <w:rFonts w:hint="eastAsia" w:ascii="宋体" w:hAnsi="宋体" w:cs="宋体"/>
              </w:rPr>
              <w:t>http://www.cbirc.gov.cn/cn/view/pages/ItemDetail.html?docId=1100596&amp;itemId=4099&amp;generaltype=0</w:t>
            </w:r>
          </w:p>
          <w:p>
            <w:pPr>
              <w:spacing w:line="360" w:lineRule="auto"/>
              <w:rPr>
                <w:rFonts w:ascii="宋体" w:hAnsi="宋体" w:cs="宋体"/>
              </w:rPr>
            </w:pPr>
            <w:r>
              <w:rPr>
                <w:rFonts w:hint="eastAsia" w:ascii="宋体" w:hAnsi="宋体" w:cs="宋体"/>
              </w:rPr>
              <w:t>（4）《国家金融监督管理总局关于2023年第一季度保险消费投诉情况的通报》（银保监消保发[2023]6号）中的附件《保险消费投诉情况统计表》。查询链接：</w:t>
            </w:r>
          </w:p>
          <w:p>
            <w:pPr>
              <w:spacing w:line="360" w:lineRule="auto"/>
              <w:rPr>
                <w:rFonts w:ascii="宋体" w:hAnsi="宋体" w:cs="宋体"/>
              </w:rPr>
            </w:pPr>
            <w:r>
              <w:rPr>
                <w:rFonts w:hint="eastAsia" w:ascii="宋体" w:hAnsi="宋体" w:cs="宋体"/>
              </w:rPr>
              <w:t>http://www.cbirc.gov.cn/cn/view/pages/ItemDetail.html?docId=1113177&amp;itemId=925&amp;generaltype=0</w:t>
            </w:r>
          </w:p>
          <w:p>
            <w:pPr>
              <w:widowControl/>
              <w:spacing w:line="360" w:lineRule="auto"/>
              <w:rPr>
                <w:rFonts w:ascii="宋体" w:hAnsi="宋体" w:cs="宋体"/>
                <w:szCs w:val="21"/>
              </w:rPr>
            </w:pPr>
            <w:r>
              <w:rPr>
                <w:rFonts w:hint="eastAsia" w:ascii="宋体" w:hAnsi="宋体" w:cs="宋体"/>
              </w:rPr>
              <w:t>以上材料均须提供相关截图并列明四个季度平均值的计算公式，加盖投标人公章。</w:t>
            </w:r>
          </w:p>
          <w:p>
            <w:pPr>
              <w:widowControl/>
              <w:spacing w:line="360" w:lineRule="auto"/>
              <w:rPr>
                <w:rFonts w:ascii="宋体" w:hAnsi="宋体" w:cs="宋体"/>
                <w:szCs w:val="21"/>
              </w:rPr>
            </w:pPr>
            <w:r>
              <w:rPr>
                <w:rFonts w:hint="eastAsia" w:ascii="宋体" w:hAnsi="宋体" w:cs="宋体"/>
                <w:szCs w:val="21"/>
              </w:rPr>
              <w:t>如未按要求提供证明材料，或所提供的证明材未能体现上述评分内容的，视为该证明材料无效。</w:t>
            </w:r>
          </w:p>
          <w:p>
            <w:pPr>
              <w:widowControl/>
              <w:spacing w:line="360" w:lineRule="auto"/>
              <w:rPr>
                <w:rFonts w:ascii="宋体" w:hAnsi="宋体" w:cs="宋体"/>
                <w:szCs w:val="21"/>
              </w:rPr>
            </w:pPr>
            <w:r>
              <w:rPr>
                <w:rFonts w:hint="eastAsia" w:ascii="宋体" w:hAnsi="宋体" w:cs="宋体"/>
                <w:szCs w:val="21"/>
              </w:rPr>
              <w:t>注：如投标供应商为新成立的公司，未被上述统计表纳入数据统计的，提供相关情况说明，视为得10分。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Merge w:val="continue"/>
            <w:tcBorders>
              <w:left w:val="double" w:color="auto" w:sz="4" w:space="0"/>
            </w:tcBorders>
            <w:vAlign w:val="center"/>
          </w:tcPr>
          <w:p>
            <w:pPr>
              <w:adjustRightInd w:val="0"/>
              <w:spacing w:line="360" w:lineRule="auto"/>
              <w:jc w:val="center"/>
              <w:rPr>
                <w:rFonts w:ascii="宋体" w:hAnsi="宋体" w:cs="宋体"/>
                <w:snapToGrid w:val="0"/>
                <w:kern w:val="0"/>
                <w:szCs w:val="21"/>
              </w:rPr>
            </w:pPr>
          </w:p>
        </w:tc>
        <w:tc>
          <w:tcPr>
            <w:tcW w:w="1144" w:type="dxa"/>
            <w:vAlign w:val="center"/>
          </w:tcPr>
          <w:p>
            <w:pPr>
              <w:widowControl/>
              <w:spacing w:line="360" w:lineRule="auto"/>
              <w:jc w:val="center"/>
              <w:rPr>
                <w:rFonts w:ascii="宋体" w:hAnsi="宋体" w:cs="宋体"/>
                <w:szCs w:val="21"/>
              </w:rPr>
            </w:pPr>
            <w:r>
              <w:rPr>
                <w:rFonts w:hint="eastAsia" w:ascii="宋体" w:hAnsi="宋体" w:cs="宋体"/>
                <w:szCs w:val="21"/>
              </w:rPr>
              <w:t>投标人同类项目业绩情况</w:t>
            </w:r>
          </w:p>
        </w:tc>
        <w:tc>
          <w:tcPr>
            <w:tcW w:w="850" w:type="dxa"/>
            <w:tcBorders>
              <w:right w:val="single" w:color="auto" w:sz="4" w:space="0"/>
            </w:tcBorders>
            <w:vAlign w:val="center"/>
          </w:tcPr>
          <w:p>
            <w:pPr>
              <w:widowControl/>
              <w:wordWrap w:val="0"/>
              <w:spacing w:line="360" w:lineRule="auto"/>
              <w:jc w:val="center"/>
              <w:rPr>
                <w:rFonts w:hint="eastAsia" w:ascii="宋体" w:hAnsi="宋体" w:eastAsia="宋体" w:cs="宋体"/>
                <w:snapToGrid w:val="0"/>
                <w:kern w:val="0"/>
                <w:szCs w:val="21"/>
                <w:lang w:eastAsia="zh-CN"/>
              </w:rPr>
            </w:pPr>
            <w:r>
              <w:rPr>
                <w:rFonts w:hint="eastAsia" w:ascii="宋体" w:hAnsi="宋体" w:cs="宋体"/>
                <w:szCs w:val="21"/>
                <w:lang w:val="en-US" w:eastAsia="zh-CN"/>
              </w:rPr>
              <w:t>8</w:t>
            </w:r>
          </w:p>
        </w:tc>
        <w:tc>
          <w:tcPr>
            <w:tcW w:w="6261" w:type="dxa"/>
            <w:tcBorders>
              <w:left w:val="single" w:color="auto" w:sz="4" w:space="0"/>
              <w:right w:val="double" w:color="auto" w:sz="4" w:space="0"/>
            </w:tcBorders>
          </w:tcPr>
          <w:p>
            <w:pPr>
              <w:widowControl/>
              <w:spacing w:line="360" w:lineRule="auto"/>
              <w:rPr>
                <w:rFonts w:ascii="宋体" w:hAnsi="宋体" w:cs="宋体"/>
                <w:szCs w:val="21"/>
              </w:rPr>
            </w:pPr>
            <w:r>
              <w:rPr>
                <w:rFonts w:hint="eastAsia" w:ascii="宋体" w:hAnsi="宋体" w:cs="宋体"/>
                <w:szCs w:val="21"/>
              </w:rPr>
              <w:t>评审内容：</w:t>
            </w:r>
          </w:p>
          <w:p>
            <w:pPr>
              <w:widowControl/>
              <w:spacing w:line="360" w:lineRule="auto"/>
              <w:rPr>
                <w:rFonts w:ascii="宋体" w:hAnsi="宋体" w:cs="宋体"/>
                <w:szCs w:val="21"/>
              </w:rPr>
            </w:pPr>
            <w:r>
              <w:rPr>
                <w:rFonts w:hint="eastAsia" w:ascii="宋体" w:hAnsi="宋体" w:cs="宋体"/>
                <w:szCs w:val="21"/>
              </w:rPr>
              <w:t>投标人自202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月1日至本项目投标截止之日（以合同签订日期</w:t>
            </w:r>
            <w:r>
              <w:rPr>
                <w:rFonts w:hint="eastAsia"/>
                <w:lang w:eastAsia="zh-CN"/>
              </w:rPr>
              <w:t>或合同载明的履约起始日期</w:t>
            </w:r>
            <w:r>
              <w:rPr>
                <w:rFonts w:hint="eastAsia" w:ascii="宋体" w:hAnsi="宋体" w:cs="宋体"/>
                <w:szCs w:val="21"/>
              </w:rPr>
              <w:t>为准）,具有独家或主承保的</w:t>
            </w:r>
            <w:r>
              <w:rPr>
                <w:rFonts w:hint="eastAsia" w:ascii="宋体" w:hAnsi="宋体" w:cs="宋体"/>
                <w:szCs w:val="21"/>
                <w:lang w:eastAsia="zh-CN"/>
              </w:rPr>
              <w:t>政府部门或国家机关或事业单位</w:t>
            </w:r>
            <w:r>
              <w:rPr>
                <w:rFonts w:hint="eastAsia" w:ascii="宋体" w:hAnsi="宋体" w:cs="宋体"/>
                <w:szCs w:val="21"/>
              </w:rPr>
              <w:t>团体意外险的，每提供一个项目业绩得</w:t>
            </w:r>
            <w:r>
              <w:rPr>
                <w:rFonts w:hint="eastAsia" w:ascii="宋体" w:hAnsi="宋体" w:cs="宋体"/>
                <w:szCs w:val="21"/>
                <w:lang w:val="en-US" w:eastAsia="zh-CN"/>
              </w:rPr>
              <w:t>4</w:t>
            </w:r>
            <w:r>
              <w:rPr>
                <w:rFonts w:hint="eastAsia" w:ascii="宋体" w:hAnsi="宋体" w:cs="宋体"/>
                <w:szCs w:val="21"/>
              </w:rPr>
              <w:t>分，最高得</w:t>
            </w:r>
            <w:r>
              <w:rPr>
                <w:rFonts w:hint="eastAsia" w:ascii="宋体" w:hAnsi="宋体" w:cs="宋体"/>
                <w:szCs w:val="21"/>
                <w:lang w:val="en-US" w:eastAsia="zh-CN"/>
              </w:rPr>
              <w:t>8</w:t>
            </w:r>
            <w:r>
              <w:rPr>
                <w:rFonts w:hint="eastAsia" w:ascii="宋体" w:hAnsi="宋体" w:cs="宋体"/>
                <w:szCs w:val="21"/>
              </w:rPr>
              <w:t>分。</w:t>
            </w:r>
          </w:p>
          <w:p>
            <w:pPr>
              <w:widowControl/>
              <w:spacing w:line="360" w:lineRule="auto"/>
              <w:rPr>
                <w:rFonts w:ascii="宋体" w:hAnsi="宋体" w:cs="宋体"/>
                <w:szCs w:val="21"/>
              </w:rPr>
            </w:pPr>
            <w:r>
              <w:rPr>
                <w:rFonts w:hint="eastAsia" w:ascii="宋体" w:hAnsi="宋体" w:cs="宋体"/>
                <w:szCs w:val="21"/>
              </w:rPr>
              <w:t>注：投保人为同一单位的只按一次计算，不重复算分（投保人内设机构或直属单位视为同一单位）。</w:t>
            </w:r>
          </w:p>
          <w:p>
            <w:pPr>
              <w:widowControl/>
              <w:spacing w:line="360" w:lineRule="auto"/>
              <w:rPr>
                <w:rFonts w:ascii="宋体" w:hAnsi="宋体" w:cs="宋体"/>
                <w:szCs w:val="21"/>
              </w:rPr>
            </w:pPr>
            <w:r>
              <w:rPr>
                <w:rFonts w:hint="eastAsia" w:ascii="宋体" w:hAnsi="宋体" w:cs="宋体"/>
                <w:szCs w:val="21"/>
              </w:rPr>
              <w:t>评审依据：</w:t>
            </w:r>
          </w:p>
          <w:p>
            <w:pPr>
              <w:widowControl/>
              <w:spacing w:line="360" w:lineRule="auto"/>
              <w:rPr>
                <w:rFonts w:ascii="宋体" w:hAnsi="宋体" w:cs="宋体"/>
                <w:szCs w:val="21"/>
              </w:rPr>
            </w:pPr>
            <w:r>
              <w:rPr>
                <w:rFonts w:hint="eastAsia" w:ascii="宋体" w:hAnsi="宋体" w:cs="宋体"/>
                <w:szCs w:val="21"/>
              </w:rPr>
              <w:t>1.提供保险合同关键页或保单关键页作为得分依据；</w:t>
            </w:r>
          </w:p>
          <w:p>
            <w:pPr>
              <w:widowControl/>
              <w:spacing w:line="360" w:lineRule="auto"/>
              <w:rPr>
                <w:rFonts w:ascii="宋体" w:hAnsi="宋体" w:cs="宋体"/>
                <w:szCs w:val="21"/>
              </w:rPr>
            </w:pPr>
            <w:r>
              <w:rPr>
                <w:rFonts w:hint="eastAsia" w:ascii="宋体" w:hAnsi="宋体" w:cs="宋体"/>
                <w:szCs w:val="21"/>
              </w:rPr>
              <w:t>2.通过合同关键信息无法判断是否得分的，还须同时提供能证明得分的其它证明资料，如项目报告或合同甲方出具的证明文件；</w:t>
            </w:r>
          </w:p>
          <w:p>
            <w:pPr>
              <w:widowControl/>
              <w:spacing w:line="360" w:lineRule="auto"/>
              <w:rPr>
                <w:rFonts w:ascii="宋体" w:hAnsi="宋体" w:cs="宋体"/>
                <w:szCs w:val="21"/>
              </w:rPr>
            </w:pPr>
            <w:r>
              <w:rPr>
                <w:rFonts w:hint="eastAsia" w:ascii="宋体" w:hAnsi="宋体" w:cs="宋体"/>
                <w:szCs w:val="21"/>
              </w:rPr>
              <w:t>3.</w:t>
            </w:r>
            <w:r>
              <w:rPr>
                <w:rFonts w:hint="eastAsia" w:ascii="宋体" w:hAnsi="宋体"/>
                <w:szCs w:val="21"/>
              </w:rPr>
              <w:t>提供以上证明文件复印件或扫描件，如涉及网站截图或照片等证明材料，需提供清晰图片，均要求加盖投标人公章，原件备查。未按要求提供有效证明材料或提供不清晰导致评委无法识别的不计得分。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Merge w:val="continue"/>
            <w:tcBorders>
              <w:left w:val="double" w:color="auto" w:sz="4" w:space="0"/>
            </w:tcBorders>
            <w:vAlign w:val="center"/>
          </w:tcPr>
          <w:p>
            <w:pPr>
              <w:adjustRightInd w:val="0"/>
              <w:spacing w:line="360" w:lineRule="auto"/>
              <w:jc w:val="center"/>
              <w:rPr>
                <w:rFonts w:ascii="宋体" w:hAnsi="宋体" w:cs="宋体"/>
                <w:snapToGrid w:val="0"/>
                <w:kern w:val="0"/>
                <w:szCs w:val="21"/>
              </w:rPr>
            </w:pPr>
          </w:p>
        </w:tc>
        <w:tc>
          <w:tcPr>
            <w:tcW w:w="1144" w:type="dxa"/>
            <w:vAlign w:val="center"/>
          </w:tcPr>
          <w:p>
            <w:pPr>
              <w:widowControl/>
              <w:wordWrap w:val="0"/>
              <w:spacing w:line="360" w:lineRule="auto"/>
              <w:jc w:val="center"/>
              <w:rPr>
                <w:rFonts w:ascii="宋体" w:hAnsi="宋体" w:cs="宋体"/>
                <w:szCs w:val="21"/>
              </w:rPr>
            </w:pPr>
            <w:r>
              <w:rPr>
                <w:rFonts w:hint="eastAsia" w:ascii="宋体" w:hAnsi="宋体" w:cs="宋体"/>
                <w:szCs w:val="21"/>
              </w:rPr>
              <w:t>核心偿付能力充足率</w:t>
            </w:r>
          </w:p>
        </w:tc>
        <w:tc>
          <w:tcPr>
            <w:tcW w:w="850" w:type="dxa"/>
            <w:tcBorders>
              <w:right w:val="single" w:color="auto" w:sz="4" w:space="0"/>
            </w:tcBorders>
            <w:vAlign w:val="center"/>
          </w:tcPr>
          <w:p>
            <w:pPr>
              <w:widowControl/>
              <w:wordWrap w:val="0"/>
              <w:spacing w:line="360" w:lineRule="auto"/>
              <w:jc w:val="center"/>
              <w:rPr>
                <w:rFonts w:ascii="宋体" w:hAnsi="宋体" w:cs="宋体"/>
                <w:szCs w:val="21"/>
              </w:rPr>
            </w:pPr>
            <w:r>
              <w:rPr>
                <w:rFonts w:hint="eastAsia" w:ascii="宋体" w:hAnsi="宋体" w:cs="宋体"/>
                <w:szCs w:val="21"/>
              </w:rPr>
              <w:t>10</w:t>
            </w:r>
          </w:p>
        </w:tc>
        <w:tc>
          <w:tcPr>
            <w:tcW w:w="6261" w:type="dxa"/>
            <w:tcBorders>
              <w:left w:val="single" w:color="auto" w:sz="4" w:space="0"/>
              <w:right w:val="double" w:color="auto" w:sz="4" w:space="0"/>
            </w:tcBorders>
          </w:tcPr>
          <w:p>
            <w:pPr>
              <w:widowControl/>
              <w:spacing w:line="360" w:lineRule="auto"/>
              <w:rPr>
                <w:rFonts w:ascii="宋体" w:hAnsi="宋体" w:cs="宋体"/>
                <w:szCs w:val="21"/>
              </w:rPr>
            </w:pPr>
            <w:r>
              <w:rPr>
                <w:rFonts w:hint="eastAsia" w:ascii="宋体" w:hAnsi="宋体" w:cs="宋体"/>
                <w:szCs w:val="21"/>
              </w:rPr>
              <w:t>评审内容：</w:t>
            </w:r>
          </w:p>
          <w:p>
            <w:pPr>
              <w:widowControl/>
              <w:spacing w:line="360" w:lineRule="auto"/>
              <w:rPr>
                <w:rFonts w:ascii="宋体" w:hAnsi="宋体" w:cs="宋体"/>
                <w:szCs w:val="21"/>
              </w:rPr>
            </w:pPr>
            <w:r>
              <w:rPr>
                <w:rFonts w:hint="eastAsia" w:ascii="宋体" w:hAnsi="宋体" w:cs="宋体"/>
                <w:szCs w:val="21"/>
              </w:rPr>
              <w:t>考察投标人于2023年第三季度总公司核心偿付能力充足率情况，进行评分：</w:t>
            </w:r>
          </w:p>
          <w:p>
            <w:pPr>
              <w:widowControl/>
              <w:spacing w:line="360" w:lineRule="auto"/>
              <w:rPr>
                <w:rFonts w:ascii="宋体" w:hAnsi="宋体" w:cs="宋体"/>
                <w:szCs w:val="21"/>
              </w:rPr>
            </w:pPr>
            <w:r>
              <w:rPr>
                <w:rFonts w:hint="eastAsia" w:ascii="宋体" w:hAnsi="宋体" w:cs="宋体"/>
                <w:szCs w:val="21"/>
              </w:rPr>
              <w:t>（1）核心偿付能力充足率≥150%的，得10分；</w:t>
            </w:r>
          </w:p>
          <w:p>
            <w:pPr>
              <w:widowControl/>
              <w:spacing w:line="360" w:lineRule="auto"/>
              <w:rPr>
                <w:rFonts w:ascii="宋体" w:hAnsi="宋体" w:cs="宋体"/>
                <w:szCs w:val="21"/>
              </w:rPr>
            </w:pPr>
            <w:r>
              <w:rPr>
                <w:rFonts w:hint="eastAsia" w:ascii="宋体" w:hAnsi="宋体" w:cs="宋体"/>
                <w:szCs w:val="21"/>
              </w:rPr>
              <w:t>（2）150%＞核心偿付能力充足率≥100%的，得7分；</w:t>
            </w:r>
          </w:p>
          <w:p>
            <w:pPr>
              <w:widowControl/>
              <w:spacing w:line="360" w:lineRule="auto"/>
              <w:rPr>
                <w:rFonts w:ascii="宋体" w:hAnsi="宋体" w:cs="宋体"/>
                <w:szCs w:val="21"/>
              </w:rPr>
            </w:pPr>
            <w:r>
              <w:rPr>
                <w:rFonts w:hint="eastAsia" w:ascii="宋体" w:hAnsi="宋体" w:cs="宋体"/>
                <w:szCs w:val="21"/>
              </w:rPr>
              <w:t>（3）核心偿付能力充足率＜100%的，不得分。</w:t>
            </w:r>
          </w:p>
          <w:p>
            <w:pPr>
              <w:widowControl/>
              <w:spacing w:line="360" w:lineRule="auto"/>
              <w:rPr>
                <w:rFonts w:ascii="宋体" w:hAnsi="宋体" w:cs="宋体"/>
                <w:szCs w:val="21"/>
              </w:rPr>
            </w:pPr>
            <w:r>
              <w:rPr>
                <w:rFonts w:hint="eastAsia" w:ascii="宋体" w:hAnsi="宋体" w:cs="宋体"/>
                <w:szCs w:val="21"/>
              </w:rPr>
              <w:t>评审依据：</w:t>
            </w:r>
          </w:p>
          <w:p>
            <w:pPr>
              <w:widowControl/>
              <w:spacing w:line="360" w:lineRule="auto"/>
              <w:rPr>
                <w:rFonts w:ascii="宋体" w:hAnsi="宋体" w:cs="宋体"/>
                <w:szCs w:val="21"/>
              </w:rPr>
            </w:pPr>
            <w:r>
              <w:rPr>
                <w:rFonts w:hint="eastAsia" w:ascii="宋体" w:hAnsi="宋体" w:cs="宋体"/>
                <w:szCs w:val="21"/>
              </w:rPr>
              <w:t>1.</w:t>
            </w:r>
            <w:r>
              <w:rPr>
                <w:rFonts w:hint="eastAsia" w:ascii="宋体" w:hAnsi="宋体" w:cs="宋体"/>
                <w:kern w:val="0"/>
                <w:szCs w:val="21"/>
              </w:rPr>
              <w:t>提供在中国保险行业协会官方网站披露的偿付能力报告截图作为得分依据；</w:t>
            </w:r>
          </w:p>
          <w:p>
            <w:pPr>
              <w:widowControl/>
              <w:spacing w:line="360" w:lineRule="auto"/>
              <w:rPr>
                <w:rFonts w:ascii="宋体" w:hAnsi="宋体" w:cs="宋体"/>
                <w:szCs w:val="21"/>
              </w:rPr>
            </w:pPr>
            <w:r>
              <w:rPr>
                <w:rFonts w:hint="eastAsia" w:ascii="宋体" w:hAnsi="宋体" w:cs="宋体"/>
                <w:szCs w:val="21"/>
              </w:rPr>
              <w:t>2.</w:t>
            </w:r>
            <w:r>
              <w:rPr>
                <w:rFonts w:hint="eastAsia" w:ascii="宋体" w:hAnsi="宋体"/>
                <w:szCs w:val="21"/>
              </w:rPr>
              <w:t>提供以上证明文件复印件或扫描件，如涉及网站截图或照片等证明材料，需提供清晰图片，均要求加盖投标人公章，原件备查。未按要求提供有效证明材料或提供不清晰导致评委无法识别的不计得分。</w:t>
            </w:r>
          </w:p>
          <w:p>
            <w:pPr>
              <w:widowControl/>
              <w:spacing w:line="360" w:lineRule="auto"/>
              <w:rPr>
                <w:rFonts w:ascii="宋体" w:hAnsi="宋体" w:cs="宋体"/>
                <w:szCs w:val="21"/>
              </w:rPr>
            </w:pPr>
            <w:r>
              <w:rPr>
                <w:rFonts w:hint="eastAsia" w:ascii="宋体" w:hAnsi="宋体" w:cs="宋体"/>
                <w:szCs w:val="21"/>
              </w:rPr>
              <w:t>查询链接：</w:t>
            </w:r>
          </w:p>
          <w:p>
            <w:pPr>
              <w:widowControl/>
              <w:spacing w:line="360" w:lineRule="auto"/>
              <w:rPr>
                <w:rFonts w:ascii="宋体" w:hAnsi="宋体" w:cs="宋体"/>
                <w:szCs w:val="21"/>
              </w:rPr>
            </w:pPr>
            <w:r>
              <w:rPr>
                <w:rFonts w:hint="eastAsia" w:ascii="宋体" w:hAnsi="宋体" w:cs="宋体"/>
                <w:szCs w:val="21"/>
              </w:rPr>
              <w:t>http://icidp.iachina.cn/?columnid_url=2015120115460095</w:t>
            </w:r>
          </w:p>
          <w:p>
            <w:pPr>
              <w:widowControl/>
              <w:spacing w:line="360" w:lineRule="auto"/>
              <w:rPr>
                <w:rFonts w:ascii="宋体" w:hAnsi="宋体" w:cs="宋体"/>
                <w:szCs w:val="21"/>
              </w:rPr>
            </w:pPr>
            <w:r>
              <w:rPr>
                <w:rFonts w:hint="eastAsia" w:ascii="宋体" w:hAnsi="宋体" w:cs="宋体"/>
                <w:szCs w:val="21"/>
              </w:rPr>
              <w:t>注：如投标供应商为新成立的公司，未被上述统计表纳入数据统计的，提供相关情况说明，视为得10分。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7" w:hRule="atLeast"/>
          <w:jc w:val="center"/>
        </w:trPr>
        <w:tc>
          <w:tcPr>
            <w:tcW w:w="1065" w:type="dxa"/>
            <w:vMerge w:val="continue"/>
            <w:tcBorders>
              <w:left w:val="double" w:color="auto" w:sz="4" w:space="0"/>
            </w:tcBorders>
            <w:vAlign w:val="center"/>
          </w:tcPr>
          <w:p>
            <w:pPr>
              <w:adjustRightInd w:val="0"/>
              <w:spacing w:line="360" w:lineRule="auto"/>
              <w:jc w:val="center"/>
              <w:rPr>
                <w:rFonts w:ascii="宋体" w:hAnsi="宋体" w:cs="宋体"/>
                <w:snapToGrid w:val="0"/>
                <w:kern w:val="0"/>
                <w:szCs w:val="21"/>
              </w:rPr>
            </w:pPr>
          </w:p>
        </w:tc>
        <w:tc>
          <w:tcPr>
            <w:tcW w:w="1144" w:type="dxa"/>
            <w:vAlign w:val="center"/>
          </w:tcPr>
          <w:p>
            <w:pPr>
              <w:spacing w:line="360" w:lineRule="auto"/>
              <w:jc w:val="center"/>
              <w:rPr>
                <w:rFonts w:ascii="宋体" w:hAnsi="宋体" w:cs="宋体"/>
                <w:szCs w:val="21"/>
              </w:rPr>
            </w:pPr>
            <w:r>
              <w:rPr>
                <w:rFonts w:hint="eastAsia" w:ascii="宋体" w:hAnsi="宋体" w:cs="宋体"/>
                <w:szCs w:val="21"/>
              </w:rPr>
              <w:t>诚信评审</w:t>
            </w:r>
          </w:p>
        </w:tc>
        <w:tc>
          <w:tcPr>
            <w:tcW w:w="850" w:type="dxa"/>
            <w:tcBorders>
              <w:right w:val="single" w:color="auto" w:sz="4" w:space="0"/>
            </w:tcBorders>
            <w:vAlign w:val="center"/>
          </w:tcPr>
          <w:p>
            <w:pPr>
              <w:spacing w:line="360" w:lineRule="auto"/>
              <w:jc w:val="center"/>
              <w:rPr>
                <w:rFonts w:ascii="宋体" w:hAnsi="宋体" w:cs="宋体"/>
                <w:snapToGrid w:val="0"/>
                <w:kern w:val="0"/>
                <w:szCs w:val="21"/>
              </w:rPr>
            </w:pPr>
            <w:r>
              <w:rPr>
                <w:rFonts w:hint="eastAsia" w:ascii="宋体" w:hAnsi="宋体" w:cs="宋体"/>
                <w:szCs w:val="21"/>
              </w:rPr>
              <w:t>5</w:t>
            </w:r>
          </w:p>
        </w:tc>
        <w:tc>
          <w:tcPr>
            <w:tcW w:w="6261" w:type="dxa"/>
            <w:tcBorders>
              <w:left w:val="single" w:color="auto" w:sz="4" w:space="0"/>
              <w:right w:val="double" w:color="auto" w:sz="4" w:space="0"/>
            </w:tcBorders>
            <w:shd w:val="clear" w:color="auto" w:fill="auto"/>
            <w:vAlign w:val="center"/>
          </w:tcPr>
          <w:p>
            <w:pPr>
              <w:adjustRightInd w:val="0"/>
              <w:snapToGrid/>
              <w:spacing w:line="360" w:lineRule="auto"/>
              <w:rPr>
                <w:rFonts w:ascii="宋体" w:hAnsi="宋体" w:cs="宋体"/>
                <w:szCs w:val="21"/>
              </w:rPr>
            </w:pPr>
            <w:r>
              <w:rPr>
                <w:rFonts w:hint="eastAsia" w:ascii="宋体" w:hAnsi="宋体" w:cs="宋体"/>
                <w:szCs w:val="21"/>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w:t>
            </w:r>
            <w:r>
              <w:rPr>
                <w:rFonts w:hint="eastAsia" w:asciiTheme="minorEastAsia" w:hAnsiTheme="minorEastAsia" w:eastAsiaTheme="minorEastAsia"/>
                <w:szCs w:val="21"/>
              </w:rPr>
              <w:t>在本市集中采购活动中的</w:t>
            </w:r>
            <w:r>
              <w:rPr>
                <w:rFonts w:hint="eastAsia" w:ascii="宋体" w:hAnsi="宋体" w:cs="宋体"/>
                <w:szCs w:val="21"/>
              </w:rPr>
              <w:t>一般违法失信行为记录信息，且在公示期内的，本项不得分，否则得5分。</w:t>
            </w:r>
          </w:p>
          <w:p>
            <w:pPr>
              <w:adjustRightInd w:val="0"/>
              <w:snapToGrid/>
              <w:spacing w:line="360" w:lineRule="auto"/>
              <w:rPr>
                <w:rFonts w:ascii="宋体" w:hAnsi="宋体" w:cs="宋体"/>
                <w:szCs w:val="21"/>
              </w:rPr>
            </w:pPr>
            <w:r>
              <w:rPr>
                <w:rFonts w:hint="eastAsia" w:ascii="宋体" w:hAnsi="宋体" w:cs="宋体"/>
                <w:szCs w:val="21"/>
              </w:rPr>
              <w:t>（采购代理机构通过“信用中国”、“中国政府采购网”、“深圳市政府采购监管网”以及市、区财政部门认定的其他渠道查询供应商信用信息，投标人无需提供证明材料。）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tcBorders>
              <w:left w:val="double" w:color="auto" w:sz="4" w:space="0"/>
              <w:bottom w:val="double" w:color="auto" w:sz="4" w:space="0"/>
            </w:tcBorders>
            <w:vAlign w:val="center"/>
          </w:tcPr>
          <w:p>
            <w:pPr>
              <w:spacing w:line="360" w:lineRule="auto"/>
              <w:jc w:val="center"/>
              <w:rPr>
                <w:rFonts w:ascii="宋体" w:hAnsi="宋体" w:cs="宋体"/>
                <w:snapToGrid w:val="0"/>
                <w:kern w:val="0"/>
                <w:sz w:val="22"/>
              </w:rPr>
            </w:pPr>
            <w:r>
              <w:rPr>
                <w:rFonts w:hint="eastAsia" w:ascii="宋体" w:hAnsi="宋体" w:cs="宋体"/>
                <w:snapToGrid w:val="0"/>
                <w:kern w:val="0"/>
                <w:sz w:val="22"/>
              </w:rPr>
              <w:t>总得分（N）</w:t>
            </w:r>
          </w:p>
          <w:p>
            <w:pPr>
              <w:adjustRightInd w:val="0"/>
              <w:snapToGrid/>
              <w:spacing w:line="360" w:lineRule="auto"/>
              <w:jc w:val="center"/>
              <w:rPr>
                <w:rFonts w:ascii="宋体" w:hAnsi="宋体" w:cs="宋体"/>
                <w:snapToGrid w:val="0"/>
                <w:kern w:val="0"/>
                <w:sz w:val="22"/>
              </w:rPr>
            </w:pPr>
            <w:r>
              <w:rPr>
                <w:rFonts w:hint="eastAsia" w:ascii="宋体" w:hAnsi="宋体" w:cs="宋体"/>
                <w:snapToGrid w:val="0"/>
                <w:kern w:val="0"/>
                <w:sz w:val="22"/>
              </w:rPr>
              <w:t>（总分100分）</w:t>
            </w:r>
          </w:p>
        </w:tc>
        <w:tc>
          <w:tcPr>
            <w:tcW w:w="1144" w:type="dxa"/>
            <w:tcBorders>
              <w:bottom w:val="double" w:color="auto" w:sz="4" w:space="0"/>
            </w:tcBorders>
            <w:vAlign w:val="center"/>
          </w:tcPr>
          <w:p>
            <w:pPr>
              <w:adjustRightInd w:val="0"/>
              <w:snapToGrid/>
              <w:spacing w:line="360" w:lineRule="auto"/>
              <w:jc w:val="center"/>
              <w:rPr>
                <w:rFonts w:ascii="宋体" w:hAnsi="宋体" w:cs="宋体"/>
                <w:snapToGrid w:val="0"/>
                <w:kern w:val="0"/>
                <w:sz w:val="22"/>
              </w:rPr>
            </w:pPr>
          </w:p>
        </w:tc>
        <w:tc>
          <w:tcPr>
            <w:tcW w:w="850" w:type="dxa"/>
            <w:tcBorders>
              <w:bottom w:val="double" w:color="auto" w:sz="4" w:space="0"/>
            </w:tcBorders>
            <w:vAlign w:val="center"/>
          </w:tcPr>
          <w:p>
            <w:pPr>
              <w:adjustRightInd w:val="0"/>
              <w:snapToGrid/>
              <w:spacing w:line="360" w:lineRule="auto"/>
              <w:jc w:val="center"/>
              <w:rPr>
                <w:rFonts w:ascii="宋体" w:hAnsi="宋体" w:cs="宋体"/>
                <w:snapToGrid w:val="0"/>
                <w:kern w:val="0"/>
                <w:sz w:val="22"/>
              </w:rPr>
            </w:pPr>
            <w:r>
              <w:rPr>
                <w:rFonts w:hint="eastAsia" w:ascii="宋体" w:hAnsi="宋体" w:cs="宋体"/>
                <w:snapToGrid w:val="0"/>
                <w:kern w:val="0"/>
                <w:sz w:val="22"/>
              </w:rPr>
              <w:t>100</w:t>
            </w:r>
          </w:p>
        </w:tc>
        <w:tc>
          <w:tcPr>
            <w:tcW w:w="6261" w:type="dxa"/>
            <w:tcBorders>
              <w:bottom w:val="double" w:color="auto" w:sz="4" w:space="0"/>
              <w:right w:val="double" w:color="auto" w:sz="4" w:space="0"/>
            </w:tcBorders>
            <w:vAlign w:val="center"/>
          </w:tcPr>
          <w:p>
            <w:pPr>
              <w:spacing w:line="360" w:lineRule="auto"/>
              <w:jc w:val="center"/>
              <w:rPr>
                <w:rFonts w:ascii="宋体" w:hAnsi="宋体" w:cs="宋体"/>
                <w:snapToGrid w:val="0"/>
                <w:kern w:val="0"/>
                <w:sz w:val="22"/>
              </w:rPr>
            </w:pPr>
            <w:r>
              <w:rPr>
                <w:rFonts w:hint="eastAsia" w:ascii="宋体" w:hAnsi="宋体" w:cs="宋体"/>
                <w:snapToGrid w:val="0"/>
                <w:kern w:val="0"/>
                <w:sz w:val="22"/>
              </w:rPr>
              <w:t>N=J+G+S</w:t>
            </w:r>
          </w:p>
        </w:tc>
      </w:tr>
    </w:tbl>
    <w:p>
      <w:pPr>
        <w:widowControl/>
        <w:jc w:val="left"/>
        <w:rPr>
          <w:rFonts w:cs="仿宋" w:asciiTheme="minorEastAsia" w:hAnsiTheme="minorEastAsia" w:eastAsiaTheme="minorEastAsia"/>
          <w:color w:val="FF0000"/>
          <w:sz w:val="28"/>
          <w:szCs w:val="28"/>
        </w:rPr>
      </w:pPr>
    </w:p>
    <w:p>
      <w:pPr>
        <w:widowControl/>
        <w:jc w:val="left"/>
        <w:rPr>
          <w:rFonts w:cs="仿宋" w:asciiTheme="minorEastAsia" w:hAnsiTheme="minorEastAsia" w:eastAsiaTheme="minorEastAsia"/>
          <w:color w:val="FF0000"/>
          <w:sz w:val="28"/>
          <w:szCs w:val="28"/>
        </w:rPr>
      </w:pPr>
      <w:r>
        <w:rPr>
          <w:rFonts w:hint="eastAsia" w:cs="仿宋" w:asciiTheme="minorEastAsia" w:hAnsiTheme="minorEastAsia" w:eastAsiaTheme="minorEastAsia"/>
          <w:color w:val="FF0000"/>
          <w:sz w:val="28"/>
          <w:szCs w:val="28"/>
        </w:rPr>
        <w:t>注：</w:t>
      </w:r>
    </w:p>
    <w:p>
      <w:pPr>
        <w:widowControl/>
        <w:spacing w:line="360" w:lineRule="auto"/>
        <w:jc w:val="center"/>
        <w:rPr>
          <w:rFonts w:cs="仿宋" w:asciiTheme="minorEastAsia" w:hAnsiTheme="minorEastAsia" w:eastAsiaTheme="minorEastAsia"/>
          <w:b/>
          <w:bCs/>
          <w:sz w:val="28"/>
        </w:rPr>
      </w:pPr>
      <w:r>
        <w:rPr>
          <w:rFonts w:hint="eastAsia" w:cs="仿宋" w:asciiTheme="minorEastAsia" w:hAnsiTheme="minorEastAsia" w:eastAsiaTheme="minorEastAsia"/>
          <w:b/>
          <w:bCs/>
          <w:sz w:val="28"/>
        </w:rPr>
        <w:t>政府采购优惠政策</w:t>
      </w:r>
    </w:p>
    <w:p>
      <w:pPr>
        <w:spacing w:after="60" w:line="360" w:lineRule="auto"/>
        <w:ind w:firstLine="426" w:firstLineChars="202"/>
        <w:rPr>
          <w:rFonts w:ascii="宋体" w:hAnsi="宋体"/>
          <w:b/>
          <w:snapToGrid w:val="0"/>
          <w:szCs w:val="21"/>
          <w:highlight w:val="yellow"/>
        </w:rPr>
      </w:pPr>
    </w:p>
    <w:p>
      <w:pPr>
        <w:spacing w:after="60" w:line="360" w:lineRule="auto"/>
        <w:ind w:firstLine="426" w:firstLineChars="202"/>
        <w:rPr>
          <w:rFonts w:ascii="宋体" w:hAnsi="宋体"/>
          <w:b/>
          <w:snapToGrid w:val="0"/>
          <w:szCs w:val="21"/>
        </w:rPr>
      </w:pPr>
      <w:r>
        <w:rPr>
          <w:rFonts w:hint="eastAsia" w:ascii="宋体" w:hAnsi="宋体"/>
          <w:b/>
          <w:snapToGrid w:val="0"/>
          <w:szCs w:val="21"/>
          <w:highlight w:val="yellow"/>
        </w:rPr>
        <w:t>（一）本项目所属行业为</w:t>
      </w:r>
      <w:r>
        <w:rPr>
          <w:rFonts w:hint="eastAsia" w:ascii="宋体" w:hAnsi="宋体"/>
          <w:b/>
          <w:snapToGrid w:val="0"/>
          <w:szCs w:val="21"/>
          <w:highlight w:val="yellow"/>
          <w:u w:val="single"/>
        </w:rPr>
        <w:t xml:space="preserve"> </w:t>
      </w:r>
      <w:r>
        <w:rPr>
          <w:rFonts w:hint="eastAsia" w:ascii="宋体" w:hAnsi="宋体"/>
          <w:b/>
          <w:snapToGrid w:val="0"/>
          <w:szCs w:val="21"/>
          <w:highlight w:val="yellow"/>
          <w:u w:val="single"/>
          <w:lang w:eastAsia="zh-CN"/>
        </w:rPr>
        <w:t>其他未列明行业</w:t>
      </w:r>
      <w:r>
        <w:rPr>
          <w:rFonts w:hint="eastAsia" w:ascii="宋体" w:hAnsi="宋体"/>
          <w:b/>
          <w:snapToGrid w:val="0"/>
          <w:szCs w:val="21"/>
          <w:highlight w:val="yellow"/>
          <w:u w:val="single"/>
        </w:rPr>
        <w:t xml:space="preserve"> </w:t>
      </w:r>
      <w:r>
        <w:rPr>
          <w:rFonts w:hint="eastAsia" w:ascii="宋体" w:hAnsi="宋体"/>
          <w:b/>
          <w:snapToGrid w:val="0"/>
          <w:szCs w:val="21"/>
          <w:highlight w:val="yellow"/>
        </w:rPr>
        <w:t>，投标人应根据《工业和信息化部、国家统计局、国家发展和改革委员会、财政部关于印发中小企业划型标准规定的通知》(工信部联企业〔2011〕300号)规定的中小企业划型标准填写《中小企业声明函》。</w:t>
      </w:r>
    </w:p>
    <w:p>
      <w:pPr>
        <w:spacing w:line="360" w:lineRule="auto"/>
        <w:ind w:firstLine="422" w:firstLineChars="200"/>
        <w:rPr>
          <w:rFonts w:asciiTheme="minorEastAsia" w:hAnsiTheme="minorEastAsia" w:eastAsiaTheme="minorEastAsia"/>
          <w:b/>
          <w:bCs/>
        </w:rPr>
      </w:pPr>
      <w:r>
        <w:rPr>
          <w:rFonts w:hint="eastAsia" w:asciiTheme="minorEastAsia" w:hAnsiTheme="minorEastAsia" w:eastAsiaTheme="minorEastAsia"/>
          <w:b/>
          <w:bCs/>
        </w:rPr>
        <w:t>（二）价格评审优惠</w:t>
      </w:r>
    </w:p>
    <w:p>
      <w:pPr>
        <w:spacing w:line="360" w:lineRule="auto"/>
        <w:ind w:firstLine="371" w:firstLineChars="177"/>
        <w:rPr>
          <w:rFonts w:cs="仿宋" w:asciiTheme="minorEastAsia" w:hAnsiTheme="minorEastAsia" w:eastAsiaTheme="minorEastAsia"/>
          <w:szCs w:val="21"/>
        </w:rPr>
      </w:pPr>
      <w:r>
        <w:rPr>
          <w:rFonts w:hint="eastAsia" w:asciiTheme="minorEastAsia" w:hAnsiTheme="minorEastAsia" w:eastAsiaTheme="minorEastAsia"/>
          <w:szCs w:val="21"/>
        </w:rPr>
        <w:t>□</w:t>
      </w:r>
      <w:r>
        <w:rPr>
          <w:rFonts w:hint="eastAsia" w:hAnsi="宋体"/>
          <w:szCs w:val="24"/>
        </w:rPr>
        <w:t>预留份额专门面向中小企业采购的采购项目或采购包</w:t>
      </w:r>
      <w:r>
        <w:rPr>
          <w:rFonts w:hint="eastAsia" w:cs="仿宋" w:asciiTheme="minorEastAsia" w:hAnsiTheme="minorEastAsia" w:eastAsiaTheme="minorEastAsia"/>
          <w:szCs w:val="21"/>
        </w:rPr>
        <w:t>：不执行价格评审优惠的扶持政策。</w:t>
      </w:r>
    </w:p>
    <w:p>
      <w:pPr>
        <w:widowControl/>
        <w:spacing w:line="360" w:lineRule="auto"/>
        <w:ind w:firstLine="371" w:firstLineChars="177"/>
        <w:jc w:val="left"/>
        <w:rPr>
          <w:rFonts w:cs="仿宋" w:asciiTheme="minorEastAsia" w:hAnsiTheme="minorEastAsia" w:eastAsiaTheme="minorEastAsia"/>
          <w:szCs w:val="21"/>
        </w:rPr>
      </w:pPr>
      <w:r>
        <w:rPr>
          <w:rFonts w:hint="eastAsia" w:ascii="宋体" w:eastAsia="MS Mincho" w:cs="MS Mincho" w:hAnsiTheme="minorEastAsia"/>
          <w:kern w:val="0"/>
          <w:szCs w:val="21"/>
        </w:rPr>
        <w:t>☑</w:t>
      </w:r>
      <w:r>
        <w:rPr>
          <w:rFonts w:hint="eastAsia" w:ascii="Segoe UI Symbol" w:hAnsi="Segoe UI Symbol"/>
          <w:szCs w:val="24"/>
        </w:rPr>
        <w:t>未</w:t>
      </w:r>
      <w:r>
        <w:rPr>
          <w:rFonts w:hint="eastAsia" w:hAnsi="宋体"/>
          <w:szCs w:val="24"/>
        </w:rPr>
        <w:t>预留份额专门面向中小企业采购的采购项目或采购包</w:t>
      </w:r>
      <w:r>
        <w:rPr>
          <w:rFonts w:hint="eastAsia" w:asciiTheme="minorEastAsia" w:hAnsiTheme="minorEastAsia" w:eastAsiaTheme="minorEastAsia"/>
          <w:szCs w:val="21"/>
        </w:rPr>
        <w:t>：</w:t>
      </w:r>
    </w:p>
    <w:p>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（1）根据</w:t>
      </w:r>
      <w:r>
        <w:rPr>
          <w:rFonts w:hint="eastAsia" w:ascii="宋体" w:hAnsi="宋体"/>
          <w:snapToGrid w:val="0"/>
          <w:szCs w:val="21"/>
        </w:rPr>
        <w:t>《财政部 工业和信息化部关于印发《政府采购促进中小企业发展管理办法》的通知》(财库〔2020〕46号)</w:t>
      </w:r>
      <w:r>
        <w:rPr>
          <w:rFonts w:hint="eastAsia" w:asciiTheme="minorEastAsia" w:hAnsiTheme="minorEastAsia" w:eastAsiaTheme="minorEastAsia"/>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扶持政策的证明材料的投标人，</w:t>
      </w:r>
      <w:r>
        <w:rPr>
          <w:rFonts w:hint="eastAsia" w:asciiTheme="minorEastAsia" w:hAnsiTheme="minorEastAsia" w:eastAsiaTheme="minorEastAsia"/>
          <w:b/>
        </w:rPr>
        <w:t>其投标报价扣除</w:t>
      </w:r>
      <w:r>
        <w:rPr>
          <w:rFonts w:hint="eastAsia" w:asciiTheme="minorEastAsia" w:hAnsiTheme="minorEastAsia" w:eastAsiaTheme="minorEastAsia"/>
          <w:b/>
          <w:u w:val="single"/>
        </w:rPr>
        <w:t xml:space="preserve"> 10 </w:t>
      </w:r>
      <w:r>
        <w:rPr>
          <w:rFonts w:hint="eastAsia" w:asciiTheme="minorEastAsia" w:hAnsiTheme="minorEastAsia" w:eastAsiaTheme="minorEastAsia"/>
          <w:b/>
        </w:rPr>
        <w:t>%（请在10%-20%范围内选择）后参与评审</w:t>
      </w:r>
      <w:r>
        <w:rPr>
          <w:rFonts w:hint="eastAsia" w:asciiTheme="minorEastAsia" w:hAnsiTheme="minorEastAsia" w:eastAsiaTheme="minorEastAsia"/>
        </w:rPr>
        <w:t>。</w:t>
      </w:r>
    </w:p>
    <w:p>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（2）联合协议中约定，小型、微型企业的协议合同金额占到联合体协议合同总金额30%以上的，可给予</w:t>
      </w:r>
      <w:r>
        <w:rPr>
          <w:rFonts w:hint="eastAsia" w:asciiTheme="minorEastAsia" w:hAnsiTheme="minorEastAsia" w:eastAsiaTheme="minorEastAsia"/>
          <w:b/>
        </w:rPr>
        <w:t>联合体</w:t>
      </w:r>
      <w:r>
        <w:rPr>
          <w:rFonts w:hint="eastAsia" w:asciiTheme="minorEastAsia" w:hAnsiTheme="minorEastAsia" w:eastAsiaTheme="minorEastAsia"/>
          <w:b/>
          <w:u w:val="single"/>
        </w:rPr>
        <w:t xml:space="preserve"> / </w:t>
      </w:r>
      <w:r>
        <w:rPr>
          <w:rFonts w:hint="eastAsia" w:asciiTheme="minorEastAsia" w:hAnsiTheme="minorEastAsia" w:eastAsiaTheme="minorEastAsia"/>
          <w:b/>
        </w:rPr>
        <w:t>%</w:t>
      </w:r>
      <w:r>
        <w:rPr>
          <w:rFonts w:asciiTheme="minorEastAsia" w:hAnsiTheme="minorEastAsia" w:eastAsiaTheme="minorEastAsia"/>
          <w:b/>
        </w:rPr>
        <w:t xml:space="preserve"> </w:t>
      </w:r>
      <w:r>
        <w:rPr>
          <w:rFonts w:hint="eastAsia" w:asciiTheme="minorEastAsia" w:hAnsiTheme="minorEastAsia" w:eastAsiaTheme="minorEastAsia"/>
          <w:b/>
        </w:rPr>
        <w:t>（请在4</w:t>
      </w:r>
      <w:r>
        <w:rPr>
          <w:rFonts w:asciiTheme="minorEastAsia" w:hAnsiTheme="minorEastAsia" w:eastAsiaTheme="minorEastAsia"/>
          <w:b/>
        </w:rPr>
        <w:t>%-</w:t>
      </w:r>
      <w:r>
        <w:rPr>
          <w:rFonts w:hint="eastAsia" w:asciiTheme="minorEastAsia" w:hAnsiTheme="minorEastAsia" w:eastAsiaTheme="minorEastAsia"/>
          <w:b/>
        </w:rPr>
        <w:t>6</w:t>
      </w:r>
      <w:r>
        <w:rPr>
          <w:rFonts w:asciiTheme="minorEastAsia" w:hAnsiTheme="minorEastAsia" w:eastAsiaTheme="minorEastAsia"/>
          <w:b/>
        </w:rPr>
        <w:t>%</w:t>
      </w:r>
      <w:r>
        <w:rPr>
          <w:rFonts w:hint="eastAsia" w:asciiTheme="minorEastAsia" w:hAnsiTheme="minorEastAsia" w:eastAsiaTheme="minorEastAsia"/>
          <w:b/>
        </w:rPr>
        <w:t>范围内选择）</w:t>
      </w:r>
      <w:r>
        <w:rPr>
          <w:rFonts w:hint="eastAsia" w:asciiTheme="minorEastAsia" w:hAnsiTheme="minorEastAsia" w:eastAsiaTheme="minorEastAsia"/>
        </w:rPr>
        <w:t>的价格扣除</w:t>
      </w:r>
      <w:r>
        <w:rPr>
          <w:rFonts w:hint="eastAsia" w:ascii="宋体" w:hAnsi="宋体"/>
        </w:rPr>
        <w:t>，用扣除后的价格参与评审</w:t>
      </w:r>
      <w:r>
        <w:rPr>
          <w:rFonts w:hint="eastAsia" w:asciiTheme="minorEastAsia" w:hAnsiTheme="minorEastAsia" w:eastAsiaTheme="minorEastAsia"/>
        </w:rPr>
        <w:t>。如联合体各方均为小型、微型企业，联合体视同为小型、微型企业，享受</w:t>
      </w:r>
      <w:r>
        <w:rPr>
          <w:rFonts w:hint="eastAsia" w:asciiTheme="minorEastAsia" w:hAnsiTheme="minorEastAsia" w:eastAsiaTheme="minorEastAsia"/>
          <w:b/>
        </w:rPr>
        <w:t>第（1）项</w:t>
      </w:r>
      <w:r>
        <w:rPr>
          <w:rFonts w:hint="eastAsia" w:asciiTheme="minorEastAsia" w:hAnsiTheme="minorEastAsia" w:eastAsiaTheme="minorEastAsia"/>
        </w:rPr>
        <w:t>的评审优惠。</w:t>
      </w:r>
    </w:p>
    <w:p>
      <w:pPr>
        <w:spacing w:after="60" w:line="360" w:lineRule="auto"/>
        <w:ind w:firstLine="424" w:firstLineChars="202"/>
        <w:rPr>
          <w:rFonts w:ascii="宋体" w:hAnsi="宋体"/>
        </w:rPr>
      </w:pPr>
      <w:r>
        <w:rPr>
          <w:rFonts w:hint="eastAsia" w:ascii="宋体" w:hAnsi="宋体"/>
        </w:rPr>
        <w:t>（3）分包意向协议约定，小型、微型企业的协议合同金额占到合同总金额30%以上的，可给予投标人</w:t>
      </w:r>
      <w:r>
        <w:rPr>
          <w:rFonts w:hint="eastAsia" w:ascii="宋体" w:hAnsi="宋体"/>
          <w:b/>
          <w:u w:val="single"/>
        </w:rPr>
        <w:t xml:space="preserve">  </w:t>
      </w:r>
      <w:r>
        <w:rPr>
          <w:rFonts w:hint="eastAsia" w:asciiTheme="minorEastAsia" w:hAnsiTheme="minorEastAsia" w:eastAsiaTheme="minorEastAsia"/>
          <w:b/>
          <w:u w:val="single"/>
        </w:rPr>
        <w:t xml:space="preserve">/  </w:t>
      </w:r>
      <w:r>
        <w:rPr>
          <w:rFonts w:hint="eastAsia" w:asciiTheme="minorEastAsia" w:hAnsiTheme="minorEastAsia" w:eastAsiaTheme="minorEastAsia"/>
          <w:b/>
        </w:rPr>
        <w:t>%</w:t>
      </w:r>
      <w:r>
        <w:rPr>
          <w:rFonts w:asciiTheme="minorEastAsia" w:hAnsiTheme="minorEastAsia" w:eastAsiaTheme="minorEastAsia"/>
          <w:b/>
        </w:rPr>
        <w:t xml:space="preserve"> </w:t>
      </w:r>
      <w:r>
        <w:rPr>
          <w:rFonts w:hint="eastAsia" w:asciiTheme="minorEastAsia" w:hAnsiTheme="minorEastAsia" w:eastAsiaTheme="minorEastAsia"/>
          <w:b/>
        </w:rPr>
        <w:t>（请在4</w:t>
      </w:r>
      <w:r>
        <w:rPr>
          <w:rFonts w:asciiTheme="minorEastAsia" w:hAnsiTheme="minorEastAsia" w:eastAsiaTheme="minorEastAsia"/>
          <w:b/>
        </w:rPr>
        <w:t>%-</w:t>
      </w:r>
      <w:r>
        <w:rPr>
          <w:rFonts w:hint="eastAsia" w:asciiTheme="minorEastAsia" w:hAnsiTheme="minorEastAsia" w:eastAsiaTheme="minorEastAsia"/>
          <w:b/>
        </w:rPr>
        <w:t>6</w:t>
      </w:r>
      <w:r>
        <w:rPr>
          <w:rFonts w:asciiTheme="minorEastAsia" w:hAnsiTheme="minorEastAsia" w:eastAsiaTheme="minorEastAsia"/>
          <w:b/>
        </w:rPr>
        <w:t>%</w:t>
      </w:r>
      <w:r>
        <w:rPr>
          <w:rFonts w:hint="eastAsia" w:asciiTheme="minorEastAsia" w:hAnsiTheme="minorEastAsia" w:eastAsiaTheme="minorEastAsia"/>
          <w:b/>
        </w:rPr>
        <w:t>范围内选择）</w:t>
      </w:r>
      <w:r>
        <w:rPr>
          <w:rFonts w:hint="eastAsia" w:asciiTheme="minorEastAsia" w:hAnsiTheme="minorEastAsia" w:eastAsiaTheme="minorEastAsia"/>
        </w:rPr>
        <w:t>的价格扣除</w:t>
      </w:r>
      <w:r>
        <w:rPr>
          <w:rFonts w:hint="eastAsia" w:ascii="宋体" w:hAnsi="宋体"/>
        </w:rPr>
        <w:t>，用扣除后的价格参与评审。</w:t>
      </w:r>
    </w:p>
    <w:p>
      <w:pPr>
        <w:spacing w:after="60" w:line="360" w:lineRule="auto"/>
        <w:ind w:firstLine="424" w:firstLineChars="202"/>
        <w:rPr>
          <w:rFonts w:ascii="宋体" w:hAnsi="宋体"/>
        </w:rPr>
      </w:pPr>
      <w:r>
        <w:rPr>
          <w:rFonts w:hint="eastAsia" w:ascii="宋体" w:hAnsi="宋体"/>
        </w:rPr>
        <w:t>（4）</w:t>
      </w:r>
      <w:r>
        <w:rPr>
          <w:rFonts w:hint="eastAsia" w:asciiTheme="minorEastAsia" w:hAnsiTheme="minorEastAsia" w:eastAsiaTheme="minorEastAsia"/>
        </w:rPr>
        <w:t>如供应商为</w:t>
      </w:r>
      <w:r>
        <w:rPr>
          <w:rFonts w:hint="eastAsia" w:hAnsi="宋体"/>
        </w:rPr>
        <w:t>监狱企业</w:t>
      </w:r>
      <w:r>
        <w:rPr>
          <w:rFonts w:hint="eastAsia" w:hAnsi="宋体"/>
          <w:szCs w:val="21"/>
        </w:rPr>
        <w:t>或残疾人福利性单位，</w:t>
      </w:r>
      <w:r>
        <w:rPr>
          <w:rFonts w:hint="eastAsia" w:hAnsi="宋体"/>
        </w:rPr>
        <w:t>视同</w:t>
      </w:r>
      <w:r>
        <w:rPr>
          <w:rFonts w:hint="eastAsia" w:asciiTheme="minorEastAsia" w:hAnsiTheme="minorEastAsia" w:eastAsiaTheme="minorEastAsia"/>
        </w:rPr>
        <w:t>小型、微型企业，</w:t>
      </w:r>
      <w:r>
        <w:rPr>
          <w:rFonts w:hint="eastAsia" w:hAnsi="宋体"/>
        </w:rPr>
        <w:t>享受以上预留份额、评审中价格扣除等政府采购促进中小企业发展的政府采购政策；</w:t>
      </w:r>
      <w:r>
        <w:rPr>
          <w:rFonts w:hint="eastAsia" w:asciiTheme="minorEastAsia" w:hAnsiTheme="minorEastAsia" w:eastAsiaTheme="minorEastAsia"/>
        </w:rPr>
        <w:t>对于同时属于小型、微型企业、监狱企业或残疾人福利性单位的供应商，不重复享受政策。</w:t>
      </w:r>
    </w:p>
    <w:p>
      <w:pPr>
        <w:spacing w:after="60" w:line="360" w:lineRule="auto"/>
        <w:ind w:firstLine="424" w:firstLineChars="202"/>
        <w:rPr>
          <w:rFonts w:ascii="宋体" w:hAnsi="宋体"/>
        </w:rPr>
      </w:pPr>
      <w:r>
        <w:rPr>
          <w:rFonts w:hint="eastAsia" w:ascii="宋体" w:hAnsi="宋体"/>
        </w:rPr>
        <w:t>（5）优惠主体资格的认定资料为《中小企业声明函》、《残疾人福利性单位声明函》以及《监狱企业声明函》等承诺性质的资料；监狱企业或者代理提供监狱企业货物的供应商如需享受优惠政策，除上述资料外，还须提供省级以上监狱管理局、戒毒管理局出具的监狱企业证明文件。</w:t>
      </w:r>
    </w:p>
    <w:p>
      <w:pPr>
        <w:spacing w:line="360" w:lineRule="auto"/>
        <w:ind w:firstLine="422" w:firstLineChars="200"/>
        <w:rPr>
          <w:rFonts w:asciiTheme="minorEastAsia" w:hAnsiTheme="minorEastAsia" w:eastAsiaTheme="minorEastAsia"/>
          <w:b/>
          <w:bCs/>
        </w:rPr>
      </w:pPr>
      <w:r>
        <w:rPr>
          <w:rFonts w:hint="eastAsia" w:asciiTheme="minorEastAsia" w:hAnsiTheme="minorEastAsia" w:eastAsiaTheme="minorEastAsia"/>
          <w:b/>
          <w:bCs/>
        </w:rPr>
        <w:t>（三）绿色采购</w:t>
      </w:r>
    </w:p>
    <w:p>
      <w:pPr>
        <w:spacing w:line="360" w:lineRule="auto"/>
        <w:ind w:firstLine="424" w:firstLineChars="202"/>
        <w:jc w:val="left"/>
        <w:rPr>
          <w:rFonts w:asciiTheme="minorEastAsia" w:hAnsiTheme="minorEastAsia" w:eastAsiaTheme="minorEastAsia"/>
          <w:szCs w:val="21"/>
        </w:rPr>
      </w:pPr>
      <w:r>
        <w:rPr>
          <w:rFonts w:hint="eastAsia" w:asciiTheme="minorEastAsia" w:hAnsiTheme="minorEastAsia" w:eastAsiaTheme="minorEastAsia"/>
          <w:szCs w:val="24"/>
        </w:rPr>
        <w:t>（1）投标产品属于《关于调整优化节能产品环境标志产品政府采购执行机制的通知》（财库〔2019〕9号）、《关于印发环境标志产品政府采购品目清单的通知》（财库〔2019〕18号）和《关于印发节能产品</w:t>
      </w:r>
      <w:r>
        <w:rPr>
          <w:rFonts w:hint="eastAsia" w:asciiTheme="minorEastAsia" w:hAnsiTheme="minorEastAsia" w:eastAsiaTheme="minorEastAsia"/>
          <w:szCs w:val="21"/>
        </w:rPr>
        <w:t>政府采购品目清单的通知》（财库〔2019〕19号）品目清单范围内的，</w:t>
      </w:r>
      <w:r>
        <w:rPr>
          <w:rFonts w:hint="eastAsia" w:asciiTheme="minorEastAsia" w:hAnsiTheme="minorEastAsia" w:eastAsiaTheme="minorEastAsia"/>
          <w:szCs w:val="24"/>
        </w:rPr>
        <w:t>应依据国家确定的认证机构出具的、处于有效期之内的节能产品、环境标志产品认证证书，对获得证书的产品实施政府优先采购或强制采购。</w:t>
      </w:r>
      <w:r>
        <w:rPr>
          <w:rFonts w:hint="eastAsia" w:asciiTheme="minorEastAsia" w:hAnsiTheme="minorEastAsia" w:eastAsiaTheme="minorEastAsia"/>
          <w:b/>
          <w:szCs w:val="24"/>
        </w:rPr>
        <w:t>对符合条件的获证产品</w:t>
      </w:r>
      <w:r>
        <w:rPr>
          <w:rFonts w:hint="eastAsia" w:asciiTheme="minorEastAsia" w:hAnsiTheme="minorEastAsia" w:eastAsiaTheme="minorEastAsia"/>
          <w:b/>
          <w:szCs w:val="21"/>
        </w:rPr>
        <w:t>，根据该投标产品报价给予</w:t>
      </w:r>
      <w:r>
        <w:rPr>
          <w:rFonts w:hint="eastAsia" w:asciiTheme="minorEastAsia" w:hAnsiTheme="minorEastAsia" w:eastAsiaTheme="minorEastAsia"/>
          <w:b/>
          <w:szCs w:val="21"/>
          <w:u w:val="single"/>
        </w:rPr>
        <w:t xml:space="preserve"> 1 </w:t>
      </w:r>
      <w:r>
        <w:rPr>
          <w:rFonts w:hint="eastAsia" w:asciiTheme="minorEastAsia" w:hAnsiTheme="minorEastAsia" w:eastAsiaTheme="minorEastAsia"/>
          <w:b/>
          <w:szCs w:val="21"/>
        </w:rPr>
        <w:t>%的价格扣除，用扣除后的价格参与评审</w:t>
      </w:r>
      <w:r>
        <w:rPr>
          <w:rFonts w:hint="eastAsia" w:asciiTheme="minorEastAsia" w:hAnsiTheme="minorEastAsia" w:eastAsiaTheme="minorEastAsia"/>
          <w:szCs w:val="21"/>
        </w:rPr>
        <w:t>（需按投标文件格式部分“列入政府优先采购清单的投标产品一览表”的要求提供证明材料，否则不予价格扣除）。</w:t>
      </w:r>
    </w:p>
    <w:p>
      <w:pPr>
        <w:autoSpaceDE w:val="0"/>
        <w:autoSpaceDN w:val="0"/>
        <w:adjustRightInd w:val="0"/>
        <w:spacing w:line="360" w:lineRule="auto"/>
        <w:ind w:firstLine="369" w:firstLineChars="176"/>
        <w:jc w:val="left"/>
        <w:rPr>
          <w:rFonts w:ascii="宋体" w:hAnsi="宋体" w:eastAsia="黑体"/>
          <w:b/>
          <w:bCs/>
          <w:kern w:val="44"/>
          <w:sz w:val="28"/>
          <w:szCs w:val="44"/>
        </w:rPr>
      </w:pPr>
      <w:r>
        <w:rPr>
          <w:rFonts w:hint="eastAsia" w:asciiTheme="minorEastAsia" w:hAnsiTheme="minorEastAsia" w:eastAsiaTheme="minorEastAsia"/>
          <w:szCs w:val="21"/>
        </w:rPr>
        <w:t>（2）按照《深圳市财政局关于大力推广政府绿色采购有关事项的通知（深财购〔2023〕49号）》相关要求，严格执行绿色采购需求标准。采购单位严格执行《商品包装政府采购需求标准（试行）》、《快递包装政府采购需求标准（试行）》（财办库〔2020〕123号）、《绿色建筑和绿色建材政府采购需求标准》（财办库〔2022〕35号）、《绿色数据中心政府采购需求标准（试行）》（财办库〔2023〕7号）等需求标准，依据相关需求标准确定采购需求，在采购文件和采购合同中载明具体需求、履约验收条款和违约责任，促进绿色包装、绿色运输、绿色建筑、绿色建材和绿色数据中心在政府采购领域的应用。加大新能源汽车采购力度。积极推广合同能源管理。鼓励公共机构推广应用合同能源管理，借助市场化手段，通过实施应用节能新技术、新产品，不断提高能源利用效率，为公共机构节能减排提供有力支持和保障。</w:t>
      </w:r>
    </w:p>
    <w:p>
      <w:pPr>
        <w:spacing w:line="360" w:lineRule="auto"/>
        <w:ind w:firstLine="422" w:firstLineChars="200"/>
        <w:rPr>
          <w:rFonts w:ascii="宋体" w:hAnsi="宋体"/>
          <w:b/>
          <w:szCs w:val="21"/>
        </w:rPr>
      </w:pPr>
      <w:r>
        <w:rPr>
          <w:rFonts w:hint="eastAsia" w:asciiTheme="minorEastAsia" w:hAnsiTheme="minorEastAsia" w:eastAsiaTheme="minorEastAsia"/>
          <w:b/>
          <w:szCs w:val="21"/>
        </w:rPr>
        <w:t>（四）</w:t>
      </w:r>
      <w:r>
        <w:rPr>
          <w:rFonts w:hint="eastAsia" w:ascii="Times New Roman" w:hAnsi="Times New Roman"/>
          <w:b/>
          <w:szCs w:val="24"/>
        </w:rPr>
        <w:t>其他说明</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4"/>
        </w:rPr>
        <w:t>为缓解中小企业融资难题，深圳市推出政府采购订单融资改革举措。订单融资具体流程及试点金融机构订单融资服务承诺可参阅深圳市政府采购监管网（zfcg.sz.gov.cn）政府采购订单融资栏目。</w:t>
      </w:r>
    </w:p>
    <w:p>
      <w:pPr>
        <w:adjustRightInd w:val="0"/>
        <w:snapToGrid w:val="0"/>
        <w:spacing w:line="300" w:lineRule="auto"/>
        <w:jc w:val="center"/>
        <w:rPr>
          <w:rFonts w:cs="仿宋" w:asciiTheme="minorEastAsia" w:hAnsiTheme="minorEastAsia" w:eastAsiaTheme="minorEastAsia"/>
          <w:snapToGrid w:val="0"/>
          <w:kern w:val="0"/>
          <w:sz w:val="56"/>
          <w:szCs w:val="96"/>
        </w:rPr>
      </w:pPr>
    </w:p>
    <w:p>
      <w:pPr>
        <w:rPr>
          <w:rFonts w:cs="仿宋" w:asciiTheme="minorEastAsia" w:hAnsiTheme="minorEastAsia" w:eastAsiaTheme="minorEastAsia"/>
          <w:snapToGrid w:val="0"/>
          <w:kern w:val="0"/>
          <w:sz w:val="56"/>
          <w:szCs w:val="96"/>
        </w:rPr>
      </w:pPr>
      <w:r>
        <w:rPr>
          <w:rFonts w:cs="仿宋" w:asciiTheme="minorEastAsia" w:hAnsiTheme="minorEastAsia" w:eastAsiaTheme="minorEastAsia"/>
          <w:snapToGrid w:val="0"/>
          <w:kern w:val="0"/>
          <w:sz w:val="56"/>
          <w:szCs w:val="96"/>
        </w:rPr>
        <w:br w:type="page"/>
      </w:r>
    </w:p>
    <w:p>
      <w:pPr>
        <w:pStyle w:val="2"/>
      </w:pPr>
    </w:p>
    <w:p>
      <w:pPr>
        <w:pStyle w:val="18"/>
        <w:rPr>
          <w:rFonts w:cs="仿宋" w:asciiTheme="minorEastAsia" w:hAnsiTheme="minorEastAsia" w:eastAsiaTheme="minorEastAsia"/>
          <w:b/>
          <w:bCs/>
          <w:snapToGrid w:val="0"/>
          <w:kern w:val="0"/>
          <w:sz w:val="56"/>
          <w:szCs w:val="96"/>
        </w:rPr>
      </w:pPr>
    </w:p>
    <w:p>
      <w:pPr>
        <w:pStyle w:val="18"/>
        <w:rPr>
          <w:rFonts w:cs="仿宋" w:asciiTheme="minorEastAsia" w:hAnsiTheme="minorEastAsia" w:eastAsiaTheme="minorEastAsia"/>
          <w:b/>
          <w:bCs/>
          <w:snapToGrid w:val="0"/>
          <w:kern w:val="0"/>
          <w:sz w:val="56"/>
          <w:szCs w:val="96"/>
        </w:rPr>
      </w:pPr>
    </w:p>
    <w:p>
      <w:pPr>
        <w:pStyle w:val="18"/>
        <w:rPr>
          <w:rFonts w:cs="仿宋" w:asciiTheme="minorEastAsia" w:hAnsiTheme="minorEastAsia" w:eastAsiaTheme="minorEastAsia"/>
          <w:b/>
          <w:bCs/>
          <w:snapToGrid w:val="0"/>
          <w:kern w:val="0"/>
          <w:sz w:val="56"/>
          <w:szCs w:val="96"/>
        </w:rPr>
      </w:pPr>
    </w:p>
    <w:p>
      <w:pPr>
        <w:pStyle w:val="18"/>
        <w:rPr>
          <w:rFonts w:cs="仿宋" w:asciiTheme="minorEastAsia" w:hAnsiTheme="minorEastAsia" w:eastAsiaTheme="minorEastAsia"/>
          <w:b/>
          <w:bCs/>
          <w:snapToGrid w:val="0"/>
          <w:kern w:val="0"/>
          <w:sz w:val="56"/>
          <w:szCs w:val="96"/>
        </w:rPr>
      </w:pPr>
    </w:p>
    <w:p>
      <w:pPr>
        <w:pStyle w:val="18"/>
        <w:rPr>
          <w:rFonts w:cs="仿宋" w:asciiTheme="minorEastAsia" w:hAnsiTheme="minorEastAsia" w:eastAsiaTheme="minorEastAsia"/>
          <w:b/>
          <w:bCs/>
          <w:snapToGrid w:val="0"/>
          <w:kern w:val="0"/>
          <w:sz w:val="56"/>
          <w:szCs w:val="96"/>
        </w:rPr>
      </w:pPr>
    </w:p>
    <w:p>
      <w:pPr>
        <w:pStyle w:val="18"/>
        <w:rPr>
          <w:rFonts w:cs="仿宋" w:asciiTheme="minorEastAsia" w:hAnsiTheme="minorEastAsia" w:eastAsiaTheme="minorEastAsia"/>
          <w:b/>
          <w:bCs/>
          <w:snapToGrid w:val="0"/>
          <w:kern w:val="0"/>
          <w:sz w:val="56"/>
          <w:szCs w:val="96"/>
        </w:rPr>
      </w:pPr>
    </w:p>
    <w:p>
      <w:pPr>
        <w:adjustRightInd w:val="0"/>
        <w:snapToGrid w:val="0"/>
        <w:spacing w:line="300" w:lineRule="auto"/>
        <w:jc w:val="center"/>
        <w:rPr>
          <w:rFonts w:cs="仿宋" w:asciiTheme="minorEastAsia" w:hAnsiTheme="minorEastAsia" w:eastAsiaTheme="minorEastAsia"/>
          <w:b/>
          <w:bCs/>
          <w:snapToGrid w:val="0"/>
          <w:kern w:val="0"/>
          <w:sz w:val="56"/>
          <w:szCs w:val="96"/>
        </w:rPr>
      </w:pPr>
      <w:r>
        <w:rPr>
          <w:rFonts w:hint="eastAsia" w:cs="仿宋" w:asciiTheme="minorEastAsia" w:hAnsiTheme="minorEastAsia" w:eastAsiaTheme="minorEastAsia"/>
          <w:b/>
          <w:bCs/>
          <w:snapToGrid w:val="0"/>
          <w:kern w:val="0"/>
          <w:sz w:val="56"/>
          <w:szCs w:val="96"/>
        </w:rPr>
        <w:t>第二部分</w:t>
      </w:r>
    </w:p>
    <w:p>
      <w:pPr>
        <w:jc w:val="center"/>
        <w:rPr>
          <w:rFonts w:cs="仿宋" w:asciiTheme="minorEastAsia" w:hAnsiTheme="minorEastAsia" w:eastAsiaTheme="minorEastAsia"/>
          <w:b/>
          <w:bCs/>
          <w:snapToGrid w:val="0"/>
          <w:kern w:val="0"/>
          <w:sz w:val="56"/>
          <w:szCs w:val="96"/>
        </w:rPr>
      </w:pPr>
      <w:r>
        <w:rPr>
          <w:rFonts w:hint="eastAsia" w:cs="仿宋" w:asciiTheme="minorEastAsia" w:hAnsiTheme="minorEastAsia" w:eastAsiaTheme="minorEastAsia"/>
          <w:b/>
          <w:bCs/>
          <w:snapToGrid w:val="0"/>
          <w:kern w:val="0"/>
          <w:sz w:val="56"/>
          <w:szCs w:val="96"/>
        </w:rPr>
        <w:t>采购项目需求</w:t>
      </w:r>
    </w:p>
    <w:p>
      <w:pPr>
        <w:widowControl/>
        <w:jc w:val="left"/>
        <w:rPr>
          <w:rFonts w:cs="仿宋" w:asciiTheme="minorEastAsia" w:hAnsiTheme="minorEastAsia" w:eastAsiaTheme="minorEastAsia"/>
          <w:snapToGrid w:val="0"/>
          <w:kern w:val="0"/>
          <w:sz w:val="56"/>
          <w:szCs w:val="96"/>
        </w:rPr>
      </w:pPr>
      <w:r>
        <w:rPr>
          <w:rFonts w:hint="eastAsia" w:cs="仿宋" w:asciiTheme="minorEastAsia" w:hAnsiTheme="minorEastAsia" w:eastAsiaTheme="minorEastAsia"/>
          <w:snapToGrid w:val="0"/>
          <w:kern w:val="0"/>
          <w:sz w:val="56"/>
          <w:szCs w:val="96"/>
        </w:rPr>
        <w:br w:type="page"/>
      </w:r>
    </w:p>
    <w:p>
      <w:pPr>
        <w:spacing w:afterLines="50" w:line="360" w:lineRule="auto"/>
        <w:ind w:left="2"/>
        <w:jc w:val="center"/>
        <w:rPr>
          <w:rFonts w:ascii="宋体" w:hAnsi="宋体"/>
          <w:sz w:val="28"/>
          <w:szCs w:val="28"/>
        </w:rPr>
      </w:pPr>
      <w:r>
        <w:rPr>
          <w:rFonts w:hint="eastAsia" w:ascii="宋体" w:hAnsi="宋体"/>
          <w:b/>
          <w:bCs/>
          <w:sz w:val="28"/>
          <w:szCs w:val="28"/>
        </w:rPr>
        <w:t>特别说明</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1、采购项目需求中所出现的工艺、材料、设备或参照的品牌等仅为方便描述而没有限制性，投标人可以在其提供的文件资料中选用替代标准，但这些替代标准要优于或相当于采购项目需求中要求的标准。</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2、采购项目需求中要求提供证明材料的，投标文件需提供相应证明材料复印件或扫描件或截图等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投标人提供证书或检测报告等证明材料的，颁发证书、出具报告的机构须是合法设立的机构，且具有颁发相应证书或者出具相应报告的资质。</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3、技术参数设置为区间要求的（例如：潮气量：</w:t>
      </w:r>
      <w:r>
        <w:rPr>
          <w:rFonts w:ascii="仿宋_GB2312" w:eastAsia="仿宋_GB2312"/>
          <w:sz w:val="24"/>
        </w:rPr>
        <w:t>0-2000ML</w:t>
      </w:r>
      <w:r>
        <w:rPr>
          <w:rFonts w:hint="eastAsia" w:ascii="仿宋_GB2312" w:eastAsia="仿宋_GB2312"/>
          <w:sz w:val="24"/>
        </w:rPr>
        <w:t>），投标产品参数区间与征集要求不完全一致的均视为负偏离。</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4、对于定制类产品，投标人需在投标文件“分项价格表”中明确注明“定制”，否则该产品技术参数按负偏离处理。</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5、加注▲的条款为重要条款要求，如不满足将按照第一部分“评审信息”进行扣分。</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highlight w:val="yellow"/>
        </w:rPr>
        <w:t>6、加注★的条款为不可负偏离条款，任一项未响应或不满足要求的，将导致投标无效。</w:t>
      </w:r>
    </w:p>
    <w:p>
      <w:pPr>
        <w:rPr>
          <w:rFonts w:cs="仿宋" w:asciiTheme="minorEastAsia" w:hAnsiTheme="minorEastAsia" w:eastAsiaTheme="minorEastAsia"/>
          <w:sz w:val="36"/>
          <w:szCs w:val="36"/>
        </w:rPr>
      </w:pPr>
    </w:p>
    <w:p>
      <w:pPr>
        <w:rPr>
          <w:rFonts w:cs="仿宋" w:asciiTheme="minorEastAsia" w:hAnsiTheme="minorEastAsia" w:eastAsiaTheme="minorEastAsia"/>
          <w:sz w:val="36"/>
          <w:szCs w:val="36"/>
        </w:rPr>
      </w:pPr>
      <w:r>
        <w:rPr>
          <w:rFonts w:hint="eastAsia" w:cs="仿宋" w:asciiTheme="minorEastAsia" w:hAnsiTheme="minorEastAsia" w:eastAsiaTheme="minorEastAsia"/>
          <w:sz w:val="36"/>
          <w:szCs w:val="36"/>
        </w:rPr>
        <w:br w:type="page"/>
      </w:r>
    </w:p>
    <w:p>
      <w:pPr>
        <w:spacing w:line="440" w:lineRule="exact"/>
        <w:ind w:firstLine="723" w:firstLineChars="200"/>
        <w:jc w:val="center"/>
        <w:rPr>
          <w:rFonts w:ascii="宋体" w:hAnsi="宋体" w:cs="宋体"/>
          <w:b/>
          <w:bCs/>
          <w:szCs w:val="21"/>
        </w:rPr>
      </w:pPr>
      <w:r>
        <w:rPr>
          <w:rFonts w:hint="eastAsia" w:cs="仿宋" w:asciiTheme="minorEastAsia" w:hAnsiTheme="minorEastAsia" w:eastAsiaTheme="minorEastAsia"/>
          <w:b/>
          <w:bCs/>
          <w:sz w:val="36"/>
          <w:szCs w:val="36"/>
        </w:rPr>
        <w:t>采购项目需求</w:t>
      </w:r>
    </w:p>
    <w:p>
      <w:pPr>
        <w:widowControl/>
        <w:numPr>
          <w:ilvl w:val="0"/>
          <w:numId w:val="5"/>
        </w:numPr>
        <w:spacing w:line="440" w:lineRule="exact"/>
        <w:ind w:firstLine="482" w:firstLineChars="200"/>
        <w:jc w:val="left"/>
        <w:rPr>
          <w:rFonts w:ascii="宋体" w:hAnsi="宋体" w:cs="宋体"/>
          <w:b/>
          <w:bCs/>
          <w:sz w:val="24"/>
          <w:szCs w:val="24"/>
        </w:rPr>
      </w:pPr>
      <w:r>
        <w:rPr>
          <w:rFonts w:hint="eastAsia" w:ascii="宋体" w:hAnsi="宋体" w:cs="宋体"/>
          <w:b/>
          <w:bCs/>
          <w:sz w:val="24"/>
          <w:szCs w:val="24"/>
        </w:rPr>
        <w:t>项目基本情况</w:t>
      </w:r>
    </w:p>
    <w:p>
      <w:pPr>
        <w:pStyle w:val="14"/>
        <w:spacing w:after="0" w:line="440" w:lineRule="exact"/>
        <w:ind w:firstLine="422" w:firstLineChars="200"/>
        <w:rPr>
          <w:rFonts w:ascii="宋体" w:hAnsi="宋体" w:cs="宋体"/>
          <w:b/>
          <w:bCs/>
          <w:szCs w:val="21"/>
        </w:rPr>
      </w:pPr>
      <w:r>
        <w:rPr>
          <w:rFonts w:hint="eastAsia" w:ascii="宋体" w:hAnsi="宋体" w:cs="宋体"/>
          <w:b/>
          <w:bCs/>
          <w:szCs w:val="21"/>
        </w:rPr>
        <w:t>（一）采购需求</w:t>
      </w:r>
    </w:p>
    <w:tbl>
      <w:tblPr>
        <w:tblStyle w:val="23"/>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1"/>
        <w:gridCol w:w="2364"/>
        <w:gridCol w:w="491"/>
        <w:gridCol w:w="491"/>
        <w:gridCol w:w="1331"/>
        <w:gridCol w:w="1331"/>
        <w:gridCol w:w="1531"/>
        <w:gridCol w:w="49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0" w:type="auto"/>
            <w:shd w:val="clear" w:color="auto" w:fill="C6D9F1"/>
            <w:vAlign w:val="center"/>
          </w:tcPr>
          <w:p>
            <w:pPr>
              <w:spacing w:line="440" w:lineRule="exact"/>
              <w:jc w:val="center"/>
              <w:rPr>
                <w:rFonts w:ascii="宋体" w:hAnsi="宋体" w:cs="宋体"/>
                <w:szCs w:val="21"/>
              </w:rPr>
            </w:pPr>
            <w:r>
              <w:rPr>
                <w:rFonts w:hint="eastAsia" w:ascii="宋体" w:hAnsi="宋体" w:cs="宋体"/>
                <w:szCs w:val="21"/>
              </w:rPr>
              <w:t>序号</w:t>
            </w:r>
          </w:p>
        </w:tc>
        <w:tc>
          <w:tcPr>
            <w:tcW w:w="0" w:type="auto"/>
            <w:shd w:val="clear" w:color="auto" w:fill="C6D9F1"/>
            <w:vAlign w:val="center"/>
          </w:tcPr>
          <w:p>
            <w:pPr>
              <w:spacing w:line="440" w:lineRule="exact"/>
              <w:jc w:val="center"/>
              <w:rPr>
                <w:rFonts w:ascii="宋体" w:hAnsi="宋体" w:cs="宋体"/>
                <w:szCs w:val="21"/>
              </w:rPr>
            </w:pPr>
            <w:r>
              <w:rPr>
                <w:rFonts w:hint="eastAsia" w:ascii="宋体" w:hAnsi="宋体" w:cs="宋体"/>
                <w:szCs w:val="21"/>
              </w:rPr>
              <w:t>项目名称</w:t>
            </w:r>
          </w:p>
        </w:tc>
        <w:tc>
          <w:tcPr>
            <w:tcW w:w="0" w:type="auto"/>
            <w:shd w:val="clear" w:color="auto" w:fill="C6D9F1"/>
            <w:vAlign w:val="center"/>
          </w:tcPr>
          <w:p>
            <w:pPr>
              <w:spacing w:line="440" w:lineRule="exact"/>
              <w:jc w:val="center"/>
              <w:rPr>
                <w:rFonts w:ascii="宋体" w:hAnsi="宋体" w:cs="宋体"/>
                <w:szCs w:val="21"/>
              </w:rPr>
            </w:pPr>
            <w:r>
              <w:rPr>
                <w:rFonts w:hint="eastAsia" w:ascii="宋体" w:hAnsi="宋体" w:cs="宋体"/>
                <w:szCs w:val="21"/>
              </w:rPr>
              <w:t>数量</w:t>
            </w:r>
          </w:p>
        </w:tc>
        <w:tc>
          <w:tcPr>
            <w:tcW w:w="0" w:type="auto"/>
            <w:shd w:val="clear" w:color="auto" w:fill="C6D9F1"/>
            <w:vAlign w:val="center"/>
          </w:tcPr>
          <w:p>
            <w:pPr>
              <w:spacing w:line="440" w:lineRule="exact"/>
              <w:jc w:val="center"/>
              <w:rPr>
                <w:rFonts w:ascii="宋体" w:hAnsi="宋体" w:cs="宋体"/>
                <w:szCs w:val="21"/>
              </w:rPr>
            </w:pPr>
            <w:r>
              <w:rPr>
                <w:rFonts w:hint="eastAsia" w:ascii="宋体" w:hAnsi="宋体" w:cs="宋体"/>
                <w:szCs w:val="21"/>
              </w:rPr>
              <w:t>单位</w:t>
            </w:r>
          </w:p>
        </w:tc>
        <w:tc>
          <w:tcPr>
            <w:tcW w:w="0" w:type="auto"/>
            <w:shd w:val="clear" w:color="auto" w:fill="C6D9F1"/>
            <w:vAlign w:val="center"/>
          </w:tcPr>
          <w:p>
            <w:pPr>
              <w:widowControl/>
              <w:adjustRightInd w:val="0"/>
              <w:snapToGrid w:val="0"/>
              <w:spacing w:line="440" w:lineRule="exact"/>
              <w:jc w:val="center"/>
              <w:textAlignment w:val="center"/>
              <w:rPr>
                <w:rFonts w:ascii="宋体" w:hAnsi="宋体" w:cs="宋体"/>
                <w:szCs w:val="21"/>
              </w:rPr>
            </w:pPr>
            <w:r>
              <w:rPr>
                <w:rFonts w:hint="eastAsia" w:ascii="宋体" w:hAnsi="宋体" w:cs="宋体"/>
                <w:szCs w:val="21"/>
              </w:rPr>
              <w:t>采购预算</w:t>
            </w:r>
          </w:p>
          <w:p>
            <w:pPr>
              <w:widowControl/>
              <w:adjustRightInd w:val="0"/>
              <w:snapToGrid w:val="0"/>
              <w:spacing w:line="440" w:lineRule="exact"/>
              <w:jc w:val="center"/>
              <w:textAlignment w:val="center"/>
              <w:rPr>
                <w:rFonts w:ascii="宋体" w:hAnsi="宋体" w:cs="宋体"/>
                <w:szCs w:val="21"/>
              </w:rPr>
            </w:pPr>
            <w:r>
              <w:rPr>
                <w:rFonts w:hint="eastAsia" w:ascii="宋体" w:hAnsi="宋体" w:cs="宋体"/>
                <w:szCs w:val="21"/>
              </w:rPr>
              <w:t>金额</w:t>
            </w:r>
          </w:p>
          <w:p>
            <w:pPr>
              <w:spacing w:line="440" w:lineRule="exact"/>
              <w:jc w:val="center"/>
              <w:rPr>
                <w:rFonts w:ascii="宋体" w:hAnsi="宋体" w:cs="宋体"/>
                <w:szCs w:val="21"/>
              </w:rPr>
            </w:pPr>
            <w:r>
              <w:rPr>
                <w:rFonts w:hint="eastAsia" w:ascii="宋体" w:hAnsi="宋体" w:cs="宋体"/>
                <w:szCs w:val="21"/>
              </w:rPr>
              <w:t>（人民币元）</w:t>
            </w:r>
          </w:p>
        </w:tc>
        <w:tc>
          <w:tcPr>
            <w:tcW w:w="0" w:type="auto"/>
            <w:shd w:val="clear" w:color="auto" w:fill="C6D9F1"/>
            <w:vAlign w:val="center"/>
          </w:tcPr>
          <w:p>
            <w:pPr>
              <w:jc w:val="center"/>
              <w:rPr>
                <w:rFonts w:ascii="宋体" w:hAnsi="宋体" w:cs="宋体"/>
              </w:rPr>
            </w:pPr>
            <w:r>
              <w:rPr>
                <w:rFonts w:hint="eastAsia" w:ascii="宋体" w:hAnsi="宋体" w:cs="宋体"/>
              </w:rPr>
              <w:t>支付上限金额</w:t>
            </w:r>
          </w:p>
          <w:p>
            <w:pPr>
              <w:jc w:val="center"/>
              <w:rPr>
                <w:rFonts w:ascii="宋体" w:hAnsi="宋体" w:cs="宋体"/>
                <w:szCs w:val="21"/>
              </w:rPr>
            </w:pPr>
            <w:r>
              <w:rPr>
                <w:rFonts w:hint="eastAsia" w:ascii="宋体" w:hAnsi="宋体" w:cs="宋体"/>
                <w:szCs w:val="21"/>
              </w:rPr>
              <w:t>（人民币元）</w:t>
            </w:r>
          </w:p>
        </w:tc>
        <w:tc>
          <w:tcPr>
            <w:tcW w:w="0" w:type="auto"/>
            <w:shd w:val="clear" w:color="auto" w:fill="C6D9F1"/>
            <w:vAlign w:val="center"/>
          </w:tcPr>
          <w:p>
            <w:pPr>
              <w:jc w:val="center"/>
              <w:rPr>
                <w:rFonts w:ascii="宋体" w:hAnsi="宋体" w:cs="宋体"/>
                <w:szCs w:val="21"/>
              </w:rPr>
            </w:pPr>
            <w:r>
              <w:rPr>
                <w:rFonts w:hint="eastAsia" w:ascii="宋体" w:hAnsi="宋体" w:cs="宋体"/>
              </w:rPr>
              <w:t>综合单价上限</w:t>
            </w:r>
            <w:r>
              <w:rPr>
                <w:rFonts w:hint="eastAsia" w:ascii="宋体" w:hAnsi="宋体" w:cs="宋体"/>
                <w:szCs w:val="21"/>
              </w:rPr>
              <w:t>（人民币元/人）</w:t>
            </w:r>
          </w:p>
        </w:tc>
        <w:tc>
          <w:tcPr>
            <w:tcW w:w="0" w:type="auto"/>
            <w:shd w:val="clear" w:color="auto" w:fill="C6D9F1"/>
            <w:vAlign w:val="center"/>
          </w:tcPr>
          <w:p>
            <w:pPr>
              <w:spacing w:line="440" w:lineRule="exact"/>
              <w:jc w:val="center"/>
              <w:rPr>
                <w:rFonts w:ascii="宋体" w:hAnsi="宋体" w:cs="宋体"/>
                <w:szCs w:val="21"/>
              </w:rPr>
            </w:pPr>
            <w:r>
              <w:rPr>
                <w:rFonts w:hint="eastAsia" w:ascii="宋体" w:hAnsi="宋体" w:cs="宋体"/>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0" w:type="auto"/>
            <w:vAlign w:val="center"/>
          </w:tcPr>
          <w:p>
            <w:pPr>
              <w:spacing w:line="440" w:lineRule="exact"/>
              <w:jc w:val="center"/>
              <w:rPr>
                <w:rFonts w:ascii="宋体" w:hAnsi="宋体" w:cs="宋体"/>
                <w:szCs w:val="21"/>
              </w:rPr>
            </w:pPr>
            <w:r>
              <w:rPr>
                <w:rFonts w:hint="eastAsia" w:ascii="宋体" w:hAnsi="宋体" w:cs="宋体"/>
                <w:szCs w:val="21"/>
              </w:rPr>
              <w:t>1</w:t>
            </w:r>
          </w:p>
        </w:tc>
        <w:tc>
          <w:tcPr>
            <w:tcW w:w="0" w:type="auto"/>
            <w:vAlign w:val="center"/>
          </w:tcPr>
          <w:p>
            <w:pPr>
              <w:spacing w:line="440" w:lineRule="exact"/>
              <w:jc w:val="center"/>
              <w:rPr>
                <w:rFonts w:ascii="宋体" w:hAnsi="宋体" w:cs="宋体"/>
                <w:szCs w:val="21"/>
              </w:rPr>
            </w:pPr>
            <w:r>
              <w:rPr>
                <w:rFonts w:hint="eastAsia" w:ascii="宋体" w:hAnsi="宋体" w:cs="宋体"/>
                <w:szCs w:val="21"/>
              </w:rPr>
              <w:t>深圳市公安局交通警察局2024年辅聘人员人身意外伤害保险服务</w:t>
            </w:r>
          </w:p>
        </w:tc>
        <w:tc>
          <w:tcPr>
            <w:tcW w:w="0" w:type="auto"/>
            <w:vAlign w:val="center"/>
          </w:tcPr>
          <w:p>
            <w:pPr>
              <w:spacing w:line="440" w:lineRule="exact"/>
              <w:jc w:val="center"/>
              <w:rPr>
                <w:rFonts w:ascii="宋体" w:hAnsi="宋体" w:cs="宋体"/>
                <w:szCs w:val="21"/>
              </w:rPr>
            </w:pPr>
            <w:r>
              <w:rPr>
                <w:rFonts w:hint="eastAsia" w:ascii="宋体" w:hAnsi="宋体" w:cs="宋体"/>
                <w:szCs w:val="21"/>
              </w:rPr>
              <w:t>1</w:t>
            </w:r>
          </w:p>
        </w:tc>
        <w:tc>
          <w:tcPr>
            <w:tcW w:w="0" w:type="auto"/>
            <w:vAlign w:val="center"/>
          </w:tcPr>
          <w:p>
            <w:pPr>
              <w:spacing w:line="440" w:lineRule="exact"/>
              <w:jc w:val="center"/>
              <w:rPr>
                <w:rFonts w:ascii="宋体" w:hAnsi="宋体" w:cs="宋体"/>
                <w:szCs w:val="21"/>
              </w:rPr>
            </w:pPr>
            <w:r>
              <w:rPr>
                <w:rFonts w:hint="eastAsia" w:ascii="宋体" w:hAnsi="宋体" w:cs="宋体"/>
                <w:szCs w:val="21"/>
              </w:rPr>
              <w:t>项</w:t>
            </w:r>
          </w:p>
        </w:tc>
        <w:tc>
          <w:tcPr>
            <w:tcW w:w="0" w:type="auto"/>
            <w:vAlign w:val="center"/>
          </w:tcPr>
          <w:p>
            <w:pPr>
              <w:spacing w:line="440" w:lineRule="exact"/>
              <w:jc w:val="center"/>
              <w:rPr>
                <w:rFonts w:ascii="宋体" w:hAnsi="宋体" w:cs="宋体"/>
                <w:szCs w:val="21"/>
              </w:rPr>
            </w:pPr>
            <w:r>
              <w:rPr>
                <w:rFonts w:hint="eastAsia" w:ascii="宋体" w:hAnsi="宋体" w:cs="宋体"/>
              </w:rPr>
              <w:t>375,400.00</w:t>
            </w:r>
          </w:p>
        </w:tc>
        <w:tc>
          <w:tcPr>
            <w:tcW w:w="0" w:type="auto"/>
            <w:vAlign w:val="center"/>
          </w:tcPr>
          <w:p>
            <w:pPr>
              <w:spacing w:line="360" w:lineRule="auto"/>
              <w:jc w:val="center"/>
              <w:rPr>
                <w:rFonts w:ascii="宋体" w:hAnsi="宋体" w:cs="宋体"/>
              </w:rPr>
            </w:pPr>
            <w:r>
              <w:rPr>
                <w:rFonts w:hint="eastAsia" w:ascii="宋体" w:hAnsi="宋体" w:cs="宋体"/>
              </w:rPr>
              <w:t>375,400.00</w:t>
            </w:r>
          </w:p>
        </w:tc>
        <w:tc>
          <w:tcPr>
            <w:tcW w:w="0" w:type="auto"/>
            <w:vAlign w:val="center"/>
          </w:tcPr>
          <w:p>
            <w:pPr>
              <w:spacing w:line="360" w:lineRule="auto"/>
              <w:jc w:val="center"/>
              <w:rPr>
                <w:rFonts w:ascii="宋体" w:hAnsi="宋体" w:cs="宋体"/>
              </w:rPr>
            </w:pPr>
            <w:r>
              <w:rPr>
                <w:rFonts w:hint="eastAsia" w:ascii="宋体" w:hAnsi="宋体" w:cs="宋体"/>
                <w:szCs w:val="21"/>
              </w:rPr>
              <w:t>200.00</w:t>
            </w:r>
          </w:p>
        </w:tc>
        <w:tc>
          <w:tcPr>
            <w:tcW w:w="0" w:type="auto"/>
            <w:vAlign w:val="center"/>
          </w:tcPr>
          <w:p>
            <w:pPr>
              <w:spacing w:line="440" w:lineRule="exact"/>
              <w:jc w:val="center"/>
              <w:rPr>
                <w:rFonts w:ascii="宋体" w:hAnsi="宋体" w:cs="宋体"/>
                <w:szCs w:val="21"/>
              </w:rPr>
            </w:pPr>
          </w:p>
        </w:tc>
      </w:tr>
    </w:tbl>
    <w:p>
      <w:pPr>
        <w:widowControl/>
        <w:spacing w:line="440" w:lineRule="exact"/>
        <w:ind w:firstLine="420" w:firstLineChars="200"/>
        <w:jc w:val="left"/>
        <w:rPr>
          <w:rFonts w:ascii="宋体" w:hAnsi="宋体" w:cs="宋体"/>
          <w:szCs w:val="21"/>
        </w:rPr>
      </w:pPr>
      <w:r>
        <w:rPr>
          <w:rFonts w:hint="eastAsia" w:ascii="宋体" w:hAnsi="宋体" w:cs="宋体"/>
          <w:color w:val="FF0000"/>
          <w:szCs w:val="21"/>
        </w:rPr>
        <w:t>注：</w:t>
      </w:r>
      <w:r>
        <w:rPr>
          <w:rFonts w:hint="eastAsia" w:ascii="宋体" w:hAnsi="宋体" w:cs="宋体"/>
          <w:szCs w:val="21"/>
          <w:highlight w:val="yellow"/>
        </w:rPr>
        <w:t>★投标人的投标报价超过综合单价上限的将导致投标无效。</w:t>
      </w:r>
    </w:p>
    <w:p>
      <w:pPr>
        <w:pStyle w:val="14"/>
        <w:numPr>
          <w:ilvl w:val="0"/>
          <w:numId w:val="6"/>
        </w:numPr>
        <w:spacing w:after="0" w:line="440" w:lineRule="exact"/>
        <w:ind w:firstLine="422" w:firstLineChars="200"/>
        <w:rPr>
          <w:rFonts w:ascii="宋体" w:hAnsi="宋体" w:cs="宋体"/>
          <w:b/>
          <w:bCs/>
          <w:szCs w:val="21"/>
        </w:rPr>
      </w:pPr>
      <w:r>
        <w:rPr>
          <w:rFonts w:hint="eastAsia" w:ascii="宋体" w:hAnsi="宋体" w:cs="宋体"/>
          <w:b/>
          <w:bCs/>
          <w:szCs w:val="21"/>
        </w:rPr>
        <w:t>项目概况</w:t>
      </w:r>
    </w:p>
    <w:p>
      <w:pPr>
        <w:spacing w:line="360" w:lineRule="auto"/>
        <w:ind w:firstLine="420" w:firstLineChars="200"/>
        <w:rPr>
          <w:rFonts w:ascii="宋体" w:hAnsi="宋体" w:cs="宋体"/>
          <w:szCs w:val="21"/>
        </w:rPr>
      </w:pPr>
      <w:r>
        <w:rPr>
          <w:rFonts w:hint="eastAsia" w:ascii="宋体" w:hAnsi="宋体" w:cs="宋体"/>
          <w:szCs w:val="21"/>
        </w:rPr>
        <w:t>1、项目背景：</w:t>
      </w:r>
    </w:p>
    <w:p>
      <w:pPr>
        <w:spacing w:line="360" w:lineRule="auto"/>
        <w:ind w:firstLine="420" w:firstLineChars="200"/>
        <w:rPr>
          <w:rFonts w:ascii="宋体" w:hAnsi="宋体" w:cs="宋体"/>
          <w:szCs w:val="21"/>
          <w:lang w:val="zh-CN"/>
        </w:rPr>
      </w:pPr>
      <w:r>
        <w:rPr>
          <w:rFonts w:hint="eastAsia" w:ascii="宋体" w:hAnsi="宋体" w:cs="宋体"/>
          <w:szCs w:val="21"/>
          <w:lang w:val="zh-CN"/>
        </w:rPr>
        <w:t>为切实加强辅聘人员职业风险保障，贯彻落实从优待警的措施，体现深圳市公安局交通警察局对全体辅聘人员的关爱和体贴，进一步解除辅聘人员的后顾之忧，增强辅聘人员的职业认同感、荣誉感、优越感和归属感，极大地激发全体辅聘人员立足岗位、忠诚履职、干事热情，深圳市公安局交通警察局将为全体辅聘人员购买人身意外伤害保险。</w:t>
      </w:r>
    </w:p>
    <w:p>
      <w:pPr>
        <w:pStyle w:val="14"/>
        <w:spacing w:after="0" w:line="360" w:lineRule="auto"/>
        <w:ind w:firstLine="420" w:firstLineChars="200"/>
        <w:rPr>
          <w:rFonts w:ascii="宋体" w:hAnsi="宋体" w:cs="宋体"/>
          <w:lang w:val="zh-CN"/>
        </w:rPr>
      </w:pPr>
      <w:r>
        <w:rPr>
          <w:rFonts w:hint="eastAsia" w:ascii="宋体" w:hAnsi="宋体" w:cs="宋体"/>
        </w:rPr>
        <w:t>2、</w:t>
      </w:r>
      <w:r>
        <w:rPr>
          <w:rFonts w:hint="eastAsia" w:ascii="宋体" w:hAnsi="宋体" w:cs="宋体"/>
          <w:lang w:val="zh-CN"/>
        </w:rPr>
        <w:t>招标目标：</w:t>
      </w:r>
    </w:p>
    <w:p>
      <w:pPr>
        <w:pStyle w:val="14"/>
        <w:spacing w:after="0" w:line="360" w:lineRule="auto"/>
        <w:ind w:firstLine="420" w:firstLineChars="200"/>
        <w:rPr>
          <w:rFonts w:ascii="宋体" w:hAnsi="宋体" w:cs="宋体"/>
          <w:lang w:val="zh-CN"/>
        </w:rPr>
      </w:pPr>
      <w:r>
        <w:rPr>
          <w:rFonts w:hint="eastAsia" w:ascii="宋体" w:hAnsi="宋体" w:cs="宋体"/>
          <w:lang w:val="zh-CN"/>
        </w:rPr>
        <w:t>通过公开征集确定1名中标供应商，为本项目提供承保、理赔及其他保险服务。在服务期内，中标人有违反承诺行为且符合服务内容终止情形的，采购单位有权终止其承保服务。</w:t>
      </w:r>
    </w:p>
    <w:p>
      <w:pPr>
        <w:pStyle w:val="14"/>
        <w:spacing w:after="0" w:line="360" w:lineRule="auto"/>
        <w:ind w:firstLine="420" w:firstLineChars="200"/>
        <w:rPr>
          <w:rFonts w:ascii="宋体" w:hAnsi="宋体" w:cs="宋体"/>
          <w:highlight w:val="yellow"/>
          <w:lang w:val="zh-CN"/>
        </w:rPr>
      </w:pPr>
      <w:r>
        <w:rPr>
          <w:rFonts w:hint="eastAsia" w:ascii="宋体" w:hAnsi="宋体" w:cs="宋体"/>
          <w:highlight w:val="yellow"/>
          <w:lang w:val="zh-CN"/>
        </w:rPr>
        <w:t>★</w:t>
      </w:r>
      <w:r>
        <w:rPr>
          <w:rFonts w:hint="eastAsia" w:ascii="宋体" w:hAnsi="宋体" w:cs="宋体"/>
          <w:highlight w:val="yellow"/>
        </w:rPr>
        <w:t>3、</w:t>
      </w:r>
      <w:r>
        <w:rPr>
          <w:rFonts w:hint="eastAsia" w:ascii="宋体" w:hAnsi="宋体" w:cs="宋体"/>
          <w:highlight w:val="yellow"/>
          <w:lang w:val="zh-CN"/>
        </w:rPr>
        <w:t>保险经纪人：</w:t>
      </w:r>
    </w:p>
    <w:p>
      <w:pPr>
        <w:pStyle w:val="14"/>
        <w:spacing w:after="0" w:line="360" w:lineRule="auto"/>
        <w:ind w:firstLine="420" w:firstLineChars="200"/>
        <w:rPr>
          <w:rFonts w:ascii="宋体" w:hAnsi="宋体" w:cs="宋体"/>
          <w:highlight w:val="yellow"/>
          <w:lang w:val="zh-CN"/>
        </w:rPr>
      </w:pPr>
      <w:r>
        <w:rPr>
          <w:rFonts w:hint="eastAsia" w:ascii="宋体" w:hAnsi="宋体" w:cs="宋体"/>
          <w:highlight w:val="yellow"/>
          <w:lang w:val="zh-CN"/>
        </w:rPr>
        <w:t>根据《深圳市财政局关于保险类政府采购项目引入保险经纪服务有关事项的通知》（深财购[2020]2号），本项目选择友和保险经纪有限公司作为保险经纪人，保险经纪服务包括对保险采购项目进行风险评估、拟定保险方案、协助招标采购、协助办理投保工作、协助办理理赔工作及保险期内日常服务工作。投标人中标后应当依法合规地向保险经纪人支付保险经纪服务费用。采购单位不再向保险经纪人支付任何费用。</w:t>
      </w:r>
    </w:p>
    <w:p>
      <w:pPr>
        <w:pStyle w:val="14"/>
        <w:spacing w:after="0" w:line="440" w:lineRule="exact"/>
        <w:rPr>
          <w:lang w:val="zh-CN"/>
        </w:rPr>
      </w:pPr>
    </w:p>
    <w:p>
      <w:pPr>
        <w:pStyle w:val="14"/>
        <w:spacing w:after="0" w:line="440" w:lineRule="exact"/>
        <w:rPr>
          <w:rFonts w:ascii="宋体" w:hAnsi="宋体" w:cs="宋体"/>
          <w:b/>
          <w:bCs/>
          <w:sz w:val="24"/>
          <w:szCs w:val="24"/>
        </w:rPr>
      </w:pPr>
      <w:r>
        <w:rPr>
          <w:rFonts w:hint="eastAsia" w:ascii="宋体" w:hAnsi="宋体" w:cs="宋体"/>
          <w:b/>
          <w:bCs/>
          <w:sz w:val="24"/>
          <w:szCs w:val="24"/>
        </w:rPr>
        <w:t>二、项目服务要求</w:t>
      </w:r>
    </w:p>
    <w:p>
      <w:pPr>
        <w:widowControl/>
        <w:spacing w:line="360" w:lineRule="auto"/>
        <w:rPr>
          <w:rFonts w:ascii="宋体" w:hAnsi="宋体" w:cs="宋体"/>
          <w:b/>
          <w:bCs/>
          <w:szCs w:val="21"/>
          <w:highlight w:val="none"/>
        </w:rPr>
      </w:pPr>
      <w:r>
        <w:rPr>
          <w:rFonts w:hint="eastAsia" w:ascii="宋体" w:hAnsi="宋体" w:cs="宋体"/>
          <w:b/>
          <w:bCs/>
          <w:szCs w:val="21"/>
          <w:highlight w:val="none"/>
        </w:rPr>
        <w:t>（一）保险方案</w:t>
      </w:r>
    </w:p>
    <w:p>
      <w:pPr>
        <w:widowControl/>
        <w:spacing w:line="360" w:lineRule="auto"/>
        <w:jc w:val="left"/>
        <w:textAlignment w:val="center"/>
        <w:rPr>
          <w:rStyle w:val="59"/>
          <w:rFonts w:hint="default"/>
          <w:color w:val="auto"/>
          <w:highlight w:val="none"/>
        </w:rPr>
      </w:pPr>
      <w:r>
        <w:rPr>
          <w:rStyle w:val="59"/>
          <w:rFonts w:hint="default"/>
          <w:color w:val="auto"/>
          <w:highlight w:val="none"/>
        </w:rPr>
        <w:t>1、投保人：深圳市公安局交通警察局</w:t>
      </w:r>
    </w:p>
    <w:p>
      <w:pPr>
        <w:widowControl/>
        <w:spacing w:line="360" w:lineRule="auto"/>
        <w:jc w:val="left"/>
        <w:textAlignment w:val="center"/>
        <w:rPr>
          <w:rStyle w:val="59"/>
          <w:rFonts w:hint="default"/>
          <w:color w:val="auto"/>
          <w:highlight w:val="none"/>
        </w:rPr>
      </w:pPr>
      <w:r>
        <w:rPr>
          <w:rStyle w:val="59"/>
          <w:rFonts w:hint="default"/>
          <w:color w:val="auto"/>
          <w:highlight w:val="none"/>
        </w:rPr>
        <w:t>2、被保险人：深圳市公安局交通警察局辅聘人员，投保人数约1877人，其中路面执勤人员1614人，文职人员155人，后勤保障人员108人（均为预估人数，以下年龄结构供参考，具体人数以实际出单时提供的清单为准）。</w:t>
      </w:r>
    </w:p>
    <w:p>
      <w:pPr>
        <w:pStyle w:val="14"/>
        <w:tabs>
          <w:tab w:val="left" w:pos="562"/>
          <w:tab w:val="left" w:pos="3372"/>
          <w:tab w:val="left" w:pos="3653"/>
        </w:tabs>
        <w:spacing w:after="0" w:line="360" w:lineRule="auto"/>
        <w:rPr>
          <w:rFonts w:ascii="宋体" w:hAnsi="宋体" w:cs="宋体"/>
          <w:szCs w:val="21"/>
          <w:highlight w:val="none"/>
        </w:rPr>
      </w:pPr>
      <w:r>
        <w:rPr>
          <w:rFonts w:hint="eastAsia" w:ascii="宋体" w:hAnsi="宋体" w:cs="宋体"/>
          <w:szCs w:val="21"/>
          <w:highlight w:val="none"/>
        </w:rPr>
        <w:t>（1）路面执勤人员：</w:t>
      </w:r>
    </w:p>
    <w:tbl>
      <w:tblPr>
        <w:tblStyle w:val="23"/>
        <w:tblW w:w="4802" w:type="pct"/>
        <w:tblInd w:w="0" w:type="dxa"/>
        <w:tblLayout w:type="fixed"/>
        <w:tblCellMar>
          <w:top w:w="0" w:type="dxa"/>
          <w:left w:w="108" w:type="dxa"/>
          <w:bottom w:w="0" w:type="dxa"/>
          <w:right w:w="108" w:type="dxa"/>
        </w:tblCellMar>
      </w:tblPr>
      <w:tblGrid>
        <w:gridCol w:w="1726"/>
        <w:gridCol w:w="1555"/>
        <w:gridCol w:w="1556"/>
        <w:gridCol w:w="1792"/>
        <w:gridCol w:w="1556"/>
      </w:tblGrid>
      <w:tr>
        <w:tblPrEx>
          <w:tblCellMar>
            <w:top w:w="0" w:type="dxa"/>
            <w:left w:w="108" w:type="dxa"/>
            <w:bottom w:w="0" w:type="dxa"/>
            <w:right w:w="108" w:type="dxa"/>
          </w:tblCellMar>
        </w:tblPrEx>
        <w:trPr>
          <w:trHeight w:val="328" w:hRule="atLeast"/>
        </w:trPr>
        <w:tc>
          <w:tcPr>
            <w:tcW w:w="1597"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Style w:val="59"/>
                <w:rFonts w:hint="default"/>
                <w:b/>
                <w:bCs/>
                <w:color w:val="auto"/>
                <w:highlight w:val="none"/>
              </w:rPr>
            </w:pPr>
            <w:r>
              <w:rPr>
                <w:rStyle w:val="59"/>
                <w:rFonts w:hint="default"/>
                <w:b/>
                <w:bCs/>
                <w:color w:val="auto"/>
                <w:highlight w:val="none"/>
              </w:rPr>
              <w:t>年龄区间</w:t>
            </w:r>
          </w:p>
        </w:tc>
        <w:tc>
          <w:tcPr>
            <w:tcW w:w="143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Style w:val="59"/>
                <w:rFonts w:hint="default"/>
                <w:b/>
                <w:bCs/>
                <w:color w:val="auto"/>
                <w:highlight w:val="none"/>
              </w:rPr>
            </w:pPr>
            <w:r>
              <w:rPr>
                <w:rStyle w:val="59"/>
                <w:rFonts w:hint="default"/>
                <w:b/>
                <w:bCs/>
                <w:color w:val="auto"/>
                <w:highlight w:val="none"/>
              </w:rPr>
              <w:t>男(人)</w:t>
            </w:r>
          </w:p>
        </w:tc>
        <w:tc>
          <w:tcPr>
            <w:tcW w:w="143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Style w:val="59"/>
                <w:rFonts w:hint="default"/>
                <w:b/>
                <w:bCs/>
                <w:color w:val="auto"/>
                <w:highlight w:val="none"/>
              </w:rPr>
            </w:pPr>
            <w:r>
              <w:rPr>
                <w:rStyle w:val="59"/>
                <w:rFonts w:hint="default"/>
                <w:b/>
                <w:bCs/>
                <w:color w:val="auto"/>
                <w:highlight w:val="none"/>
              </w:rPr>
              <w:t>女(人)</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Style w:val="59"/>
                <w:rFonts w:hint="default"/>
                <w:b/>
                <w:bCs/>
                <w:color w:val="auto"/>
                <w:highlight w:val="none"/>
              </w:rPr>
            </w:pPr>
            <w:r>
              <w:rPr>
                <w:rStyle w:val="59"/>
                <w:rFonts w:hint="default"/>
                <w:b/>
                <w:bCs/>
                <w:color w:val="auto"/>
                <w:highlight w:val="none"/>
              </w:rPr>
              <w:t>合计(人)</w:t>
            </w:r>
          </w:p>
        </w:tc>
        <w:tc>
          <w:tcPr>
            <w:tcW w:w="143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Style w:val="59"/>
                <w:rFonts w:hint="default"/>
                <w:b/>
                <w:bCs/>
                <w:color w:val="auto"/>
                <w:highlight w:val="none"/>
              </w:rPr>
            </w:pPr>
            <w:r>
              <w:rPr>
                <w:rStyle w:val="59"/>
                <w:rFonts w:hint="default"/>
                <w:b/>
                <w:bCs/>
                <w:color w:val="auto"/>
                <w:highlight w:val="none"/>
              </w:rPr>
              <w:t>占比</w:t>
            </w:r>
          </w:p>
        </w:tc>
      </w:tr>
      <w:tr>
        <w:tblPrEx>
          <w:tblCellMar>
            <w:top w:w="0" w:type="dxa"/>
            <w:left w:w="108" w:type="dxa"/>
            <w:bottom w:w="0" w:type="dxa"/>
            <w:right w:w="108" w:type="dxa"/>
          </w:tblCellMar>
        </w:tblPrEx>
        <w:trPr>
          <w:trHeight w:val="328" w:hRule="atLeast"/>
        </w:trPr>
        <w:tc>
          <w:tcPr>
            <w:tcW w:w="1597"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Style w:val="59"/>
                <w:rFonts w:hint="default"/>
                <w:color w:val="auto"/>
                <w:highlight w:val="none"/>
              </w:rPr>
            </w:pPr>
            <w:r>
              <w:rPr>
                <w:rStyle w:val="59"/>
                <w:rFonts w:hint="default"/>
                <w:color w:val="auto"/>
                <w:highlight w:val="none"/>
              </w:rPr>
              <w:t>20-29岁</w:t>
            </w:r>
          </w:p>
        </w:tc>
        <w:tc>
          <w:tcPr>
            <w:tcW w:w="143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Style w:val="59"/>
                <w:rFonts w:hint="default"/>
                <w:color w:val="auto"/>
                <w:highlight w:val="none"/>
              </w:rPr>
            </w:pPr>
            <w:r>
              <w:rPr>
                <w:rStyle w:val="59"/>
                <w:rFonts w:hint="default"/>
                <w:color w:val="auto"/>
                <w:highlight w:val="none"/>
              </w:rPr>
              <w:t>903</w:t>
            </w:r>
          </w:p>
        </w:tc>
        <w:tc>
          <w:tcPr>
            <w:tcW w:w="143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Style w:val="59"/>
                <w:rFonts w:hint="default"/>
                <w:color w:val="auto"/>
                <w:highlight w:val="none"/>
              </w:rPr>
            </w:pPr>
            <w:r>
              <w:rPr>
                <w:rStyle w:val="59"/>
                <w:rFonts w:hint="default"/>
                <w:color w:val="auto"/>
                <w:highlight w:val="none"/>
              </w:rPr>
              <w:t>63</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Style w:val="59"/>
                <w:rFonts w:hint="default"/>
                <w:color w:val="auto"/>
                <w:highlight w:val="none"/>
              </w:rPr>
            </w:pPr>
            <w:r>
              <w:rPr>
                <w:rStyle w:val="59"/>
                <w:rFonts w:hint="default"/>
                <w:color w:val="auto"/>
                <w:highlight w:val="none"/>
              </w:rPr>
              <w:t>966</w:t>
            </w:r>
          </w:p>
        </w:tc>
        <w:tc>
          <w:tcPr>
            <w:tcW w:w="143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Style w:val="59"/>
                <w:rFonts w:hint="default"/>
                <w:color w:val="auto"/>
                <w:highlight w:val="none"/>
              </w:rPr>
            </w:pPr>
            <w:r>
              <w:rPr>
                <w:rStyle w:val="59"/>
                <w:rFonts w:hint="default"/>
                <w:color w:val="auto"/>
                <w:highlight w:val="none"/>
              </w:rPr>
              <w:t>59.85%</w:t>
            </w:r>
          </w:p>
        </w:tc>
      </w:tr>
      <w:tr>
        <w:tblPrEx>
          <w:tblCellMar>
            <w:top w:w="0" w:type="dxa"/>
            <w:left w:w="108" w:type="dxa"/>
            <w:bottom w:w="0" w:type="dxa"/>
            <w:right w:w="108" w:type="dxa"/>
          </w:tblCellMar>
        </w:tblPrEx>
        <w:trPr>
          <w:trHeight w:val="328" w:hRule="atLeast"/>
        </w:trPr>
        <w:tc>
          <w:tcPr>
            <w:tcW w:w="1597"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Style w:val="59"/>
                <w:rFonts w:hint="default"/>
                <w:color w:val="auto"/>
                <w:highlight w:val="none"/>
              </w:rPr>
            </w:pPr>
            <w:r>
              <w:rPr>
                <w:rStyle w:val="59"/>
                <w:rFonts w:hint="default"/>
                <w:color w:val="auto"/>
                <w:highlight w:val="none"/>
              </w:rPr>
              <w:t>30-39岁</w:t>
            </w:r>
          </w:p>
        </w:tc>
        <w:tc>
          <w:tcPr>
            <w:tcW w:w="143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Style w:val="59"/>
                <w:rFonts w:hint="default"/>
                <w:color w:val="auto"/>
                <w:highlight w:val="none"/>
              </w:rPr>
            </w:pPr>
            <w:r>
              <w:rPr>
                <w:rStyle w:val="59"/>
                <w:rFonts w:hint="default"/>
                <w:color w:val="auto"/>
                <w:highlight w:val="none"/>
              </w:rPr>
              <w:t>559</w:t>
            </w:r>
          </w:p>
        </w:tc>
        <w:tc>
          <w:tcPr>
            <w:tcW w:w="143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Style w:val="59"/>
                <w:rFonts w:hint="default"/>
                <w:color w:val="auto"/>
                <w:highlight w:val="none"/>
              </w:rPr>
            </w:pPr>
            <w:r>
              <w:rPr>
                <w:rStyle w:val="59"/>
                <w:rFonts w:hint="default"/>
                <w:color w:val="auto"/>
                <w:highlight w:val="none"/>
              </w:rPr>
              <w:t>53</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Style w:val="59"/>
                <w:rFonts w:hint="default"/>
                <w:color w:val="auto"/>
                <w:highlight w:val="none"/>
              </w:rPr>
            </w:pPr>
            <w:r>
              <w:rPr>
                <w:rStyle w:val="59"/>
                <w:rFonts w:hint="default"/>
                <w:color w:val="auto"/>
                <w:highlight w:val="none"/>
              </w:rPr>
              <w:t>612</w:t>
            </w:r>
          </w:p>
        </w:tc>
        <w:tc>
          <w:tcPr>
            <w:tcW w:w="143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Style w:val="59"/>
                <w:rFonts w:hint="default"/>
                <w:color w:val="auto"/>
                <w:highlight w:val="none"/>
              </w:rPr>
            </w:pPr>
            <w:r>
              <w:rPr>
                <w:rStyle w:val="59"/>
                <w:rFonts w:hint="default"/>
                <w:color w:val="auto"/>
                <w:highlight w:val="none"/>
              </w:rPr>
              <w:t>37.92%</w:t>
            </w:r>
          </w:p>
        </w:tc>
      </w:tr>
      <w:tr>
        <w:tblPrEx>
          <w:tblCellMar>
            <w:top w:w="0" w:type="dxa"/>
            <w:left w:w="108" w:type="dxa"/>
            <w:bottom w:w="0" w:type="dxa"/>
            <w:right w:w="108" w:type="dxa"/>
          </w:tblCellMar>
        </w:tblPrEx>
        <w:trPr>
          <w:trHeight w:val="328" w:hRule="atLeast"/>
        </w:trPr>
        <w:tc>
          <w:tcPr>
            <w:tcW w:w="1597"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Style w:val="59"/>
                <w:rFonts w:hint="default"/>
                <w:color w:val="auto"/>
                <w:highlight w:val="none"/>
              </w:rPr>
            </w:pPr>
            <w:r>
              <w:rPr>
                <w:rStyle w:val="59"/>
                <w:rFonts w:hint="default"/>
                <w:color w:val="auto"/>
                <w:highlight w:val="none"/>
              </w:rPr>
              <w:t>40-49岁</w:t>
            </w:r>
          </w:p>
        </w:tc>
        <w:tc>
          <w:tcPr>
            <w:tcW w:w="143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Style w:val="59"/>
                <w:rFonts w:hint="default"/>
                <w:color w:val="auto"/>
                <w:highlight w:val="none"/>
              </w:rPr>
            </w:pPr>
            <w:r>
              <w:rPr>
                <w:rStyle w:val="59"/>
                <w:rFonts w:hint="default"/>
                <w:color w:val="auto"/>
                <w:highlight w:val="none"/>
              </w:rPr>
              <w:t>33</w:t>
            </w:r>
          </w:p>
        </w:tc>
        <w:tc>
          <w:tcPr>
            <w:tcW w:w="143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Style w:val="59"/>
                <w:rFonts w:hint="default"/>
                <w:color w:val="auto"/>
                <w:highlight w:val="none"/>
              </w:rPr>
            </w:pPr>
            <w:r>
              <w:rPr>
                <w:rStyle w:val="59"/>
                <w:rFonts w:hint="default"/>
                <w:color w:val="auto"/>
                <w:highlight w:val="none"/>
              </w:rPr>
              <w:t>3</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Style w:val="59"/>
                <w:rFonts w:hint="default"/>
                <w:color w:val="auto"/>
                <w:highlight w:val="none"/>
              </w:rPr>
            </w:pPr>
            <w:r>
              <w:rPr>
                <w:rStyle w:val="59"/>
                <w:rFonts w:hint="default"/>
                <w:color w:val="auto"/>
                <w:highlight w:val="none"/>
              </w:rPr>
              <w:t>46</w:t>
            </w:r>
          </w:p>
        </w:tc>
        <w:tc>
          <w:tcPr>
            <w:tcW w:w="143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Style w:val="59"/>
                <w:rFonts w:hint="default"/>
                <w:color w:val="auto"/>
                <w:highlight w:val="none"/>
              </w:rPr>
            </w:pPr>
            <w:r>
              <w:rPr>
                <w:rStyle w:val="59"/>
                <w:rFonts w:hint="default"/>
                <w:color w:val="auto"/>
                <w:highlight w:val="none"/>
              </w:rPr>
              <w:t>2.23%</w:t>
            </w:r>
          </w:p>
        </w:tc>
      </w:tr>
      <w:tr>
        <w:tblPrEx>
          <w:tblCellMar>
            <w:top w:w="0" w:type="dxa"/>
            <w:left w:w="108" w:type="dxa"/>
            <w:bottom w:w="0" w:type="dxa"/>
            <w:right w:w="108" w:type="dxa"/>
          </w:tblCellMar>
        </w:tblPrEx>
        <w:trPr>
          <w:trHeight w:val="348" w:hRule="atLeast"/>
        </w:trPr>
        <w:tc>
          <w:tcPr>
            <w:tcW w:w="1597"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Style w:val="59"/>
                <w:rFonts w:hint="default"/>
                <w:b/>
                <w:bCs/>
                <w:color w:val="auto"/>
                <w:highlight w:val="none"/>
              </w:rPr>
            </w:pPr>
            <w:r>
              <w:rPr>
                <w:rStyle w:val="59"/>
                <w:rFonts w:hint="default"/>
                <w:b/>
                <w:bCs/>
                <w:color w:val="auto"/>
                <w:highlight w:val="none"/>
              </w:rPr>
              <w:t>合计</w:t>
            </w:r>
          </w:p>
        </w:tc>
        <w:tc>
          <w:tcPr>
            <w:tcW w:w="143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Style w:val="59"/>
                <w:rFonts w:hint="default"/>
                <w:b/>
                <w:bCs/>
                <w:color w:val="auto"/>
                <w:highlight w:val="none"/>
              </w:rPr>
            </w:pPr>
            <w:r>
              <w:rPr>
                <w:rStyle w:val="59"/>
                <w:rFonts w:hint="default"/>
                <w:b/>
                <w:bCs/>
                <w:color w:val="auto"/>
                <w:highlight w:val="none"/>
              </w:rPr>
              <w:t>1495</w:t>
            </w:r>
          </w:p>
        </w:tc>
        <w:tc>
          <w:tcPr>
            <w:tcW w:w="143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Style w:val="59"/>
                <w:rFonts w:hint="default"/>
                <w:b/>
                <w:bCs/>
                <w:color w:val="auto"/>
                <w:highlight w:val="none"/>
              </w:rPr>
            </w:pPr>
            <w:r>
              <w:rPr>
                <w:rStyle w:val="59"/>
                <w:rFonts w:hint="default"/>
                <w:b/>
                <w:bCs/>
                <w:color w:val="auto"/>
                <w:highlight w:val="none"/>
              </w:rPr>
              <w:t>119</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Style w:val="59"/>
                <w:rFonts w:hint="default"/>
                <w:b/>
                <w:bCs/>
                <w:color w:val="auto"/>
                <w:highlight w:val="none"/>
              </w:rPr>
            </w:pPr>
            <w:r>
              <w:rPr>
                <w:rStyle w:val="59"/>
                <w:rFonts w:hint="default"/>
                <w:b/>
                <w:bCs/>
                <w:color w:val="auto"/>
                <w:highlight w:val="none"/>
              </w:rPr>
              <w:t>1614</w:t>
            </w:r>
          </w:p>
        </w:tc>
        <w:tc>
          <w:tcPr>
            <w:tcW w:w="143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Style w:val="59"/>
                <w:rFonts w:hint="default"/>
                <w:b/>
                <w:bCs/>
                <w:color w:val="auto"/>
                <w:highlight w:val="none"/>
              </w:rPr>
            </w:pPr>
            <w:r>
              <w:rPr>
                <w:rStyle w:val="59"/>
                <w:rFonts w:hint="default"/>
                <w:b/>
                <w:bCs/>
                <w:color w:val="auto"/>
                <w:highlight w:val="none"/>
              </w:rPr>
              <w:t>100%</w:t>
            </w:r>
          </w:p>
        </w:tc>
      </w:tr>
    </w:tbl>
    <w:p>
      <w:pPr>
        <w:pStyle w:val="14"/>
        <w:tabs>
          <w:tab w:val="left" w:pos="562"/>
          <w:tab w:val="left" w:pos="3372"/>
          <w:tab w:val="left" w:pos="3653"/>
        </w:tabs>
        <w:spacing w:after="0" w:line="360" w:lineRule="auto"/>
        <w:rPr>
          <w:rFonts w:ascii="宋体" w:hAnsi="宋体" w:cs="宋体"/>
          <w:szCs w:val="21"/>
          <w:highlight w:val="none"/>
        </w:rPr>
      </w:pPr>
      <w:r>
        <w:rPr>
          <w:rFonts w:hint="eastAsia" w:ascii="宋体" w:hAnsi="宋体" w:cs="宋体"/>
          <w:szCs w:val="21"/>
          <w:highlight w:val="none"/>
        </w:rPr>
        <w:t>（2）文职人员：</w:t>
      </w:r>
    </w:p>
    <w:tbl>
      <w:tblPr>
        <w:tblStyle w:val="23"/>
        <w:tblW w:w="4802" w:type="pct"/>
        <w:tblInd w:w="0" w:type="dxa"/>
        <w:tblLayout w:type="fixed"/>
        <w:tblCellMar>
          <w:top w:w="0" w:type="dxa"/>
          <w:left w:w="108" w:type="dxa"/>
          <w:bottom w:w="0" w:type="dxa"/>
          <w:right w:w="108" w:type="dxa"/>
        </w:tblCellMar>
      </w:tblPr>
      <w:tblGrid>
        <w:gridCol w:w="1726"/>
        <w:gridCol w:w="1555"/>
        <w:gridCol w:w="1556"/>
        <w:gridCol w:w="1792"/>
        <w:gridCol w:w="1556"/>
      </w:tblGrid>
      <w:tr>
        <w:tblPrEx>
          <w:tblCellMar>
            <w:top w:w="0" w:type="dxa"/>
            <w:left w:w="108" w:type="dxa"/>
            <w:bottom w:w="0" w:type="dxa"/>
            <w:right w:w="108" w:type="dxa"/>
          </w:tblCellMar>
        </w:tblPrEx>
        <w:trPr>
          <w:trHeight w:val="328" w:hRule="atLeast"/>
        </w:trPr>
        <w:tc>
          <w:tcPr>
            <w:tcW w:w="1597"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Style w:val="59"/>
                <w:rFonts w:hint="default"/>
                <w:b/>
                <w:bCs/>
                <w:color w:val="auto"/>
                <w:highlight w:val="none"/>
              </w:rPr>
            </w:pPr>
            <w:r>
              <w:rPr>
                <w:rStyle w:val="59"/>
                <w:rFonts w:hint="default"/>
                <w:b/>
                <w:bCs/>
                <w:color w:val="auto"/>
                <w:highlight w:val="none"/>
              </w:rPr>
              <w:t>年龄区间</w:t>
            </w:r>
          </w:p>
        </w:tc>
        <w:tc>
          <w:tcPr>
            <w:tcW w:w="143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Style w:val="59"/>
                <w:rFonts w:hint="default"/>
                <w:b/>
                <w:bCs/>
                <w:color w:val="auto"/>
                <w:highlight w:val="none"/>
              </w:rPr>
            </w:pPr>
            <w:r>
              <w:rPr>
                <w:rStyle w:val="59"/>
                <w:rFonts w:hint="default"/>
                <w:b/>
                <w:bCs/>
                <w:color w:val="auto"/>
                <w:highlight w:val="none"/>
              </w:rPr>
              <w:t>男(人)</w:t>
            </w:r>
          </w:p>
        </w:tc>
        <w:tc>
          <w:tcPr>
            <w:tcW w:w="143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Style w:val="59"/>
                <w:rFonts w:hint="default"/>
                <w:b/>
                <w:bCs/>
                <w:color w:val="auto"/>
                <w:highlight w:val="none"/>
              </w:rPr>
            </w:pPr>
            <w:r>
              <w:rPr>
                <w:rStyle w:val="59"/>
                <w:rFonts w:hint="default"/>
                <w:b/>
                <w:bCs/>
                <w:color w:val="auto"/>
                <w:highlight w:val="none"/>
              </w:rPr>
              <w:t>女(人)</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Style w:val="59"/>
                <w:rFonts w:hint="default"/>
                <w:b/>
                <w:bCs/>
                <w:color w:val="auto"/>
                <w:highlight w:val="none"/>
              </w:rPr>
            </w:pPr>
            <w:r>
              <w:rPr>
                <w:rStyle w:val="59"/>
                <w:rFonts w:hint="default"/>
                <w:b/>
                <w:bCs/>
                <w:color w:val="auto"/>
                <w:highlight w:val="none"/>
              </w:rPr>
              <w:t>合计(人)</w:t>
            </w:r>
          </w:p>
        </w:tc>
        <w:tc>
          <w:tcPr>
            <w:tcW w:w="143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Style w:val="59"/>
                <w:rFonts w:hint="default"/>
                <w:b/>
                <w:bCs/>
                <w:color w:val="auto"/>
                <w:highlight w:val="none"/>
              </w:rPr>
            </w:pPr>
            <w:r>
              <w:rPr>
                <w:rStyle w:val="59"/>
                <w:rFonts w:hint="default"/>
                <w:b/>
                <w:bCs/>
                <w:color w:val="auto"/>
                <w:highlight w:val="none"/>
              </w:rPr>
              <w:t>占比</w:t>
            </w:r>
          </w:p>
        </w:tc>
      </w:tr>
      <w:tr>
        <w:tblPrEx>
          <w:tblCellMar>
            <w:top w:w="0" w:type="dxa"/>
            <w:left w:w="108" w:type="dxa"/>
            <w:bottom w:w="0" w:type="dxa"/>
            <w:right w:w="108" w:type="dxa"/>
          </w:tblCellMar>
        </w:tblPrEx>
        <w:trPr>
          <w:trHeight w:val="328" w:hRule="atLeast"/>
        </w:trPr>
        <w:tc>
          <w:tcPr>
            <w:tcW w:w="1597"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Style w:val="59"/>
                <w:rFonts w:hint="default"/>
                <w:color w:val="auto"/>
                <w:highlight w:val="none"/>
              </w:rPr>
            </w:pPr>
            <w:r>
              <w:rPr>
                <w:rStyle w:val="59"/>
                <w:rFonts w:hint="default"/>
                <w:color w:val="auto"/>
                <w:highlight w:val="none"/>
              </w:rPr>
              <w:t>20-29岁</w:t>
            </w:r>
          </w:p>
        </w:tc>
        <w:tc>
          <w:tcPr>
            <w:tcW w:w="143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Style w:val="59"/>
                <w:rFonts w:hint="default"/>
                <w:color w:val="auto"/>
                <w:highlight w:val="none"/>
              </w:rPr>
            </w:pPr>
            <w:r>
              <w:rPr>
                <w:rStyle w:val="59"/>
                <w:rFonts w:hint="default"/>
                <w:color w:val="auto"/>
                <w:highlight w:val="none"/>
              </w:rPr>
              <w:t>28</w:t>
            </w:r>
          </w:p>
        </w:tc>
        <w:tc>
          <w:tcPr>
            <w:tcW w:w="143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Style w:val="59"/>
                <w:rFonts w:hint="default"/>
                <w:color w:val="auto"/>
                <w:highlight w:val="none"/>
              </w:rPr>
            </w:pPr>
            <w:r>
              <w:rPr>
                <w:rStyle w:val="59"/>
                <w:rFonts w:hint="default"/>
                <w:color w:val="auto"/>
                <w:highlight w:val="none"/>
              </w:rPr>
              <w:t>64</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Style w:val="59"/>
                <w:rFonts w:hint="default"/>
                <w:color w:val="auto"/>
                <w:highlight w:val="none"/>
              </w:rPr>
            </w:pPr>
            <w:r>
              <w:rPr>
                <w:rStyle w:val="59"/>
                <w:rFonts w:hint="default"/>
                <w:color w:val="auto"/>
                <w:highlight w:val="none"/>
              </w:rPr>
              <w:t>92</w:t>
            </w:r>
          </w:p>
        </w:tc>
        <w:tc>
          <w:tcPr>
            <w:tcW w:w="143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Style w:val="59"/>
                <w:rFonts w:hint="default"/>
                <w:color w:val="auto"/>
                <w:highlight w:val="none"/>
              </w:rPr>
            </w:pPr>
            <w:r>
              <w:rPr>
                <w:rStyle w:val="59"/>
                <w:rFonts w:hint="default"/>
                <w:color w:val="auto"/>
                <w:highlight w:val="none"/>
              </w:rPr>
              <w:t>59.35%</w:t>
            </w:r>
          </w:p>
        </w:tc>
      </w:tr>
      <w:tr>
        <w:tblPrEx>
          <w:tblCellMar>
            <w:top w:w="0" w:type="dxa"/>
            <w:left w:w="108" w:type="dxa"/>
            <w:bottom w:w="0" w:type="dxa"/>
            <w:right w:w="108" w:type="dxa"/>
          </w:tblCellMar>
        </w:tblPrEx>
        <w:trPr>
          <w:trHeight w:val="328" w:hRule="atLeast"/>
        </w:trPr>
        <w:tc>
          <w:tcPr>
            <w:tcW w:w="1597"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Style w:val="59"/>
                <w:rFonts w:hint="default"/>
                <w:color w:val="auto"/>
                <w:highlight w:val="none"/>
              </w:rPr>
            </w:pPr>
            <w:r>
              <w:rPr>
                <w:rStyle w:val="59"/>
                <w:rFonts w:hint="default"/>
                <w:color w:val="auto"/>
                <w:highlight w:val="none"/>
              </w:rPr>
              <w:t>30-39岁</w:t>
            </w:r>
          </w:p>
        </w:tc>
        <w:tc>
          <w:tcPr>
            <w:tcW w:w="143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Style w:val="59"/>
                <w:rFonts w:hint="default"/>
                <w:color w:val="auto"/>
                <w:highlight w:val="none"/>
              </w:rPr>
            </w:pPr>
            <w:r>
              <w:rPr>
                <w:rStyle w:val="59"/>
                <w:rFonts w:hint="default"/>
                <w:color w:val="auto"/>
                <w:highlight w:val="none"/>
              </w:rPr>
              <w:t>9</w:t>
            </w:r>
          </w:p>
        </w:tc>
        <w:tc>
          <w:tcPr>
            <w:tcW w:w="143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Style w:val="59"/>
                <w:rFonts w:hint="default"/>
                <w:color w:val="auto"/>
                <w:highlight w:val="none"/>
              </w:rPr>
            </w:pPr>
            <w:r>
              <w:rPr>
                <w:rStyle w:val="59"/>
                <w:rFonts w:hint="default"/>
                <w:color w:val="auto"/>
                <w:highlight w:val="none"/>
              </w:rPr>
              <w:t>43</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Style w:val="59"/>
                <w:rFonts w:hint="default"/>
                <w:color w:val="auto"/>
                <w:highlight w:val="none"/>
              </w:rPr>
            </w:pPr>
            <w:r>
              <w:rPr>
                <w:rStyle w:val="59"/>
                <w:rFonts w:hint="default"/>
                <w:color w:val="auto"/>
                <w:highlight w:val="none"/>
              </w:rPr>
              <w:t>52</w:t>
            </w:r>
          </w:p>
        </w:tc>
        <w:tc>
          <w:tcPr>
            <w:tcW w:w="143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Style w:val="59"/>
                <w:rFonts w:hint="default"/>
                <w:color w:val="auto"/>
                <w:highlight w:val="none"/>
              </w:rPr>
            </w:pPr>
            <w:r>
              <w:rPr>
                <w:rStyle w:val="59"/>
                <w:rFonts w:hint="default"/>
                <w:color w:val="auto"/>
                <w:highlight w:val="none"/>
              </w:rPr>
              <w:t>33.55%</w:t>
            </w:r>
          </w:p>
        </w:tc>
      </w:tr>
      <w:tr>
        <w:tblPrEx>
          <w:tblCellMar>
            <w:top w:w="0" w:type="dxa"/>
            <w:left w:w="108" w:type="dxa"/>
            <w:bottom w:w="0" w:type="dxa"/>
            <w:right w:w="108" w:type="dxa"/>
          </w:tblCellMar>
        </w:tblPrEx>
        <w:trPr>
          <w:trHeight w:val="328" w:hRule="atLeast"/>
        </w:trPr>
        <w:tc>
          <w:tcPr>
            <w:tcW w:w="1597"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Style w:val="59"/>
                <w:rFonts w:hint="default"/>
                <w:color w:val="auto"/>
                <w:highlight w:val="none"/>
              </w:rPr>
            </w:pPr>
            <w:r>
              <w:rPr>
                <w:rStyle w:val="59"/>
                <w:rFonts w:hint="default"/>
                <w:color w:val="auto"/>
                <w:highlight w:val="none"/>
              </w:rPr>
              <w:t>40-49岁</w:t>
            </w:r>
          </w:p>
        </w:tc>
        <w:tc>
          <w:tcPr>
            <w:tcW w:w="143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Style w:val="59"/>
                <w:rFonts w:hint="default"/>
                <w:color w:val="auto"/>
                <w:highlight w:val="none"/>
              </w:rPr>
            </w:pPr>
            <w:r>
              <w:rPr>
                <w:rStyle w:val="59"/>
                <w:rFonts w:hint="default"/>
                <w:color w:val="auto"/>
                <w:highlight w:val="none"/>
              </w:rPr>
              <w:t>1</w:t>
            </w:r>
          </w:p>
        </w:tc>
        <w:tc>
          <w:tcPr>
            <w:tcW w:w="143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Style w:val="59"/>
                <w:rFonts w:hint="default"/>
                <w:color w:val="auto"/>
                <w:highlight w:val="none"/>
              </w:rPr>
            </w:pPr>
            <w:r>
              <w:rPr>
                <w:rStyle w:val="59"/>
                <w:rFonts w:hint="default"/>
                <w:color w:val="auto"/>
                <w:highlight w:val="none"/>
              </w:rPr>
              <w:t>7</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Style w:val="59"/>
                <w:rFonts w:hint="default"/>
                <w:color w:val="auto"/>
                <w:highlight w:val="none"/>
              </w:rPr>
            </w:pPr>
            <w:r>
              <w:rPr>
                <w:rStyle w:val="59"/>
                <w:rFonts w:hint="default"/>
                <w:color w:val="auto"/>
                <w:highlight w:val="none"/>
              </w:rPr>
              <w:t>8</w:t>
            </w:r>
          </w:p>
        </w:tc>
        <w:tc>
          <w:tcPr>
            <w:tcW w:w="143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Style w:val="59"/>
                <w:rFonts w:hint="default"/>
                <w:color w:val="auto"/>
                <w:highlight w:val="none"/>
              </w:rPr>
            </w:pPr>
            <w:r>
              <w:rPr>
                <w:rStyle w:val="59"/>
                <w:rFonts w:hint="default"/>
                <w:color w:val="auto"/>
                <w:highlight w:val="none"/>
              </w:rPr>
              <w:t>5.16%</w:t>
            </w:r>
          </w:p>
        </w:tc>
      </w:tr>
      <w:tr>
        <w:tblPrEx>
          <w:tblCellMar>
            <w:top w:w="0" w:type="dxa"/>
            <w:left w:w="108" w:type="dxa"/>
            <w:bottom w:w="0" w:type="dxa"/>
            <w:right w:w="108" w:type="dxa"/>
          </w:tblCellMar>
        </w:tblPrEx>
        <w:trPr>
          <w:trHeight w:val="328" w:hRule="atLeast"/>
        </w:trPr>
        <w:tc>
          <w:tcPr>
            <w:tcW w:w="1597"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Style w:val="59"/>
                <w:rFonts w:hint="default"/>
                <w:color w:val="auto"/>
                <w:highlight w:val="none"/>
              </w:rPr>
            </w:pPr>
            <w:r>
              <w:rPr>
                <w:rFonts w:hint="eastAsia" w:ascii="宋体" w:hAnsi="宋体" w:cs="宋体"/>
                <w:color w:val="000000"/>
                <w:kern w:val="0"/>
                <w:szCs w:val="21"/>
                <w:highlight w:val="none"/>
              </w:rPr>
              <w:t>50-59岁</w:t>
            </w:r>
          </w:p>
        </w:tc>
        <w:tc>
          <w:tcPr>
            <w:tcW w:w="143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Style w:val="59"/>
                <w:rFonts w:hint="default"/>
                <w:color w:val="auto"/>
                <w:highlight w:val="none"/>
              </w:rPr>
            </w:pPr>
            <w:r>
              <w:rPr>
                <w:rStyle w:val="59"/>
                <w:rFonts w:hint="default"/>
                <w:color w:val="auto"/>
                <w:highlight w:val="none"/>
              </w:rPr>
              <w:t>2</w:t>
            </w:r>
          </w:p>
        </w:tc>
        <w:tc>
          <w:tcPr>
            <w:tcW w:w="143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Style w:val="59"/>
                <w:rFonts w:hint="default"/>
                <w:color w:val="auto"/>
                <w:highlight w:val="none"/>
              </w:rPr>
            </w:pPr>
            <w:r>
              <w:rPr>
                <w:rStyle w:val="59"/>
                <w:rFonts w:hint="default"/>
                <w:color w:val="auto"/>
                <w:highlight w:val="none"/>
              </w:rPr>
              <w:t>1</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Style w:val="59"/>
                <w:rFonts w:hint="default"/>
                <w:color w:val="auto"/>
                <w:highlight w:val="none"/>
              </w:rPr>
            </w:pPr>
            <w:r>
              <w:rPr>
                <w:rStyle w:val="59"/>
                <w:rFonts w:hint="default"/>
                <w:color w:val="auto"/>
                <w:highlight w:val="none"/>
              </w:rPr>
              <w:t>3</w:t>
            </w:r>
          </w:p>
        </w:tc>
        <w:tc>
          <w:tcPr>
            <w:tcW w:w="143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Style w:val="59"/>
                <w:rFonts w:hint="default"/>
                <w:color w:val="auto"/>
                <w:highlight w:val="none"/>
              </w:rPr>
            </w:pPr>
            <w:r>
              <w:rPr>
                <w:rStyle w:val="59"/>
                <w:rFonts w:hint="default"/>
                <w:color w:val="auto"/>
                <w:highlight w:val="none"/>
              </w:rPr>
              <w:t>1.94%</w:t>
            </w:r>
          </w:p>
        </w:tc>
      </w:tr>
      <w:tr>
        <w:tblPrEx>
          <w:tblCellMar>
            <w:top w:w="0" w:type="dxa"/>
            <w:left w:w="108" w:type="dxa"/>
            <w:bottom w:w="0" w:type="dxa"/>
            <w:right w:w="108" w:type="dxa"/>
          </w:tblCellMar>
        </w:tblPrEx>
        <w:trPr>
          <w:trHeight w:val="348" w:hRule="atLeast"/>
        </w:trPr>
        <w:tc>
          <w:tcPr>
            <w:tcW w:w="1597"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Style w:val="59"/>
                <w:rFonts w:hint="default"/>
                <w:b/>
                <w:bCs/>
                <w:color w:val="auto"/>
                <w:highlight w:val="none"/>
              </w:rPr>
            </w:pPr>
            <w:r>
              <w:rPr>
                <w:rStyle w:val="59"/>
                <w:rFonts w:hint="default"/>
                <w:b/>
                <w:bCs/>
                <w:color w:val="auto"/>
                <w:highlight w:val="none"/>
              </w:rPr>
              <w:t>合计</w:t>
            </w:r>
          </w:p>
        </w:tc>
        <w:tc>
          <w:tcPr>
            <w:tcW w:w="143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Style w:val="59"/>
                <w:rFonts w:hint="default"/>
                <w:b/>
                <w:bCs/>
                <w:color w:val="auto"/>
                <w:highlight w:val="none"/>
              </w:rPr>
            </w:pPr>
            <w:r>
              <w:rPr>
                <w:rStyle w:val="59"/>
                <w:rFonts w:hint="default"/>
                <w:b/>
                <w:bCs/>
                <w:color w:val="auto"/>
                <w:highlight w:val="none"/>
              </w:rPr>
              <w:t>40</w:t>
            </w:r>
          </w:p>
        </w:tc>
        <w:tc>
          <w:tcPr>
            <w:tcW w:w="143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Style w:val="59"/>
                <w:rFonts w:hint="default"/>
                <w:b/>
                <w:bCs/>
                <w:color w:val="auto"/>
                <w:highlight w:val="none"/>
              </w:rPr>
            </w:pPr>
            <w:r>
              <w:rPr>
                <w:rStyle w:val="59"/>
                <w:rFonts w:hint="default"/>
                <w:b/>
                <w:bCs/>
                <w:color w:val="auto"/>
                <w:highlight w:val="none"/>
              </w:rPr>
              <w:t>115</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Style w:val="59"/>
                <w:rFonts w:hint="default"/>
                <w:b/>
                <w:bCs/>
                <w:color w:val="auto"/>
                <w:highlight w:val="none"/>
              </w:rPr>
            </w:pPr>
            <w:r>
              <w:rPr>
                <w:rStyle w:val="59"/>
                <w:rFonts w:hint="default"/>
                <w:b/>
                <w:bCs/>
                <w:color w:val="auto"/>
                <w:highlight w:val="none"/>
              </w:rPr>
              <w:t>155</w:t>
            </w:r>
          </w:p>
        </w:tc>
        <w:tc>
          <w:tcPr>
            <w:tcW w:w="143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Style w:val="59"/>
                <w:rFonts w:hint="default"/>
                <w:b/>
                <w:bCs/>
                <w:color w:val="auto"/>
                <w:highlight w:val="none"/>
              </w:rPr>
            </w:pPr>
            <w:r>
              <w:rPr>
                <w:rStyle w:val="59"/>
                <w:rFonts w:hint="default"/>
                <w:b/>
                <w:bCs/>
                <w:color w:val="auto"/>
                <w:highlight w:val="none"/>
              </w:rPr>
              <w:t>100%</w:t>
            </w:r>
          </w:p>
        </w:tc>
      </w:tr>
    </w:tbl>
    <w:p>
      <w:pPr>
        <w:pStyle w:val="14"/>
        <w:tabs>
          <w:tab w:val="left" w:pos="562"/>
          <w:tab w:val="left" w:pos="3372"/>
          <w:tab w:val="left" w:pos="3653"/>
        </w:tabs>
        <w:spacing w:after="0" w:line="360" w:lineRule="auto"/>
        <w:rPr>
          <w:rFonts w:ascii="宋体" w:hAnsi="宋体" w:cs="宋体"/>
          <w:szCs w:val="21"/>
          <w:highlight w:val="none"/>
        </w:rPr>
      </w:pPr>
      <w:r>
        <w:rPr>
          <w:rFonts w:hint="eastAsia" w:ascii="宋体" w:hAnsi="宋体" w:cs="宋体"/>
          <w:szCs w:val="21"/>
          <w:highlight w:val="none"/>
        </w:rPr>
        <w:t>（3）后勤保障人员：</w:t>
      </w:r>
    </w:p>
    <w:tbl>
      <w:tblPr>
        <w:tblStyle w:val="23"/>
        <w:tblW w:w="4802" w:type="pct"/>
        <w:tblInd w:w="0" w:type="dxa"/>
        <w:tblLayout w:type="fixed"/>
        <w:tblCellMar>
          <w:top w:w="0" w:type="dxa"/>
          <w:left w:w="108" w:type="dxa"/>
          <w:bottom w:w="0" w:type="dxa"/>
          <w:right w:w="108" w:type="dxa"/>
        </w:tblCellMar>
      </w:tblPr>
      <w:tblGrid>
        <w:gridCol w:w="1726"/>
        <w:gridCol w:w="1555"/>
        <w:gridCol w:w="1556"/>
        <w:gridCol w:w="1792"/>
        <w:gridCol w:w="1556"/>
      </w:tblGrid>
      <w:tr>
        <w:tblPrEx>
          <w:tblCellMar>
            <w:top w:w="0" w:type="dxa"/>
            <w:left w:w="108" w:type="dxa"/>
            <w:bottom w:w="0" w:type="dxa"/>
            <w:right w:w="108" w:type="dxa"/>
          </w:tblCellMar>
        </w:tblPrEx>
        <w:trPr>
          <w:trHeight w:val="328" w:hRule="atLeast"/>
        </w:trPr>
        <w:tc>
          <w:tcPr>
            <w:tcW w:w="1597"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Style w:val="59"/>
                <w:rFonts w:hint="default"/>
                <w:b/>
                <w:bCs/>
                <w:color w:val="auto"/>
                <w:highlight w:val="none"/>
              </w:rPr>
            </w:pPr>
            <w:r>
              <w:rPr>
                <w:rStyle w:val="59"/>
                <w:rFonts w:hint="default"/>
                <w:b/>
                <w:bCs/>
                <w:color w:val="auto"/>
                <w:highlight w:val="none"/>
              </w:rPr>
              <w:t>年龄区间</w:t>
            </w:r>
          </w:p>
        </w:tc>
        <w:tc>
          <w:tcPr>
            <w:tcW w:w="143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Style w:val="59"/>
                <w:rFonts w:hint="default"/>
                <w:b/>
                <w:bCs/>
                <w:color w:val="auto"/>
                <w:highlight w:val="none"/>
              </w:rPr>
            </w:pPr>
            <w:r>
              <w:rPr>
                <w:rStyle w:val="59"/>
                <w:rFonts w:hint="default"/>
                <w:b/>
                <w:bCs/>
                <w:color w:val="auto"/>
                <w:highlight w:val="none"/>
              </w:rPr>
              <w:t>男(人)</w:t>
            </w:r>
          </w:p>
        </w:tc>
        <w:tc>
          <w:tcPr>
            <w:tcW w:w="143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Style w:val="59"/>
                <w:rFonts w:hint="default"/>
                <w:b/>
                <w:bCs/>
                <w:color w:val="auto"/>
                <w:highlight w:val="none"/>
              </w:rPr>
            </w:pPr>
            <w:r>
              <w:rPr>
                <w:rStyle w:val="59"/>
                <w:rFonts w:hint="default"/>
                <w:b/>
                <w:bCs/>
                <w:color w:val="auto"/>
                <w:highlight w:val="none"/>
              </w:rPr>
              <w:t>女(人)</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Style w:val="59"/>
                <w:rFonts w:hint="default"/>
                <w:b/>
                <w:bCs/>
                <w:color w:val="auto"/>
                <w:highlight w:val="none"/>
              </w:rPr>
            </w:pPr>
            <w:r>
              <w:rPr>
                <w:rStyle w:val="59"/>
                <w:rFonts w:hint="default"/>
                <w:b/>
                <w:bCs/>
                <w:color w:val="auto"/>
                <w:highlight w:val="none"/>
              </w:rPr>
              <w:t>合计(人)</w:t>
            </w:r>
          </w:p>
        </w:tc>
        <w:tc>
          <w:tcPr>
            <w:tcW w:w="143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Style w:val="59"/>
                <w:rFonts w:hint="default"/>
                <w:b/>
                <w:bCs/>
                <w:color w:val="auto"/>
                <w:highlight w:val="none"/>
              </w:rPr>
            </w:pPr>
            <w:r>
              <w:rPr>
                <w:rStyle w:val="59"/>
                <w:rFonts w:hint="default"/>
                <w:b/>
                <w:bCs/>
                <w:color w:val="auto"/>
                <w:highlight w:val="none"/>
              </w:rPr>
              <w:t>占比</w:t>
            </w:r>
          </w:p>
        </w:tc>
      </w:tr>
      <w:tr>
        <w:tblPrEx>
          <w:tblCellMar>
            <w:top w:w="0" w:type="dxa"/>
            <w:left w:w="108" w:type="dxa"/>
            <w:bottom w:w="0" w:type="dxa"/>
            <w:right w:w="108" w:type="dxa"/>
          </w:tblCellMar>
        </w:tblPrEx>
        <w:trPr>
          <w:trHeight w:val="328" w:hRule="atLeast"/>
        </w:trPr>
        <w:tc>
          <w:tcPr>
            <w:tcW w:w="1597"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Style w:val="59"/>
                <w:rFonts w:hint="default"/>
                <w:color w:val="auto"/>
                <w:highlight w:val="none"/>
              </w:rPr>
            </w:pPr>
            <w:r>
              <w:rPr>
                <w:rStyle w:val="59"/>
                <w:rFonts w:hint="default"/>
                <w:color w:val="auto"/>
                <w:highlight w:val="none"/>
              </w:rPr>
              <w:t>20-29岁</w:t>
            </w:r>
          </w:p>
        </w:tc>
        <w:tc>
          <w:tcPr>
            <w:tcW w:w="143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Style w:val="59"/>
                <w:rFonts w:hint="default"/>
                <w:color w:val="auto"/>
                <w:highlight w:val="none"/>
              </w:rPr>
            </w:pPr>
            <w:r>
              <w:rPr>
                <w:rStyle w:val="59"/>
                <w:rFonts w:hint="default"/>
                <w:color w:val="auto"/>
                <w:highlight w:val="none"/>
              </w:rPr>
              <w:t>5</w:t>
            </w:r>
          </w:p>
        </w:tc>
        <w:tc>
          <w:tcPr>
            <w:tcW w:w="143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Style w:val="59"/>
                <w:rFonts w:hint="default"/>
                <w:color w:val="auto"/>
                <w:highlight w:val="none"/>
              </w:rPr>
            </w:pPr>
            <w:r>
              <w:rPr>
                <w:rStyle w:val="59"/>
                <w:rFonts w:hint="default"/>
                <w:color w:val="auto"/>
                <w:highlight w:val="none"/>
              </w:rPr>
              <w:t>0</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Style w:val="59"/>
                <w:rFonts w:hint="default"/>
                <w:color w:val="auto"/>
                <w:highlight w:val="none"/>
              </w:rPr>
            </w:pPr>
            <w:r>
              <w:rPr>
                <w:rStyle w:val="59"/>
                <w:rFonts w:hint="default"/>
                <w:color w:val="auto"/>
                <w:highlight w:val="none"/>
              </w:rPr>
              <w:t>5</w:t>
            </w:r>
          </w:p>
        </w:tc>
        <w:tc>
          <w:tcPr>
            <w:tcW w:w="143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Style w:val="59"/>
                <w:rFonts w:hint="default"/>
                <w:color w:val="auto"/>
                <w:highlight w:val="none"/>
              </w:rPr>
            </w:pPr>
            <w:r>
              <w:rPr>
                <w:rStyle w:val="59"/>
                <w:rFonts w:hint="default"/>
                <w:color w:val="auto"/>
                <w:highlight w:val="none"/>
              </w:rPr>
              <w:t>4.63%</w:t>
            </w:r>
          </w:p>
        </w:tc>
      </w:tr>
      <w:tr>
        <w:tblPrEx>
          <w:tblCellMar>
            <w:top w:w="0" w:type="dxa"/>
            <w:left w:w="108" w:type="dxa"/>
            <w:bottom w:w="0" w:type="dxa"/>
            <w:right w:w="108" w:type="dxa"/>
          </w:tblCellMar>
        </w:tblPrEx>
        <w:trPr>
          <w:trHeight w:val="328" w:hRule="atLeast"/>
        </w:trPr>
        <w:tc>
          <w:tcPr>
            <w:tcW w:w="1597"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Style w:val="59"/>
                <w:rFonts w:hint="default"/>
                <w:color w:val="auto"/>
                <w:highlight w:val="none"/>
              </w:rPr>
            </w:pPr>
            <w:r>
              <w:rPr>
                <w:rStyle w:val="59"/>
                <w:rFonts w:hint="default"/>
                <w:color w:val="auto"/>
                <w:highlight w:val="none"/>
              </w:rPr>
              <w:t>30-39岁</w:t>
            </w:r>
          </w:p>
        </w:tc>
        <w:tc>
          <w:tcPr>
            <w:tcW w:w="143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Style w:val="59"/>
                <w:rFonts w:hint="default"/>
                <w:color w:val="auto"/>
                <w:highlight w:val="none"/>
              </w:rPr>
            </w:pPr>
            <w:r>
              <w:rPr>
                <w:rStyle w:val="59"/>
                <w:rFonts w:hint="default"/>
                <w:color w:val="auto"/>
                <w:highlight w:val="none"/>
              </w:rPr>
              <w:t>12</w:t>
            </w:r>
          </w:p>
        </w:tc>
        <w:tc>
          <w:tcPr>
            <w:tcW w:w="143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Style w:val="59"/>
                <w:rFonts w:hint="default"/>
                <w:color w:val="auto"/>
                <w:highlight w:val="none"/>
              </w:rPr>
            </w:pPr>
            <w:r>
              <w:rPr>
                <w:rStyle w:val="59"/>
                <w:rFonts w:hint="default"/>
                <w:color w:val="auto"/>
                <w:highlight w:val="none"/>
              </w:rPr>
              <w:t>9</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Style w:val="59"/>
                <w:rFonts w:hint="default"/>
                <w:color w:val="auto"/>
                <w:highlight w:val="none"/>
              </w:rPr>
            </w:pPr>
            <w:r>
              <w:rPr>
                <w:rStyle w:val="59"/>
                <w:rFonts w:hint="default"/>
                <w:color w:val="auto"/>
                <w:highlight w:val="none"/>
              </w:rPr>
              <w:t>21</w:t>
            </w:r>
          </w:p>
        </w:tc>
        <w:tc>
          <w:tcPr>
            <w:tcW w:w="143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Style w:val="59"/>
                <w:rFonts w:hint="default"/>
                <w:color w:val="auto"/>
                <w:highlight w:val="none"/>
              </w:rPr>
            </w:pPr>
            <w:r>
              <w:rPr>
                <w:rStyle w:val="59"/>
                <w:rFonts w:hint="default"/>
                <w:color w:val="auto"/>
                <w:highlight w:val="none"/>
              </w:rPr>
              <w:t>19.44</w:t>
            </w:r>
          </w:p>
        </w:tc>
      </w:tr>
      <w:tr>
        <w:tblPrEx>
          <w:tblCellMar>
            <w:top w:w="0" w:type="dxa"/>
            <w:left w:w="108" w:type="dxa"/>
            <w:bottom w:w="0" w:type="dxa"/>
            <w:right w:w="108" w:type="dxa"/>
          </w:tblCellMar>
        </w:tblPrEx>
        <w:trPr>
          <w:trHeight w:val="328" w:hRule="atLeast"/>
        </w:trPr>
        <w:tc>
          <w:tcPr>
            <w:tcW w:w="1597"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Style w:val="59"/>
                <w:rFonts w:hint="default"/>
                <w:color w:val="auto"/>
                <w:highlight w:val="none"/>
              </w:rPr>
            </w:pPr>
            <w:r>
              <w:rPr>
                <w:rStyle w:val="59"/>
                <w:rFonts w:hint="default"/>
                <w:color w:val="auto"/>
                <w:highlight w:val="none"/>
              </w:rPr>
              <w:t>40-49岁</w:t>
            </w:r>
          </w:p>
        </w:tc>
        <w:tc>
          <w:tcPr>
            <w:tcW w:w="143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Style w:val="59"/>
                <w:rFonts w:hint="default"/>
                <w:color w:val="auto"/>
                <w:highlight w:val="none"/>
              </w:rPr>
            </w:pPr>
            <w:r>
              <w:rPr>
                <w:rStyle w:val="59"/>
                <w:rFonts w:hint="default"/>
                <w:color w:val="auto"/>
                <w:highlight w:val="none"/>
              </w:rPr>
              <w:t>27</w:t>
            </w:r>
          </w:p>
        </w:tc>
        <w:tc>
          <w:tcPr>
            <w:tcW w:w="143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Style w:val="59"/>
                <w:rFonts w:hint="default"/>
                <w:color w:val="auto"/>
                <w:highlight w:val="none"/>
              </w:rPr>
            </w:pPr>
            <w:r>
              <w:rPr>
                <w:rStyle w:val="59"/>
                <w:rFonts w:hint="default"/>
                <w:color w:val="auto"/>
                <w:highlight w:val="none"/>
              </w:rPr>
              <w:t>25</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Style w:val="59"/>
                <w:rFonts w:hint="default"/>
                <w:color w:val="auto"/>
                <w:highlight w:val="none"/>
              </w:rPr>
            </w:pPr>
            <w:r>
              <w:rPr>
                <w:rStyle w:val="59"/>
                <w:rFonts w:hint="default"/>
                <w:color w:val="auto"/>
                <w:highlight w:val="none"/>
              </w:rPr>
              <w:t>52</w:t>
            </w:r>
          </w:p>
        </w:tc>
        <w:tc>
          <w:tcPr>
            <w:tcW w:w="143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Style w:val="59"/>
                <w:rFonts w:hint="default"/>
                <w:color w:val="auto"/>
                <w:highlight w:val="none"/>
              </w:rPr>
            </w:pPr>
            <w:r>
              <w:rPr>
                <w:rStyle w:val="59"/>
                <w:rFonts w:hint="default"/>
                <w:color w:val="auto"/>
                <w:highlight w:val="none"/>
              </w:rPr>
              <w:t>48.15</w:t>
            </w:r>
          </w:p>
        </w:tc>
      </w:tr>
      <w:tr>
        <w:tblPrEx>
          <w:tblCellMar>
            <w:top w:w="0" w:type="dxa"/>
            <w:left w:w="108" w:type="dxa"/>
            <w:bottom w:w="0" w:type="dxa"/>
            <w:right w:w="108" w:type="dxa"/>
          </w:tblCellMar>
        </w:tblPrEx>
        <w:trPr>
          <w:trHeight w:val="328" w:hRule="atLeast"/>
        </w:trPr>
        <w:tc>
          <w:tcPr>
            <w:tcW w:w="1597"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Style w:val="59"/>
                <w:rFonts w:hint="default"/>
                <w:color w:val="auto"/>
                <w:highlight w:val="none"/>
              </w:rPr>
            </w:pPr>
            <w:r>
              <w:rPr>
                <w:rFonts w:hint="eastAsia" w:ascii="宋体" w:hAnsi="宋体" w:cs="宋体"/>
                <w:color w:val="000000"/>
                <w:kern w:val="0"/>
                <w:szCs w:val="21"/>
                <w:highlight w:val="none"/>
              </w:rPr>
              <w:t>50-59岁</w:t>
            </w:r>
          </w:p>
        </w:tc>
        <w:tc>
          <w:tcPr>
            <w:tcW w:w="143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Style w:val="59"/>
                <w:rFonts w:hint="default"/>
                <w:color w:val="auto"/>
                <w:highlight w:val="none"/>
              </w:rPr>
            </w:pPr>
            <w:r>
              <w:rPr>
                <w:rStyle w:val="59"/>
                <w:rFonts w:hint="default"/>
                <w:color w:val="auto"/>
                <w:highlight w:val="none"/>
              </w:rPr>
              <w:t>28</w:t>
            </w:r>
          </w:p>
        </w:tc>
        <w:tc>
          <w:tcPr>
            <w:tcW w:w="143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Style w:val="59"/>
                <w:rFonts w:hint="default"/>
                <w:color w:val="auto"/>
                <w:highlight w:val="none"/>
              </w:rPr>
            </w:pPr>
            <w:r>
              <w:rPr>
                <w:rStyle w:val="59"/>
                <w:rFonts w:hint="default"/>
                <w:color w:val="auto"/>
                <w:highlight w:val="none"/>
              </w:rPr>
              <w:t>2</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Style w:val="59"/>
                <w:rFonts w:hint="default"/>
                <w:color w:val="auto"/>
                <w:highlight w:val="none"/>
              </w:rPr>
            </w:pPr>
            <w:r>
              <w:rPr>
                <w:rStyle w:val="59"/>
                <w:rFonts w:hint="default"/>
                <w:color w:val="auto"/>
                <w:highlight w:val="none"/>
              </w:rPr>
              <w:t>30</w:t>
            </w:r>
          </w:p>
        </w:tc>
        <w:tc>
          <w:tcPr>
            <w:tcW w:w="143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Style w:val="59"/>
                <w:rFonts w:hint="default"/>
                <w:color w:val="auto"/>
                <w:highlight w:val="none"/>
              </w:rPr>
            </w:pPr>
            <w:r>
              <w:rPr>
                <w:rStyle w:val="59"/>
                <w:rFonts w:hint="default"/>
                <w:color w:val="auto"/>
                <w:highlight w:val="none"/>
              </w:rPr>
              <w:t>27.78%</w:t>
            </w:r>
          </w:p>
        </w:tc>
      </w:tr>
      <w:tr>
        <w:tblPrEx>
          <w:tblCellMar>
            <w:top w:w="0" w:type="dxa"/>
            <w:left w:w="108" w:type="dxa"/>
            <w:bottom w:w="0" w:type="dxa"/>
            <w:right w:w="108" w:type="dxa"/>
          </w:tblCellMar>
        </w:tblPrEx>
        <w:trPr>
          <w:trHeight w:val="348" w:hRule="atLeast"/>
        </w:trPr>
        <w:tc>
          <w:tcPr>
            <w:tcW w:w="1597"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Style w:val="59"/>
                <w:rFonts w:hint="default"/>
                <w:b/>
                <w:bCs/>
                <w:color w:val="auto"/>
                <w:highlight w:val="none"/>
              </w:rPr>
            </w:pPr>
            <w:r>
              <w:rPr>
                <w:rStyle w:val="59"/>
                <w:rFonts w:hint="default"/>
                <w:b/>
                <w:bCs/>
                <w:color w:val="auto"/>
                <w:highlight w:val="none"/>
              </w:rPr>
              <w:t>合计</w:t>
            </w:r>
          </w:p>
        </w:tc>
        <w:tc>
          <w:tcPr>
            <w:tcW w:w="143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Style w:val="59"/>
                <w:rFonts w:hint="default"/>
                <w:b/>
                <w:bCs/>
                <w:color w:val="auto"/>
                <w:highlight w:val="none"/>
              </w:rPr>
            </w:pPr>
            <w:r>
              <w:rPr>
                <w:rStyle w:val="59"/>
                <w:rFonts w:hint="default"/>
                <w:b/>
                <w:bCs/>
                <w:color w:val="auto"/>
                <w:highlight w:val="none"/>
              </w:rPr>
              <w:t>72</w:t>
            </w:r>
          </w:p>
        </w:tc>
        <w:tc>
          <w:tcPr>
            <w:tcW w:w="143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Style w:val="59"/>
                <w:rFonts w:hint="default"/>
                <w:b/>
                <w:bCs/>
                <w:color w:val="auto"/>
                <w:highlight w:val="none"/>
              </w:rPr>
            </w:pPr>
            <w:r>
              <w:rPr>
                <w:rStyle w:val="59"/>
                <w:rFonts w:hint="default"/>
                <w:b/>
                <w:bCs/>
                <w:color w:val="auto"/>
                <w:highlight w:val="none"/>
              </w:rPr>
              <w:t>36</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Style w:val="59"/>
                <w:rFonts w:hint="default"/>
                <w:b/>
                <w:bCs/>
                <w:color w:val="auto"/>
                <w:highlight w:val="none"/>
              </w:rPr>
            </w:pPr>
            <w:r>
              <w:rPr>
                <w:rStyle w:val="59"/>
                <w:rFonts w:hint="default"/>
                <w:b/>
                <w:bCs/>
                <w:color w:val="auto"/>
                <w:highlight w:val="none"/>
              </w:rPr>
              <w:t>108</w:t>
            </w:r>
          </w:p>
        </w:tc>
        <w:tc>
          <w:tcPr>
            <w:tcW w:w="143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Style w:val="59"/>
                <w:rFonts w:hint="default"/>
                <w:b/>
                <w:bCs/>
                <w:color w:val="auto"/>
                <w:highlight w:val="none"/>
              </w:rPr>
            </w:pPr>
            <w:r>
              <w:rPr>
                <w:rStyle w:val="59"/>
                <w:rFonts w:hint="default"/>
                <w:b/>
                <w:bCs/>
                <w:color w:val="auto"/>
                <w:highlight w:val="none"/>
              </w:rPr>
              <w:t>100%</w:t>
            </w:r>
          </w:p>
        </w:tc>
      </w:tr>
    </w:tbl>
    <w:p>
      <w:pPr>
        <w:widowControl/>
        <w:spacing w:line="360" w:lineRule="auto"/>
        <w:jc w:val="left"/>
        <w:textAlignment w:val="center"/>
        <w:rPr>
          <w:rStyle w:val="59"/>
          <w:rFonts w:hint="default"/>
          <w:color w:val="auto"/>
          <w:highlight w:val="none"/>
        </w:rPr>
      </w:pPr>
      <w:r>
        <w:rPr>
          <w:rStyle w:val="59"/>
          <w:rFonts w:hint="default"/>
          <w:color w:val="auto"/>
          <w:highlight w:val="none"/>
        </w:rPr>
        <w:t>3、保险方案：</w:t>
      </w:r>
    </w:p>
    <w:p>
      <w:pPr>
        <w:pStyle w:val="14"/>
        <w:tabs>
          <w:tab w:val="left" w:pos="562"/>
          <w:tab w:val="left" w:pos="3372"/>
          <w:tab w:val="left" w:pos="3653"/>
        </w:tabs>
        <w:spacing w:after="0" w:line="360" w:lineRule="auto"/>
        <w:rPr>
          <w:rFonts w:ascii="宋体" w:hAnsi="宋体" w:cs="宋体"/>
          <w:szCs w:val="21"/>
          <w:highlight w:val="none"/>
        </w:rPr>
      </w:pPr>
      <w:r>
        <w:rPr>
          <w:rFonts w:hint="eastAsia" w:ascii="宋体" w:hAnsi="宋体" w:cs="宋体"/>
          <w:szCs w:val="21"/>
          <w:highlight w:val="none"/>
        </w:rPr>
        <w:t>（1）路面执勤人员：</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3"/>
        <w:gridCol w:w="1166"/>
        <w:gridCol w:w="1250"/>
        <w:gridCol w:w="4587"/>
        <w:gridCol w:w="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318" w:type="pct"/>
            <w:noWrap/>
            <w:vAlign w:val="center"/>
          </w:tcPr>
          <w:p>
            <w:pPr>
              <w:spacing w:line="360" w:lineRule="auto"/>
              <w:jc w:val="center"/>
              <w:rPr>
                <w:rFonts w:ascii="宋体" w:hAnsi="宋体" w:cs="宋体"/>
                <w:b/>
                <w:bCs/>
                <w:szCs w:val="21"/>
                <w:highlight w:val="none"/>
              </w:rPr>
            </w:pPr>
            <w:r>
              <w:rPr>
                <w:rFonts w:hint="eastAsia" w:ascii="宋体" w:hAnsi="宋体" w:cs="宋体"/>
                <w:b/>
                <w:bCs/>
                <w:szCs w:val="21"/>
                <w:highlight w:val="none"/>
              </w:rPr>
              <w:t>序号</w:t>
            </w:r>
          </w:p>
        </w:tc>
        <w:tc>
          <w:tcPr>
            <w:tcW w:w="684" w:type="pct"/>
            <w:noWrap/>
            <w:vAlign w:val="center"/>
          </w:tcPr>
          <w:p>
            <w:pPr>
              <w:spacing w:line="360" w:lineRule="auto"/>
              <w:jc w:val="center"/>
              <w:rPr>
                <w:rFonts w:ascii="宋体" w:hAnsi="宋体" w:cs="宋体"/>
                <w:b/>
                <w:bCs/>
                <w:szCs w:val="21"/>
                <w:highlight w:val="none"/>
              </w:rPr>
            </w:pPr>
            <w:r>
              <w:rPr>
                <w:rFonts w:hint="eastAsia" w:ascii="宋体" w:hAnsi="宋体" w:cs="宋体"/>
                <w:b/>
                <w:bCs/>
                <w:szCs w:val="21"/>
                <w:highlight w:val="none"/>
              </w:rPr>
              <w:t>险种</w:t>
            </w:r>
          </w:p>
        </w:tc>
        <w:tc>
          <w:tcPr>
            <w:tcW w:w="733" w:type="pct"/>
            <w:noWrap/>
            <w:vAlign w:val="center"/>
          </w:tcPr>
          <w:p>
            <w:pPr>
              <w:spacing w:line="360" w:lineRule="auto"/>
              <w:jc w:val="center"/>
              <w:rPr>
                <w:rFonts w:ascii="宋体" w:hAnsi="宋体" w:cs="宋体"/>
                <w:b/>
                <w:bCs/>
                <w:szCs w:val="21"/>
                <w:highlight w:val="none"/>
              </w:rPr>
            </w:pPr>
            <w:r>
              <w:rPr>
                <w:rFonts w:hint="eastAsia" w:ascii="宋体" w:hAnsi="宋体" w:cs="宋体"/>
                <w:b/>
                <w:bCs/>
                <w:szCs w:val="21"/>
                <w:highlight w:val="none"/>
              </w:rPr>
              <w:t>保障项目</w:t>
            </w:r>
          </w:p>
        </w:tc>
        <w:tc>
          <w:tcPr>
            <w:tcW w:w="2691" w:type="pct"/>
            <w:noWrap/>
            <w:vAlign w:val="center"/>
          </w:tcPr>
          <w:p>
            <w:pPr>
              <w:spacing w:line="360" w:lineRule="auto"/>
              <w:jc w:val="center"/>
              <w:rPr>
                <w:rFonts w:ascii="宋体" w:hAnsi="宋体" w:cs="宋体"/>
                <w:b/>
                <w:bCs/>
                <w:szCs w:val="21"/>
                <w:highlight w:val="none"/>
              </w:rPr>
            </w:pPr>
            <w:r>
              <w:rPr>
                <w:rFonts w:hint="eastAsia" w:ascii="宋体" w:hAnsi="宋体" w:cs="宋体"/>
                <w:b/>
                <w:bCs/>
                <w:szCs w:val="21"/>
                <w:highlight w:val="none"/>
              </w:rPr>
              <w:t>保险责任</w:t>
            </w:r>
          </w:p>
        </w:tc>
        <w:tc>
          <w:tcPr>
            <w:tcW w:w="572" w:type="pct"/>
            <w:noWrap/>
            <w:vAlign w:val="center"/>
          </w:tcPr>
          <w:p>
            <w:pPr>
              <w:spacing w:line="360" w:lineRule="auto"/>
              <w:jc w:val="center"/>
              <w:rPr>
                <w:rFonts w:ascii="宋体" w:hAnsi="宋体" w:cs="宋体"/>
                <w:b/>
                <w:bCs/>
                <w:szCs w:val="21"/>
                <w:highlight w:val="none"/>
              </w:rPr>
            </w:pPr>
            <w:r>
              <w:rPr>
                <w:rFonts w:hint="eastAsia" w:ascii="宋体" w:hAnsi="宋体" w:cs="宋体"/>
                <w:b/>
                <w:bCs/>
                <w:szCs w:val="21"/>
                <w:highlight w:val="none"/>
              </w:rPr>
              <w:t>保障额度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318" w:type="pct"/>
            <w:vMerge w:val="restart"/>
            <w:noWrap/>
            <w:vAlign w:val="center"/>
          </w:tcPr>
          <w:p>
            <w:pPr>
              <w:spacing w:line="360" w:lineRule="auto"/>
              <w:jc w:val="center"/>
              <w:rPr>
                <w:rFonts w:ascii="宋体" w:hAnsi="宋体" w:cs="宋体"/>
                <w:szCs w:val="21"/>
                <w:highlight w:val="none"/>
              </w:rPr>
            </w:pPr>
          </w:p>
          <w:p>
            <w:pPr>
              <w:spacing w:line="360" w:lineRule="auto"/>
              <w:jc w:val="center"/>
              <w:rPr>
                <w:rFonts w:ascii="宋体" w:hAnsi="宋体" w:cs="宋体"/>
                <w:szCs w:val="21"/>
                <w:highlight w:val="none"/>
              </w:rPr>
            </w:pPr>
          </w:p>
          <w:p>
            <w:pPr>
              <w:spacing w:line="360" w:lineRule="auto"/>
              <w:jc w:val="center"/>
              <w:rPr>
                <w:rFonts w:ascii="宋体" w:hAnsi="宋体" w:cs="宋体"/>
                <w:szCs w:val="21"/>
                <w:highlight w:val="none"/>
              </w:rPr>
            </w:pPr>
          </w:p>
          <w:p>
            <w:pPr>
              <w:spacing w:line="360" w:lineRule="auto"/>
              <w:jc w:val="center"/>
              <w:rPr>
                <w:rFonts w:ascii="宋体" w:hAnsi="宋体" w:cs="宋体"/>
                <w:szCs w:val="21"/>
                <w:highlight w:val="none"/>
              </w:rPr>
            </w:pPr>
          </w:p>
          <w:p>
            <w:pPr>
              <w:spacing w:line="360" w:lineRule="auto"/>
              <w:jc w:val="center"/>
              <w:rPr>
                <w:rFonts w:ascii="宋体" w:hAnsi="宋体" w:cs="宋体"/>
                <w:szCs w:val="21"/>
                <w:highlight w:val="none"/>
              </w:rPr>
            </w:pPr>
            <w:r>
              <w:rPr>
                <w:rFonts w:hint="eastAsia" w:ascii="宋体" w:hAnsi="宋体" w:cs="宋体"/>
                <w:szCs w:val="21"/>
                <w:highlight w:val="none"/>
              </w:rPr>
              <w:t>1</w:t>
            </w:r>
          </w:p>
        </w:tc>
        <w:tc>
          <w:tcPr>
            <w:tcW w:w="684" w:type="pct"/>
            <w:vMerge w:val="restart"/>
            <w:noWrap/>
            <w:vAlign w:val="center"/>
          </w:tcPr>
          <w:p>
            <w:pPr>
              <w:spacing w:line="360" w:lineRule="auto"/>
              <w:jc w:val="center"/>
              <w:rPr>
                <w:rFonts w:ascii="宋体" w:hAnsi="宋体" w:cs="宋体"/>
                <w:szCs w:val="21"/>
                <w:highlight w:val="none"/>
              </w:rPr>
            </w:pPr>
          </w:p>
          <w:p>
            <w:pPr>
              <w:spacing w:line="360" w:lineRule="auto"/>
              <w:jc w:val="center"/>
              <w:rPr>
                <w:rFonts w:ascii="宋体" w:hAnsi="宋体" w:cs="宋体"/>
                <w:szCs w:val="21"/>
                <w:highlight w:val="none"/>
              </w:rPr>
            </w:pPr>
          </w:p>
          <w:p>
            <w:pPr>
              <w:spacing w:line="360" w:lineRule="auto"/>
              <w:jc w:val="center"/>
              <w:rPr>
                <w:rFonts w:ascii="宋体" w:hAnsi="宋体" w:cs="宋体"/>
                <w:szCs w:val="21"/>
                <w:highlight w:val="none"/>
              </w:rPr>
            </w:pPr>
          </w:p>
          <w:p>
            <w:pPr>
              <w:spacing w:line="360" w:lineRule="auto"/>
              <w:jc w:val="center"/>
              <w:rPr>
                <w:rFonts w:ascii="宋体" w:hAnsi="宋体" w:cs="宋体"/>
                <w:szCs w:val="21"/>
                <w:highlight w:val="none"/>
              </w:rPr>
            </w:pPr>
          </w:p>
          <w:p>
            <w:pPr>
              <w:spacing w:line="360" w:lineRule="auto"/>
              <w:jc w:val="center"/>
              <w:rPr>
                <w:rFonts w:ascii="宋体" w:hAnsi="宋体" w:cs="宋体"/>
                <w:szCs w:val="21"/>
                <w:highlight w:val="none"/>
              </w:rPr>
            </w:pPr>
            <w:r>
              <w:rPr>
                <w:rFonts w:hint="eastAsia" w:ascii="宋体" w:hAnsi="宋体" w:cs="宋体"/>
                <w:szCs w:val="21"/>
                <w:highlight w:val="none"/>
              </w:rPr>
              <w:t>意外伤害保障</w:t>
            </w:r>
          </w:p>
        </w:tc>
        <w:tc>
          <w:tcPr>
            <w:tcW w:w="733" w:type="pct"/>
            <w:noWrap/>
            <w:vAlign w:val="center"/>
          </w:tcPr>
          <w:p>
            <w:pPr>
              <w:spacing w:line="360" w:lineRule="auto"/>
              <w:jc w:val="center"/>
              <w:rPr>
                <w:rFonts w:ascii="宋体" w:hAnsi="宋体" w:cs="宋体"/>
                <w:szCs w:val="21"/>
                <w:highlight w:val="none"/>
              </w:rPr>
            </w:pPr>
            <w:r>
              <w:rPr>
                <w:rFonts w:hint="eastAsia" w:ascii="宋体" w:hAnsi="宋体" w:cs="宋体"/>
                <w:szCs w:val="21"/>
                <w:highlight w:val="none"/>
              </w:rPr>
              <w:t>意外身故/</w:t>
            </w:r>
            <w:r>
              <w:rPr>
                <w:rFonts w:hint="eastAsia" w:ascii="宋体" w:hAnsi="宋体" w:cs="宋体"/>
                <w:szCs w:val="21"/>
                <w:highlight w:val="none"/>
                <w:lang w:eastAsia="zh-CN"/>
              </w:rPr>
              <w:t>伤残</w:t>
            </w:r>
          </w:p>
        </w:tc>
        <w:tc>
          <w:tcPr>
            <w:tcW w:w="2691" w:type="pct"/>
            <w:noWrap/>
            <w:vAlign w:val="center"/>
          </w:tcPr>
          <w:p>
            <w:pPr>
              <w:spacing w:line="360" w:lineRule="auto"/>
              <w:jc w:val="center"/>
              <w:rPr>
                <w:rFonts w:ascii="宋体" w:hAnsi="宋体" w:cs="宋体"/>
                <w:szCs w:val="21"/>
                <w:highlight w:val="none"/>
              </w:rPr>
            </w:pPr>
            <w:r>
              <w:rPr>
                <w:rFonts w:hint="eastAsia" w:ascii="宋体" w:hAnsi="宋体" w:cs="宋体"/>
                <w:szCs w:val="21"/>
                <w:highlight w:val="none"/>
              </w:rPr>
              <w:t>保险期间内， 由于发生意外事故导致被保险人身故、</w:t>
            </w:r>
            <w:r>
              <w:rPr>
                <w:rFonts w:hint="eastAsia" w:ascii="宋体" w:hAnsi="宋体" w:cs="宋体"/>
                <w:szCs w:val="21"/>
                <w:highlight w:val="none"/>
                <w:lang w:eastAsia="zh-CN"/>
              </w:rPr>
              <w:t>伤残</w:t>
            </w:r>
            <w:r>
              <w:rPr>
                <w:rFonts w:hint="eastAsia" w:ascii="宋体" w:hAnsi="宋体" w:cs="宋体"/>
                <w:szCs w:val="21"/>
                <w:highlight w:val="none"/>
              </w:rPr>
              <w:t>的，保险人按照保险合同约定给付保险金。</w:t>
            </w:r>
          </w:p>
        </w:tc>
        <w:tc>
          <w:tcPr>
            <w:tcW w:w="572" w:type="pct"/>
            <w:noWrap/>
            <w:vAlign w:val="center"/>
          </w:tcPr>
          <w:p>
            <w:pPr>
              <w:spacing w:line="360" w:lineRule="auto"/>
              <w:jc w:val="center"/>
              <w:rPr>
                <w:rFonts w:hint="eastAsia" w:ascii="宋体" w:hAnsi="宋体" w:eastAsia="宋体" w:cs="宋体"/>
                <w:szCs w:val="21"/>
                <w:highlight w:val="none"/>
                <w:lang w:val="en-US" w:eastAsia="zh-CN"/>
              </w:rPr>
            </w:pPr>
            <w:r>
              <w:rPr>
                <w:rFonts w:hint="eastAsia" w:ascii="宋体" w:hAnsi="宋体" w:cs="宋体"/>
                <w:szCs w:val="21"/>
                <w:highlight w:val="none"/>
              </w:rPr>
              <w:t>30万元</w:t>
            </w:r>
            <w:r>
              <w:rPr>
                <w:rFonts w:hint="eastAsia"/>
                <w:highlight w:val="none"/>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318" w:type="pct"/>
            <w:vMerge w:val="continue"/>
            <w:noWrap/>
            <w:vAlign w:val="center"/>
          </w:tcPr>
          <w:p>
            <w:pPr>
              <w:spacing w:line="360" w:lineRule="auto"/>
              <w:jc w:val="center"/>
              <w:rPr>
                <w:rFonts w:ascii="宋体" w:hAnsi="宋体" w:cs="宋体"/>
                <w:szCs w:val="21"/>
                <w:highlight w:val="none"/>
              </w:rPr>
            </w:pPr>
          </w:p>
        </w:tc>
        <w:tc>
          <w:tcPr>
            <w:tcW w:w="684" w:type="pct"/>
            <w:vMerge w:val="continue"/>
            <w:noWrap/>
            <w:vAlign w:val="center"/>
          </w:tcPr>
          <w:p>
            <w:pPr>
              <w:spacing w:line="360" w:lineRule="auto"/>
              <w:jc w:val="center"/>
              <w:rPr>
                <w:rFonts w:ascii="宋体" w:hAnsi="宋体" w:cs="宋体"/>
                <w:szCs w:val="21"/>
                <w:highlight w:val="none"/>
              </w:rPr>
            </w:pPr>
          </w:p>
        </w:tc>
        <w:tc>
          <w:tcPr>
            <w:tcW w:w="733" w:type="pct"/>
            <w:noWrap/>
            <w:vAlign w:val="center"/>
          </w:tcPr>
          <w:p>
            <w:pPr>
              <w:spacing w:line="360" w:lineRule="auto"/>
              <w:jc w:val="center"/>
              <w:rPr>
                <w:rFonts w:hint="eastAsia" w:ascii="宋体" w:hAnsi="宋体" w:cs="宋体"/>
                <w:szCs w:val="21"/>
                <w:highlight w:val="none"/>
              </w:rPr>
            </w:pPr>
            <w:r>
              <w:rPr>
                <w:rFonts w:hint="eastAsia" w:ascii="宋体" w:hAnsi="宋体" w:cs="宋体"/>
                <w:color w:val="000000"/>
                <w:szCs w:val="21"/>
                <w:highlight w:val="none"/>
              </w:rPr>
              <w:t>公共交通工具意外伤害(死亡、伤残)</w:t>
            </w:r>
          </w:p>
        </w:tc>
        <w:tc>
          <w:tcPr>
            <w:tcW w:w="2691" w:type="pct"/>
            <w:noWrap/>
            <w:vAlign w:val="center"/>
          </w:tcPr>
          <w:p>
            <w:pPr>
              <w:spacing w:line="360" w:lineRule="auto"/>
              <w:jc w:val="center"/>
              <w:rPr>
                <w:rFonts w:hint="eastAsia" w:ascii="宋体" w:hAnsi="宋体" w:eastAsia="宋体" w:cs="宋体"/>
                <w:szCs w:val="21"/>
                <w:highlight w:val="none"/>
                <w:lang w:eastAsia="zh-CN"/>
              </w:rPr>
            </w:pPr>
            <w:r>
              <w:rPr>
                <w:rFonts w:hint="eastAsia" w:ascii="宋体" w:hAnsi="宋体" w:cs="宋体"/>
                <w:color w:val="000000"/>
                <w:szCs w:val="21"/>
                <w:highlight w:val="none"/>
                <w:lang w:eastAsia="zh-CN"/>
              </w:rPr>
              <w:t>因</w:t>
            </w:r>
            <w:r>
              <w:rPr>
                <w:rFonts w:hint="eastAsia" w:ascii="宋体" w:hAnsi="宋体" w:cs="宋体"/>
                <w:color w:val="000000"/>
                <w:szCs w:val="21"/>
                <w:highlight w:val="none"/>
              </w:rPr>
              <w:t>乘坐民航班机、商业营运轨道交通工具、商业营运轮船</w:t>
            </w:r>
            <w:r>
              <w:rPr>
                <w:rFonts w:hint="eastAsia" w:ascii="宋体" w:hAnsi="宋体" w:cs="宋体"/>
                <w:color w:val="000000"/>
                <w:szCs w:val="21"/>
                <w:highlight w:val="none"/>
                <w:lang w:eastAsia="zh-CN"/>
              </w:rPr>
              <w:t>中遭遇</w:t>
            </w:r>
            <w:r>
              <w:rPr>
                <w:rFonts w:hint="eastAsia" w:ascii="宋体" w:hAnsi="宋体" w:cs="宋体"/>
                <w:color w:val="000000"/>
                <w:szCs w:val="21"/>
                <w:highlight w:val="none"/>
              </w:rPr>
              <w:t>意外伤害</w:t>
            </w:r>
            <w:r>
              <w:rPr>
                <w:rFonts w:hint="eastAsia" w:ascii="宋体" w:hAnsi="宋体" w:cs="宋体"/>
                <w:color w:val="000000"/>
                <w:szCs w:val="21"/>
                <w:highlight w:val="none"/>
                <w:lang w:eastAsia="zh-CN"/>
              </w:rPr>
              <w:t>导致的死亡或</w:t>
            </w:r>
            <w:r>
              <w:rPr>
                <w:rFonts w:hint="eastAsia" w:ascii="宋体" w:hAnsi="宋体" w:cs="宋体"/>
                <w:color w:val="000000"/>
                <w:szCs w:val="21"/>
                <w:highlight w:val="none"/>
              </w:rPr>
              <w:t>伤残</w:t>
            </w:r>
            <w:r>
              <w:rPr>
                <w:rFonts w:hint="eastAsia" w:ascii="宋体" w:hAnsi="宋体" w:cs="宋体"/>
                <w:color w:val="000000"/>
                <w:szCs w:val="21"/>
                <w:highlight w:val="none"/>
                <w:lang w:eastAsia="zh-CN"/>
              </w:rPr>
              <w:t>的。</w:t>
            </w:r>
          </w:p>
        </w:tc>
        <w:tc>
          <w:tcPr>
            <w:tcW w:w="572" w:type="pct"/>
            <w:noWrap/>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30万元</w:t>
            </w:r>
            <w:r>
              <w:rPr>
                <w:rFonts w:hint="eastAsia" w:ascii="宋体" w:hAnsi="宋体" w:cs="宋体"/>
                <w:szCs w:val="21"/>
                <w:highlight w:val="none"/>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318" w:type="pct"/>
            <w:vMerge w:val="continue"/>
            <w:noWrap/>
            <w:vAlign w:val="center"/>
          </w:tcPr>
          <w:p>
            <w:pPr>
              <w:spacing w:line="360" w:lineRule="auto"/>
              <w:jc w:val="center"/>
              <w:rPr>
                <w:rFonts w:ascii="宋体" w:hAnsi="宋体" w:cs="宋体"/>
                <w:szCs w:val="21"/>
                <w:highlight w:val="none"/>
              </w:rPr>
            </w:pPr>
          </w:p>
        </w:tc>
        <w:tc>
          <w:tcPr>
            <w:tcW w:w="684" w:type="pct"/>
            <w:vMerge w:val="continue"/>
            <w:noWrap/>
            <w:vAlign w:val="center"/>
          </w:tcPr>
          <w:p>
            <w:pPr>
              <w:spacing w:line="360" w:lineRule="auto"/>
              <w:jc w:val="center"/>
              <w:rPr>
                <w:rFonts w:ascii="宋体" w:hAnsi="宋体" w:cs="宋体"/>
                <w:szCs w:val="21"/>
                <w:highlight w:val="none"/>
              </w:rPr>
            </w:pPr>
          </w:p>
        </w:tc>
        <w:tc>
          <w:tcPr>
            <w:tcW w:w="733" w:type="pct"/>
            <w:noWrap/>
            <w:vAlign w:val="center"/>
          </w:tcPr>
          <w:p>
            <w:pPr>
              <w:spacing w:line="360" w:lineRule="auto"/>
              <w:jc w:val="center"/>
              <w:rPr>
                <w:rFonts w:ascii="宋体" w:hAnsi="宋体" w:cs="宋体"/>
                <w:szCs w:val="21"/>
                <w:highlight w:val="none"/>
              </w:rPr>
            </w:pPr>
            <w:r>
              <w:rPr>
                <w:rFonts w:hint="eastAsia" w:ascii="宋体" w:hAnsi="宋体" w:cs="宋体"/>
                <w:szCs w:val="21"/>
                <w:highlight w:val="none"/>
              </w:rPr>
              <w:t>意外医疗</w:t>
            </w:r>
            <w:r>
              <w:rPr>
                <w:rFonts w:hint="eastAsia" w:ascii="宋体" w:hAnsi="宋体" w:cs="宋体"/>
                <w:szCs w:val="21"/>
                <w:highlight w:val="none"/>
                <w:lang w:eastAsia="zh-CN"/>
              </w:rPr>
              <w:t>（门诊</w:t>
            </w:r>
            <w:r>
              <w:rPr>
                <w:rFonts w:hint="eastAsia" w:ascii="宋体" w:hAnsi="宋体" w:cs="宋体"/>
                <w:szCs w:val="21"/>
                <w:highlight w:val="none"/>
                <w:lang w:val="en-US" w:eastAsia="zh-CN"/>
              </w:rPr>
              <w:t>+住院</w:t>
            </w:r>
            <w:r>
              <w:rPr>
                <w:rFonts w:hint="eastAsia" w:ascii="宋体" w:hAnsi="宋体" w:cs="宋体"/>
                <w:szCs w:val="21"/>
                <w:highlight w:val="none"/>
                <w:lang w:eastAsia="zh-CN"/>
              </w:rPr>
              <w:t>）</w:t>
            </w:r>
          </w:p>
        </w:tc>
        <w:tc>
          <w:tcPr>
            <w:tcW w:w="2691" w:type="pct"/>
            <w:noWrap/>
            <w:vAlign w:val="center"/>
          </w:tcPr>
          <w:p>
            <w:pPr>
              <w:spacing w:line="360" w:lineRule="auto"/>
              <w:jc w:val="center"/>
              <w:rPr>
                <w:rFonts w:ascii="宋体" w:hAnsi="宋体" w:cs="宋体"/>
                <w:szCs w:val="21"/>
                <w:highlight w:val="none"/>
              </w:rPr>
            </w:pPr>
            <w:r>
              <w:rPr>
                <w:rFonts w:hint="eastAsia" w:ascii="宋体" w:hAnsi="宋体" w:cs="宋体"/>
                <w:szCs w:val="21"/>
                <w:highlight w:val="none"/>
              </w:rPr>
              <w:t>保险期间内，被保险人因遭受意外伤害事故产生的社保范围内的门诊、住院医疗费用,保险人按照合同约定在限额内按0免赔、100%赔付。</w:t>
            </w:r>
          </w:p>
        </w:tc>
        <w:tc>
          <w:tcPr>
            <w:tcW w:w="572" w:type="pct"/>
            <w:noWrap/>
            <w:vAlign w:val="center"/>
          </w:tcPr>
          <w:p>
            <w:pPr>
              <w:spacing w:line="360" w:lineRule="auto"/>
              <w:jc w:val="center"/>
              <w:rPr>
                <w:rFonts w:ascii="宋体" w:hAnsi="宋体" w:cs="宋体"/>
                <w:szCs w:val="21"/>
                <w:highlight w:val="none"/>
              </w:rPr>
            </w:pPr>
            <w:r>
              <w:rPr>
                <w:rFonts w:hint="eastAsia" w:ascii="宋体" w:hAnsi="宋体" w:cs="宋体"/>
                <w:szCs w:val="21"/>
                <w:highlight w:val="none"/>
              </w:rPr>
              <w:t>6万元</w:t>
            </w:r>
            <w:r>
              <w:rPr>
                <w:rFonts w:hint="eastAsia" w:ascii="宋体" w:hAnsi="宋体" w:cs="宋体"/>
                <w:szCs w:val="21"/>
                <w:highlight w:val="none"/>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jc w:val="center"/>
        </w:trPr>
        <w:tc>
          <w:tcPr>
            <w:tcW w:w="318" w:type="pct"/>
            <w:vMerge w:val="continue"/>
            <w:noWrap/>
            <w:vAlign w:val="center"/>
          </w:tcPr>
          <w:p>
            <w:pPr>
              <w:spacing w:line="360" w:lineRule="auto"/>
              <w:jc w:val="center"/>
              <w:rPr>
                <w:rFonts w:ascii="宋体" w:hAnsi="宋体" w:cs="宋体"/>
                <w:szCs w:val="21"/>
                <w:highlight w:val="none"/>
              </w:rPr>
            </w:pPr>
          </w:p>
        </w:tc>
        <w:tc>
          <w:tcPr>
            <w:tcW w:w="684" w:type="pct"/>
            <w:vMerge w:val="continue"/>
            <w:noWrap/>
            <w:vAlign w:val="center"/>
          </w:tcPr>
          <w:p>
            <w:pPr>
              <w:spacing w:line="360" w:lineRule="auto"/>
              <w:jc w:val="center"/>
              <w:rPr>
                <w:rFonts w:ascii="宋体" w:hAnsi="宋体" w:cs="宋体"/>
                <w:szCs w:val="21"/>
                <w:highlight w:val="none"/>
              </w:rPr>
            </w:pPr>
          </w:p>
        </w:tc>
        <w:tc>
          <w:tcPr>
            <w:tcW w:w="733" w:type="pct"/>
            <w:noWrap/>
            <w:vAlign w:val="center"/>
          </w:tcPr>
          <w:p>
            <w:pPr>
              <w:spacing w:line="360" w:lineRule="auto"/>
              <w:jc w:val="center"/>
              <w:rPr>
                <w:rFonts w:ascii="宋体" w:hAnsi="宋体" w:cs="宋体"/>
                <w:szCs w:val="21"/>
                <w:highlight w:val="none"/>
              </w:rPr>
            </w:pPr>
            <w:r>
              <w:rPr>
                <w:rFonts w:hint="eastAsia" w:ascii="宋体" w:hAnsi="宋体" w:cs="宋体"/>
                <w:szCs w:val="21"/>
                <w:highlight w:val="none"/>
              </w:rPr>
              <w:t>意外住院津贴</w:t>
            </w:r>
          </w:p>
        </w:tc>
        <w:tc>
          <w:tcPr>
            <w:tcW w:w="2691" w:type="pct"/>
            <w:noWrap/>
            <w:vAlign w:val="center"/>
          </w:tcPr>
          <w:p>
            <w:pPr>
              <w:spacing w:line="360" w:lineRule="auto"/>
              <w:jc w:val="center"/>
              <w:rPr>
                <w:rFonts w:ascii="宋体" w:hAnsi="宋体" w:cs="宋体"/>
                <w:szCs w:val="21"/>
                <w:highlight w:val="none"/>
              </w:rPr>
            </w:pPr>
            <w:r>
              <w:rPr>
                <w:rFonts w:hint="eastAsia" w:ascii="宋体" w:hAnsi="宋体" w:cs="宋体"/>
                <w:szCs w:val="21"/>
                <w:highlight w:val="none"/>
              </w:rPr>
              <w:t>保险期间内，被保险人因意外伤害而住院治疗，按照保险合同约定的日给付额及实际住院天数赔付意外住院津贴，累计不超过365天。</w:t>
            </w:r>
          </w:p>
        </w:tc>
        <w:tc>
          <w:tcPr>
            <w:tcW w:w="572" w:type="pct"/>
            <w:noWrap/>
            <w:vAlign w:val="center"/>
          </w:tcPr>
          <w:p>
            <w:pPr>
              <w:spacing w:line="360" w:lineRule="auto"/>
              <w:jc w:val="center"/>
              <w:rPr>
                <w:rFonts w:ascii="宋体" w:hAnsi="宋体" w:cs="宋体"/>
                <w:szCs w:val="21"/>
                <w:highlight w:val="none"/>
              </w:rPr>
            </w:pPr>
            <w:r>
              <w:rPr>
                <w:rFonts w:hint="eastAsia" w:ascii="宋体" w:hAnsi="宋体" w:cs="宋体"/>
                <w:szCs w:val="21"/>
                <w:highlight w:val="none"/>
              </w:rPr>
              <w:t>200元/天</w:t>
            </w:r>
            <w:r>
              <w:rPr>
                <w:rFonts w:hint="eastAsia" w:ascii="宋体" w:hAnsi="宋体" w:cs="宋体"/>
                <w:szCs w:val="21"/>
                <w:highlight w:val="none"/>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318" w:type="pct"/>
            <w:noWrap/>
            <w:vAlign w:val="center"/>
          </w:tcPr>
          <w:p>
            <w:pPr>
              <w:spacing w:line="360" w:lineRule="auto"/>
              <w:jc w:val="center"/>
              <w:rPr>
                <w:rFonts w:ascii="宋体" w:hAnsi="宋体" w:cs="宋体"/>
                <w:szCs w:val="21"/>
                <w:highlight w:val="none"/>
              </w:rPr>
            </w:pPr>
            <w:r>
              <w:rPr>
                <w:rFonts w:hint="eastAsia" w:ascii="宋体" w:hAnsi="宋体" w:cs="宋体"/>
                <w:szCs w:val="21"/>
                <w:highlight w:val="none"/>
              </w:rPr>
              <w:t>2</w:t>
            </w:r>
          </w:p>
        </w:tc>
        <w:tc>
          <w:tcPr>
            <w:tcW w:w="684" w:type="pct"/>
            <w:noWrap/>
            <w:vAlign w:val="center"/>
          </w:tcPr>
          <w:p>
            <w:pPr>
              <w:spacing w:line="360" w:lineRule="auto"/>
              <w:jc w:val="center"/>
              <w:rPr>
                <w:rFonts w:ascii="宋体" w:hAnsi="宋体" w:cs="宋体"/>
                <w:szCs w:val="21"/>
                <w:highlight w:val="none"/>
              </w:rPr>
            </w:pPr>
            <w:r>
              <w:rPr>
                <w:rFonts w:hint="eastAsia" w:ascii="宋体" w:hAnsi="宋体" w:cs="宋体"/>
                <w:szCs w:val="21"/>
                <w:highlight w:val="none"/>
              </w:rPr>
              <w:t>健康保障</w:t>
            </w:r>
          </w:p>
        </w:tc>
        <w:tc>
          <w:tcPr>
            <w:tcW w:w="733" w:type="pct"/>
            <w:noWrap/>
            <w:vAlign w:val="center"/>
          </w:tcPr>
          <w:p>
            <w:pPr>
              <w:spacing w:line="360" w:lineRule="auto"/>
              <w:jc w:val="center"/>
              <w:rPr>
                <w:rFonts w:ascii="宋体" w:hAnsi="宋体" w:cs="宋体"/>
                <w:szCs w:val="21"/>
                <w:highlight w:val="none"/>
              </w:rPr>
            </w:pPr>
            <w:r>
              <w:rPr>
                <w:rFonts w:hint="eastAsia" w:ascii="宋体" w:hAnsi="宋体" w:cs="宋体"/>
                <w:szCs w:val="21"/>
                <w:highlight w:val="none"/>
              </w:rPr>
              <w:t>猝死保险金</w:t>
            </w:r>
          </w:p>
        </w:tc>
        <w:tc>
          <w:tcPr>
            <w:tcW w:w="2691" w:type="pct"/>
            <w:noWrap/>
            <w:vAlign w:val="center"/>
          </w:tcPr>
          <w:p>
            <w:pPr>
              <w:spacing w:line="360" w:lineRule="auto"/>
              <w:jc w:val="center"/>
              <w:rPr>
                <w:rFonts w:ascii="宋体" w:hAnsi="宋体" w:cs="宋体"/>
                <w:szCs w:val="21"/>
                <w:highlight w:val="none"/>
              </w:rPr>
            </w:pPr>
            <w:r>
              <w:rPr>
                <w:rFonts w:hint="eastAsia" w:ascii="宋体" w:hAnsi="宋体" w:cs="宋体"/>
                <w:szCs w:val="21"/>
                <w:highlight w:val="none"/>
              </w:rPr>
              <w:t>保险期间内，被保险人在等待期满之日后（续保者自续保生效后）猝死的，保险人按照保险合同承担保险责任。</w:t>
            </w:r>
          </w:p>
        </w:tc>
        <w:tc>
          <w:tcPr>
            <w:tcW w:w="572" w:type="pct"/>
            <w:noWrap/>
            <w:vAlign w:val="center"/>
          </w:tcPr>
          <w:p>
            <w:pPr>
              <w:spacing w:line="360" w:lineRule="auto"/>
              <w:jc w:val="center"/>
              <w:rPr>
                <w:rFonts w:ascii="宋体" w:hAnsi="宋体" w:cs="宋体"/>
                <w:szCs w:val="21"/>
                <w:highlight w:val="none"/>
              </w:rPr>
            </w:pPr>
            <w:r>
              <w:rPr>
                <w:rFonts w:hint="eastAsia" w:ascii="宋体" w:hAnsi="宋体" w:cs="宋体"/>
                <w:szCs w:val="21"/>
                <w:highlight w:val="none"/>
              </w:rPr>
              <w:t>10万元</w:t>
            </w:r>
            <w:r>
              <w:rPr>
                <w:rFonts w:hint="eastAsia" w:ascii="宋体" w:hAnsi="宋体" w:cs="宋体"/>
                <w:szCs w:val="21"/>
                <w:highlight w:val="none"/>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jc w:val="center"/>
        </w:trPr>
        <w:tc>
          <w:tcPr>
            <w:tcW w:w="318" w:type="pct"/>
            <w:vMerge w:val="restart"/>
            <w:noWrap/>
            <w:vAlign w:val="center"/>
          </w:tcPr>
          <w:p>
            <w:pPr>
              <w:spacing w:line="360" w:lineRule="auto"/>
              <w:jc w:val="center"/>
              <w:rPr>
                <w:rFonts w:ascii="宋体" w:hAnsi="宋体" w:cs="宋体"/>
                <w:szCs w:val="21"/>
                <w:highlight w:val="none"/>
              </w:rPr>
            </w:pPr>
          </w:p>
          <w:p>
            <w:pPr>
              <w:spacing w:line="360" w:lineRule="auto"/>
              <w:jc w:val="center"/>
              <w:rPr>
                <w:rFonts w:ascii="宋体" w:hAnsi="宋体" w:cs="宋体"/>
                <w:szCs w:val="21"/>
                <w:highlight w:val="none"/>
              </w:rPr>
            </w:pPr>
          </w:p>
          <w:p>
            <w:pPr>
              <w:spacing w:line="360" w:lineRule="auto"/>
              <w:jc w:val="center"/>
              <w:rPr>
                <w:rFonts w:ascii="宋体" w:hAnsi="宋体" w:cs="宋体"/>
                <w:szCs w:val="21"/>
                <w:highlight w:val="none"/>
              </w:rPr>
            </w:pPr>
          </w:p>
          <w:p>
            <w:pPr>
              <w:spacing w:line="360" w:lineRule="auto"/>
              <w:jc w:val="center"/>
              <w:rPr>
                <w:rFonts w:ascii="宋体" w:hAnsi="宋体" w:cs="宋体"/>
                <w:szCs w:val="21"/>
                <w:highlight w:val="none"/>
              </w:rPr>
            </w:pPr>
          </w:p>
          <w:p>
            <w:pPr>
              <w:spacing w:line="360" w:lineRule="auto"/>
              <w:jc w:val="center"/>
              <w:rPr>
                <w:rFonts w:ascii="宋体" w:hAnsi="宋体" w:cs="宋体"/>
                <w:szCs w:val="21"/>
                <w:highlight w:val="none"/>
              </w:rPr>
            </w:pPr>
            <w:r>
              <w:rPr>
                <w:rFonts w:hint="eastAsia" w:ascii="宋体" w:hAnsi="宋体" w:cs="宋体"/>
                <w:szCs w:val="21"/>
                <w:highlight w:val="none"/>
              </w:rPr>
              <w:t>3</w:t>
            </w:r>
          </w:p>
        </w:tc>
        <w:tc>
          <w:tcPr>
            <w:tcW w:w="684" w:type="pct"/>
            <w:vMerge w:val="restart"/>
            <w:noWrap/>
            <w:vAlign w:val="center"/>
          </w:tcPr>
          <w:p>
            <w:pPr>
              <w:spacing w:line="360" w:lineRule="auto"/>
              <w:jc w:val="center"/>
              <w:rPr>
                <w:rFonts w:ascii="宋体" w:hAnsi="宋体" w:cs="宋体"/>
                <w:szCs w:val="21"/>
                <w:highlight w:val="none"/>
              </w:rPr>
            </w:pPr>
          </w:p>
          <w:p>
            <w:pPr>
              <w:spacing w:line="360" w:lineRule="auto"/>
              <w:jc w:val="center"/>
              <w:rPr>
                <w:rFonts w:ascii="宋体" w:hAnsi="宋体" w:cs="宋体"/>
                <w:szCs w:val="21"/>
                <w:highlight w:val="none"/>
              </w:rPr>
            </w:pPr>
          </w:p>
          <w:p>
            <w:pPr>
              <w:spacing w:line="360" w:lineRule="auto"/>
              <w:jc w:val="center"/>
              <w:rPr>
                <w:rFonts w:ascii="宋体" w:hAnsi="宋体" w:cs="宋体"/>
                <w:szCs w:val="21"/>
                <w:highlight w:val="none"/>
              </w:rPr>
            </w:pPr>
          </w:p>
          <w:p>
            <w:pPr>
              <w:spacing w:line="360" w:lineRule="auto"/>
              <w:jc w:val="center"/>
              <w:rPr>
                <w:rFonts w:ascii="宋体" w:hAnsi="宋体" w:cs="宋体"/>
                <w:szCs w:val="21"/>
                <w:highlight w:val="none"/>
              </w:rPr>
            </w:pPr>
          </w:p>
          <w:p>
            <w:pPr>
              <w:spacing w:line="360" w:lineRule="auto"/>
              <w:jc w:val="center"/>
              <w:rPr>
                <w:rFonts w:ascii="宋体" w:hAnsi="宋体" w:cs="宋体"/>
                <w:szCs w:val="21"/>
                <w:highlight w:val="none"/>
              </w:rPr>
            </w:pPr>
            <w:r>
              <w:rPr>
                <w:rFonts w:hint="eastAsia" w:ascii="宋体" w:hAnsi="宋体" w:cs="宋体"/>
                <w:szCs w:val="21"/>
                <w:highlight w:val="none"/>
              </w:rPr>
              <w:t>特别约定</w:t>
            </w:r>
          </w:p>
        </w:tc>
        <w:tc>
          <w:tcPr>
            <w:tcW w:w="3997" w:type="pct"/>
            <w:gridSpan w:val="3"/>
            <w:vMerge w:val="restart"/>
            <w:noWrap/>
            <w:vAlign w:val="center"/>
          </w:tcPr>
          <w:p>
            <w:pPr>
              <w:pStyle w:val="5"/>
              <w:autoSpaceDE/>
              <w:autoSpaceDN/>
              <w:adjustRightInd/>
              <w:spacing w:line="360" w:lineRule="auto"/>
              <w:jc w:val="left"/>
              <w:rPr>
                <w:rFonts w:hAnsi="宋体" w:cs="宋体"/>
                <w:b/>
                <w:sz w:val="21"/>
                <w:szCs w:val="21"/>
                <w:highlight w:val="none"/>
              </w:rPr>
            </w:pPr>
            <w:r>
              <w:rPr>
                <w:rFonts w:hint="eastAsia" w:hAnsi="宋体" w:cs="宋体"/>
                <w:b/>
                <w:sz w:val="21"/>
                <w:szCs w:val="21"/>
                <w:highlight w:val="none"/>
              </w:rPr>
              <w:t>本保险合同效力优先顺序为：特别约定&gt;附加条款&gt;主险条款</w:t>
            </w:r>
            <w:r>
              <w:rPr>
                <w:rFonts w:hint="eastAsia" w:hAnsi="宋体" w:cs="宋体"/>
                <w:b/>
                <w:sz w:val="21"/>
                <w:szCs w:val="21"/>
                <w:highlight w:val="none"/>
                <w:lang w:eastAsia="zh-CN"/>
              </w:rPr>
              <w:t>（</w:t>
            </w:r>
            <w:r>
              <w:rPr>
                <w:rFonts w:hint="eastAsia" w:hAnsi="宋体" w:cs="宋体"/>
                <w:b/>
                <w:sz w:val="21"/>
                <w:szCs w:val="21"/>
                <w:highlight w:val="none"/>
              </w:rPr>
              <w:t>附加条款</w:t>
            </w:r>
            <w:r>
              <w:rPr>
                <w:rFonts w:hint="eastAsia" w:hAnsi="宋体" w:cs="宋体"/>
                <w:b/>
                <w:sz w:val="21"/>
                <w:szCs w:val="21"/>
                <w:highlight w:val="none"/>
                <w:lang w:eastAsia="zh-CN"/>
              </w:rPr>
              <w:t>、</w:t>
            </w:r>
            <w:r>
              <w:rPr>
                <w:rFonts w:hint="eastAsia" w:hAnsi="宋体" w:cs="宋体"/>
                <w:b/>
                <w:sz w:val="21"/>
                <w:szCs w:val="21"/>
                <w:highlight w:val="none"/>
              </w:rPr>
              <w:t>主险条款</w:t>
            </w:r>
            <w:r>
              <w:rPr>
                <w:rFonts w:hint="eastAsia" w:hAnsi="宋体" w:cs="宋体"/>
                <w:b/>
                <w:sz w:val="21"/>
                <w:szCs w:val="21"/>
                <w:highlight w:val="none"/>
                <w:lang w:val="en-US" w:eastAsia="zh-CN"/>
              </w:rPr>
              <w:t>详见招标文件附件2</w:t>
            </w:r>
            <w:r>
              <w:rPr>
                <w:rFonts w:hint="eastAsia" w:hAnsi="宋体" w:cs="宋体"/>
                <w:b/>
                <w:sz w:val="21"/>
                <w:szCs w:val="21"/>
                <w:highlight w:val="none"/>
                <w:lang w:eastAsia="zh-CN"/>
              </w:rPr>
              <w:t>）</w:t>
            </w:r>
            <w:r>
              <w:rPr>
                <w:rFonts w:hint="eastAsia" w:hAnsi="宋体" w:cs="宋体"/>
                <w:b/>
                <w:sz w:val="21"/>
                <w:szCs w:val="21"/>
                <w:highlight w:val="none"/>
              </w:rPr>
              <w:t>，以下特别约定若与本保险单的其他规定相冲突，则特别约定为准。</w:t>
            </w:r>
          </w:p>
          <w:p>
            <w:pPr>
              <w:pStyle w:val="5"/>
              <w:autoSpaceDE/>
              <w:autoSpaceDN/>
              <w:adjustRightInd/>
              <w:spacing w:line="360" w:lineRule="auto"/>
              <w:jc w:val="left"/>
              <w:rPr>
                <w:rFonts w:hAnsi="宋体" w:cs="宋体"/>
                <w:sz w:val="21"/>
                <w:szCs w:val="21"/>
                <w:highlight w:val="none"/>
              </w:rPr>
            </w:pPr>
            <w:r>
              <w:rPr>
                <w:rFonts w:hint="eastAsia" w:hAnsi="宋体" w:cs="宋体"/>
                <w:sz w:val="21"/>
                <w:szCs w:val="21"/>
                <w:highlight w:val="none"/>
              </w:rPr>
              <w:t>1、鉴于本项目为团体保险，保险人不得拒绝承保其中部分人员，且不得剔除某项责任差异化承保。被保险人以投保人提供的投保清单为准。</w:t>
            </w:r>
          </w:p>
          <w:p>
            <w:pPr>
              <w:pStyle w:val="5"/>
              <w:autoSpaceDE/>
              <w:autoSpaceDN/>
              <w:adjustRightInd/>
              <w:spacing w:line="360" w:lineRule="auto"/>
              <w:jc w:val="left"/>
              <w:rPr>
                <w:rFonts w:hAnsi="宋体" w:cs="宋体"/>
                <w:sz w:val="21"/>
                <w:szCs w:val="21"/>
                <w:highlight w:val="none"/>
              </w:rPr>
            </w:pPr>
            <w:r>
              <w:rPr>
                <w:rFonts w:hint="eastAsia" w:hAnsi="宋体" w:cs="宋体"/>
                <w:sz w:val="21"/>
                <w:szCs w:val="21"/>
                <w:highlight w:val="none"/>
              </w:rPr>
              <w:t>2、被保险人因遭受意外伤害事故并在医院进行治疗，保险人就其事故发生之日起一百八十天内实际支出社保范围内合理的医疗费用超过人民币0元部分按100%的比例给付意外伤害医疗保险金。</w:t>
            </w:r>
          </w:p>
          <w:p>
            <w:pPr>
              <w:pStyle w:val="5"/>
              <w:autoSpaceDE/>
              <w:autoSpaceDN/>
              <w:adjustRightInd/>
              <w:spacing w:line="360" w:lineRule="auto"/>
              <w:jc w:val="left"/>
              <w:rPr>
                <w:rFonts w:hAnsi="宋体" w:cs="宋体"/>
                <w:sz w:val="21"/>
                <w:szCs w:val="21"/>
                <w:highlight w:val="none"/>
              </w:rPr>
            </w:pPr>
            <w:r>
              <w:rPr>
                <w:rFonts w:hint="eastAsia" w:hAnsi="宋体" w:cs="宋体"/>
                <w:sz w:val="21"/>
                <w:szCs w:val="21"/>
                <w:highlight w:val="none"/>
              </w:rPr>
              <w:t>3、如因乘坐前述公共交通工具意外身故的，可与意外伤害主险叠加赔付。</w:t>
            </w:r>
          </w:p>
          <w:p>
            <w:pPr>
              <w:pStyle w:val="5"/>
              <w:autoSpaceDE/>
              <w:autoSpaceDN/>
              <w:adjustRightInd/>
              <w:spacing w:line="360" w:lineRule="auto"/>
              <w:jc w:val="left"/>
              <w:rPr>
                <w:rFonts w:hAnsi="宋体" w:cs="宋体"/>
                <w:sz w:val="21"/>
                <w:szCs w:val="21"/>
                <w:highlight w:val="none"/>
              </w:rPr>
            </w:pPr>
            <w:r>
              <w:rPr>
                <w:rFonts w:hint="eastAsia" w:hAnsi="宋体" w:cs="宋体"/>
                <w:sz w:val="21"/>
                <w:szCs w:val="21"/>
                <w:highlight w:val="none"/>
              </w:rPr>
              <w:t>4.被保人遭受意外伤害事故造成伤残，经投保人申请并经保险人同意，保险人须承担主险条款所附《人身保险伤残评定标准及代码》（标准编号为JR/T0083—2013）中意外伤害残疾一至十级伤残责任，意外伤害残疾一至十级对应给付比例分别为意外伤害保额的100%、90%、80%、70%、60%、50%、40%、30%、20%、10%。保险合同中其他条款与本特别约定存在不一致的，以本特别约定为准。</w:t>
            </w:r>
          </w:p>
          <w:p>
            <w:pPr>
              <w:pStyle w:val="5"/>
              <w:autoSpaceDE/>
              <w:autoSpaceDN/>
              <w:adjustRightInd/>
              <w:spacing w:line="360" w:lineRule="auto"/>
              <w:jc w:val="left"/>
              <w:rPr>
                <w:rFonts w:hAnsi="宋体" w:cs="宋体"/>
                <w:sz w:val="21"/>
                <w:szCs w:val="21"/>
                <w:highlight w:val="none"/>
              </w:rPr>
            </w:pPr>
            <w:r>
              <w:rPr>
                <w:rFonts w:hint="eastAsia" w:hAnsi="宋体" w:cs="宋体"/>
                <w:sz w:val="21"/>
                <w:szCs w:val="21"/>
                <w:highlight w:val="none"/>
              </w:rPr>
              <w:t>5、意外伤害住院津贴责任项下，日给付标准为200元/人，累计给付以365天为限。</w:t>
            </w:r>
          </w:p>
          <w:p>
            <w:pPr>
              <w:pStyle w:val="5"/>
              <w:autoSpaceDE/>
              <w:autoSpaceDN/>
              <w:adjustRightInd/>
              <w:spacing w:line="360" w:lineRule="auto"/>
              <w:jc w:val="left"/>
              <w:rPr>
                <w:rFonts w:hAnsi="宋体" w:cs="宋体"/>
                <w:sz w:val="21"/>
                <w:szCs w:val="21"/>
                <w:highlight w:val="none"/>
              </w:rPr>
            </w:pPr>
            <w:r>
              <w:rPr>
                <w:rFonts w:hint="eastAsia" w:hAnsi="宋体" w:cs="宋体"/>
                <w:sz w:val="21"/>
                <w:szCs w:val="21"/>
                <w:highlight w:val="none"/>
              </w:rPr>
              <w:t>6、兹经双方协商并约定，本保单各项责任无等待期。</w:t>
            </w:r>
          </w:p>
          <w:p>
            <w:pPr>
              <w:pStyle w:val="5"/>
              <w:autoSpaceDE/>
              <w:autoSpaceDN/>
              <w:adjustRightInd/>
              <w:spacing w:line="360" w:lineRule="auto"/>
              <w:jc w:val="left"/>
              <w:rPr>
                <w:rFonts w:hAnsi="宋体" w:cs="宋体"/>
                <w:sz w:val="21"/>
                <w:szCs w:val="21"/>
                <w:highlight w:val="none"/>
              </w:rPr>
            </w:pPr>
            <w:r>
              <w:rPr>
                <w:rFonts w:hint="eastAsia" w:hAnsi="宋体" w:cs="宋体"/>
                <w:sz w:val="21"/>
                <w:szCs w:val="21"/>
                <w:highlight w:val="none"/>
              </w:rPr>
              <w:t>7、本项目保单保期内的增减及更换人员根据以下约定按月申请批改，并在保单保期内承担保险责任。投保单位可以于每月10日前提交上月该单位变动人员批改申请：对于上月新入职且次月及时申请批改成功的被保险人，保险人自被保险人入职日起承担其保险责任（在入职日与批改申请日之间出险的案件，理赔时须提供被保险人出险当月工资单及雇佣劳动合同）；对于非上月新入职人员，保险人自实际申请批改次日起承担保险责任。劳动者的入职时间以在投保人处实际用工（含试用期）的第一天为准。对于离职的人员，保险人自其离职之日起不承担其保险责任。兹经双方协商并约定，已发生保险事故并已进行报案索赔的被保险人不再更换和退保，其他未发生保险事故的被保险人保险人须正常的更换和退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318" w:type="pct"/>
            <w:vMerge w:val="continue"/>
            <w:noWrap/>
            <w:vAlign w:val="center"/>
          </w:tcPr>
          <w:p>
            <w:pPr>
              <w:spacing w:line="360" w:lineRule="auto"/>
              <w:jc w:val="center"/>
              <w:rPr>
                <w:rFonts w:ascii="宋体" w:hAnsi="宋体" w:cs="宋体"/>
                <w:szCs w:val="21"/>
                <w:highlight w:val="none"/>
              </w:rPr>
            </w:pPr>
          </w:p>
        </w:tc>
        <w:tc>
          <w:tcPr>
            <w:tcW w:w="684" w:type="pct"/>
            <w:vMerge w:val="continue"/>
            <w:noWrap/>
            <w:vAlign w:val="center"/>
          </w:tcPr>
          <w:p>
            <w:pPr>
              <w:spacing w:line="360" w:lineRule="auto"/>
              <w:jc w:val="center"/>
              <w:rPr>
                <w:rFonts w:ascii="宋体" w:hAnsi="宋体" w:cs="宋体"/>
                <w:szCs w:val="21"/>
                <w:highlight w:val="none"/>
              </w:rPr>
            </w:pPr>
          </w:p>
        </w:tc>
        <w:tc>
          <w:tcPr>
            <w:tcW w:w="3997" w:type="pct"/>
            <w:gridSpan w:val="3"/>
            <w:vMerge w:val="continue"/>
            <w:noWrap/>
            <w:vAlign w:val="center"/>
          </w:tcPr>
          <w:p>
            <w:pPr>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9" w:hRule="atLeast"/>
          <w:jc w:val="center"/>
        </w:trPr>
        <w:tc>
          <w:tcPr>
            <w:tcW w:w="318" w:type="pct"/>
            <w:vMerge w:val="continue"/>
            <w:noWrap/>
            <w:vAlign w:val="center"/>
          </w:tcPr>
          <w:p>
            <w:pPr>
              <w:spacing w:line="360" w:lineRule="auto"/>
              <w:jc w:val="center"/>
              <w:rPr>
                <w:rFonts w:ascii="宋体" w:hAnsi="宋体" w:cs="宋体"/>
                <w:szCs w:val="21"/>
                <w:highlight w:val="none"/>
              </w:rPr>
            </w:pPr>
          </w:p>
        </w:tc>
        <w:tc>
          <w:tcPr>
            <w:tcW w:w="684" w:type="pct"/>
            <w:vMerge w:val="continue"/>
            <w:noWrap/>
            <w:vAlign w:val="center"/>
          </w:tcPr>
          <w:p>
            <w:pPr>
              <w:spacing w:line="360" w:lineRule="auto"/>
              <w:jc w:val="center"/>
              <w:rPr>
                <w:rFonts w:ascii="宋体" w:hAnsi="宋体" w:cs="宋体"/>
                <w:szCs w:val="21"/>
                <w:highlight w:val="none"/>
              </w:rPr>
            </w:pPr>
          </w:p>
        </w:tc>
        <w:tc>
          <w:tcPr>
            <w:tcW w:w="3997" w:type="pct"/>
            <w:gridSpan w:val="3"/>
            <w:vMerge w:val="continue"/>
            <w:noWrap/>
            <w:vAlign w:val="center"/>
          </w:tcPr>
          <w:p>
            <w:pPr>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318" w:type="pct"/>
            <w:vMerge w:val="continue"/>
            <w:noWrap/>
            <w:vAlign w:val="center"/>
          </w:tcPr>
          <w:p>
            <w:pPr>
              <w:spacing w:line="360" w:lineRule="auto"/>
              <w:jc w:val="center"/>
              <w:rPr>
                <w:rFonts w:ascii="宋体" w:hAnsi="宋体" w:cs="宋体"/>
                <w:szCs w:val="21"/>
                <w:highlight w:val="none"/>
              </w:rPr>
            </w:pPr>
          </w:p>
        </w:tc>
        <w:tc>
          <w:tcPr>
            <w:tcW w:w="684" w:type="pct"/>
            <w:vMerge w:val="continue"/>
            <w:noWrap/>
            <w:vAlign w:val="center"/>
          </w:tcPr>
          <w:p>
            <w:pPr>
              <w:spacing w:line="360" w:lineRule="auto"/>
              <w:jc w:val="center"/>
              <w:rPr>
                <w:rFonts w:ascii="宋体" w:hAnsi="宋体" w:cs="宋体"/>
                <w:szCs w:val="21"/>
                <w:highlight w:val="none"/>
              </w:rPr>
            </w:pPr>
          </w:p>
        </w:tc>
        <w:tc>
          <w:tcPr>
            <w:tcW w:w="3997" w:type="pct"/>
            <w:gridSpan w:val="3"/>
            <w:vMerge w:val="continue"/>
            <w:noWrap/>
            <w:vAlign w:val="center"/>
          </w:tcPr>
          <w:p>
            <w:pPr>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18" w:type="pct"/>
            <w:vMerge w:val="continue"/>
            <w:noWrap/>
            <w:vAlign w:val="center"/>
          </w:tcPr>
          <w:p>
            <w:pPr>
              <w:spacing w:line="360" w:lineRule="auto"/>
              <w:jc w:val="center"/>
              <w:rPr>
                <w:rFonts w:ascii="宋体" w:hAnsi="宋体" w:cs="宋体"/>
                <w:szCs w:val="21"/>
                <w:highlight w:val="none"/>
              </w:rPr>
            </w:pPr>
          </w:p>
        </w:tc>
        <w:tc>
          <w:tcPr>
            <w:tcW w:w="684" w:type="pct"/>
            <w:vMerge w:val="continue"/>
            <w:noWrap/>
            <w:vAlign w:val="center"/>
          </w:tcPr>
          <w:p>
            <w:pPr>
              <w:spacing w:line="360" w:lineRule="auto"/>
              <w:jc w:val="center"/>
              <w:rPr>
                <w:rFonts w:ascii="宋体" w:hAnsi="宋体" w:cs="宋体"/>
                <w:szCs w:val="21"/>
                <w:highlight w:val="none"/>
              </w:rPr>
            </w:pPr>
          </w:p>
        </w:tc>
        <w:tc>
          <w:tcPr>
            <w:tcW w:w="3997" w:type="pct"/>
            <w:gridSpan w:val="3"/>
            <w:vMerge w:val="continue"/>
            <w:noWrap/>
            <w:vAlign w:val="center"/>
          </w:tcPr>
          <w:p>
            <w:pPr>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18" w:type="pct"/>
            <w:noWrap/>
            <w:vAlign w:val="center"/>
          </w:tcPr>
          <w:p>
            <w:pPr>
              <w:spacing w:line="360" w:lineRule="auto"/>
              <w:jc w:val="center"/>
              <w:rPr>
                <w:rFonts w:ascii="宋体" w:hAnsi="宋体" w:cs="宋体"/>
                <w:szCs w:val="21"/>
                <w:highlight w:val="none"/>
              </w:rPr>
            </w:pPr>
            <w:r>
              <w:rPr>
                <w:rFonts w:hint="eastAsia" w:ascii="宋体" w:hAnsi="宋体" w:cs="宋体"/>
                <w:szCs w:val="21"/>
                <w:highlight w:val="none"/>
              </w:rPr>
              <w:t>4</w:t>
            </w:r>
          </w:p>
        </w:tc>
        <w:tc>
          <w:tcPr>
            <w:tcW w:w="684" w:type="pct"/>
            <w:noWrap/>
            <w:vAlign w:val="center"/>
          </w:tcPr>
          <w:p>
            <w:pPr>
              <w:spacing w:line="360" w:lineRule="auto"/>
              <w:jc w:val="center"/>
              <w:rPr>
                <w:rFonts w:ascii="宋体" w:hAnsi="宋体" w:cs="宋体"/>
                <w:szCs w:val="21"/>
                <w:highlight w:val="none"/>
              </w:rPr>
            </w:pPr>
            <w:r>
              <w:rPr>
                <w:rFonts w:hint="eastAsia" w:ascii="宋体" w:hAnsi="宋体" w:cs="宋体"/>
                <w:szCs w:val="21"/>
                <w:highlight w:val="none"/>
              </w:rPr>
              <w:t>保险期限</w:t>
            </w:r>
          </w:p>
        </w:tc>
        <w:tc>
          <w:tcPr>
            <w:tcW w:w="3997" w:type="pct"/>
            <w:gridSpan w:val="3"/>
            <w:noWrap/>
            <w:vAlign w:val="center"/>
          </w:tcPr>
          <w:p>
            <w:pPr>
              <w:spacing w:line="360" w:lineRule="auto"/>
              <w:jc w:val="left"/>
              <w:rPr>
                <w:rFonts w:ascii="宋体" w:hAnsi="宋体" w:cs="宋体"/>
                <w:szCs w:val="21"/>
                <w:highlight w:val="none"/>
              </w:rPr>
            </w:pPr>
            <w:r>
              <w:rPr>
                <w:rFonts w:hint="eastAsia" w:ascii="宋体" w:hAnsi="宋体" w:cs="宋体"/>
                <w:szCs w:val="21"/>
                <w:highlight w:val="none"/>
              </w:rPr>
              <w:t>一年，起止时间以实际出单为准。</w:t>
            </w:r>
          </w:p>
        </w:tc>
      </w:tr>
    </w:tbl>
    <w:p>
      <w:pPr>
        <w:widowControl/>
        <w:spacing w:line="360" w:lineRule="auto"/>
        <w:jc w:val="left"/>
        <w:textAlignment w:val="center"/>
        <w:rPr>
          <w:rStyle w:val="59"/>
          <w:rFonts w:hint="default"/>
          <w:color w:val="auto"/>
          <w:highlight w:val="none"/>
        </w:rPr>
      </w:pPr>
      <w:r>
        <w:rPr>
          <w:rStyle w:val="59"/>
          <w:rFonts w:hint="default"/>
          <w:color w:val="auto"/>
          <w:highlight w:val="none"/>
        </w:rPr>
        <w:t>（2）文职人员：</w:t>
      </w:r>
    </w:p>
    <w:tbl>
      <w:tblPr>
        <w:tblStyle w:val="23"/>
        <w:tblW w:w="50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11"/>
        <w:gridCol w:w="1580"/>
        <w:gridCol w:w="1022"/>
        <w:gridCol w:w="4290"/>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1" w:hRule="atLeast"/>
        </w:trPr>
        <w:tc>
          <w:tcPr>
            <w:tcW w:w="178" w:type="pct"/>
            <w:shd w:val="clear" w:color="auto" w:fill="auto"/>
            <w:noWrap/>
            <w:vAlign w:val="center"/>
          </w:tcPr>
          <w:p>
            <w:pPr>
              <w:widowControl/>
              <w:spacing w:line="360" w:lineRule="auto"/>
              <w:jc w:val="center"/>
              <w:textAlignment w:val="center"/>
              <w:rPr>
                <w:rFonts w:ascii="宋体" w:hAnsi="宋体" w:cs="宋体"/>
                <w:b/>
                <w:bCs/>
                <w:color w:val="000000"/>
                <w:kern w:val="0"/>
                <w:szCs w:val="21"/>
                <w:highlight w:val="none"/>
              </w:rPr>
            </w:pPr>
            <w:r>
              <w:rPr>
                <w:rFonts w:hint="eastAsia" w:ascii="宋体" w:hAnsi="宋体" w:cs="宋体"/>
                <w:b/>
                <w:bCs/>
                <w:color w:val="000000"/>
                <w:kern w:val="0"/>
                <w:szCs w:val="21"/>
                <w:highlight w:val="none"/>
              </w:rPr>
              <w:t>序号</w:t>
            </w:r>
          </w:p>
        </w:tc>
        <w:tc>
          <w:tcPr>
            <w:tcW w:w="909" w:type="pct"/>
            <w:shd w:val="clear" w:color="auto" w:fill="auto"/>
            <w:noWrap/>
            <w:vAlign w:val="center"/>
          </w:tcPr>
          <w:p>
            <w:pPr>
              <w:widowControl/>
              <w:spacing w:line="360" w:lineRule="auto"/>
              <w:jc w:val="center"/>
              <w:textAlignment w:val="center"/>
              <w:rPr>
                <w:rFonts w:ascii="宋体" w:hAnsi="宋体" w:cs="宋体"/>
                <w:b/>
                <w:bCs/>
                <w:color w:val="000000"/>
                <w:szCs w:val="21"/>
                <w:highlight w:val="none"/>
              </w:rPr>
            </w:pPr>
            <w:r>
              <w:rPr>
                <w:rFonts w:hint="eastAsia" w:ascii="宋体" w:hAnsi="宋体" w:cs="宋体"/>
                <w:b/>
                <w:bCs/>
                <w:color w:val="000000"/>
                <w:kern w:val="0"/>
                <w:szCs w:val="21"/>
                <w:highlight w:val="none"/>
              </w:rPr>
              <w:t>险种</w:t>
            </w:r>
          </w:p>
        </w:tc>
        <w:tc>
          <w:tcPr>
            <w:tcW w:w="588" w:type="pct"/>
            <w:shd w:val="clear" w:color="auto" w:fill="auto"/>
            <w:noWrap/>
            <w:vAlign w:val="center"/>
          </w:tcPr>
          <w:p>
            <w:pPr>
              <w:widowControl/>
              <w:spacing w:line="360" w:lineRule="auto"/>
              <w:jc w:val="center"/>
              <w:textAlignment w:val="center"/>
              <w:rPr>
                <w:rFonts w:ascii="宋体" w:hAnsi="宋体" w:cs="宋体"/>
                <w:b/>
                <w:bCs/>
                <w:color w:val="000000"/>
                <w:szCs w:val="21"/>
                <w:highlight w:val="none"/>
              </w:rPr>
            </w:pPr>
            <w:r>
              <w:rPr>
                <w:rFonts w:hint="eastAsia" w:ascii="宋体" w:hAnsi="宋体" w:cs="宋体"/>
                <w:b/>
                <w:bCs/>
                <w:color w:val="000000"/>
                <w:kern w:val="0"/>
                <w:szCs w:val="21"/>
                <w:highlight w:val="none"/>
              </w:rPr>
              <w:t>保障项目</w:t>
            </w:r>
          </w:p>
        </w:tc>
        <w:tc>
          <w:tcPr>
            <w:tcW w:w="2468" w:type="pct"/>
            <w:shd w:val="clear" w:color="auto" w:fill="auto"/>
            <w:noWrap/>
            <w:vAlign w:val="center"/>
          </w:tcPr>
          <w:p>
            <w:pPr>
              <w:widowControl/>
              <w:spacing w:line="360" w:lineRule="auto"/>
              <w:jc w:val="center"/>
              <w:textAlignment w:val="center"/>
              <w:rPr>
                <w:rFonts w:ascii="宋体" w:hAnsi="宋体" w:cs="宋体"/>
                <w:b/>
                <w:bCs/>
                <w:color w:val="000000"/>
                <w:kern w:val="0"/>
                <w:szCs w:val="21"/>
                <w:highlight w:val="none"/>
              </w:rPr>
            </w:pPr>
            <w:r>
              <w:rPr>
                <w:rFonts w:hint="eastAsia" w:ascii="宋体" w:hAnsi="宋体" w:cs="宋体"/>
                <w:b/>
                <w:bCs/>
                <w:color w:val="000000"/>
                <w:kern w:val="0"/>
                <w:szCs w:val="21"/>
                <w:highlight w:val="none"/>
              </w:rPr>
              <w:t>保险责任简述</w:t>
            </w:r>
          </w:p>
        </w:tc>
        <w:tc>
          <w:tcPr>
            <w:tcW w:w="854" w:type="pct"/>
            <w:shd w:val="clear" w:color="auto" w:fill="auto"/>
            <w:noWrap/>
            <w:vAlign w:val="center"/>
          </w:tcPr>
          <w:p>
            <w:pPr>
              <w:widowControl/>
              <w:spacing w:line="360" w:lineRule="auto"/>
              <w:jc w:val="center"/>
              <w:textAlignment w:val="center"/>
              <w:rPr>
                <w:rFonts w:ascii="宋体" w:hAnsi="宋体" w:cs="宋体"/>
                <w:b/>
                <w:bCs/>
                <w:color w:val="000000"/>
                <w:kern w:val="0"/>
                <w:szCs w:val="21"/>
                <w:highlight w:val="none"/>
              </w:rPr>
            </w:pPr>
            <w:r>
              <w:rPr>
                <w:rFonts w:hint="eastAsia" w:ascii="宋体" w:hAnsi="宋体" w:cs="宋体"/>
                <w:b/>
                <w:bCs/>
                <w:color w:val="000000"/>
                <w:kern w:val="0"/>
                <w:szCs w:val="21"/>
                <w:highlight w:val="none"/>
              </w:rPr>
              <w:t>保障额度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2" w:hRule="atLeast"/>
        </w:trPr>
        <w:tc>
          <w:tcPr>
            <w:tcW w:w="178" w:type="pct"/>
            <w:shd w:val="clear" w:color="auto" w:fill="auto"/>
            <w:noWrap/>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1</w:t>
            </w:r>
          </w:p>
        </w:tc>
        <w:tc>
          <w:tcPr>
            <w:tcW w:w="909" w:type="pct"/>
            <w:shd w:val="clear" w:color="auto" w:fill="auto"/>
            <w:noWrap/>
            <w:vAlign w:val="center"/>
          </w:tcPr>
          <w:p>
            <w:pPr>
              <w:widowControl/>
              <w:spacing w:line="36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意外伤害保障</w:t>
            </w:r>
          </w:p>
        </w:tc>
        <w:tc>
          <w:tcPr>
            <w:tcW w:w="588" w:type="pct"/>
            <w:shd w:val="clear" w:color="auto" w:fill="auto"/>
            <w:noWrap/>
            <w:vAlign w:val="center"/>
          </w:tcPr>
          <w:p>
            <w:pPr>
              <w:widowControl/>
              <w:spacing w:line="36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意外身故/</w:t>
            </w:r>
            <w:r>
              <w:rPr>
                <w:rFonts w:hint="eastAsia" w:ascii="宋体" w:hAnsi="宋体" w:cs="宋体"/>
                <w:color w:val="000000"/>
                <w:kern w:val="0"/>
                <w:szCs w:val="21"/>
                <w:highlight w:val="none"/>
                <w:lang w:eastAsia="zh-CN"/>
              </w:rPr>
              <w:t>伤残</w:t>
            </w:r>
          </w:p>
        </w:tc>
        <w:tc>
          <w:tcPr>
            <w:tcW w:w="2468" w:type="pct"/>
            <w:shd w:val="clear" w:color="auto" w:fill="auto"/>
            <w:noWrap/>
            <w:vAlign w:val="center"/>
          </w:tcPr>
          <w:p>
            <w:pPr>
              <w:widowControl/>
              <w:spacing w:line="360" w:lineRule="auto"/>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rPr>
              <w:t>保险期间内，被保险人发生意外事故导致身故/伤残，保险人按保险合同约定给付保险金。</w:t>
            </w:r>
          </w:p>
        </w:tc>
        <w:tc>
          <w:tcPr>
            <w:tcW w:w="854" w:type="pct"/>
            <w:shd w:val="clear" w:color="auto" w:fill="auto"/>
            <w:noWrap/>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5万元/人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178" w:type="pct"/>
            <w:shd w:val="clear" w:color="auto" w:fill="auto"/>
            <w:noWrap/>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2</w:t>
            </w:r>
          </w:p>
        </w:tc>
        <w:tc>
          <w:tcPr>
            <w:tcW w:w="909" w:type="pct"/>
            <w:shd w:val="clear" w:color="auto" w:fill="auto"/>
            <w:noWrap/>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重疾</w:t>
            </w:r>
          </w:p>
          <w:p>
            <w:pPr>
              <w:widowControl/>
              <w:spacing w:line="36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保障</w:t>
            </w:r>
          </w:p>
        </w:tc>
        <w:tc>
          <w:tcPr>
            <w:tcW w:w="588" w:type="pct"/>
            <w:shd w:val="clear" w:color="auto" w:fill="auto"/>
            <w:noWrap/>
            <w:vAlign w:val="center"/>
          </w:tcPr>
          <w:p>
            <w:pPr>
              <w:widowControl/>
              <w:spacing w:line="36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重大疾病</w:t>
            </w:r>
          </w:p>
        </w:tc>
        <w:tc>
          <w:tcPr>
            <w:tcW w:w="2468" w:type="pct"/>
            <w:shd w:val="clear" w:color="auto" w:fill="auto"/>
            <w:noWrap/>
            <w:vAlign w:val="center"/>
          </w:tcPr>
          <w:p>
            <w:pPr>
              <w:widowControl/>
              <w:spacing w:line="360" w:lineRule="auto"/>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rPr>
              <w:t>保险期间内，被保险人在等待期（30天）后经保险人认可的医院专科医生确诊初次发生</w:t>
            </w:r>
            <w:r>
              <w:rPr>
                <w:rFonts w:hint="eastAsia" w:ascii="宋体" w:hAnsi="宋体" w:cs="宋体"/>
                <w:szCs w:val="21"/>
                <w:highlight w:val="none"/>
              </w:rPr>
              <w:t>保险合同列明的</w:t>
            </w:r>
            <w:r>
              <w:rPr>
                <w:rFonts w:hint="eastAsia" w:ascii="宋体" w:hAnsi="宋体" w:cs="宋体"/>
                <w:color w:val="000000"/>
                <w:kern w:val="0"/>
                <w:szCs w:val="21"/>
                <w:highlight w:val="none"/>
              </w:rPr>
              <w:t>的重大疾病，保险人按合同约定</w:t>
            </w:r>
            <w:r>
              <w:rPr>
                <w:rFonts w:hint="eastAsia" w:ascii="宋体" w:hAnsi="宋体" w:cs="宋体"/>
                <w:szCs w:val="21"/>
                <w:highlight w:val="none"/>
              </w:rPr>
              <w:t>保险金额</w:t>
            </w:r>
            <w:r>
              <w:rPr>
                <w:rFonts w:hint="eastAsia" w:ascii="宋体" w:hAnsi="宋体" w:cs="宋体"/>
                <w:color w:val="000000"/>
                <w:kern w:val="0"/>
                <w:szCs w:val="21"/>
                <w:highlight w:val="none"/>
              </w:rPr>
              <w:t>一次性给付重大疾病保险金。重大疾病：经医院确诊的重大疾病（包括恶性肿瘤、急性心肌梗塞、脑中风等至少33种重大疾病），33种重大疾病详见特别约定2。</w:t>
            </w:r>
          </w:p>
        </w:tc>
        <w:tc>
          <w:tcPr>
            <w:tcW w:w="854" w:type="pct"/>
            <w:shd w:val="clear" w:color="auto" w:fill="auto"/>
            <w:noWrap/>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4万元/人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52" w:hRule="atLeast"/>
        </w:trPr>
        <w:tc>
          <w:tcPr>
            <w:tcW w:w="178" w:type="pct"/>
            <w:vMerge w:val="restart"/>
            <w:shd w:val="clear" w:color="auto" w:fill="auto"/>
            <w:noWrap/>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3</w:t>
            </w:r>
          </w:p>
        </w:tc>
        <w:tc>
          <w:tcPr>
            <w:tcW w:w="909" w:type="pct"/>
            <w:vMerge w:val="restart"/>
            <w:shd w:val="clear" w:color="auto" w:fill="auto"/>
            <w:noWrap/>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健康</w:t>
            </w:r>
          </w:p>
          <w:p>
            <w:pPr>
              <w:widowControl/>
              <w:spacing w:line="36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保障</w:t>
            </w:r>
          </w:p>
        </w:tc>
        <w:tc>
          <w:tcPr>
            <w:tcW w:w="588" w:type="pct"/>
            <w:shd w:val="clear" w:color="auto" w:fill="auto"/>
            <w:noWrap/>
            <w:vAlign w:val="center"/>
          </w:tcPr>
          <w:p>
            <w:pPr>
              <w:widowControl/>
              <w:spacing w:line="360" w:lineRule="auto"/>
              <w:jc w:val="center"/>
              <w:textAlignment w:val="center"/>
              <w:rPr>
                <w:rFonts w:ascii="宋体" w:hAnsi="宋体" w:cs="宋体"/>
                <w:color w:val="000000"/>
                <w:szCs w:val="21"/>
                <w:highlight w:val="none"/>
              </w:rPr>
            </w:pPr>
            <w:r>
              <w:rPr>
                <w:rFonts w:hint="eastAsia" w:ascii="宋体" w:hAnsi="宋体" w:cs="宋体"/>
                <w:color w:val="000000"/>
                <w:szCs w:val="21"/>
                <w:highlight w:val="none"/>
              </w:rPr>
              <w:t>疾病身故</w:t>
            </w:r>
          </w:p>
        </w:tc>
        <w:tc>
          <w:tcPr>
            <w:tcW w:w="2468" w:type="pct"/>
            <w:shd w:val="clear" w:color="auto" w:fill="auto"/>
            <w:noWrap/>
            <w:vAlign w:val="center"/>
          </w:tcPr>
          <w:p>
            <w:pPr>
              <w:widowControl/>
              <w:spacing w:line="360" w:lineRule="auto"/>
              <w:jc w:val="left"/>
              <w:textAlignment w:val="center"/>
              <w:rPr>
                <w:rFonts w:ascii="宋体" w:hAnsi="宋体" w:cs="宋体"/>
                <w:szCs w:val="21"/>
                <w:highlight w:val="none"/>
              </w:rPr>
            </w:pPr>
            <w:r>
              <w:rPr>
                <w:rFonts w:hint="eastAsia" w:ascii="宋体" w:hAnsi="宋体" w:cs="宋体"/>
                <w:color w:val="000000"/>
                <w:kern w:val="0"/>
                <w:szCs w:val="21"/>
                <w:highlight w:val="none"/>
              </w:rPr>
              <w:t>保险期间内，被保险人在等待期（30天）后因罹患疾病而导致身故或猝死的，保险公司按约定保险金额给付疾病身故保险金。</w:t>
            </w:r>
          </w:p>
        </w:tc>
        <w:tc>
          <w:tcPr>
            <w:tcW w:w="854" w:type="pct"/>
            <w:shd w:val="clear" w:color="auto" w:fill="auto"/>
            <w:noWrap/>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2万元/人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09" w:hRule="atLeast"/>
        </w:trPr>
        <w:tc>
          <w:tcPr>
            <w:tcW w:w="178" w:type="pct"/>
            <w:vMerge w:val="continue"/>
            <w:shd w:val="clear" w:color="auto" w:fill="auto"/>
            <w:noWrap/>
            <w:vAlign w:val="center"/>
          </w:tcPr>
          <w:p>
            <w:pPr>
              <w:widowControl/>
              <w:spacing w:line="360" w:lineRule="auto"/>
              <w:jc w:val="center"/>
              <w:textAlignment w:val="center"/>
              <w:rPr>
                <w:rFonts w:ascii="宋体" w:hAnsi="宋体" w:cs="宋体"/>
                <w:color w:val="000000"/>
                <w:kern w:val="0"/>
                <w:szCs w:val="21"/>
                <w:highlight w:val="none"/>
              </w:rPr>
            </w:pPr>
          </w:p>
        </w:tc>
        <w:tc>
          <w:tcPr>
            <w:tcW w:w="909" w:type="pct"/>
            <w:vMerge w:val="continue"/>
            <w:shd w:val="clear" w:color="auto" w:fill="auto"/>
            <w:noWrap/>
            <w:vAlign w:val="center"/>
          </w:tcPr>
          <w:p>
            <w:pPr>
              <w:widowControl/>
              <w:spacing w:line="360" w:lineRule="auto"/>
              <w:jc w:val="center"/>
              <w:textAlignment w:val="center"/>
              <w:rPr>
                <w:rFonts w:ascii="宋体" w:hAnsi="宋体" w:cs="宋体"/>
                <w:color w:val="000000"/>
                <w:kern w:val="0"/>
                <w:szCs w:val="21"/>
                <w:highlight w:val="none"/>
              </w:rPr>
            </w:pPr>
          </w:p>
        </w:tc>
        <w:tc>
          <w:tcPr>
            <w:tcW w:w="588" w:type="pct"/>
            <w:shd w:val="clear" w:color="auto" w:fill="auto"/>
            <w:noWrap/>
            <w:vAlign w:val="center"/>
          </w:tcPr>
          <w:p>
            <w:pPr>
              <w:widowControl/>
              <w:spacing w:line="360" w:lineRule="auto"/>
              <w:jc w:val="center"/>
              <w:textAlignment w:val="center"/>
              <w:rPr>
                <w:rFonts w:ascii="宋体" w:hAnsi="宋体" w:cs="宋体"/>
                <w:color w:val="000000"/>
                <w:szCs w:val="21"/>
                <w:highlight w:val="none"/>
              </w:rPr>
            </w:pPr>
            <w:r>
              <w:rPr>
                <w:rFonts w:hint="eastAsia" w:ascii="宋体" w:hAnsi="宋体" w:cs="宋体"/>
                <w:szCs w:val="21"/>
                <w:highlight w:val="none"/>
              </w:rPr>
              <w:t>疾病住院补充医疗</w:t>
            </w:r>
          </w:p>
        </w:tc>
        <w:tc>
          <w:tcPr>
            <w:tcW w:w="2468" w:type="pct"/>
            <w:shd w:val="clear" w:color="auto" w:fill="auto"/>
            <w:noWrap/>
            <w:vAlign w:val="center"/>
          </w:tcPr>
          <w:p>
            <w:pPr>
              <w:widowControl/>
              <w:spacing w:line="360" w:lineRule="auto"/>
              <w:jc w:val="left"/>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保险期间内，被保险人在等待期（30天）后</w:t>
            </w:r>
            <w:r>
              <w:rPr>
                <w:rFonts w:hint="eastAsia" w:ascii="宋体" w:hAnsi="宋体" w:cs="宋体"/>
                <w:szCs w:val="21"/>
                <w:highlight w:val="none"/>
              </w:rPr>
              <w:t>因罹患疾病而住院治疗的，保险公司按被保险人住院期间实际发生的、符合社会保险行政部门规定的医保支付范围内个人负担的医疗费用，扣除0元免赔后按100%比例进行赔付。</w:t>
            </w:r>
          </w:p>
        </w:tc>
        <w:tc>
          <w:tcPr>
            <w:tcW w:w="854" w:type="pct"/>
            <w:shd w:val="clear" w:color="auto" w:fill="auto"/>
            <w:noWrap/>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5万元/人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52" w:hRule="atLeast"/>
        </w:trPr>
        <w:tc>
          <w:tcPr>
            <w:tcW w:w="178" w:type="pct"/>
            <w:vMerge w:val="continue"/>
            <w:shd w:val="clear" w:color="auto" w:fill="auto"/>
            <w:noWrap/>
            <w:vAlign w:val="center"/>
          </w:tcPr>
          <w:p>
            <w:pPr>
              <w:spacing w:line="360" w:lineRule="auto"/>
              <w:jc w:val="center"/>
              <w:rPr>
                <w:rFonts w:ascii="宋体" w:hAnsi="宋体" w:cs="宋体"/>
                <w:color w:val="000000"/>
                <w:szCs w:val="21"/>
                <w:highlight w:val="none"/>
              </w:rPr>
            </w:pPr>
          </w:p>
        </w:tc>
        <w:tc>
          <w:tcPr>
            <w:tcW w:w="909" w:type="pct"/>
            <w:vMerge w:val="continue"/>
            <w:shd w:val="clear" w:color="auto" w:fill="auto"/>
            <w:noWrap/>
            <w:vAlign w:val="center"/>
          </w:tcPr>
          <w:p>
            <w:pPr>
              <w:spacing w:line="360" w:lineRule="auto"/>
              <w:jc w:val="center"/>
              <w:rPr>
                <w:rFonts w:ascii="宋体" w:hAnsi="宋体" w:cs="宋体"/>
                <w:color w:val="000000"/>
                <w:szCs w:val="21"/>
                <w:highlight w:val="none"/>
              </w:rPr>
            </w:pPr>
          </w:p>
        </w:tc>
        <w:tc>
          <w:tcPr>
            <w:tcW w:w="588" w:type="pct"/>
            <w:shd w:val="clear" w:color="auto" w:fill="auto"/>
            <w:noWrap/>
            <w:vAlign w:val="center"/>
          </w:tcPr>
          <w:p>
            <w:pPr>
              <w:widowControl/>
              <w:spacing w:line="36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疾病住院津贴</w:t>
            </w:r>
          </w:p>
        </w:tc>
        <w:tc>
          <w:tcPr>
            <w:tcW w:w="2468" w:type="pct"/>
            <w:shd w:val="clear" w:color="auto" w:fill="auto"/>
            <w:noWrap/>
            <w:vAlign w:val="center"/>
          </w:tcPr>
          <w:p>
            <w:pPr>
              <w:widowControl/>
              <w:spacing w:line="360" w:lineRule="auto"/>
              <w:jc w:val="left"/>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保险期间内，被保险人在等待期（30天）后</w:t>
            </w:r>
            <w:r>
              <w:rPr>
                <w:rFonts w:hint="eastAsia" w:ascii="宋体" w:hAnsi="宋体" w:cs="宋体"/>
                <w:szCs w:val="21"/>
                <w:highlight w:val="none"/>
              </w:rPr>
              <w:t>因罹患疾病而住院治疗，保险公司按照保险合同约定的日给付额及实际住院天数给付疾病住院津贴。</w:t>
            </w:r>
          </w:p>
        </w:tc>
        <w:tc>
          <w:tcPr>
            <w:tcW w:w="854" w:type="pct"/>
            <w:shd w:val="clear" w:color="auto" w:fill="auto"/>
            <w:noWrap/>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50元/天/人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4" w:hRule="atLeast"/>
        </w:trPr>
        <w:tc>
          <w:tcPr>
            <w:tcW w:w="178" w:type="pct"/>
            <w:shd w:val="clear" w:color="auto" w:fill="auto"/>
            <w:noWrap/>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4</w:t>
            </w:r>
          </w:p>
        </w:tc>
        <w:tc>
          <w:tcPr>
            <w:tcW w:w="909" w:type="pct"/>
            <w:shd w:val="clear" w:color="auto" w:fill="auto"/>
            <w:noWrap/>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特别约定</w:t>
            </w:r>
          </w:p>
        </w:tc>
        <w:tc>
          <w:tcPr>
            <w:tcW w:w="3911" w:type="pct"/>
            <w:gridSpan w:val="3"/>
            <w:shd w:val="clear" w:color="auto" w:fill="auto"/>
            <w:noWrap/>
            <w:vAlign w:val="center"/>
          </w:tcPr>
          <w:p>
            <w:pPr>
              <w:widowControl/>
              <w:spacing w:line="360" w:lineRule="auto"/>
              <w:jc w:val="left"/>
              <w:textAlignment w:val="center"/>
              <w:rPr>
                <w:rFonts w:ascii="宋体" w:hAnsi="宋体" w:cs="宋体"/>
                <w:color w:val="000000"/>
                <w:kern w:val="0"/>
                <w:szCs w:val="21"/>
                <w:highlight w:val="none"/>
              </w:rPr>
            </w:pPr>
            <w:r>
              <w:rPr>
                <w:rFonts w:hint="eastAsia" w:ascii="宋体" w:hAnsi="宋体" w:cs="宋体"/>
                <w:b/>
                <w:bCs/>
                <w:color w:val="000000"/>
                <w:kern w:val="0"/>
                <w:szCs w:val="21"/>
                <w:highlight w:val="none"/>
              </w:rPr>
              <w:t>本保险合同效力优先顺序为：特别约定&gt;附加条款&gt;主险条款</w:t>
            </w:r>
            <w:r>
              <w:rPr>
                <w:rFonts w:hint="eastAsia" w:hAnsi="宋体" w:cs="宋体"/>
                <w:b/>
                <w:sz w:val="21"/>
                <w:szCs w:val="21"/>
                <w:highlight w:val="none"/>
                <w:lang w:eastAsia="zh-CN"/>
              </w:rPr>
              <w:t>（</w:t>
            </w:r>
            <w:r>
              <w:rPr>
                <w:rFonts w:hint="eastAsia" w:hAnsi="宋体" w:cs="宋体"/>
                <w:b/>
                <w:sz w:val="21"/>
                <w:szCs w:val="21"/>
                <w:highlight w:val="none"/>
              </w:rPr>
              <w:t>附加条款</w:t>
            </w:r>
            <w:r>
              <w:rPr>
                <w:rFonts w:hint="eastAsia" w:hAnsi="宋体" w:cs="宋体"/>
                <w:b/>
                <w:sz w:val="21"/>
                <w:szCs w:val="21"/>
                <w:highlight w:val="none"/>
                <w:lang w:eastAsia="zh-CN"/>
              </w:rPr>
              <w:t>、</w:t>
            </w:r>
            <w:r>
              <w:rPr>
                <w:rFonts w:hint="eastAsia" w:hAnsi="宋体" w:cs="宋体"/>
                <w:b/>
                <w:sz w:val="21"/>
                <w:szCs w:val="21"/>
                <w:highlight w:val="none"/>
              </w:rPr>
              <w:t>主险条款</w:t>
            </w:r>
            <w:r>
              <w:rPr>
                <w:rFonts w:hint="eastAsia" w:hAnsi="宋体" w:cs="宋体"/>
                <w:b/>
                <w:sz w:val="21"/>
                <w:szCs w:val="21"/>
                <w:highlight w:val="none"/>
                <w:lang w:val="en-US" w:eastAsia="zh-CN"/>
              </w:rPr>
              <w:t>详见招标文件附件2</w:t>
            </w:r>
            <w:r>
              <w:rPr>
                <w:rFonts w:hint="eastAsia" w:hAnsi="宋体" w:cs="宋体"/>
                <w:b/>
                <w:sz w:val="21"/>
                <w:szCs w:val="21"/>
                <w:highlight w:val="none"/>
                <w:lang w:eastAsia="zh-CN"/>
              </w:rPr>
              <w:t>）</w:t>
            </w:r>
            <w:r>
              <w:rPr>
                <w:rFonts w:hint="eastAsia" w:ascii="宋体" w:hAnsi="宋体" w:cs="宋体"/>
                <w:b/>
                <w:bCs/>
                <w:color w:val="000000"/>
                <w:kern w:val="0"/>
                <w:szCs w:val="21"/>
                <w:highlight w:val="none"/>
              </w:rPr>
              <w:t>，以下特别约定若与本保险单的其他规定相冲突，则特别约定为准。</w:t>
            </w:r>
          </w:p>
          <w:p>
            <w:pPr>
              <w:widowControl/>
              <w:spacing w:line="360" w:lineRule="auto"/>
              <w:jc w:val="left"/>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1、鉴于本项目为团体保险，保险人不得拒绝承保其中部分人员，且不得剔除某项责任差异化承保。</w:t>
            </w:r>
          </w:p>
          <w:p>
            <w:pPr>
              <w:widowControl/>
              <w:spacing w:line="360" w:lineRule="auto"/>
              <w:jc w:val="left"/>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2、本项目所承保的33种重大疾病：恶性肿瘤（重度）、较重急性心肌梗死、严重脑中风后遗症、重大器官移植术或造血干细胞移植术、冠状动脉搭桥术（或称冠状动脉旁路移植术）、严重慢性肾衰竭、多个肢体缺失、急性重症肝炎或亚急性重症肝炎、严重非恶性颅内肿瘤、严重慢性肝衰竭、严重脑炎后遗症或严重脑膜炎后遗症、深度昏迷、双耳失聪、双目失明、瘫痪、心脏瓣膜手术、严重阿尔茨海默病、严重脑损伤、严重原发性帕金森病、严重Ⅲ度烧伤、严重特发性肺动脉高压、严重运动神经元病、语言能力丧失、重型再生障碍性贫血、主动脉手术、严重慢性呼吸衰竭、严重克罗恩病、严重溃疡性结肠炎、严重原发性心肌病、严重多发性硬化症、严重脊髓灰质炎、严重类风湿性关节炎、严重系统性红斑狼疮性肾病。</w:t>
            </w:r>
          </w:p>
          <w:p>
            <w:pPr>
              <w:widowControl/>
              <w:spacing w:line="360" w:lineRule="auto"/>
              <w:jc w:val="left"/>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3、被保险人仅就保险人提出的询问范围履行如实告知义务，如保险公司放弃询问权利或保险人未进行询问的事项，保险事故发生后，保险人不得以被保险人未履行如实告知为由拒绝赔偿；如被保险人拒绝履行如实告知义务的，保险人有权不承担赔偿或者给付保险金的责任。</w:t>
            </w:r>
          </w:p>
          <w:p>
            <w:pPr>
              <w:widowControl/>
              <w:spacing w:line="360" w:lineRule="auto"/>
              <w:jc w:val="left"/>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4、本项首次投保等待期为30天，续保（含转保）、因意外伤害发生意外伤害保险或重大疾病的无等待期。意外伤害指遭受外来的、突发的、非本意的、非疾病的使身体受到伤害的客观事件</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且自本项目首次投保之日起，期内罹患的有关疾病或症状不应视为既往症，且不得以此为由拒保或拒赔。首次投保之日以投保人提供的相关保单为依据。</w:t>
            </w:r>
          </w:p>
          <w:p>
            <w:pPr>
              <w:widowControl/>
              <w:spacing w:line="360" w:lineRule="auto"/>
              <w:jc w:val="left"/>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5、若罹患多种重大疾病，保险公司针对其中一种重大疾病给付重大疾病保险金。</w:t>
            </w:r>
          </w:p>
          <w:p>
            <w:pPr>
              <w:widowControl/>
              <w:spacing w:line="360" w:lineRule="auto"/>
              <w:jc w:val="left"/>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6、</w:t>
            </w:r>
            <w:r>
              <w:rPr>
                <w:rFonts w:hint="eastAsia" w:ascii="宋体" w:hAnsi="宋体" w:cs="宋体"/>
                <w:szCs w:val="21"/>
                <w:highlight w:val="none"/>
              </w:rPr>
              <w:t>本项目保单保期内的增减及更换人员根据以下约定按月申请批改，并在保单保期内承担保险责任。投保单位可以于每月10日前提交上月该单位变动人员批改申请：对于上月新入职且次月及时申请批改成功的被保险人，保险人自被保险人入职日起承担其保险责任（在入职日与批改申请日之间出险的案件，理赔时须提供被保险人出险当月工资单及雇佣劳动合同）；对于非上月新入职人员，保险人自实际申请批改次日起承担保险责任。劳动者的入职时间以在投保人处实际用工（含试用期）的第一天为准。对于离职的人员，保险人自其离职之日起不承担其保险责任。兹经双方协商并约定，已发生保险事故并已进行报案索赔的被保险人不再更换和退保，其他未发生保险事故的被保险人保险人须正常的更换和退保。</w:t>
            </w:r>
          </w:p>
          <w:p>
            <w:pPr>
              <w:widowControl/>
              <w:spacing w:line="360" w:lineRule="auto"/>
              <w:jc w:val="left"/>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7、医疗费用：指被保险人治疗期间发生的符合当地政府社会医疗保险主管部门规定的基本医疗保险支付范围内的合理且必要的医疗费用及个人自付（负）费用。</w:t>
            </w:r>
          </w:p>
          <w:p>
            <w:pPr>
              <w:widowControl/>
              <w:spacing w:line="360" w:lineRule="auto"/>
              <w:jc w:val="left"/>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8、就诊医疗机构：二级及二级以上公立社保定点医院为指定医院，急诊不受此限制，但病情稳定后需转入指定医院。</w:t>
            </w:r>
          </w:p>
          <w:p>
            <w:pPr>
              <w:widowControl/>
              <w:spacing w:line="360" w:lineRule="auto"/>
              <w:jc w:val="left"/>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9、被保险人因遭受意外伤害导致残疾，按保险金额及该项伤残条目在 (保监发[2014]6 号)的《人身保险伤残评定标准及代码》（JR/T0083-2013）中对应的给付比例给付残疾保险金。伤残给付比例如下：伤残程度第一级对应的保险金给付比例为100%，伤残程度第十级对应的保险金给付比例为10%，每级相差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4" w:hRule="atLeast"/>
        </w:trPr>
        <w:tc>
          <w:tcPr>
            <w:tcW w:w="178" w:type="pct"/>
            <w:shd w:val="clear" w:color="auto" w:fill="auto"/>
            <w:noWrap/>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5</w:t>
            </w:r>
          </w:p>
        </w:tc>
        <w:tc>
          <w:tcPr>
            <w:tcW w:w="909" w:type="pct"/>
            <w:shd w:val="clear" w:color="auto" w:fill="auto"/>
            <w:noWrap/>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免赔额/免赔率</w:t>
            </w:r>
          </w:p>
        </w:tc>
        <w:tc>
          <w:tcPr>
            <w:tcW w:w="3911" w:type="pct"/>
            <w:gridSpan w:val="3"/>
            <w:shd w:val="clear" w:color="auto" w:fill="auto"/>
            <w:noWrap/>
            <w:vAlign w:val="center"/>
          </w:tcPr>
          <w:p>
            <w:pPr>
              <w:widowControl/>
              <w:spacing w:line="360" w:lineRule="auto"/>
              <w:textAlignment w:val="center"/>
              <w:rPr>
                <w:rFonts w:ascii="宋体" w:hAnsi="宋体" w:cs="宋体"/>
                <w:color w:val="000000"/>
                <w:kern w:val="0"/>
                <w:szCs w:val="21"/>
                <w:highlight w:val="none"/>
              </w:rPr>
            </w:pPr>
            <w:r>
              <w:rPr>
                <w:rFonts w:hint="eastAsia" w:ascii="宋体" w:hAnsi="宋体" w:cs="宋体"/>
                <w:szCs w:val="21"/>
                <w:highlight w:val="none"/>
              </w:rPr>
              <w:t>0免赔，按100%比例赔付。免赔天数0天。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4" w:hRule="atLeast"/>
        </w:trPr>
        <w:tc>
          <w:tcPr>
            <w:tcW w:w="178" w:type="pct"/>
            <w:shd w:val="clear" w:color="auto" w:fill="auto"/>
            <w:noWrap/>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6</w:t>
            </w:r>
          </w:p>
        </w:tc>
        <w:tc>
          <w:tcPr>
            <w:tcW w:w="909" w:type="pct"/>
            <w:shd w:val="clear" w:color="auto" w:fill="auto"/>
            <w:noWrap/>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保险期限</w:t>
            </w:r>
          </w:p>
        </w:tc>
        <w:tc>
          <w:tcPr>
            <w:tcW w:w="3911" w:type="pct"/>
            <w:gridSpan w:val="3"/>
            <w:shd w:val="clear" w:color="auto" w:fill="auto"/>
            <w:noWrap/>
            <w:vAlign w:val="center"/>
          </w:tcPr>
          <w:p>
            <w:pPr>
              <w:widowControl/>
              <w:spacing w:line="360" w:lineRule="auto"/>
              <w:textAlignment w:val="center"/>
              <w:rPr>
                <w:rFonts w:ascii="宋体" w:hAnsi="宋体" w:cs="宋体"/>
                <w:szCs w:val="21"/>
                <w:highlight w:val="none"/>
              </w:rPr>
            </w:pPr>
            <w:r>
              <w:rPr>
                <w:rFonts w:hint="eastAsia" w:ascii="宋体" w:hAnsi="宋体" w:cs="宋体"/>
                <w:szCs w:val="21"/>
                <w:highlight w:val="none"/>
              </w:rPr>
              <w:t>一年，起止时间以实际出单为准。</w:t>
            </w:r>
          </w:p>
        </w:tc>
      </w:tr>
    </w:tbl>
    <w:p>
      <w:pPr>
        <w:widowControl/>
        <w:spacing w:line="360" w:lineRule="auto"/>
        <w:rPr>
          <w:rFonts w:ascii="宋体" w:hAnsi="宋体" w:cs="宋体"/>
          <w:szCs w:val="21"/>
          <w:highlight w:val="none"/>
        </w:rPr>
      </w:pPr>
      <w:r>
        <w:rPr>
          <w:rFonts w:hint="eastAsia" w:ascii="宋体" w:hAnsi="宋体" w:cs="宋体"/>
          <w:szCs w:val="21"/>
          <w:highlight w:val="none"/>
        </w:rPr>
        <w:t>（3）后勤保障人员：</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08"/>
        <w:gridCol w:w="700"/>
        <w:gridCol w:w="1077"/>
        <w:gridCol w:w="5703"/>
        <w:gridCol w:w="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1" w:hRule="atLeast"/>
        </w:trPr>
        <w:tc>
          <w:tcPr>
            <w:tcW w:w="180" w:type="pct"/>
            <w:shd w:val="clear" w:color="auto" w:fill="auto"/>
            <w:noWrap/>
            <w:vAlign w:val="center"/>
          </w:tcPr>
          <w:p>
            <w:pPr>
              <w:widowControl/>
              <w:spacing w:line="360" w:lineRule="auto"/>
              <w:jc w:val="center"/>
              <w:textAlignment w:val="center"/>
              <w:rPr>
                <w:rFonts w:ascii="宋体" w:hAnsi="宋体" w:cs="宋体"/>
                <w:b/>
                <w:bCs/>
                <w:color w:val="000000"/>
                <w:kern w:val="0"/>
                <w:szCs w:val="21"/>
                <w:highlight w:val="none"/>
              </w:rPr>
            </w:pPr>
            <w:r>
              <w:rPr>
                <w:rFonts w:hint="eastAsia" w:ascii="宋体" w:hAnsi="宋体" w:cs="宋体"/>
                <w:b/>
                <w:bCs/>
                <w:color w:val="000000"/>
                <w:kern w:val="0"/>
                <w:szCs w:val="21"/>
                <w:highlight w:val="none"/>
              </w:rPr>
              <w:t>序号</w:t>
            </w:r>
          </w:p>
        </w:tc>
        <w:tc>
          <w:tcPr>
            <w:tcW w:w="410" w:type="pct"/>
            <w:shd w:val="clear" w:color="auto" w:fill="auto"/>
            <w:noWrap/>
            <w:vAlign w:val="center"/>
          </w:tcPr>
          <w:p>
            <w:pPr>
              <w:widowControl/>
              <w:spacing w:line="360" w:lineRule="auto"/>
              <w:jc w:val="center"/>
              <w:textAlignment w:val="center"/>
              <w:rPr>
                <w:rFonts w:ascii="宋体" w:hAnsi="宋体" w:cs="宋体"/>
                <w:color w:val="000000"/>
                <w:szCs w:val="21"/>
                <w:highlight w:val="none"/>
              </w:rPr>
            </w:pPr>
            <w:r>
              <w:rPr>
                <w:rFonts w:hint="eastAsia" w:ascii="宋体" w:hAnsi="宋体" w:cs="宋体"/>
                <w:b/>
                <w:bCs/>
                <w:color w:val="000000"/>
                <w:kern w:val="0"/>
                <w:szCs w:val="21"/>
                <w:highlight w:val="none"/>
              </w:rPr>
              <w:t>险种</w:t>
            </w:r>
          </w:p>
        </w:tc>
        <w:tc>
          <w:tcPr>
            <w:tcW w:w="631" w:type="pct"/>
            <w:shd w:val="clear" w:color="auto" w:fill="auto"/>
            <w:noWrap/>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b/>
                <w:bCs/>
                <w:color w:val="000000"/>
                <w:kern w:val="0"/>
                <w:szCs w:val="21"/>
                <w:highlight w:val="none"/>
              </w:rPr>
              <w:t>保障项目</w:t>
            </w:r>
          </w:p>
        </w:tc>
        <w:tc>
          <w:tcPr>
            <w:tcW w:w="3346" w:type="pct"/>
            <w:shd w:val="clear" w:color="auto" w:fill="auto"/>
            <w:noWrap/>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b/>
                <w:bCs/>
                <w:color w:val="000000"/>
                <w:kern w:val="0"/>
                <w:szCs w:val="21"/>
                <w:highlight w:val="none"/>
              </w:rPr>
              <w:t>保险责任简述</w:t>
            </w:r>
          </w:p>
        </w:tc>
        <w:tc>
          <w:tcPr>
            <w:tcW w:w="430" w:type="pct"/>
            <w:shd w:val="clear" w:color="auto" w:fill="auto"/>
            <w:noWrap/>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b/>
                <w:bCs/>
                <w:color w:val="000000"/>
                <w:kern w:val="0"/>
                <w:szCs w:val="21"/>
                <w:highlight w:val="none"/>
              </w:rPr>
              <w:t>保障额度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180" w:type="pct"/>
            <w:vMerge w:val="restart"/>
            <w:shd w:val="clear" w:color="auto" w:fill="auto"/>
            <w:noWrap/>
            <w:vAlign w:val="center"/>
          </w:tcPr>
          <w:p>
            <w:pPr>
              <w:widowControl/>
              <w:spacing w:line="360" w:lineRule="auto"/>
              <w:jc w:val="center"/>
              <w:textAlignment w:val="center"/>
              <w:rPr>
                <w:rFonts w:ascii="宋体" w:hAnsi="宋体" w:cs="宋体"/>
                <w:b/>
                <w:bCs/>
                <w:color w:val="000000"/>
                <w:kern w:val="0"/>
                <w:szCs w:val="21"/>
                <w:highlight w:val="none"/>
              </w:rPr>
            </w:pPr>
            <w:r>
              <w:rPr>
                <w:rFonts w:hint="eastAsia" w:ascii="宋体" w:hAnsi="宋体" w:cs="宋体"/>
                <w:color w:val="000000"/>
                <w:kern w:val="0"/>
                <w:szCs w:val="21"/>
                <w:highlight w:val="none"/>
              </w:rPr>
              <w:t>1</w:t>
            </w:r>
          </w:p>
        </w:tc>
        <w:tc>
          <w:tcPr>
            <w:tcW w:w="410" w:type="pct"/>
            <w:vMerge w:val="restart"/>
            <w:shd w:val="clear" w:color="auto" w:fill="auto"/>
            <w:noWrap/>
            <w:vAlign w:val="center"/>
          </w:tcPr>
          <w:p>
            <w:pPr>
              <w:widowControl/>
              <w:spacing w:line="360" w:lineRule="auto"/>
              <w:jc w:val="center"/>
              <w:textAlignment w:val="center"/>
              <w:rPr>
                <w:rFonts w:ascii="宋体" w:hAnsi="宋体" w:cs="宋体"/>
                <w:b/>
                <w:bCs/>
                <w:color w:val="000000"/>
                <w:kern w:val="0"/>
                <w:szCs w:val="21"/>
                <w:highlight w:val="none"/>
              </w:rPr>
            </w:pPr>
            <w:r>
              <w:rPr>
                <w:rFonts w:hint="eastAsia" w:ascii="宋体" w:hAnsi="宋体" w:cs="宋体"/>
                <w:color w:val="000000"/>
                <w:kern w:val="0"/>
                <w:szCs w:val="21"/>
                <w:highlight w:val="none"/>
              </w:rPr>
              <w:t>意外伤害保障</w:t>
            </w:r>
          </w:p>
        </w:tc>
        <w:tc>
          <w:tcPr>
            <w:tcW w:w="631" w:type="pct"/>
            <w:shd w:val="clear" w:color="auto" w:fill="auto"/>
            <w:noWrap/>
            <w:vAlign w:val="center"/>
          </w:tcPr>
          <w:p>
            <w:pPr>
              <w:widowControl/>
              <w:spacing w:line="360" w:lineRule="auto"/>
              <w:jc w:val="center"/>
              <w:textAlignment w:val="center"/>
              <w:rPr>
                <w:rFonts w:ascii="宋体" w:hAnsi="宋体" w:cs="宋体"/>
                <w:b/>
                <w:bCs/>
                <w:color w:val="000000"/>
                <w:kern w:val="0"/>
                <w:szCs w:val="21"/>
                <w:highlight w:val="none"/>
              </w:rPr>
            </w:pPr>
            <w:r>
              <w:rPr>
                <w:rFonts w:hint="eastAsia" w:ascii="宋体" w:hAnsi="宋体" w:cs="宋体"/>
                <w:color w:val="000000"/>
                <w:kern w:val="0"/>
                <w:szCs w:val="21"/>
                <w:highlight w:val="none"/>
              </w:rPr>
              <w:t>意外身故/</w:t>
            </w:r>
            <w:r>
              <w:rPr>
                <w:rFonts w:hint="eastAsia" w:ascii="宋体" w:hAnsi="宋体" w:cs="宋体"/>
                <w:color w:val="000000"/>
                <w:kern w:val="0"/>
                <w:szCs w:val="21"/>
                <w:highlight w:val="none"/>
                <w:lang w:eastAsia="zh-CN"/>
              </w:rPr>
              <w:t>伤残</w:t>
            </w:r>
          </w:p>
        </w:tc>
        <w:tc>
          <w:tcPr>
            <w:tcW w:w="3346" w:type="pct"/>
            <w:shd w:val="clear" w:color="auto" w:fill="auto"/>
            <w:noWrap/>
            <w:vAlign w:val="center"/>
          </w:tcPr>
          <w:p>
            <w:pPr>
              <w:widowControl/>
              <w:spacing w:line="360" w:lineRule="auto"/>
              <w:jc w:val="left"/>
              <w:textAlignment w:val="center"/>
              <w:rPr>
                <w:rFonts w:ascii="宋体" w:hAnsi="宋体" w:cs="宋体"/>
                <w:b/>
                <w:bCs/>
                <w:color w:val="000000"/>
                <w:kern w:val="0"/>
                <w:szCs w:val="21"/>
                <w:highlight w:val="none"/>
              </w:rPr>
            </w:pPr>
            <w:r>
              <w:rPr>
                <w:rFonts w:hint="eastAsia" w:ascii="宋体" w:hAnsi="宋体" w:cs="宋体"/>
                <w:color w:val="000000"/>
                <w:kern w:val="0"/>
                <w:szCs w:val="21"/>
                <w:highlight w:val="none"/>
              </w:rPr>
              <w:t>保险期间内，被保险人发生意外事故导致身故/伤残，保险人按保险合同约定给付保险金。</w:t>
            </w:r>
          </w:p>
        </w:tc>
        <w:tc>
          <w:tcPr>
            <w:tcW w:w="430" w:type="pct"/>
            <w:shd w:val="clear" w:color="auto" w:fill="auto"/>
            <w:noWrap/>
            <w:vAlign w:val="center"/>
          </w:tcPr>
          <w:p>
            <w:pPr>
              <w:widowControl/>
              <w:spacing w:line="360" w:lineRule="auto"/>
              <w:jc w:val="center"/>
              <w:textAlignment w:val="center"/>
              <w:rPr>
                <w:rFonts w:ascii="宋体" w:hAnsi="宋体" w:cs="宋体"/>
                <w:b/>
                <w:bCs/>
                <w:color w:val="000000"/>
                <w:kern w:val="0"/>
                <w:szCs w:val="21"/>
                <w:highlight w:val="none"/>
              </w:rPr>
            </w:pPr>
            <w:r>
              <w:rPr>
                <w:rFonts w:hint="eastAsia" w:ascii="宋体" w:hAnsi="宋体" w:cs="宋体"/>
                <w:color w:val="000000"/>
                <w:kern w:val="0"/>
                <w:szCs w:val="21"/>
                <w:highlight w:val="none"/>
              </w:rPr>
              <w:t>10万元/人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180" w:type="pct"/>
            <w:vMerge w:val="continue"/>
            <w:shd w:val="clear" w:color="auto" w:fill="auto"/>
            <w:noWrap/>
            <w:vAlign w:val="center"/>
          </w:tcPr>
          <w:p>
            <w:pPr>
              <w:widowControl/>
              <w:spacing w:line="360" w:lineRule="auto"/>
              <w:jc w:val="center"/>
              <w:textAlignment w:val="center"/>
              <w:rPr>
                <w:rFonts w:ascii="宋体" w:hAnsi="宋体" w:cs="宋体"/>
                <w:b/>
                <w:bCs/>
                <w:color w:val="000000"/>
                <w:kern w:val="0"/>
                <w:szCs w:val="21"/>
                <w:highlight w:val="none"/>
              </w:rPr>
            </w:pPr>
          </w:p>
        </w:tc>
        <w:tc>
          <w:tcPr>
            <w:tcW w:w="410" w:type="pct"/>
            <w:vMerge w:val="continue"/>
            <w:shd w:val="clear" w:color="auto" w:fill="auto"/>
            <w:noWrap/>
            <w:vAlign w:val="center"/>
          </w:tcPr>
          <w:p>
            <w:pPr>
              <w:widowControl/>
              <w:spacing w:line="360" w:lineRule="auto"/>
              <w:jc w:val="center"/>
              <w:textAlignment w:val="center"/>
              <w:rPr>
                <w:rFonts w:ascii="宋体" w:hAnsi="宋体" w:cs="宋体"/>
                <w:b/>
                <w:bCs/>
                <w:color w:val="000000"/>
                <w:kern w:val="0"/>
                <w:szCs w:val="21"/>
                <w:highlight w:val="none"/>
              </w:rPr>
            </w:pPr>
          </w:p>
        </w:tc>
        <w:tc>
          <w:tcPr>
            <w:tcW w:w="631" w:type="pct"/>
            <w:shd w:val="clear" w:color="auto" w:fill="auto"/>
            <w:noWrap/>
            <w:vAlign w:val="center"/>
          </w:tcPr>
          <w:p>
            <w:pPr>
              <w:widowControl/>
              <w:spacing w:line="360" w:lineRule="auto"/>
              <w:jc w:val="center"/>
              <w:textAlignment w:val="center"/>
              <w:rPr>
                <w:rFonts w:ascii="宋体" w:hAnsi="宋体" w:cs="宋体"/>
                <w:b/>
                <w:bCs/>
                <w:color w:val="000000"/>
                <w:kern w:val="0"/>
                <w:szCs w:val="21"/>
                <w:highlight w:val="none"/>
              </w:rPr>
            </w:pPr>
            <w:r>
              <w:rPr>
                <w:rFonts w:hint="eastAsia" w:ascii="宋体" w:hAnsi="宋体" w:cs="宋体"/>
                <w:color w:val="000000"/>
                <w:kern w:val="0"/>
                <w:szCs w:val="21"/>
                <w:highlight w:val="none"/>
              </w:rPr>
              <w:t>意外医疗（门诊+住院）</w:t>
            </w:r>
          </w:p>
        </w:tc>
        <w:tc>
          <w:tcPr>
            <w:tcW w:w="3346" w:type="pct"/>
            <w:shd w:val="clear" w:color="auto" w:fill="auto"/>
            <w:noWrap/>
            <w:vAlign w:val="center"/>
          </w:tcPr>
          <w:p>
            <w:pPr>
              <w:widowControl/>
              <w:spacing w:line="360" w:lineRule="auto"/>
              <w:jc w:val="left"/>
              <w:textAlignment w:val="center"/>
              <w:rPr>
                <w:rFonts w:ascii="宋体" w:hAnsi="宋体" w:cs="宋体"/>
                <w:b/>
                <w:bCs/>
                <w:color w:val="000000"/>
                <w:kern w:val="0"/>
                <w:szCs w:val="21"/>
                <w:highlight w:val="none"/>
              </w:rPr>
            </w:pPr>
            <w:r>
              <w:rPr>
                <w:rFonts w:hint="eastAsia" w:ascii="宋体" w:hAnsi="宋体" w:cs="宋体"/>
                <w:color w:val="000000"/>
                <w:kern w:val="0"/>
                <w:szCs w:val="21"/>
                <w:highlight w:val="none"/>
              </w:rPr>
              <w:t>保险期间内，被保险人因遭受意外伤害在指定医院治疗所支出的及符合当地社会基本医疗保险支付范围内的合理且必须的医疗费用，按0元免赔、100%比例赔付。</w:t>
            </w:r>
          </w:p>
        </w:tc>
        <w:tc>
          <w:tcPr>
            <w:tcW w:w="430" w:type="pct"/>
            <w:shd w:val="clear" w:color="auto" w:fill="auto"/>
            <w:noWrap/>
            <w:vAlign w:val="center"/>
          </w:tcPr>
          <w:p>
            <w:pPr>
              <w:widowControl/>
              <w:spacing w:line="360" w:lineRule="auto"/>
              <w:jc w:val="center"/>
              <w:textAlignment w:val="center"/>
              <w:rPr>
                <w:rFonts w:ascii="宋体" w:hAnsi="宋体" w:cs="宋体"/>
                <w:b/>
                <w:bCs/>
                <w:color w:val="000000"/>
                <w:kern w:val="0"/>
                <w:szCs w:val="21"/>
                <w:highlight w:val="none"/>
              </w:rPr>
            </w:pPr>
            <w:r>
              <w:rPr>
                <w:rFonts w:hint="eastAsia" w:ascii="宋体" w:hAnsi="宋体" w:cs="宋体"/>
                <w:color w:val="000000"/>
                <w:kern w:val="0"/>
                <w:szCs w:val="21"/>
                <w:highlight w:val="none"/>
              </w:rPr>
              <w:t>5万元/人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52" w:hRule="atLeast"/>
        </w:trPr>
        <w:tc>
          <w:tcPr>
            <w:tcW w:w="180" w:type="pct"/>
            <w:vMerge w:val="continue"/>
            <w:shd w:val="clear" w:color="auto" w:fill="auto"/>
            <w:noWrap/>
            <w:vAlign w:val="center"/>
          </w:tcPr>
          <w:p>
            <w:pPr>
              <w:widowControl/>
              <w:spacing w:line="360" w:lineRule="auto"/>
              <w:jc w:val="center"/>
              <w:textAlignment w:val="center"/>
              <w:rPr>
                <w:rFonts w:ascii="宋体" w:hAnsi="宋体" w:cs="宋体"/>
                <w:b/>
                <w:bCs/>
                <w:color w:val="000000"/>
                <w:kern w:val="0"/>
                <w:szCs w:val="21"/>
                <w:highlight w:val="none"/>
              </w:rPr>
            </w:pPr>
          </w:p>
        </w:tc>
        <w:tc>
          <w:tcPr>
            <w:tcW w:w="410" w:type="pct"/>
            <w:vMerge w:val="continue"/>
            <w:shd w:val="clear" w:color="auto" w:fill="auto"/>
            <w:noWrap/>
            <w:vAlign w:val="center"/>
          </w:tcPr>
          <w:p>
            <w:pPr>
              <w:widowControl/>
              <w:spacing w:line="360" w:lineRule="auto"/>
              <w:jc w:val="center"/>
              <w:textAlignment w:val="center"/>
              <w:rPr>
                <w:rFonts w:ascii="宋体" w:hAnsi="宋体" w:cs="宋体"/>
                <w:b/>
                <w:bCs/>
                <w:color w:val="000000"/>
                <w:kern w:val="0"/>
                <w:szCs w:val="21"/>
                <w:highlight w:val="none"/>
              </w:rPr>
            </w:pPr>
          </w:p>
        </w:tc>
        <w:tc>
          <w:tcPr>
            <w:tcW w:w="631" w:type="pct"/>
            <w:shd w:val="clear" w:color="auto" w:fill="auto"/>
            <w:noWrap/>
            <w:vAlign w:val="center"/>
          </w:tcPr>
          <w:p>
            <w:pPr>
              <w:widowControl/>
              <w:spacing w:line="360" w:lineRule="auto"/>
              <w:jc w:val="center"/>
              <w:textAlignment w:val="center"/>
              <w:rPr>
                <w:rFonts w:ascii="宋体" w:hAnsi="宋体" w:cs="宋体"/>
                <w:b/>
                <w:bCs/>
                <w:color w:val="000000"/>
                <w:kern w:val="0"/>
                <w:szCs w:val="21"/>
                <w:highlight w:val="none"/>
              </w:rPr>
            </w:pPr>
            <w:r>
              <w:rPr>
                <w:rFonts w:hint="eastAsia" w:ascii="宋体" w:hAnsi="宋体" w:cs="宋体"/>
                <w:color w:val="000000"/>
                <w:kern w:val="0"/>
                <w:szCs w:val="21"/>
                <w:highlight w:val="none"/>
              </w:rPr>
              <w:t>意外住院津贴</w:t>
            </w:r>
          </w:p>
        </w:tc>
        <w:tc>
          <w:tcPr>
            <w:tcW w:w="3346" w:type="pct"/>
            <w:shd w:val="clear" w:color="auto" w:fill="auto"/>
            <w:noWrap/>
            <w:vAlign w:val="center"/>
          </w:tcPr>
          <w:p>
            <w:pPr>
              <w:widowControl/>
              <w:spacing w:line="360" w:lineRule="auto"/>
              <w:jc w:val="left"/>
              <w:textAlignment w:val="center"/>
              <w:rPr>
                <w:rFonts w:ascii="宋体" w:hAnsi="宋体" w:cs="宋体"/>
                <w:b/>
                <w:bCs/>
                <w:color w:val="000000"/>
                <w:kern w:val="0"/>
                <w:szCs w:val="21"/>
                <w:highlight w:val="none"/>
              </w:rPr>
            </w:pPr>
            <w:r>
              <w:rPr>
                <w:rFonts w:hint="eastAsia" w:ascii="宋体" w:hAnsi="宋体" w:cs="宋体"/>
                <w:color w:val="000000"/>
                <w:kern w:val="0"/>
                <w:szCs w:val="21"/>
                <w:highlight w:val="none"/>
              </w:rPr>
              <w:t>保险期间内，被保险人因意外伤害而住院治疗，按照保险合同约定的日给付额及实际住院天数赔付意外住院津贴，累计不超过180天。</w:t>
            </w:r>
          </w:p>
        </w:tc>
        <w:tc>
          <w:tcPr>
            <w:tcW w:w="430" w:type="pct"/>
            <w:shd w:val="clear" w:color="auto" w:fill="auto"/>
            <w:noWrap/>
            <w:vAlign w:val="center"/>
          </w:tcPr>
          <w:p>
            <w:pPr>
              <w:widowControl/>
              <w:spacing w:line="360" w:lineRule="auto"/>
              <w:jc w:val="center"/>
              <w:textAlignment w:val="center"/>
              <w:rPr>
                <w:rFonts w:ascii="宋体" w:hAnsi="宋体" w:cs="宋体"/>
                <w:b/>
                <w:bCs/>
                <w:color w:val="000000"/>
                <w:kern w:val="0"/>
                <w:szCs w:val="21"/>
                <w:highlight w:val="none"/>
              </w:rPr>
            </w:pPr>
            <w:r>
              <w:rPr>
                <w:rFonts w:hint="eastAsia" w:ascii="宋体" w:hAnsi="宋体" w:cs="宋体"/>
                <w:color w:val="000000"/>
                <w:kern w:val="0"/>
                <w:szCs w:val="21"/>
                <w:highlight w:val="none"/>
              </w:rPr>
              <w:t>100元/天</w:t>
            </w:r>
            <w:r>
              <w:rPr>
                <w:rFonts w:hint="eastAsia" w:ascii="宋体" w:hAnsi="宋体" w:cs="宋体"/>
                <w:szCs w:val="21"/>
                <w:highlight w:val="none"/>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5" w:hRule="atLeast"/>
        </w:trPr>
        <w:tc>
          <w:tcPr>
            <w:tcW w:w="180" w:type="pct"/>
            <w:vMerge w:val="restart"/>
            <w:shd w:val="clear" w:color="auto" w:fill="auto"/>
            <w:noWrap/>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2</w:t>
            </w:r>
          </w:p>
        </w:tc>
        <w:tc>
          <w:tcPr>
            <w:tcW w:w="410" w:type="pct"/>
            <w:vMerge w:val="restart"/>
            <w:shd w:val="clear" w:color="auto" w:fill="auto"/>
            <w:noWrap/>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重疾</w:t>
            </w:r>
          </w:p>
          <w:p>
            <w:pPr>
              <w:widowControl/>
              <w:spacing w:line="360" w:lineRule="auto"/>
              <w:jc w:val="center"/>
              <w:textAlignment w:val="center"/>
              <w:rPr>
                <w:rFonts w:ascii="宋体" w:hAnsi="宋体" w:cs="宋体"/>
                <w:b/>
                <w:bCs/>
                <w:color w:val="000000"/>
                <w:kern w:val="0"/>
                <w:szCs w:val="21"/>
                <w:highlight w:val="none"/>
              </w:rPr>
            </w:pPr>
            <w:r>
              <w:rPr>
                <w:rFonts w:hint="eastAsia" w:ascii="宋体" w:hAnsi="宋体" w:cs="宋体"/>
                <w:color w:val="000000"/>
                <w:kern w:val="0"/>
                <w:szCs w:val="21"/>
                <w:highlight w:val="none"/>
              </w:rPr>
              <w:t>保障</w:t>
            </w:r>
          </w:p>
        </w:tc>
        <w:tc>
          <w:tcPr>
            <w:tcW w:w="631" w:type="pct"/>
            <w:shd w:val="clear" w:color="auto" w:fill="auto"/>
            <w:noWrap/>
            <w:vAlign w:val="center"/>
          </w:tcPr>
          <w:p>
            <w:pPr>
              <w:widowControl/>
              <w:spacing w:line="360" w:lineRule="auto"/>
              <w:jc w:val="center"/>
              <w:textAlignment w:val="center"/>
              <w:rPr>
                <w:rFonts w:ascii="宋体" w:hAnsi="宋体" w:cs="宋体"/>
                <w:b/>
                <w:bCs/>
                <w:color w:val="000000"/>
                <w:kern w:val="0"/>
                <w:szCs w:val="21"/>
                <w:highlight w:val="none"/>
              </w:rPr>
            </w:pPr>
            <w:r>
              <w:rPr>
                <w:rFonts w:hint="eastAsia" w:ascii="宋体" w:hAnsi="宋体" w:cs="宋体"/>
                <w:color w:val="000000"/>
                <w:kern w:val="0"/>
                <w:szCs w:val="21"/>
                <w:highlight w:val="none"/>
              </w:rPr>
              <w:t>重大疾病</w:t>
            </w:r>
          </w:p>
        </w:tc>
        <w:tc>
          <w:tcPr>
            <w:tcW w:w="3346" w:type="pct"/>
            <w:shd w:val="clear" w:color="auto" w:fill="auto"/>
            <w:noWrap/>
            <w:vAlign w:val="center"/>
          </w:tcPr>
          <w:p>
            <w:pPr>
              <w:widowControl/>
              <w:spacing w:line="360" w:lineRule="auto"/>
              <w:jc w:val="left"/>
              <w:textAlignment w:val="center"/>
              <w:rPr>
                <w:rFonts w:ascii="宋体" w:hAnsi="宋体" w:cs="宋体"/>
                <w:b/>
                <w:bCs/>
                <w:color w:val="000000"/>
                <w:kern w:val="0"/>
                <w:szCs w:val="21"/>
                <w:highlight w:val="none"/>
              </w:rPr>
            </w:pPr>
            <w:r>
              <w:rPr>
                <w:rFonts w:hint="eastAsia" w:ascii="宋体" w:hAnsi="宋体" w:cs="宋体"/>
                <w:color w:val="000000"/>
                <w:kern w:val="0"/>
                <w:szCs w:val="21"/>
                <w:highlight w:val="none"/>
              </w:rPr>
              <w:t>保险期间内，被保险人在等待期（30天）后经保险人认可的医院专科医生确诊初次发生</w:t>
            </w:r>
            <w:r>
              <w:rPr>
                <w:rFonts w:hint="eastAsia" w:ascii="宋体" w:hAnsi="宋体" w:cs="宋体"/>
                <w:szCs w:val="21"/>
                <w:highlight w:val="none"/>
              </w:rPr>
              <w:t>保险合同列明的</w:t>
            </w:r>
            <w:r>
              <w:rPr>
                <w:rFonts w:hint="eastAsia" w:ascii="宋体" w:hAnsi="宋体" w:cs="宋体"/>
                <w:color w:val="000000"/>
                <w:kern w:val="0"/>
                <w:szCs w:val="21"/>
                <w:highlight w:val="none"/>
              </w:rPr>
              <w:t>的重大疾病，保险人按合同约定</w:t>
            </w:r>
            <w:r>
              <w:rPr>
                <w:rFonts w:hint="eastAsia" w:ascii="宋体" w:hAnsi="宋体" w:cs="宋体"/>
                <w:szCs w:val="21"/>
                <w:highlight w:val="none"/>
              </w:rPr>
              <w:t>保险金额</w:t>
            </w:r>
            <w:r>
              <w:rPr>
                <w:rFonts w:hint="eastAsia" w:ascii="宋体" w:hAnsi="宋体" w:cs="宋体"/>
                <w:color w:val="000000"/>
                <w:kern w:val="0"/>
                <w:szCs w:val="21"/>
                <w:highlight w:val="none"/>
              </w:rPr>
              <w:t>一次性给付重大疾病保险金。重大疾病：经医院确诊的重大疾病（包括恶性肿瘤、急性心肌梗塞、脑中风等至少33种重大疾病），33种重大疾病详见特别约定2。</w:t>
            </w:r>
          </w:p>
        </w:tc>
        <w:tc>
          <w:tcPr>
            <w:tcW w:w="430" w:type="pct"/>
            <w:shd w:val="clear" w:color="auto" w:fill="auto"/>
            <w:noWrap/>
            <w:vAlign w:val="center"/>
          </w:tcPr>
          <w:p>
            <w:pPr>
              <w:widowControl/>
              <w:spacing w:line="360" w:lineRule="auto"/>
              <w:jc w:val="center"/>
              <w:textAlignment w:val="center"/>
              <w:rPr>
                <w:rFonts w:ascii="宋体" w:hAnsi="宋体" w:cs="宋体"/>
                <w:b/>
                <w:bCs/>
                <w:color w:val="000000"/>
                <w:kern w:val="0"/>
                <w:szCs w:val="21"/>
                <w:highlight w:val="none"/>
              </w:rPr>
            </w:pPr>
            <w:r>
              <w:rPr>
                <w:rFonts w:hint="eastAsia" w:ascii="宋体" w:hAnsi="宋体" w:cs="宋体"/>
                <w:color w:val="000000"/>
                <w:kern w:val="0"/>
                <w:szCs w:val="21"/>
                <w:highlight w:val="none"/>
              </w:rPr>
              <w:t>5万元/人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180" w:type="pct"/>
            <w:vMerge w:val="continue"/>
            <w:shd w:val="clear" w:color="auto" w:fill="auto"/>
            <w:noWrap/>
            <w:vAlign w:val="center"/>
          </w:tcPr>
          <w:p>
            <w:pPr>
              <w:widowControl/>
              <w:spacing w:line="360" w:lineRule="auto"/>
              <w:jc w:val="center"/>
              <w:textAlignment w:val="center"/>
              <w:rPr>
                <w:rFonts w:ascii="宋体" w:hAnsi="宋体" w:cs="宋体"/>
                <w:color w:val="000000"/>
                <w:kern w:val="0"/>
                <w:szCs w:val="21"/>
                <w:highlight w:val="none"/>
              </w:rPr>
            </w:pPr>
          </w:p>
        </w:tc>
        <w:tc>
          <w:tcPr>
            <w:tcW w:w="410" w:type="pct"/>
            <w:vMerge w:val="continue"/>
            <w:shd w:val="clear" w:color="auto" w:fill="auto"/>
            <w:noWrap/>
            <w:vAlign w:val="center"/>
          </w:tcPr>
          <w:p>
            <w:pPr>
              <w:widowControl/>
              <w:spacing w:line="360" w:lineRule="auto"/>
              <w:jc w:val="center"/>
              <w:textAlignment w:val="center"/>
              <w:rPr>
                <w:rFonts w:ascii="宋体" w:hAnsi="宋体" w:cs="宋体"/>
                <w:color w:val="000000"/>
                <w:kern w:val="0"/>
                <w:szCs w:val="21"/>
                <w:highlight w:val="none"/>
              </w:rPr>
            </w:pPr>
          </w:p>
        </w:tc>
        <w:tc>
          <w:tcPr>
            <w:tcW w:w="631" w:type="pct"/>
            <w:shd w:val="clear" w:color="auto" w:fill="auto"/>
            <w:noWrap/>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轻症疾病</w:t>
            </w:r>
          </w:p>
        </w:tc>
        <w:tc>
          <w:tcPr>
            <w:tcW w:w="3346" w:type="pct"/>
            <w:shd w:val="clear" w:color="auto" w:fill="auto"/>
            <w:noWrap/>
            <w:vAlign w:val="center"/>
          </w:tcPr>
          <w:p>
            <w:pPr>
              <w:widowControl/>
              <w:spacing w:line="360" w:lineRule="auto"/>
              <w:jc w:val="left"/>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在本合同保险期间内，被保险人在等待期（30天）后初次发生并经专科医生明确诊断患本合同投保人所选择的轻度疾病（无论一种或多种），本公司按该被保险人的轻度疾病保险金额给付轻度疾病保险金。轻度疾病指的是：恶性肿瘤（轻度）、较轻急性心肌梗死、轻度脑中风后遗症。</w:t>
            </w:r>
          </w:p>
        </w:tc>
        <w:tc>
          <w:tcPr>
            <w:tcW w:w="430" w:type="pct"/>
            <w:shd w:val="clear" w:color="auto" w:fill="auto"/>
            <w:noWrap/>
            <w:vAlign w:val="center"/>
          </w:tcPr>
          <w:p>
            <w:pPr>
              <w:widowControl/>
              <w:spacing w:line="360" w:lineRule="auto"/>
              <w:jc w:val="center"/>
              <w:textAlignment w:val="center"/>
              <w:rPr>
                <w:rFonts w:hint="default" w:ascii="宋体" w:hAnsi="宋体" w:eastAsia="宋体" w:cs="宋体"/>
                <w:color w:val="000000"/>
                <w:kern w:val="0"/>
                <w:szCs w:val="21"/>
                <w:highlight w:val="none"/>
                <w:lang w:val="en-US" w:eastAsia="zh-CN"/>
              </w:rPr>
            </w:pPr>
            <w:r>
              <w:rPr>
                <w:rFonts w:hint="eastAsia" w:ascii="宋体" w:hAnsi="宋体" w:cs="宋体"/>
                <w:color w:val="000000"/>
                <w:kern w:val="0"/>
                <w:szCs w:val="21"/>
                <w:highlight w:val="none"/>
              </w:rPr>
              <w:t>0.8万元</w:t>
            </w:r>
            <w:r>
              <w:rPr>
                <w:rFonts w:hint="eastAsia"/>
                <w:highlight w:val="none"/>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9" w:hRule="atLeast"/>
        </w:trPr>
        <w:tc>
          <w:tcPr>
            <w:tcW w:w="180" w:type="pct"/>
            <w:shd w:val="clear" w:color="auto" w:fill="auto"/>
            <w:noWrap/>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3</w:t>
            </w:r>
          </w:p>
        </w:tc>
        <w:tc>
          <w:tcPr>
            <w:tcW w:w="410" w:type="pct"/>
            <w:shd w:val="clear" w:color="auto" w:fill="auto"/>
            <w:noWrap/>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特别约定</w:t>
            </w:r>
          </w:p>
        </w:tc>
        <w:tc>
          <w:tcPr>
            <w:tcW w:w="4408" w:type="pct"/>
            <w:gridSpan w:val="3"/>
            <w:shd w:val="clear" w:color="auto" w:fill="auto"/>
            <w:noWrap/>
            <w:vAlign w:val="center"/>
          </w:tcPr>
          <w:p>
            <w:pPr>
              <w:widowControl/>
              <w:spacing w:line="360" w:lineRule="auto"/>
              <w:textAlignment w:val="center"/>
              <w:rPr>
                <w:rFonts w:ascii="宋体" w:hAnsi="宋体" w:cs="宋体"/>
                <w:color w:val="000000"/>
                <w:kern w:val="0"/>
                <w:szCs w:val="21"/>
                <w:highlight w:val="none"/>
              </w:rPr>
            </w:pPr>
            <w:r>
              <w:rPr>
                <w:rFonts w:hint="eastAsia" w:ascii="宋体" w:hAnsi="宋体" w:cs="宋体"/>
                <w:b/>
                <w:bCs/>
                <w:color w:val="000000"/>
                <w:kern w:val="0"/>
                <w:szCs w:val="21"/>
                <w:highlight w:val="none"/>
              </w:rPr>
              <w:t>本保险合同效力优先顺序为：特别约定&gt;附加条款&gt;主险条款</w:t>
            </w:r>
            <w:r>
              <w:rPr>
                <w:rFonts w:hint="eastAsia" w:hAnsi="宋体" w:cs="宋体"/>
                <w:b/>
                <w:sz w:val="21"/>
                <w:szCs w:val="21"/>
                <w:highlight w:val="none"/>
                <w:lang w:eastAsia="zh-CN"/>
              </w:rPr>
              <w:t>（</w:t>
            </w:r>
            <w:r>
              <w:rPr>
                <w:rFonts w:hint="eastAsia" w:hAnsi="宋体" w:cs="宋体"/>
                <w:b/>
                <w:sz w:val="21"/>
                <w:szCs w:val="21"/>
                <w:highlight w:val="none"/>
              </w:rPr>
              <w:t>附加条款</w:t>
            </w:r>
            <w:r>
              <w:rPr>
                <w:rFonts w:hint="eastAsia" w:hAnsi="宋体" w:cs="宋体"/>
                <w:b/>
                <w:sz w:val="21"/>
                <w:szCs w:val="21"/>
                <w:highlight w:val="none"/>
                <w:lang w:eastAsia="zh-CN"/>
              </w:rPr>
              <w:t>、</w:t>
            </w:r>
            <w:r>
              <w:rPr>
                <w:rFonts w:hint="eastAsia" w:hAnsi="宋体" w:cs="宋体"/>
                <w:b/>
                <w:sz w:val="21"/>
                <w:szCs w:val="21"/>
                <w:highlight w:val="none"/>
              </w:rPr>
              <w:t>主险条款</w:t>
            </w:r>
            <w:r>
              <w:rPr>
                <w:rFonts w:hint="eastAsia" w:hAnsi="宋体" w:cs="宋体"/>
                <w:b/>
                <w:sz w:val="21"/>
                <w:szCs w:val="21"/>
                <w:highlight w:val="none"/>
                <w:lang w:val="en-US" w:eastAsia="zh-CN"/>
              </w:rPr>
              <w:t>详见招标文件附件2</w:t>
            </w:r>
            <w:r>
              <w:rPr>
                <w:rFonts w:hint="eastAsia" w:hAnsi="宋体" w:cs="宋体"/>
                <w:b/>
                <w:sz w:val="21"/>
                <w:szCs w:val="21"/>
                <w:highlight w:val="none"/>
                <w:lang w:eastAsia="zh-CN"/>
              </w:rPr>
              <w:t>）</w:t>
            </w:r>
            <w:r>
              <w:rPr>
                <w:rFonts w:hint="eastAsia" w:ascii="宋体" w:hAnsi="宋体" w:cs="宋体"/>
                <w:b/>
                <w:bCs/>
                <w:color w:val="000000"/>
                <w:kern w:val="0"/>
                <w:szCs w:val="21"/>
                <w:highlight w:val="none"/>
              </w:rPr>
              <w:t>，以下特别约定若与本保险单的其他规定相冲突，则特别约定为准。</w:t>
            </w:r>
          </w:p>
          <w:p>
            <w:pPr>
              <w:widowControl/>
              <w:spacing w:line="360" w:lineRule="auto"/>
              <w:jc w:val="left"/>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1、鉴于本项目为团体保险，保险人不得拒绝承保其中部分人员，且不得剔除某项责任差异化承保。</w:t>
            </w:r>
          </w:p>
          <w:p>
            <w:pPr>
              <w:widowControl/>
              <w:spacing w:line="360" w:lineRule="auto"/>
              <w:jc w:val="left"/>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2、本项目所承保的33种重大疾病：恶性肿瘤（重度）、较重急性心肌梗死、严重脑中风后遗症、重大器官移植术或造血干细胞移植术、冠状动脉搭桥术（或称冠状动脉旁路移植术）、严重慢性肾衰竭、多个肢体缺失、急性重症肝炎或亚急性重症肝炎、严重非恶性颅内肿瘤、严重慢性肝衰竭、严重脑炎后遗症或严重脑膜炎后遗症、深度昏迷、双耳失聪、双目失明、瘫痪、心脏瓣膜手术、严重阿尔茨海默病、严重脑损伤、严重原发性帕金森病、严重Ⅲ度烧伤、严重特发性肺动脉高压、严重运动神经元病、语言能力丧失、重型再生障碍性贫血、主动脉手术、严重慢性呼吸衰竭、严重克罗恩病、严重溃疡性结肠炎、严重原发性心肌病、严重多发性硬化症、严重脊髓灰质炎、严重类风湿性关节炎、严重系统性红斑狼疮性肾病。承保3种轻症疾病指的是：恶性肿瘤（轻度）、较轻急性心肌梗死、轻度脑中风后遗症。</w:t>
            </w:r>
          </w:p>
          <w:p>
            <w:pPr>
              <w:widowControl/>
              <w:spacing w:line="360" w:lineRule="auto"/>
              <w:jc w:val="left"/>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3、被保险人仅就保险人提出的询问范围履行如实告知义务，如保险公司放弃询问权利或保险人未进行询问的事项，保险事故发生后，保险人不得以被保险人未履行如实告知为由拒绝赔偿；如被保险人拒绝履行如实告知义务的，保险人有权不承担赔偿或者给付保险金的责任。</w:t>
            </w:r>
          </w:p>
          <w:p>
            <w:pPr>
              <w:widowControl/>
              <w:spacing w:line="360" w:lineRule="auto"/>
              <w:jc w:val="left"/>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4、本项首次投保等待期为30天，续保（含转保）、因意外伤害发生意外伤害保险或重大疾病的无等待期。意外伤害指遭受外来的、突发的、非本意的、非疾病的使身体受到伤害的客观事件</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且自本项目首次投保之日起，期内罹患的有关疾病或症状不应视为既往症，且不得以此为由拒保或拒赔。首次投保之日以投保人提供的相关保单为依据。</w:t>
            </w:r>
          </w:p>
          <w:p>
            <w:pPr>
              <w:widowControl/>
              <w:spacing w:line="360" w:lineRule="auto"/>
              <w:jc w:val="left"/>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5、若罹患多种重大疾病，保险公司针对其中一种重大疾病给付重大疾病保险金。</w:t>
            </w:r>
          </w:p>
          <w:p>
            <w:pPr>
              <w:widowControl/>
              <w:spacing w:line="360" w:lineRule="auto"/>
              <w:jc w:val="left"/>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6、</w:t>
            </w:r>
            <w:r>
              <w:rPr>
                <w:rFonts w:hint="eastAsia" w:ascii="宋体" w:hAnsi="宋体" w:cs="宋体"/>
                <w:szCs w:val="21"/>
                <w:highlight w:val="none"/>
              </w:rPr>
              <w:t>本项目保单保期内的增减及更换人员根据以下约定按月申请批改，并在保单保期内承担保险责任。投保单位可以于每月10日前提交上月该单位变动人员批改申请：对于上月新入职且次月及时申请批改成功的被保险人，保险人自被保险人入职日起承担其保险责任（在入职日与批改申请日之间出险的案件，理赔时须提供被保险人出险当月工资单及雇佣劳动合同）；对于非上月新入职人员，保险人自实际申请批改次日起承担保险责任。劳动者的入职时间以在投保人处实际用工（含试用期）的第一天为准。对于离职的人员，保险人自其离职之日起不承担其保险责任。兹经双方协商并约定，已发生保险事故并已进行报案索赔的被保险人不再更换和退保，其他未发生保险事故的被保险人保险人须正常的更换和退保。</w:t>
            </w:r>
          </w:p>
          <w:p>
            <w:pPr>
              <w:widowControl/>
              <w:spacing w:line="360" w:lineRule="auto"/>
              <w:jc w:val="left"/>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7、医疗费用：指被保险人治疗期间发生的符合当地政府社会医疗保险主管部门规定的基本医疗保险支付范围内的合理且必要的医疗费用及个人自付（负）费用。</w:t>
            </w:r>
          </w:p>
          <w:p>
            <w:pPr>
              <w:widowControl/>
              <w:spacing w:line="360" w:lineRule="auto"/>
              <w:jc w:val="left"/>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8、就诊医疗机构：二级及二级以上公立社保定点医院为指定医院，急诊不受此限制，但病情稳定后需转入指定医院。</w:t>
            </w:r>
          </w:p>
          <w:p>
            <w:pPr>
              <w:widowControl/>
              <w:spacing w:line="360" w:lineRule="auto"/>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9、被保险人因遭受意外伤害导致残疾，按保险金额及该项伤残条目在 (保监发[2014]6 号)的《人身保险伤残评定标准及代码》（JR/T0083-2013）中对应的给付比例给付残疾保险金。伤残给付比例如下：伤残程度第一级对应的保险金给付比例为100%，伤残程度第十级对应的保险金给付比例为10%，每级相差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80" w:type="pct"/>
            <w:shd w:val="clear" w:color="auto" w:fill="auto"/>
            <w:noWrap/>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4</w:t>
            </w:r>
          </w:p>
        </w:tc>
        <w:tc>
          <w:tcPr>
            <w:tcW w:w="410" w:type="pct"/>
            <w:shd w:val="clear" w:color="auto" w:fill="auto"/>
            <w:noWrap/>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免赔额/免赔率</w:t>
            </w:r>
          </w:p>
        </w:tc>
        <w:tc>
          <w:tcPr>
            <w:tcW w:w="4408" w:type="pct"/>
            <w:gridSpan w:val="3"/>
            <w:shd w:val="clear" w:color="auto" w:fill="auto"/>
            <w:noWrap/>
            <w:vAlign w:val="center"/>
          </w:tcPr>
          <w:p>
            <w:pPr>
              <w:widowControl/>
              <w:spacing w:line="360" w:lineRule="auto"/>
              <w:textAlignment w:val="center"/>
              <w:rPr>
                <w:rFonts w:ascii="宋体" w:hAnsi="宋体" w:cs="宋体"/>
                <w:color w:val="000000"/>
                <w:kern w:val="0"/>
                <w:szCs w:val="21"/>
                <w:highlight w:val="none"/>
              </w:rPr>
            </w:pPr>
            <w:r>
              <w:rPr>
                <w:rFonts w:hint="eastAsia" w:ascii="宋体" w:hAnsi="宋体" w:cs="宋体"/>
                <w:szCs w:val="21"/>
                <w:highlight w:val="none"/>
              </w:rPr>
              <w:t>0免赔，按100%比例赔付。免赔天数0天。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4" w:hRule="atLeast"/>
        </w:trPr>
        <w:tc>
          <w:tcPr>
            <w:tcW w:w="180" w:type="pct"/>
            <w:shd w:val="clear" w:color="auto" w:fill="auto"/>
            <w:noWrap/>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5</w:t>
            </w:r>
          </w:p>
        </w:tc>
        <w:tc>
          <w:tcPr>
            <w:tcW w:w="410" w:type="pct"/>
            <w:shd w:val="clear" w:color="auto" w:fill="auto"/>
            <w:noWrap/>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保险期限</w:t>
            </w:r>
          </w:p>
        </w:tc>
        <w:tc>
          <w:tcPr>
            <w:tcW w:w="4408" w:type="pct"/>
            <w:gridSpan w:val="3"/>
            <w:shd w:val="clear" w:color="auto" w:fill="auto"/>
            <w:noWrap/>
            <w:vAlign w:val="center"/>
          </w:tcPr>
          <w:p>
            <w:pPr>
              <w:widowControl/>
              <w:spacing w:line="360" w:lineRule="auto"/>
              <w:textAlignment w:val="center"/>
              <w:rPr>
                <w:rFonts w:ascii="宋体" w:hAnsi="宋体" w:cs="宋体"/>
                <w:szCs w:val="21"/>
                <w:highlight w:val="none"/>
              </w:rPr>
            </w:pPr>
            <w:r>
              <w:rPr>
                <w:rFonts w:hint="eastAsia" w:ascii="宋体" w:hAnsi="宋体" w:cs="宋体"/>
                <w:szCs w:val="21"/>
                <w:highlight w:val="none"/>
              </w:rPr>
              <w:t>一年，起止时间以实际出单为准。</w:t>
            </w:r>
          </w:p>
        </w:tc>
      </w:tr>
    </w:tbl>
    <w:p>
      <w:pPr>
        <w:widowControl/>
        <w:spacing w:line="360" w:lineRule="auto"/>
        <w:ind w:firstLine="422" w:firstLineChars="200"/>
        <w:rPr>
          <w:rFonts w:ascii="宋体" w:hAnsi="宋体" w:cs="宋体"/>
          <w:b/>
          <w:bCs/>
          <w:szCs w:val="21"/>
        </w:rPr>
      </w:pPr>
    </w:p>
    <w:p>
      <w:pPr>
        <w:widowControl/>
        <w:spacing w:line="360" w:lineRule="auto"/>
        <w:ind w:firstLine="420" w:firstLineChars="200"/>
        <w:rPr>
          <w:rFonts w:ascii="宋体" w:hAnsi="宋体" w:cs="宋体"/>
          <w:szCs w:val="21"/>
          <w:highlight w:val="yellow"/>
        </w:rPr>
      </w:pPr>
      <w:r>
        <w:rPr>
          <w:rFonts w:hint="eastAsia" w:ascii="宋体" w:hAnsi="宋体" w:cs="宋体"/>
          <w:highlight w:val="yellow"/>
          <w:lang w:val="zh-CN"/>
        </w:rPr>
        <w:t>★</w:t>
      </w:r>
      <w:r>
        <w:rPr>
          <w:rFonts w:hint="eastAsia" w:ascii="宋体" w:hAnsi="宋体" w:cs="宋体"/>
          <w:b/>
          <w:bCs/>
          <w:szCs w:val="21"/>
          <w:highlight w:val="yellow"/>
        </w:rPr>
        <w:t>（二）服务要求</w:t>
      </w:r>
    </w:p>
    <w:p>
      <w:pPr>
        <w:widowControl/>
        <w:spacing w:line="360" w:lineRule="auto"/>
        <w:ind w:firstLine="422" w:firstLineChars="200"/>
        <w:rPr>
          <w:rFonts w:ascii="宋体" w:hAnsi="宋体" w:cs="宋体"/>
          <w:b/>
          <w:bCs/>
          <w:szCs w:val="21"/>
          <w:highlight w:val="yellow"/>
        </w:rPr>
      </w:pPr>
      <w:r>
        <w:rPr>
          <w:rFonts w:hint="eastAsia" w:ascii="宋体" w:hAnsi="宋体" w:cs="宋体"/>
          <w:b/>
          <w:bCs/>
          <w:szCs w:val="21"/>
          <w:highlight w:val="yellow"/>
        </w:rPr>
        <w:t>1、承保服务</w:t>
      </w:r>
    </w:p>
    <w:p>
      <w:pPr>
        <w:widowControl/>
        <w:spacing w:line="360" w:lineRule="auto"/>
        <w:ind w:firstLine="420" w:firstLineChars="200"/>
        <w:rPr>
          <w:rFonts w:ascii="宋体" w:hAnsi="宋体" w:cs="宋体"/>
          <w:szCs w:val="21"/>
          <w:highlight w:val="yellow"/>
        </w:rPr>
      </w:pPr>
      <w:r>
        <w:rPr>
          <w:rFonts w:hint="eastAsia" w:ascii="宋体" w:hAnsi="宋体" w:cs="宋体"/>
          <w:szCs w:val="21"/>
          <w:highlight w:val="yellow"/>
        </w:rPr>
        <w:t>（1）中标人须针对本项目建立项目服务小组，明确岗位职责，设立“第一责任人”制度，全权负责投保及索赔的联系事宜，分工明确、科学高效。</w:t>
      </w:r>
    </w:p>
    <w:p>
      <w:pPr>
        <w:widowControl/>
        <w:spacing w:line="360" w:lineRule="auto"/>
        <w:ind w:firstLine="420" w:firstLineChars="200"/>
        <w:rPr>
          <w:rFonts w:ascii="宋体" w:hAnsi="宋体" w:cs="宋体"/>
          <w:szCs w:val="21"/>
          <w:highlight w:val="yellow"/>
        </w:rPr>
      </w:pPr>
      <w:r>
        <w:rPr>
          <w:rFonts w:hint="eastAsia" w:ascii="宋体" w:hAnsi="宋体" w:cs="宋体"/>
          <w:szCs w:val="21"/>
          <w:highlight w:val="yellow"/>
        </w:rPr>
        <w:t>（2）中标人应设有24小时全天报案服务电话，供投保单位及被保险人随时查询投保、保全、理赔等信息。</w:t>
      </w:r>
    </w:p>
    <w:p>
      <w:pPr>
        <w:widowControl/>
        <w:spacing w:line="360" w:lineRule="auto"/>
        <w:ind w:firstLine="420" w:firstLineChars="200"/>
        <w:rPr>
          <w:rFonts w:ascii="宋体" w:hAnsi="宋体" w:cs="宋体"/>
          <w:szCs w:val="21"/>
          <w:highlight w:val="yellow"/>
        </w:rPr>
      </w:pPr>
      <w:r>
        <w:rPr>
          <w:rFonts w:hint="eastAsia" w:ascii="宋体" w:hAnsi="宋体" w:cs="宋体"/>
          <w:szCs w:val="21"/>
          <w:highlight w:val="yellow"/>
        </w:rPr>
        <w:t>（3）中标人必须与本项目保险经纪人保持良好沟通、积极配合与保险经纪人开展工作，为本项目提供高效、专业的保险服务。</w:t>
      </w:r>
    </w:p>
    <w:p>
      <w:pPr>
        <w:pStyle w:val="48"/>
        <w:spacing w:line="360" w:lineRule="auto"/>
        <w:rPr>
          <w:rFonts w:ascii="宋体" w:hAnsi="宋体" w:cs="宋体"/>
          <w:highlight w:val="yellow"/>
        </w:rPr>
      </w:pPr>
      <w:r>
        <w:rPr>
          <w:rFonts w:hint="eastAsia" w:ascii="宋体" w:hAnsi="宋体" w:cs="宋体"/>
          <w:highlight w:val="yellow"/>
        </w:rPr>
        <w:t>（4）中标人须明确投保资料、简化投保流程。如采购单位未在规定时效内缴纳保费的，不影响保单效力，保险责任期限开始后实际付款前，保险公司也应按规定保险期限承担保险责任。</w:t>
      </w:r>
    </w:p>
    <w:p>
      <w:pPr>
        <w:pStyle w:val="48"/>
        <w:spacing w:line="360" w:lineRule="auto"/>
        <w:rPr>
          <w:rFonts w:ascii="宋体" w:hAnsi="宋体" w:cs="宋体"/>
          <w:highlight w:val="yellow"/>
        </w:rPr>
      </w:pPr>
      <w:r>
        <w:rPr>
          <w:rFonts w:hint="eastAsia" w:ascii="宋体" w:hAnsi="宋体" w:cs="宋体"/>
          <w:highlight w:val="yellow"/>
        </w:rPr>
        <w:t>（5）中标人在收到批改申请后及时出具批单。</w:t>
      </w:r>
    </w:p>
    <w:p>
      <w:pPr>
        <w:pStyle w:val="48"/>
        <w:spacing w:line="360" w:lineRule="auto"/>
        <w:ind w:firstLine="422"/>
        <w:rPr>
          <w:rFonts w:ascii="宋体" w:hAnsi="宋体" w:cs="宋体"/>
          <w:highlight w:val="yellow"/>
        </w:rPr>
      </w:pPr>
      <w:r>
        <w:rPr>
          <w:rFonts w:hint="eastAsia" w:ascii="宋体" w:hAnsi="宋体" w:cs="宋体"/>
          <w:bCs/>
          <w:highlight w:val="yellow"/>
        </w:rPr>
        <w:t>（6）</w:t>
      </w:r>
      <w:r>
        <w:rPr>
          <w:rFonts w:hint="eastAsia" w:ascii="宋体" w:hAnsi="宋体" w:cs="宋体"/>
          <w:highlight w:val="yellow"/>
        </w:rPr>
        <w:t>投标人需提供本项目使用的保险条款明细措辞，但不得与招标文件所附保险条款（附件2）相冲突，如存在冲突的，以招标文件的保险方案和保险条款为准。</w:t>
      </w:r>
    </w:p>
    <w:p>
      <w:pPr>
        <w:pStyle w:val="48"/>
        <w:spacing w:line="360" w:lineRule="auto"/>
        <w:ind w:firstLine="422"/>
        <w:rPr>
          <w:rFonts w:ascii="宋体" w:hAnsi="宋体" w:cs="宋体"/>
          <w:highlight w:val="yellow"/>
        </w:rPr>
      </w:pPr>
      <w:r>
        <w:rPr>
          <w:rFonts w:hint="eastAsia" w:ascii="宋体" w:hAnsi="宋体" w:cs="宋体"/>
          <w:highlight w:val="yellow"/>
        </w:rPr>
        <w:t>（7）在服务期内，如深圳市公安局交通警察局有新增加投保人员，则享受与本项目相同承保方案与费率。</w:t>
      </w:r>
    </w:p>
    <w:p>
      <w:pPr>
        <w:pStyle w:val="48"/>
        <w:spacing w:line="360" w:lineRule="auto"/>
        <w:ind w:firstLine="422"/>
        <w:rPr>
          <w:rFonts w:ascii="宋体" w:hAnsi="宋体" w:cs="宋体"/>
          <w:highlight w:val="yellow"/>
        </w:rPr>
      </w:pPr>
      <w:r>
        <w:rPr>
          <w:rFonts w:hint="eastAsia" w:ascii="宋体" w:hAnsi="宋体" w:cs="宋体"/>
          <w:highlight w:val="yellow"/>
        </w:rPr>
        <w:t>（8）在收到中标通知书后10</w:t>
      </w:r>
      <w:r>
        <w:rPr>
          <w:rFonts w:hint="eastAsia" w:ascii="宋体" w:hAnsi="宋体" w:cs="宋体"/>
          <w:highlight w:val="yellow"/>
          <w:lang w:eastAsia="zh-CN"/>
        </w:rPr>
        <w:t>个工作</w:t>
      </w:r>
      <w:r>
        <w:rPr>
          <w:rFonts w:hint="eastAsia" w:ascii="宋体" w:hAnsi="宋体" w:cs="宋体"/>
          <w:highlight w:val="yellow"/>
        </w:rPr>
        <w:t>日内，中标人须与采购单位签订保险合同，中标人投标文件为保险合同的有效组成部分，如中标单位违反承诺、拒绝签订保险合同，视为其自动放弃中标资格。</w:t>
      </w:r>
    </w:p>
    <w:p>
      <w:pPr>
        <w:pStyle w:val="48"/>
        <w:spacing w:line="360" w:lineRule="auto"/>
        <w:ind w:firstLine="422"/>
        <w:rPr>
          <w:rFonts w:ascii="宋体" w:hAnsi="宋体" w:cs="宋体"/>
          <w:highlight w:val="yellow"/>
        </w:rPr>
      </w:pPr>
      <w:r>
        <w:rPr>
          <w:rFonts w:hint="eastAsia" w:ascii="宋体" w:hAnsi="宋体" w:cs="宋体"/>
          <w:bCs/>
          <w:highlight w:val="yellow"/>
        </w:rPr>
        <w:t>（9）出单方式</w:t>
      </w:r>
      <w:r>
        <w:rPr>
          <w:rFonts w:hint="eastAsia" w:ascii="宋体" w:hAnsi="宋体" w:cs="宋体"/>
          <w:b/>
          <w:highlight w:val="yellow"/>
        </w:rPr>
        <w:t>：</w:t>
      </w:r>
      <w:r>
        <w:rPr>
          <w:rFonts w:hint="eastAsia" w:ascii="宋体" w:hAnsi="宋体" w:cs="宋体"/>
          <w:highlight w:val="yellow"/>
        </w:rPr>
        <w:t>本项目将</w:t>
      </w:r>
      <w:r>
        <w:rPr>
          <w:rFonts w:hint="eastAsia" w:ascii="宋体" w:hAnsi="宋体" w:cs="宋体"/>
          <w:highlight w:val="yellow"/>
          <w:lang w:val="en-US" w:eastAsia="zh-CN"/>
        </w:rPr>
        <w:t>按4个项目分为</w:t>
      </w:r>
      <w:r>
        <w:rPr>
          <w:rFonts w:hint="eastAsia" w:ascii="宋体" w:hAnsi="宋体" w:cs="宋体"/>
          <w:highlight w:val="yellow"/>
        </w:rPr>
        <w:t>4张保单出单，</w:t>
      </w:r>
      <w:r>
        <w:rPr>
          <w:rFonts w:hint="eastAsia" w:ascii="宋体" w:hAnsi="宋体" w:cs="宋体"/>
          <w:highlight w:val="yellow"/>
          <w:lang w:val="en-US" w:eastAsia="zh-CN"/>
        </w:rPr>
        <w:t>各保单的人数以项目实际情况为准，各项目</w:t>
      </w:r>
      <w:r>
        <w:rPr>
          <w:rFonts w:hint="eastAsia" w:ascii="宋体" w:hAnsi="宋体" w:cs="宋体"/>
          <w:highlight w:val="yellow"/>
        </w:rPr>
        <w:t>保险生效日期衔接上年度保单终止日期。</w:t>
      </w:r>
    </w:p>
    <w:p>
      <w:pPr>
        <w:pStyle w:val="48"/>
        <w:spacing w:line="360" w:lineRule="auto"/>
        <w:rPr>
          <w:rFonts w:ascii="宋体" w:hAnsi="宋体" w:cs="宋体"/>
          <w:highlight w:val="yellow"/>
        </w:rPr>
      </w:pPr>
      <w:r>
        <w:rPr>
          <w:rFonts w:hint="eastAsia" w:ascii="宋体" w:hAnsi="宋体" w:cs="宋体"/>
          <w:highlight w:val="yellow"/>
        </w:rPr>
        <w:t>本项目目前在保保单项目情况如下:</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5000" w:type="pct"/>
            <w:noWrap/>
            <w:vAlign w:val="center"/>
          </w:tcPr>
          <w:p>
            <w:pPr>
              <w:pStyle w:val="48"/>
              <w:spacing w:line="360" w:lineRule="auto"/>
              <w:ind w:firstLine="0" w:firstLineChars="0"/>
              <w:jc w:val="center"/>
              <w:rPr>
                <w:rFonts w:ascii="宋体" w:hAnsi="宋体" w:cs="宋体"/>
                <w:highlight w:val="yellow"/>
              </w:rPr>
            </w:pPr>
            <w:r>
              <w:rPr>
                <w:rFonts w:hint="eastAsia" w:ascii="宋体" w:hAnsi="宋体" w:cs="宋体"/>
                <w:highlight w:val="yellow"/>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5000" w:type="pct"/>
            <w:noWrap/>
            <w:vAlign w:val="center"/>
          </w:tcPr>
          <w:p>
            <w:pPr>
              <w:pStyle w:val="48"/>
              <w:spacing w:line="360" w:lineRule="auto"/>
              <w:ind w:firstLine="0" w:firstLineChars="0"/>
              <w:jc w:val="center"/>
              <w:rPr>
                <w:rFonts w:ascii="宋体" w:hAnsi="宋体" w:cs="宋体"/>
                <w:highlight w:val="yellow"/>
              </w:rPr>
            </w:pPr>
            <w:r>
              <w:rPr>
                <w:rFonts w:hint="eastAsia" w:ascii="宋体" w:hAnsi="宋体" w:cs="宋体"/>
                <w:highlight w:val="yellow"/>
              </w:rPr>
              <w:t>辅警意外险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5000" w:type="pct"/>
            <w:noWrap/>
            <w:vAlign w:val="center"/>
          </w:tcPr>
          <w:p>
            <w:pPr>
              <w:pStyle w:val="48"/>
              <w:spacing w:line="360" w:lineRule="auto"/>
              <w:ind w:firstLine="0" w:firstLineChars="0"/>
              <w:jc w:val="center"/>
              <w:rPr>
                <w:rFonts w:ascii="宋体" w:hAnsi="宋体" w:cs="宋体"/>
                <w:highlight w:val="yellow"/>
              </w:rPr>
            </w:pPr>
            <w:r>
              <w:rPr>
                <w:rFonts w:hint="eastAsia" w:ascii="宋体" w:hAnsi="宋体" w:cs="宋体"/>
                <w:highlight w:val="yellow"/>
              </w:rPr>
              <w:t>第一期普通督导员</w:t>
            </w:r>
            <w:r>
              <w:rPr>
                <w:rFonts w:hint="eastAsia" w:ascii="宋体" w:hAnsi="宋体" w:cs="宋体"/>
                <w:highlight w:val="yellow"/>
                <w:lang w:val="en-US" w:eastAsia="zh-CN"/>
              </w:rPr>
              <w:t>团体意外</w:t>
            </w:r>
            <w:r>
              <w:rPr>
                <w:rFonts w:hint="eastAsia" w:ascii="宋体" w:hAnsi="宋体" w:cs="宋体"/>
                <w:highlight w:val="yellow"/>
              </w:rPr>
              <w:t>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5000" w:type="pct"/>
            <w:noWrap/>
            <w:vAlign w:val="center"/>
          </w:tcPr>
          <w:p>
            <w:pPr>
              <w:pStyle w:val="48"/>
              <w:spacing w:line="360" w:lineRule="auto"/>
              <w:ind w:firstLine="0" w:firstLineChars="0"/>
              <w:jc w:val="center"/>
              <w:rPr>
                <w:rFonts w:ascii="宋体" w:hAnsi="宋体" w:cs="宋体"/>
                <w:highlight w:val="yellow"/>
              </w:rPr>
            </w:pPr>
            <w:r>
              <w:rPr>
                <w:rFonts w:hint="eastAsia" w:ascii="宋体" w:hAnsi="宋体" w:cs="宋体"/>
                <w:highlight w:val="yellow"/>
              </w:rPr>
              <w:t>轨道交通建设沿线交通疏解协管员（四期、五期）团体意外险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5000" w:type="pct"/>
            <w:noWrap/>
            <w:vAlign w:val="center"/>
          </w:tcPr>
          <w:p>
            <w:pPr>
              <w:pStyle w:val="48"/>
              <w:spacing w:line="360" w:lineRule="auto"/>
              <w:ind w:firstLine="0" w:firstLineChars="0"/>
              <w:jc w:val="center"/>
              <w:rPr>
                <w:rFonts w:ascii="宋体" w:hAnsi="宋体" w:cs="宋体"/>
                <w:highlight w:val="yellow"/>
              </w:rPr>
            </w:pPr>
            <w:r>
              <w:rPr>
                <w:rFonts w:hint="eastAsia" w:ascii="宋体" w:hAnsi="宋体" w:cs="宋体"/>
                <w:highlight w:val="yellow"/>
              </w:rPr>
              <w:t>文职及后勤保障人员健康险及重疾险</w:t>
            </w:r>
          </w:p>
        </w:tc>
      </w:tr>
    </w:tbl>
    <w:p>
      <w:pPr>
        <w:widowControl/>
        <w:spacing w:line="360" w:lineRule="auto"/>
        <w:ind w:firstLine="422" w:firstLineChars="200"/>
        <w:rPr>
          <w:rFonts w:ascii="宋体" w:hAnsi="宋体" w:cs="宋体"/>
          <w:b/>
          <w:bCs/>
          <w:szCs w:val="21"/>
          <w:highlight w:val="yellow"/>
        </w:rPr>
      </w:pPr>
      <w:r>
        <w:rPr>
          <w:rFonts w:hint="eastAsia" w:ascii="宋体" w:hAnsi="宋体" w:cs="宋体"/>
          <w:b/>
          <w:bCs/>
          <w:szCs w:val="21"/>
          <w:highlight w:val="yellow"/>
        </w:rPr>
        <w:t>2、理赔服务</w:t>
      </w:r>
    </w:p>
    <w:p>
      <w:pPr>
        <w:pStyle w:val="48"/>
        <w:spacing w:line="360" w:lineRule="auto"/>
        <w:rPr>
          <w:rFonts w:ascii="宋体" w:hAnsi="宋体" w:cs="宋体"/>
          <w:highlight w:val="yellow"/>
        </w:rPr>
      </w:pPr>
      <w:r>
        <w:rPr>
          <w:rFonts w:hint="eastAsia" w:ascii="宋体" w:hAnsi="宋体" w:cs="宋体"/>
          <w:highlight w:val="yellow"/>
        </w:rPr>
        <w:t>（1）中标人须指定理赔专职人员对接保险经纪人服务团队，处理定责、核损、赔付等核赔工作；中标人在处理案件过程中，必须与深圳市公安局交通警察局及保险经纪人保持良好沟通并严格按投标文件内容提供保险服务。</w:t>
      </w:r>
    </w:p>
    <w:p>
      <w:pPr>
        <w:pStyle w:val="48"/>
        <w:spacing w:line="360" w:lineRule="auto"/>
        <w:rPr>
          <w:rFonts w:ascii="宋体" w:hAnsi="宋体" w:cs="宋体"/>
          <w:highlight w:val="yellow"/>
        </w:rPr>
      </w:pPr>
      <w:r>
        <w:rPr>
          <w:rFonts w:hint="eastAsia" w:ascii="宋体" w:hAnsi="宋体" w:cs="宋体"/>
          <w:highlight w:val="yellow"/>
        </w:rPr>
        <w:t>（2）为保证理赔报案的便捷性，中标人须提供多种接报案方式，包括但不限于7*24小时热线电话接报案、专职人员接报案、微信公众号/小程序自助报案等。</w:t>
      </w:r>
    </w:p>
    <w:p>
      <w:pPr>
        <w:pStyle w:val="48"/>
        <w:spacing w:line="360" w:lineRule="auto"/>
        <w:rPr>
          <w:rFonts w:ascii="宋体" w:hAnsi="宋体" w:cs="宋体"/>
          <w:highlight w:val="yellow"/>
        </w:rPr>
      </w:pPr>
      <w:r>
        <w:rPr>
          <w:rFonts w:hint="eastAsia" w:ascii="宋体" w:hAnsi="宋体" w:cs="宋体"/>
          <w:highlight w:val="yellow"/>
        </w:rPr>
        <w:t>（3）中标人接报案后应明确告知被保险人所需提供的理赔单证清单、模板及填写要求。</w:t>
      </w:r>
    </w:p>
    <w:p>
      <w:pPr>
        <w:pStyle w:val="48"/>
        <w:spacing w:line="360" w:lineRule="auto"/>
        <w:rPr>
          <w:rFonts w:ascii="宋体" w:hAnsi="宋体" w:cs="宋体"/>
          <w:highlight w:val="yellow"/>
        </w:rPr>
      </w:pPr>
      <w:r>
        <w:rPr>
          <w:rFonts w:hint="eastAsia" w:ascii="宋体" w:hAnsi="宋体" w:cs="宋体"/>
          <w:highlight w:val="yellow"/>
        </w:rPr>
        <w:t>（4）理赔单证基本要求如下：</w:t>
      </w:r>
    </w:p>
    <w:p>
      <w:pPr>
        <w:pStyle w:val="48"/>
        <w:spacing w:line="360" w:lineRule="auto"/>
        <w:rPr>
          <w:rFonts w:ascii="宋体" w:hAnsi="宋体" w:cs="宋体"/>
          <w:highlight w:val="yellow"/>
        </w:rPr>
      </w:pPr>
      <w:r>
        <w:rPr>
          <w:rFonts w:hint="eastAsia" w:ascii="宋体" w:hAnsi="宋体" w:cs="宋体"/>
          <w:highlight w:val="yellow"/>
        </w:rPr>
        <w:t>①共性单证，即所有理赔案件均须提供的理赔单证：理赔申请书、申请人身份证正反面、申请人银行卡账号。</w:t>
      </w:r>
    </w:p>
    <w:p>
      <w:pPr>
        <w:pStyle w:val="48"/>
        <w:spacing w:line="360" w:lineRule="auto"/>
        <w:rPr>
          <w:rFonts w:ascii="宋体" w:hAnsi="宋体" w:cs="宋体"/>
          <w:highlight w:val="yellow"/>
        </w:rPr>
      </w:pPr>
      <w:r>
        <w:rPr>
          <w:rFonts w:hint="eastAsia" w:ascii="宋体" w:hAnsi="宋体" w:cs="宋体"/>
          <w:highlight w:val="yellow"/>
        </w:rPr>
        <w:t>②个性单证，即根据申请索赔的案件保障类型提供相应的理赔单证：</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2126"/>
        <w:gridCol w:w="5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63" w:type="pct"/>
            <w:noWrap/>
            <w:vAlign w:val="center"/>
          </w:tcPr>
          <w:p>
            <w:pPr>
              <w:pStyle w:val="2"/>
              <w:spacing w:after="0" w:line="360" w:lineRule="auto"/>
              <w:ind w:left="0" w:leftChars="0" w:firstLine="0" w:firstLineChars="0"/>
              <w:jc w:val="center"/>
              <w:rPr>
                <w:rFonts w:ascii="宋体" w:hAnsi="宋体" w:cs="宋体"/>
                <w:b/>
                <w:bCs/>
                <w:szCs w:val="21"/>
                <w:highlight w:val="yellow"/>
              </w:rPr>
            </w:pPr>
            <w:r>
              <w:rPr>
                <w:rFonts w:hint="eastAsia" w:ascii="宋体" w:hAnsi="宋体" w:cs="宋体"/>
                <w:b/>
                <w:bCs/>
                <w:szCs w:val="21"/>
                <w:highlight w:val="yellow"/>
              </w:rPr>
              <w:t>序号</w:t>
            </w:r>
          </w:p>
        </w:tc>
        <w:tc>
          <w:tcPr>
            <w:tcW w:w="1248" w:type="pct"/>
            <w:noWrap/>
            <w:vAlign w:val="center"/>
          </w:tcPr>
          <w:p>
            <w:pPr>
              <w:pStyle w:val="2"/>
              <w:spacing w:after="0" w:line="360" w:lineRule="auto"/>
              <w:ind w:left="0" w:leftChars="0" w:firstLine="0" w:firstLineChars="0"/>
              <w:jc w:val="center"/>
              <w:rPr>
                <w:rFonts w:ascii="宋体" w:hAnsi="宋体" w:cs="宋体"/>
                <w:b/>
                <w:bCs/>
                <w:szCs w:val="21"/>
                <w:highlight w:val="yellow"/>
              </w:rPr>
            </w:pPr>
            <w:r>
              <w:rPr>
                <w:rFonts w:hint="eastAsia" w:ascii="宋体" w:hAnsi="宋体" w:cs="宋体"/>
                <w:b/>
                <w:bCs/>
                <w:szCs w:val="21"/>
                <w:highlight w:val="yellow"/>
              </w:rPr>
              <w:t>索赔保障类型</w:t>
            </w:r>
          </w:p>
        </w:tc>
        <w:tc>
          <w:tcPr>
            <w:tcW w:w="3288" w:type="pct"/>
            <w:noWrap/>
            <w:vAlign w:val="center"/>
          </w:tcPr>
          <w:p>
            <w:pPr>
              <w:pStyle w:val="2"/>
              <w:spacing w:after="0" w:line="360" w:lineRule="auto"/>
              <w:ind w:left="0" w:leftChars="0" w:firstLine="0" w:firstLineChars="0"/>
              <w:jc w:val="center"/>
              <w:rPr>
                <w:rFonts w:ascii="宋体" w:hAnsi="宋体" w:cs="宋体"/>
                <w:b/>
                <w:bCs/>
                <w:szCs w:val="21"/>
                <w:highlight w:val="yellow"/>
              </w:rPr>
            </w:pPr>
            <w:r>
              <w:rPr>
                <w:rFonts w:hint="eastAsia" w:ascii="宋体" w:hAnsi="宋体" w:cs="宋体"/>
                <w:b/>
                <w:bCs/>
                <w:szCs w:val="21"/>
                <w:highlight w:val="yellow"/>
              </w:rPr>
              <w:t>索赔资料清单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pct"/>
            <w:vMerge w:val="restart"/>
            <w:noWrap/>
            <w:vAlign w:val="center"/>
          </w:tcPr>
          <w:p>
            <w:pPr>
              <w:pStyle w:val="2"/>
              <w:spacing w:after="0" w:line="360" w:lineRule="auto"/>
              <w:ind w:left="0" w:leftChars="0" w:firstLine="0" w:firstLineChars="0"/>
              <w:jc w:val="center"/>
              <w:rPr>
                <w:rFonts w:ascii="宋体" w:hAnsi="宋体" w:cs="宋体"/>
                <w:szCs w:val="21"/>
                <w:highlight w:val="yellow"/>
              </w:rPr>
            </w:pPr>
            <w:r>
              <w:rPr>
                <w:rFonts w:hint="eastAsia" w:ascii="宋体" w:hAnsi="宋体" w:cs="宋体"/>
                <w:szCs w:val="21"/>
                <w:highlight w:val="yellow"/>
              </w:rPr>
              <w:t>1</w:t>
            </w:r>
          </w:p>
        </w:tc>
        <w:tc>
          <w:tcPr>
            <w:tcW w:w="1248" w:type="pct"/>
            <w:vMerge w:val="restart"/>
            <w:noWrap/>
            <w:vAlign w:val="center"/>
          </w:tcPr>
          <w:p>
            <w:pPr>
              <w:pStyle w:val="2"/>
              <w:spacing w:after="0" w:line="360" w:lineRule="auto"/>
              <w:ind w:left="0" w:leftChars="0" w:firstLine="0" w:firstLineChars="0"/>
              <w:jc w:val="center"/>
              <w:rPr>
                <w:rFonts w:ascii="宋体" w:hAnsi="宋体" w:cs="宋体"/>
                <w:szCs w:val="21"/>
                <w:highlight w:val="yellow"/>
              </w:rPr>
            </w:pPr>
            <w:r>
              <w:rPr>
                <w:rFonts w:hint="eastAsia" w:ascii="宋体" w:hAnsi="宋体" w:cs="宋体"/>
                <w:szCs w:val="21"/>
                <w:highlight w:val="yellow"/>
              </w:rPr>
              <w:t>身故保险金</w:t>
            </w:r>
          </w:p>
        </w:tc>
        <w:tc>
          <w:tcPr>
            <w:tcW w:w="3288" w:type="pct"/>
            <w:noWrap/>
            <w:vAlign w:val="center"/>
          </w:tcPr>
          <w:p>
            <w:pPr>
              <w:pStyle w:val="2"/>
              <w:spacing w:after="0" w:line="360" w:lineRule="auto"/>
              <w:ind w:left="0" w:leftChars="0" w:firstLine="0" w:firstLineChars="0"/>
              <w:jc w:val="center"/>
              <w:rPr>
                <w:rFonts w:ascii="宋体" w:hAnsi="宋体" w:cs="宋体"/>
                <w:szCs w:val="21"/>
                <w:highlight w:val="yellow"/>
              </w:rPr>
            </w:pPr>
            <w:r>
              <w:rPr>
                <w:rFonts w:hint="eastAsia" w:ascii="宋体" w:hAnsi="宋体" w:cs="宋体"/>
                <w:szCs w:val="21"/>
                <w:highlight w:val="yellow"/>
              </w:rPr>
              <w:t>病历资料（出院小结、医院诊断证明书等）、死亡记录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pct"/>
            <w:vMerge w:val="continue"/>
            <w:noWrap/>
            <w:vAlign w:val="center"/>
          </w:tcPr>
          <w:p>
            <w:pPr>
              <w:pStyle w:val="2"/>
              <w:spacing w:after="0" w:line="360" w:lineRule="auto"/>
              <w:ind w:left="0" w:leftChars="0" w:firstLine="0" w:firstLineChars="0"/>
              <w:jc w:val="center"/>
              <w:rPr>
                <w:rFonts w:ascii="宋体" w:hAnsi="宋体" w:cs="宋体"/>
                <w:szCs w:val="21"/>
                <w:highlight w:val="yellow"/>
              </w:rPr>
            </w:pPr>
          </w:p>
        </w:tc>
        <w:tc>
          <w:tcPr>
            <w:tcW w:w="1248" w:type="pct"/>
            <w:vMerge w:val="continue"/>
            <w:noWrap/>
            <w:vAlign w:val="center"/>
          </w:tcPr>
          <w:p>
            <w:pPr>
              <w:pStyle w:val="2"/>
              <w:spacing w:after="0" w:line="360" w:lineRule="auto"/>
              <w:ind w:left="0" w:leftChars="0" w:firstLine="0" w:firstLineChars="0"/>
              <w:jc w:val="center"/>
              <w:rPr>
                <w:rFonts w:ascii="宋体" w:hAnsi="宋体" w:cs="宋体"/>
                <w:szCs w:val="21"/>
                <w:highlight w:val="yellow"/>
              </w:rPr>
            </w:pPr>
          </w:p>
        </w:tc>
        <w:tc>
          <w:tcPr>
            <w:tcW w:w="3288" w:type="pct"/>
            <w:noWrap/>
            <w:vAlign w:val="center"/>
          </w:tcPr>
          <w:p>
            <w:pPr>
              <w:pStyle w:val="2"/>
              <w:spacing w:after="0" w:line="360" w:lineRule="auto"/>
              <w:ind w:left="0" w:leftChars="0" w:firstLine="0" w:firstLineChars="0"/>
              <w:jc w:val="center"/>
              <w:rPr>
                <w:rFonts w:ascii="宋体" w:hAnsi="宋体" w:cs="宋体"/>
                <w:szCs w:val="21"/>
                <w:highlight w:val="yellow"/>
              </w:rPr>
            </w:pPr>
            <w:r>
              <w:rPr>
                <w:rFonts w:hint="eastAsia" w:ascii="宋体" w:hAnsi="宋体" w:cs="宋体"/>
                <w:szCs w:val="21"/>
                <w:highlight w:val="yellow"/>
              </w:rPr>
              <w:t>死亡证明、火化证明、户籍注销证明（三选二）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pct"/>
            <w:vMerge w:val="continue"/>
            <w:noWrap/>
            <w:vAlign w:val="center"/>
          </w:tcPr>
          <w:p>
            <w:pPr>
              <w:pStyle w:val="2"/>
              <w:spacing w:after="0" w:line="360" w:lineRule="auto"/>
              <w:ind w:left="0" w:leftChars="0" w:firstLine="0" w:firstLineChars="0"/>
              <w:jc w:val="center"/>
              <w:rPr>
                <w:rFonts w:ascii="宋体" w:hAnsi="宋体" w:cs="宋体"/>
                <w:szCs w:val="21"/>
                <w:highlight w:val="yellow"/>
              </w:rPr>
            </w:pPr>
          </w:p>
        </w:tc>
        <w:tc>
          <w:tcPr>
            <w:tcW w:w="1248" w:type="pct"/>
            <w:vMerge w:val="continue"/>
            <w:noWrap/>
            <w:vAlign w:val="center"/>
          </w:tcPr>
          <w:p>
            <w:pPr>
              <w:pStyle w:val="2"/>
              <w:spacing w:after="0" w:line="360" w:lineRule="auto"/>
              <w:ind w:left="0" w:leftChars="0" w:firstLine="0" w:firstLineChars="0"/>
              <w:jc w:val="center"/>
              <w:rPr>
                <w:rFonts w:ascii="宋体" w:hAnsi="宋体" w:cs="宋体"/>
                <w:szCs w:val="21"/>
                <w:highlight w:val="yellow"/>
              </w:rPr>
            </w:pPr>
          </w:p>
        </w:tc>
        <w:tc>
          <w:tcPr>
            <w:tcW w:w="3288" w:type="pct"/>
            <w:noWrap/>
            <w:vAlign w:val="center"/>
          </w:tcPr>
          <w:p>
            <w:pPr>
              <w:pStyle w:val="2"/>
              <w:spacing w:after="0" w:line="360" w:lineRule="auto"/>
              <w:ind w:left="0" w:leftChars="0" w:firstLine="0" w:firstLineChars="0"/>
              <w:jc w:val="center"/>
              <w:rPr>
                <w:rFonts w:ascii="宋体" w:hAnsi="宋体" w:cs="宋体"/>
                <w:szCs w:val="21"/>
                <w:highlight w:val="yellow"/>
              </w:rPr>
            </w:pPr>
            <w:r>
              <w:rPr>
                <w:rFonts w:hint="eastAsia" w:ascii="宋体" w:hAnsi="宋体" w:cs="宋体"/>
                <w:szCs w:val="21"/>
                <w:highlight w:val="yellow"/>
              </w:rPr>
              <w:t>未指定受益人的相关继承权证明材料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463" w:type="pct"/>
            <w:noWrap/>
            <w:vAlign w:val="center"/>
          </w:tcPr>
          <w:p>
            <w:pPr>
              <w:pStyle w:val="2"/>
              <w:spacing w:after="0" w:line="360" w:lineRule="auto"/>
              <w:ind w:left="0" w:leftChars="0" w:firstLine="0" w:firstLineChars="0"/>
              <w:jc w:val="center"/>
              <w:rPr>
                <w:rFonts w:ascii="宋体" w:hAnsi="宋体" w:cs="宋体"/>
                <w:szCs w:val="21"/>
                <w:highlight w:val="yellow"/>
              </w:rPr>
            </w:pPr>
            <w:r>
              <w:rPr>
                <w:rFonts w:hint="eastAsia" w:ascii="宋体" w:hAnsi="宋体" w:cs="宋体"/>
                <w:szCs w:val="21"/>
                <w:highlight w:val="yellow"/>
              </w:rPr>
              <w:t>2</w:t>
            </w:r>
          </w:p>
        </w:tc>
        <w:tc>
          <w:tcPr>
            <w:tcW w:w="1248" w:type="pct"/>
            <w:noWrap/>
            <w:vAlign w:val="center"/>
          </w:tcPr>
          <w:p>
            <w:pPr>
              <w:pStyle w:val="2"/>
              <w:spacing w:after="0" w:line="360" w:lineRule="auto"/>
              <w:ind w:left="0" w:leftChars="0" w:firstLine="0" w:firstLineChars="0"/>
              <w:jc w:val="center"/>
              <w:rPr>
                <w:rFonts w:ascii="宋体" w:hAnsi="宋体" w:cs="宋体"/>
                <w:szCs w:val="21"/>
                <w:highlight w:val="yellow"/>
              </w:rPr>
            </w:pPr>
            <w:r>
              <w:rPr>
                <w:rFonts w:hint="eastAsia" w:ascii="宋体" w:hAnsi="宋体" w:cs="宋体"/>
                <w:szCs w:val="21"/>
                <w:highlight w:val="yellow"/>
              </w:rPr>
              <w:t>伤残保险金</w:t>
            </w:r>
          </w:p>
        </w:tc>
        <w:tc>
          <w:tcPr>
            <w:tcW w:w="3288" w:type="pct"/>
            <w:noWrap/>
            <w:vAlign w:val="center"/>
          </w:tcPr>
          <w:p>
            <w:pPr>
              <w:pStyle w:val="2"/>
              <w:spacing w:after="0" w:line="360" w:lineRule="auto"/>
              <w:ind w:left="0" w:leftChars="0" w:firstLine="0" w:firstLineChars="0"/>
              <w:jc w:val="center"/>
              <w:rPr>
                <w:rFonts w:ascii="宋体" w:hAnsi="宋体" w:cs="宋体"/>
                <w:szCs w:val="21"/>
                <w:highlight w:val="yellow"/>
              </w:rPr>
            </w:pPr>
            <w:r>
              <w:rPr>
                <w:rFonts w:hint="eastAsia" w:ascii="宋体" w:hAnsi="宋体" w:cs="宋体"/>
                <w:szCs w:val="21"/>
                <w:highlight w:val="yellow"/>
              </w:rPr>
              <w:t>病历资料（出院小结、医院诊断证明书等）、伤残鉴定报告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pct"/>
            <w:noWrap/>
            <w:vAlign w:val="center"/>
          </w:tcPr>
          <w:p>
            <w:pPr>
              <w:pStyle w:val="2"/>
              <w:spacing w:after="0" w:line="360" w:lineRule="auto"/>
              <w:ind w:left="0" w:leftChars="0" w:firstLine="0" w:firstLineChars="0"/>
              <w:jc w:val="center"/>
              <w:rPr>
                <w:rFonts w:ascii="宋体" w:hAnsi="宋体" w:cs="宋体"/>
                <w:szCs w:val="21"/>
                <w:highlight w:val="yellow"/>
              </w:rPr>
            </w:pPr>
            <w:r>
              <w:rPr>
                <w:rFonts w:hint="eastAsia" w:ascii="宋体" w:hAnsi="宋体" w:cs="宋体"/>
                <w:szCs w:val="21"/>
                <w:highlight w:val="yellow"/>
              </w:rPr>
              <w:t>3</w:t>
            </w:r>
          </w:p>
        </w:tc>
        <w:tc>
          <w:tcPr>
            <w:tcW w:w="1248" w:type="pct"/>
            <w:noWrap/>
            <w:vAlign w:val="center"/>
          </w:tcPr>
          <w:p>
            <w:pPr>
              <w:pStyle w:val="2"/>
              <w:spacing w:after="0" w:line="360" w:lineRule="auto"/>
              <w:ind w:left="0" w:leftChars="0" w:firstLine="0" w:firstLineChars="0"/>
              <w:jc w:val="center"/>
              <w:rPr>
                <w:rFonts w:ascii="宋体" w:hAnsi="宋体" w:cs="宋体"/>
                <w:szCs w:val="21"/>
                <w:highlight w:val="yellow"/>
              </w:rPr>
            </w:pPr>
            <w:r>
              <w:rPr>
                <w:rFonts w:hint="eastAsia" w:ascii="宋体" w:hAnsi="宋体" w:cs="宋体"/>
                <w:szCs w:val="21"/>
                <w:highlight w:val="yellow"/>
              </w:rPr>
              <w:t>交通意外身故/伤残保险金</w:t>
            </w:r>
          </w:p>
        </w:tc>
        <w:tc>
          <w:tcPr>
            <w:tcW w:w="3288" w:type="pct"/>
            <w:noWrap/>
            <w:vAlign w:val="center"/>
          </w:tcPr>
          <w:p>
            <w:pPr>
              <w:pStyle w:val="2"/>
              <w:spacing w:after="0" w:line="360" w:lineRule="auto"/>
              <w:ind w:left="0" w:leftChars="0" w:firstLine="0" w:firstLineChars="0"/>
              <w:jc w:val="center"/>
              <w:rPr>
                <w:rFonts w:ascii="宋体" w:hAnsi="宋体" w:cs="宋体"/>
                <w:szCs w:val="21"/>
                <w:highlight w:val="yellow"/>
              </w:rPr>
            </w:pPr>
            <w:r>
              <w:rPr>
                <w:rFonts w:hint="eastAsia" w:ascii="宋体" w:hAnsi="宋体" w:cs="宋体"/>
                <w:szCs w:val="21"/>
                <w:highlight w:val="yellow"/>
              </w:rPr>
              <w:t>交通意外伤残、死亡还需提供交通部门出具的《道路交通事故认定书》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pct"/>
            <w:noWrap/>
            <w:vAlign w:val="center"/>
          </w:tcPr>
          <w:p>
            <w:pPr>
              <w:pStyle w:val="2"/>
              <w:spacing w:after="0" w:line="360" w:lineRule="auto"/>
              <w:ind w:left="0" w:leftChars="0" w:firstLine="0" w:firstLineChars="0"/>
              <w:jc w:val="center"/>
              <w:rPr>
                <w:rFonts w:ascii="宋体" w:hAnsi="宋体" w:cs="宋体"/>
                <w:szCs w:val="21"/>
                <w:highlight w:val="yellow"/>
              </w:rPr>
            </w:pPr>
            <w:r>
              <w:rPr>
                <w:rFonts w:hint="eastAsia" w:ascii="宋体" w:hAnsi="宋体" w:cs="宋体"/>
                <w:szCs w:val="21"/>
                <w:highlight w:val="yellow"/>
              </w:rPr>
              <w:t>4</w:t>
            </w:r>
          </w:p>
        </w:tc>
        <w:tc>
          <w:tcPr>
            <w:tcW w:w="1248" w:type="pct"/>
            <w:noWrap/>
            <w:vAlign w:val="center"/>
          </w:tcPr>
          <w:p>
            <w:pPr>
              <w:pStyle w:val="2"/>
              <w:spacing w:after="0" w:line="360" w:lineRule="auto"/>
              <w:ind w:left="0" w:leftChars="0" w:firstLine="0" w:firstLineChars="0"/>
              <w:jc w:val="center"/>
              <w:rPr>
                <w:rFonts w:ascii="宋体" w:hAnsi="宋体" w:cs="宋体"/>
                <w:szCs w:val="21"/>
                <w:highlight w:val="yellow"/>
              </w:rPr>
            </w:pPr>
            <w:r>
              <w:rPr>
                <w:rFonts w:hint="eastAsia" w:ascii="宋体" w:hAnsi="宋体" w:cs="宋体"/>
                <w:szCs w:val="21"/>
                <w:highlight w:val="yellow"/>
              </w:rPr>
              <w:t>意外/疾病门诊医疗费用</w:t>
            </w:r>
          </w:p>
        </w:tc>
        <w:tc>
          <w:tcPr>
            <w:tcW w:w="3288" w:type="pct"/>
            <w:noWrap/>
            <w:vAlign w:val="center"/>
          </w:tcPr>
          <w:p>
            <w:pPr>
              <w:pStyle w:val="2"/>
              <w:spacing w:after="0" w:line="360" w:lineRule="auto"/>
              <w:ind w:left="0" w:leftChars="0" w:firstLine="0" w:firstLineChars="0"/>
              <w:jc w:val="center"/>
              <w:rPr>
                <w:rFonts w:ascii="宋体" w:hAnsi="宋体" w:cs="宋体"/>
                <w:szCs w:val="21"/>
                <w:highlight w:val="yellow"/>
              </w:rPr>
            </w:pPr>
            <w:r>
              <w:rPr>
                <w:rFonts w:hint="eastAsia" w:ascii="宋体" w:hAnsi="宋体" w:cs="宋体"/>
                <w:szCs w:val="21"/>
                <w:highlight w:val="yellow"/>
              </w:rPr>
              <w:t>门诊病历、费用清单、发票原件、医疗诊断证明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pct"/>
            <w:noWrap/>
            <w:vAlign w:val="center"/>
          </w:tcPr>
          <w:p>
            <w:pPr>
              <w:pStyle w:val="2"/>
              <w:spacing w:after="0" w:line="360" w:lineRule="auto"/>
              <w:ind w:left="0" w:leftChars="0" w:firstLine="0" w:firstLineChars="0"/>
              <w:jc w:val="center"/>
              <w:rPr>
                <w:rFonts w:ascii="宋体" w:hAnsi="宋体" w:cs="宋体"/>
                <w:szCs w:val="21"/>
                <w:highlight w:val="yellow"/>
              </w:rPr>
            </w:pPr>
            <w:r>
              <w:rPr>
                <w:rFonts w:hint="eastAsia" w:ascii="宋体" w:hAnsi="宋体" w:cs="宋体"/>
                <w:szCs w:val="21"/>
                <w:highlight w:val="yellow"/>
              </w:rPr>
              <w:t>5</w:t>
            </w:r>
          </w:p>
        </w:tc>
        <w:tc>
          <w:tcPr>
            <w:tcW w:w="1248" w:type="pct"/>
            <w:noWrap/>
            <w:vAlign w:val="center"/>
          </w:tcPr>
          <w:p>
            <w:pPr>
              <w:pStyle w:val="2"/>
              <w:spacing w:after="0" w:line="360" w:lineRule="auto"/>
              <w:ind w:left="0" w:leftChars="0" w:firstLine="0" w:firstLineChars="0"/>
              <w:jc w:val="center"/>
              <w:rPr>
                <w:rFonts w:ascii="宋体" w:hAnsi="宋体" w:cs="宋体"/>
                <w:szCs w:val="21"/>
                <w:highlight w:val="yellow"/>
              </w:rPr>
            </w:pPr>
            <w:r>
              <w:rPr>
                <w:rFonts w:hint="eastAsia" w:ascii="宋体" w:hAnsi="宋体" w:cs="宋体"/>
                <w:szCs w:val="21"/>
                <w:highlight w:val="yellow"/>
              </w:rPr>
              <w:t>意外/疾病住院医疗类</w:t>
            </w:r>
          </w:p>
        </w:tc>
        <w:tc>
          <w:tcPr>
            <w:tcW w:w="3288" w:type="pct"/>
            <w:noWrap/>
            <w:vAlign w:val="center"/>
          </w:tcPr>
          <w:p>
            <w:pPr>
              <w:pStyle w:val="2"/>
              <w:spacing w:after="0" w:line="360" w:lineRule="auto"/>
              <w:ind w:left="0" w:leftChars="0" w:firstLine="0" w:firstLineChars="0"/>
              <w:jc w:val="center"/>
              <w:rPr>
                <w:rFonts w:ascii="宋体" w:hAnsi="宋体" w:cs="宋体"/>
                <w:szCs w:val="21"/>
                <w:highlight w:val="yellow"/>
              </w:rPr>
            </w:pPr>
            <w:r>
              <w:rPr>
                <w:rFonts w:hint="eastAsia" w:ascii="宋体" w:hAnsi="宋体" w:cs="宋体"/>
                <w:szCs w:val="21"/>
                <w:highlight w:val="yellow"/>
              </w:rPr>
              <w:t>病历资料（出院小结、医院诊断证明书等）、发票原件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pct"/>
            <w:noWrap/>
            <w:vAlign w:val="center"/>
          </w:tcPr>
          <w:p>
            <w:pPr>
              <w:pStyle w:val="2"/>
              <w:spacing w:after="0" w:line="360" w:lineRule="auto"/>
              <w:ind w:left="0" w:leftChars="0" w:firstLine="0" w:firstLineChars="0"/>
              <w:jc w:val="center"/>
              <w:rPr>
                <w:rFonts w:ascii="宋体" w:hAnsi="宋体" w:cs="宋体"/>
                <w:szCs w:val="21"/>
                <w:highlight w:val="yellow"/>
              </w:rPr>
            </w:pPr>
            <w:r>
              <w:rPr>
                <w:rFonts w:hint="eastAsia" w:ascii="宋体" w:hAnsi="宋体" w:cs="宋体"/>
                <w:szCs w:val="21"/>
                <w:highlight w:val="yellow"/>
              </w:rPr>
              <w:t>6</w:t>
            </w:r>
          </w:p>
        </w:tc>
        <w:tc>
          <w:tcPr>
            <w:tcW w:w="1248" w:type="pct"/>
            <w:noWrap/>
            <w:vAlign w:val="center"/>
          </w:tcPr>
          <w:p>
            <w:pPr>
              <w:pStyle w:val="2"/>
              <w:spacing w:after="0" w:line="360" w:lineRule="auto"/>
              <w:ind w:left="0" w:leftChars="0" w:firstLine="0" w:firstLineChars="0"/>
              <w:jc w:val="center"/>
              <w:rPr>
                <w:rFonts w:ascii="宋体" w:hAnsi="宋体" w:cs="宋体"/>
                <w:szCs w:val="21"/>
                <w:highlight w:val="yellow"/>
              </w:rPr>
            </w:pPr>
            <w:r>
              <w:rPr>
                <w:rFonts w:hint="eastAsia" w:ascii="宋体" w:hAnsi="宋体" w:cs="宋体"/>
                <w:szCs w:val="21"/>
                <w:highlight w:val="yellow"/>
              </w:rPr>
              <w:t>意外/疾病住院津贴类</w:t>
            </w:r>
          </w:p>
        </w:tc>
        <w:tc>
          <w:tcPr>
            <w:tcW w:w="3288" w:type="pct"/>
            <w:noWrap/>
            <w:vAlign w:val="center"/>
          </w:tcPr>
          <w:p>
            <w:pPr>
              <w:pStyle w:val="2"/>
              <w:spacing w:after="0" w:line="360" w:lineRule="auto"/>
              <w:ind w:left="0" w:leftChars="0" w:firstLine="0" w:firstLineChars="0"/>
              <w:jc w:val="center"/>
              <w:rPr>
                <w:rFonts w:ascii="宋体" w:hAnsi="宋体" w:cs="宋体"/>
                <w:szCs w:val="21"/>
                <w:highlight w:val="yellow"/>
              </w:rPr>
            </w:pPr>
            <w:r>
              <w:rPr>
                <w:rFonts w:hint="eastAsia" w:ascii="宋体" w:hAnsi="宋体" w:cs="宋体"/>
                <w:szCs w:val="21"/>
                <w:highlight w:val="yellow"/>
              </w:rPr>
              <w:t>病历资料（出院小结、医院诊断证明书等）、发票复印件、费用总清单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pct"/>
            <w:noWrap/>
            <w:vAlign w:val="center"/>
          </w:tcPr>
          <w:p>
            <w:pPr>
              <w:pStyle w:val="2"/>
              <w:spacing w:after="0" w:line="360" w:lineRule="auto"/>
              <w:ind w:left="0" w:leftChars="0" w:firstLine="0" w:firstLineChars="0"/>
              <w:jc w:val="center"/>
              <w:rPr>
                <w:rFonts w:ascii="宋体" w:hAnsi="宋体" w:cs="宋体"/>
                <w:szCs w:val="21"/>
                <w:highlight w:val="yellow"/>
              </w:rPr>
            </w:pPr>
            <w:r>
              <w:rPr>
                <w:rFonts w:hint="eastAsia" w:ascii="宋体" w:hAnsi="宋体" w:cs="宋体"/>
                <w:szCs w:val="21"/>
                <w:highlight w:val="yellow"/>
              </w:rPr>
              <w:t>7</w:t>
            </w:r>
          </w:p>
        </w:tc>
        <w:tc>
          <w:tcPr>
            <w:tcW w:w="1248" w:type="pct"/>
            <w:noWrap/>
            <w:vAlign w:val="center"/>
          </w:tcPr>
          <w:p>
            <w:pPr>
              <w:pStyle w:val="2"/>
              <w:spacing w:after="0" w:line="360" w:lineRule="auto"/>
              <w:ind w:left="0" w:leftChars="0" w:firstLine="0" w:firstLineChars="0"/>
              <w:jc w:val="center"/>
              <w:rPr>
                <w:rFonts w:ascii="宋体" w:hAnsi="宋体" w:cs="宋体"/>
                <w:szCs w:val="21"/>
                <w:highlight w:val="yellow"/>
              </w:rPr>
            </w:pPr>
            <w:r>
              <w:rPr>
                <w:rFonts w:hint="eastAsia" w:ascii="宋体" w:hAnsi="宋体" w:cs="宋体"/>
                <w:color w:val="000000"/>
                <w:szCs w:val="21"/>
                <w:highlight w:val="yellow"/>
              </w:rPr>
              <w:t>重大疾病保险金</w:t>
            </w:r>
          </w:p>
        </w:tc>
        <w:tc>
          <w:tcPr>
            <w:tcW w:w="3288" w:type="pct"/>
            <w:noWrap/>
            <w:vAlign w:val="center"/>
          </w:tcPr>
          <w:p>
            <w:pPr>
              <w:pStyle w:val="2"/>
              <w:spacing w:after="0" w:line="360" w:lineRule="auto"/>
              <w:ind w:left="0" w:leftChars="0" w:firstLine="0" w:firstLineChars="0"/>
              <w:jc w:val="center"/>
              <w:rPr>
                <w:rFonts w:ascii="宋体" w:hAnsi="宋体" w:cs="宋体"/>
                <w:szCs w:val="21"/>
                <w:highlight w:val="yellow"/>
              </w:rPr>
            </w:pPr>
            <w:r>
              <w:rPr>
                <w:rFonts w:hint="eastAsia" w:ascii="宋体" w:hAnsi="宋体" w:cs="宋体"/>
                <w:color w:val="000000"/>
                <w:szCs w:val="21"/>
                <w:highlight w:val="yellow"/>
              </w:rPr>
              <w:t>病历资料（出院小结、医院诊断证明书、手术记录等）、病理检查报告及其他化验检查报告单</w:t>
            </w:r>
          </w:p>
        </w:tc>
      </w:tr>
    </w:tbl>
    <w:p>
      <w:pPr>
        <w:pStyle w:val="48"/>
        <w:spacing w:line="360" w:lineRule="auto"/>
        <w:rPr>
          <w:rFonts w:ascii="宋体" w:hAnsi="宋体" w:cs="宋体"/>
          <w:highlight w:val="yellow"/>
        </w:rPr>
      </w:pPr>
      <w:r>
        <w:rPr>
          <w:rFonts w:hint="eastAsia" w:ascii="宋体" w:hAnsi="宋体" w:cs="宋体"/>
          <w:highlight w:val="yellow"/>
        </w:rPr>
        <w:t>（5）中标人在收到被保险人提交理赔单证后，应在2个工作日内告知单证是否符合要求，如单证不齐全或不符合要求的，应一次性告知清单及相关要求。</w:t>
      </w:r>
    </w:p>
    <w:p>
      <w:pPr>
        <w:pStyle w:val="48"/>
        <w:spacing w:line="360" w:lineRule="auto"/>
        <w:rPr>
          <w:rFonts w:ascii="宋体" w:hAnsi="宋体" w:cs="宋体"/>
          <w:highlight w:val="yellow"/>
        </w:rPr>
      </w:pPr>
      <w:r>
        <w:rPr>
          <w:rFonts w:hint="eastAsia" w:ascii="宋体" w:hAnsi="宋体" w:cs="宋体"/>
          <w:highlight w:val="yellow"/>
        </w:rPr>
        <w:t>（6）定损、核赔、赔款支付时效要求：中标人自理赔单证收集齐全后，10个工作日内完成定责、核损、赔款支付相关工作。</w:t>
      </w:r>
    </w:p>
    <w:p>
      <w:pPr>
        <w:pStyle w:val="48"/>
        <w:spacing w:line="360" w:lineRule="auto"/>
        <w:ind w:firstLine="422"/>
        <w:rPr>
          <w:rFonts w:ascii="宋体" w:hAnsi="宋体" w:cs="宋体"/>
          <w:highlight w:val="yellow"/>
        </w:rPr>
      </w:pPr>
      <w:r>
        <w:rPr>
          <w:rFonts w:hint="eastAsia" w:ascii="宋体" w:hAnsi="宋体" w:cs="宋体"/>
          <w:bCs/>
          <w:highlight w:val="yellow"/>
        </w:rPr>
        <w:t>（7）</w:t>
      </w:r>
      <w:r>
        <w:rPr>
          <w:rFonts w:hint="eastAsia" w:ascii="宋体" w:hAnsi="宋体" w:cs="宋体"/>
          <w:bCs/>
          <w:kern w:val="0"/>
          <w:highlight w:val="yellow"/>
        </w:rPr>
        <w:t>中标人应无条件配合保险经纪人按时、准确、完整地报送本项目有关的理赔数据。每个月结束后5个工作日内，中标人应按照保险经纪人制定的理赔数据报送模板向保险经纪人报送数据。</w:t>
      </w:r>
    </w:p>
    <w:p>
      <w:pPr>
        <w:pStyle w:val="60"/>
        <w:spacing w:line="360" w:lineRule="auto"/>
        <w:ind w:firstLine="422" w:firstLineChars="200"/>
        <w:rPr>
          <w:rFonts w:ascii="宋体" w:hAnsi="宋体" w:eastAsia="宋体" w:cs="宋体"/>
          <w:b/>
          <w:bCs/>
          <w:color w:val="auto"/>
          <w:sz w:val="21"/>
          <w:szCs w:val="21"/>
          <w:highlight w:val="yellow"/>
        </w:rPr>
      </w:pPr>
      <w:r>
        <w:rPr>
          <w:rFonts w:hint="eastAsia" w:ascii="宋体" w:hAnsi="宋体" w:eastAsia="宋体" w:cs="宋体"/>
          <w:b/>
          <w:bCs/>
          <w:color w:val="auto"/>
          <w:sz w:val="21"/>
          <w:szCs w:val="21"/>
          <w:highlight w:val="yellow"/>
        </w:rPr>
        <w:t>3、增值服务</w:t>
      </w:r>
    </w:p>
    <w:p>
      <w:pPr>
        <w:pStyle w:val="48"/>
        <w:spacing w:line="360" w:lineRule="auto"/>
        <w:rPr>
          <w:rFonts w:ascii="宋体" w:hAnsi="宋体" w:cs="宋体"/>
          <w:highlight w:val="yellow"/>
        </w:rPr>
      </w:pPr>
      <w:r>
        <w:rPr>
          <w:rFonts w:hint="eastAsia" w:ascii="宋体" w:hAnsi="宋体" w:cs="宋体"/>
          <w:highlight w:val="yellow"/>
        </w:rPr>
        <w:t>（1）中标人须按照保险经纪人的要求印制《客户服务卡片》，并分发至各辅聘人员；</w:t>
      </w:r>
    </w:p>
    <w:p>
      <w:pPr>
        <w:pStyle w:val="7"/>
        <w:spacing w:before="0" w:after="0" w:line="360" w:lineRule="auto"/>
        <w:ind w:firstLine="420" w:firstLineChars="200"/>
        <w:rPr>
          <w:rFonts w:ascii="宋体" w:hAnsi="宋体" w:cs="宋体"/>
          <w:b w:val="0"/>
          <w:bCs w:val="0"/>
          <w:sz w:val="21"/>
          <w:szCs w:val="21"/>
          <w:highlight w:val="yellow"/>
        </w:rPr>
      </w:pPr>
      <w:r>
        <w:rPr>
          <w:rFonts w:hint="eastAsia" w:ascii="宋体" w:hAnsi="宋体" w:cs="宋体"/>
          <w:b w:val="0"/>
          <w:bCs w:val="0"/>
          <w:sz w:val="21"/>
          <w:szCs w:val="21"/>
          <w:highlight w:val="yellow"/>
        </w:rPr>
        <w:t>（2）中标人须按要求定期或不定期提供保险相关培训，培训内容包括保险保障内容、出险索赔程序、单证填写注意事项等，如中标人就培训事项另行委托其他单位，产生的相关费用由中标人承担。</w:t>
      </w:r>
    </w:p>
    <w:p>
      <w:pPr>
        <w:pStyle w:val="18"/>
      </w:pPr>
    </w:p>
    <w:p>
      <w:pPr>
        <w:pStyle w:val="18"/>
      </w:pPr>
    </w:p>
    <w:p>
      <w:pPr>
        <w:widowControl/>
        <w:spacing w:line="360" w:lineRule="auto"/>
        <w:ind w:firstLine="482" w:firstLineChars="200"/>
        <w:jc w:val="left"/>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三、项目商务要求：</w:t>
      </w:r>
    </w:p>
    <w:p>
      <w:pPr>
        <w:spacing w:line="360" w:lineRule="auto"/>
        <w:ind w:firstLine="480" w:firstLineChars="200"/>
        <w:rPr>
          <w:rFonts w:ascii="宋体" w:hAnsi="宋体" w:cs="宋体"/>
          <w:b/>
          <w:bCs/>
          <w:szCs w:val="21"/>
          <w:highlight w:val="yellow"/>
        </w:rPr>
      </w:pPr>
      <w:r>
        <w:rPr>
          <w:rFonts w:hint="eastAsia" w:ascii="仿宋_GB2312" w:eastAsia="仿宋_GB2312"/>
          <w:sz w:val="24"/>
          <w:highlight w:val="yellow"/>
        </w:rPr>
        <w:t>★</w:t>
      </w:r>
      <w:r>
        <w:rPr>
          <w:rFonts w:hint="eastAsia" w:ascii="宋体" w:hAnsi="宋体" w:cs="宋体"/>
          <w:b/>
          <w:bCs/>
          <w:szCs w:val="21"/>
          <w:highlight w:val="yellow"/>
        </w:rPr>
        <w:t>（一）服务期限</w:t>
      </w:r>
    </w:p>
    <w:p>
      <w:pPr>
        <w:spacing w:line="360" w:lineRule="auto"/>
        <w:ind w:firstLine="420" w:firstLineChars="200"/>
        <w:jc w:val="left"/>
        <w:rPr>
          <w:rFonts w:ascii="宋体" w:hAnsi="宋体" w:cs="宋体"/>
          <w:szCs w:val="21"/>
          <w:highlight w:val="yellow"/>
        </w:rPr>
      </w:pPr>
      <w:r>
        <w:rPr>
          <w:rFonts w:hint="eastAsia" w:ascii="宋体" w:hAnsi="宋体" w:cs="宋体"/>
          <w:szCs w:val="21"/>
          <w:highlight w:val="yellow"/>
        </w:rPr>
        <w:t>自签订合同签订之日起一年。本项目为长期服务类项目，采购人在合同到期前</w:t>
      </w:r>
      <w:r>
        <w:rPr>
          <w:rFonts w:hint="eastAsia" w:ascii="宋体" w:hAnsi="宋体" w:cs="宋体"/>
          <w:szCs w:val="21"/>
          <w:highlight w:val="yellow"/>
          <w:lang w:eastAsia="zh-CN"/>
        </w:rPr>
        <w:t>至少</w:t>
      </w:r>
      <w:r>
        <w:rPr>
          <w:rFonts w:hint="eastAsia" w:ascii="宋体" w:hAnsi="宋体" w:cs="宋体"/>
          <w:szCs w:val="21"/>
          <w:highlight w:val="yellow"/>
          <w:lang w:val="en-US" w:eastAsia="zh-CN"/>
        </w:rPr>
        <w:t>3</w:t>
      </w:r>
      <w:r>
        <w:rPr>
          <w:rFonts w:hint="eastAsia" w:ascii="宋体" w:hAnsi="宋体" w:cs="宋体"/>
          <w:szCs w:val="21"/>
          <w:highlight w:val="yellow"/>
        </w:rPr>
        <w:t>个月，采购单位根据中标保险公司的服务履约情况决定是否续签。中标保险公司的服务履约情况合格的，采购人可以按原合同条款续签下一年度合同，每次续签期限一年，最多可续签两次；若履约不合格，则不再续约。</w:t>
      </w:r>
    </w:p>
    <w:p>
      <w:pPr>
        <w:spacing w:line="360" w:lineRule="auto"/>
        <w:ind w:firstLine="422" w:firstLineChars="200"/>
        <w:rPr>
          <w:rFonts w:ascii="宋体" w:hAnsi="宋体" w:cs="宋体"/>
          <w:szCs w:val="21"/>
        </w:rPr>
      </w:pPr>
      <w:r>
        <w:rPr>
          <w:rFonts w:hint="eastAsia" w:ascii="宋体" w:hAnsi="宋体" w:cs="宋体"/>
          <w:b/>
          <w:bCs/>
          <w:szCs w:val="21"/>
        </w:rPr>
        <w:t>（二）投标报价要求 </w:t>
      </w:r>
      <w:r>
        <w:rPr>
          <w:rFonts w:hint="eastAsia" w:ascii="宋体" w:hAnsi="宋体" w:cs="宋体"/>
          <w:szCs w:val="21"/>
        </w:rPr>
        <w:t>    </w:t>
      </w:r>
    </w:p>
    <w:p>
      <w:pPr>
        <w:spacing w:line="360" w:lineRule="auto"/>
        <w:ind w:firstLine="420" w:firstLineChars="200"/>
        <w:jc w:val="left"/>
        <w:rPr>
          <w:rFonts w:ascii="宋体" w:hAnsi="宋体" w:cs="宋体"/>
          <w:szCs w:val="21"/>
        </w:rPr>
      </w:pPr>
      <w:r>
        <w:rPr>
          <w:rFonts w:hint="eastAsia" w:ascii="宋体" w:hAnsi="宋体" w:cs="宋体"/>
          <w:szCs w:val="21"/>
        </w:rPr>
        <w:t>1、投标人应根据本企业的成本自行决定报价，但不</w:t>
      </w:r>
      <w:r>
        <w:rPr>
          <w:rFonts w:hint="eastAsia" w:ascii="宋体" w:hAnsi="宋体" w:cs="宋体"/>
          <w:szCs w:val="21"/>
          <w:lang w:val="en-US" w:eastAsia="zh-CN"/>
        </w:rPr>
        <w:t xml:space="preserve"> </w:t>
      </w:r>
      <w:r>
        <w:rPr>
          <w:rFonts w:hint="eastAsia" w:ascii="宋体" w:hAnsi="宋体" w:cs="宋体"/>
          <w:szCs w:val="21"/>
        </w:rPr>
        <w:t>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firstLine="420" w:firstLineChars="200"/>
        <w:jc w:val="left"/>
        <w:rPr>
          <w:rFonts w:ascii="宋体" w:hAnsi="宋体" w:cs="宋体"/>
          <w:szCs w:val="21"/>
        </w:rPr>
      </w:pPr>
      <w:r>
        <w:rPr>
          <w:rFonts w:hint="eastAsia" w:ascii="宋体" w:hAnsi="宋体" w:cs="宋体"/>
          <w:szCs w:val="21"/>
        </w:rPr>
        <w:t>2、投标人的投标报价，应是本项目招标范围和招标文件及合同条款上所列的各项内容中所述的全部，不得以任何理由予以重复，并以投标人在投标文件中提出的综合单价或总价为依据。</w:t>
      </w:r>
    </w:p>
    <w:p>
      <w:pPr>
        <w:spacing w:line="360" w:lineRule="auto"/>
        <w:ind w:firstLine="420" w:firstLineChars="200"/>
        <w:jc w:val="left"/>
        <w:rPr>
          <w:rFonts w:ascii="宋体" w:hAnsi="宋体" w:cs="宋体"/>
          <w:szCs w:val="21"/>
        </w:rPr>
      </w:pPr>
      <w:r>
        <w:rPr>
          <w:rFonts w:hint="eastAsia" w:ascii="宋体" w:hAnsi="宋体" w:cs="宋体"/>
          <w:szCs w:val="21"/>
        </w:rPr>
        <w:t>3、除非采购代理机构通过修改招标文件予以更正，否则，投标人应毫无例外地按招标文件所列的清单中项目和数量填报综合单价或总价。投标人未填综合单价或总价的项目，在实施后，将不得以支付，并视作该项费用已包括在其它有价款的综合单价或总价内。</w:t>
      </w:r>
    </w:p>
    <w:p>
      <w:pPr>
        <w:spacing w:line="360" w:lineRule="auto"/>
        <w:ind w:firstLine="420" w:firstLineChars="200"/>
        <w:jc w:val="left"/>
        <w:rPr>
          <w:rFonts w:ascii="宋体" w:hAnsi="宋体" w:cs="宋体"/>
          <w:szCs w:val="21"/>
        </w:rPr>
      </w:pPr>
      <w:r>
        <w:rPr>
          <w:rFonts w:hint="eastAsia" w:ascii="宋体" w:hAnsi="宋体" w:cs="宋体"/>
          <w:szCs w:val="21"/>
        </w:rPr>
        <w:t>4、投标人应充分了解项目的位置、情况、道路及任何其它足以影响投标报价的情况，任何因忽视或误解项目情况而导致的索赔或服务期限延长申请将不获批准。</w:t>
      </w:r>
    </w:p>
    <w:p>
      <w:pPr>
        <w:spacing w:line="360" w:lineRule="auto"/>
        <w:ind w:firstLine="420" w:firstLineChars="200"/>
        <w:jc w:val="left"/>
        <w:rPr>
          <w:rFonts w:ascii="宋体" w:hAnsi="宋体" w:cs="宋体"/>
          <w:szCs w:val="21"/>
        </w:rPr>
      </w:pPr>
      <w:r>
        <w:rPr>
          <w:rFonts w:hint="eastAsia" w:ascii="宋体" w:hAnsi="宋体" w:cs="宋体"/>
          <w:szCs w:val="21"/>
        </w:rPr>
        <w:t>5、投标人不得期望通过索赔等方式获取补偿，否则，除可能遭到拒绝外，还可能将被作为不良行为记录在案，并可能影响其以后参加政府采购的项目投标。各投标人在投标报价时，应充分考虑投标报价的风险。</w:t>
      </w:r>
    </w:p>
    <w:p>
      <w:pPr>
        <w:spacing w:line="360" w:lineRule="auto"/>
        <w:ind w:firstLine="480" w:firstLineChars="200"/>
        <w:jc w:val="left"/>
        <w:rPr>
          <w:rFonts w:ascii="宋体" w:hAnsi="宋体" w:cs="宋体"/>
          <w:szCs w:val="21"/>
          <w:highlight w:val="yellow"/>
        </w:rPr>
      </w:pPr>
      <w:r>
        <w:rPr>
          <w:rFonts w:hint="eastAsia" w:ascii="仿宋_GB2312" w:eastAsia="仿宋_GB2312"/>
          <w:sz w:val="24"/>
          <w:highlight w:val="yellow"/>
        </w:rPr>
        <w:t>★</w:t>
      </w:r>
      <w:r>
        <w:rPr>
          <w:rFonts w:hint="eastAsia" w:ascii="宋体" w:hAnsi="宋体" w:cs="宋体"/>
          <w:szCs w:val="21"/>
          <w:highlight w:val="yellow"/>
        </w:rPr>
        <w:t>6、投标人根据投标文件中承诺的保险方案进行报价，报价须包含所有险种的价格。</w:t>
      </w:r>
    </w:p>
    <w:p>
      <w:pPr>
        <w:spacing w:line="360" w:lineRule="auto"/>
        <w:ind w:firstLine="420" w:firstLineChars="200"/>
        <w:rPr>
          <w:rFonts w:ascii="宋体" w:hAnsi="宋体" w:cs="宋体"/>
          <w:szCs w:val="21"/>
          <w:highlight w:val="yellow"/>
        </w:rPr>
      </w:pPr>
      <w:r>
        <w:rPr>
          <w:rFonts w:hint="eastAsia" w:ascii="宋体" w:hAnsi="宋体" w:cs="宋体"/>
          <w:szCs w:val="21"/>
          <w:highlight w:val="yellow"/>
        </w:rPr>
        <w:t>（1）服务期内，新增加人员享受同样的承保方案及费率。</w:t>
      </w:r>
    </w:p>
    <w:p>
      <w:pPr>
        <w:spacing w:line="360" w:lineRule="auto"/>
        <w:ind w:firstLine="420" w:firstLineChars="200"/>
        <w:jc w:val="left"/>
        <w:rPr>
          <w:rFonts w:ascii="宋体" w:hAnsi="宋体" w:cs="宋体"/>
          <w:szCs w:val="21"/>
          <w:highlight w:val="yellow"/>
        </w:rPr>
      </w:pPr>
      <w:r>
        <w:rPr>
          <w:rFonts w:hint="eastAsia" w:ascii="宋体" w:hAnsi="宋体" w:cs="宋体"/>
          <w:szCs w:val="21"/>
          <w:highlight w:val="yellow"/>
        </w:rPr>
        <w:t>（2）总保费=参保人数*中标单价；综合单价上限为200.00元/人，总保费支付上限：人民币375,400.00元，超过综合单价上限金额的报价均按无效投标处理。</w:t>
      </w:r>
    </w:p>
    <w:p>
      <w:pPr>
        <w:spacing w:line="360" w:lineRule="auto"/>
        <w:ind w:firstLine="420" w:firstLineChars="200"/>
        <w:rPr>
          <w:rFonts w:ascii="宋体" w:hAnsi="宋体" w:cs="宋体"/>
          <w:szCs w:val="21"/>
          <w:highlight w:val="yellow"/>
        </w:rPr>
      </w:pPr>
      <w:r>
        <w:rPr>
          <w:rFonts w:hint="eastAsia" w:ascii="宋体" w:hAnsi="宋体" w:cs="宋体"/>
          <w:szCs w:val="21"/>
          <w:highlight w:val="yellow"/>
        </w:rPr>
        <w:t>（3）合同续约时，中标单价不变，根据实际参保人数及中标单价计收续约保费。</w:t>
      </w:r>
    </w:p>
    <w:p>
      <w:pPr>
        <w:widowControl/>
        <w:spacing w:line="360" w:lineRule="auto"/>
        <w:ind w:firstLine="422" w:firstLineChars="200"/>
        <w:rPr>
          <w:rFonts w:ascii="宋体" w:hAnsi="宋体" w:cs="宋体"/>
          <w:b/>
          <w:bCs/>
          <w:szCs w:val="21"/>
        </w:rPr>
      </w:pPr>
      <w:r>
        <w:rPr>
          <w:rFonts w:hint="eastAsia" w:ascii="宋体" w:hAnsi="宋体" w:cs="宋体"/>
          <w:b/>
          <w:bCs/>
          <w:szCs w:val="21"/>
        </w:rPr>
        <w:t>（三）付款方式</w:t>
      </w:r>
    </w:p>
    <w:p>
      <w:pPr>
        <w:spacing w:line="360" w:lineRule="auto"/>
        <w:ind w:firstLine="420" w:firstLineChars="200"/>
        <w:jc w:val="left"/>
        <w:rPr>
          <w:rFonts w:hint="eastAsia" w:ascii="宋体" w:hAnsi="宋体" w:cs="宋体"/>
          <w:szCs w:val="21"/>
        </w:rPr>
      </w:pPr>
      <w:r>
        <w:rPr>
          <w:rFonts w:hint="eastAsia" w:ascii="宋体" w:hAnsi="宋体" w:cs="宋体"/>
          <w:szCs w:val="21"/>
          <w:lang w:val="en-US" w:eastAsia="zh-CN"/>
        </w:rPr>
        <w:t>按</w:t>
      </w:r>
      <w:r>
        <w:rPr>
          <w:rFonts w:hint="eastAsia" w:ascii="宋体" w:hAnsi="宋体" w:cs="宋体"/>
          <w:szCs w:val="21"/>
        </w:rPr>
        <w:t>深圳市财政委相关规定</w:t>
      </w:r>
      <w:r>
        <w:rPr>
          <w:rFonts w:hint="eastAsia" w:ascii="宋体" w:hAnsi="宋体" w:cs="宋体"/>
          <w:szCs w:val="21"/>
          <w:lang w:val="en-US" w:eastAsia="zh-CN"/>
        </w:rPr>
        <w:t>执行</w:t>
      </w:r>
      <w:r>
        <w:rPr>
          <w:rFonts w:hint="eastAsia" w:ascii="宋体" w:hAnsi="宋体" w:cs="宋体"/>
          <w:szCs w:val="21"/>
        </w:rPr>
        <w:t>，中标人提供合法有效的税务票据后由采购人按财政审批程序启动将保险费支付至中标人指定账户。</w:t>
      </w:r>
    </w:p>
    <w:p>
      <w:pPr>
        <w:spacing w:line="360" w:lineRule="auto"/>
        <w:ind w:firstLine="422" w:firstLineChars="200"/>
        <w:rPr>
          <w:rFonts w:ascii="宋体" w:hAnsi="宋体" w:cs="宋体"/>
          <w:b/>
          <w:bCs/>
          <w:szCs w:val="21"/>
        </w:rPr>
      </w:pPr>
      <w:r>
        <w:rPr>
          <w:rFonts w:hint="eastAsia" w:ascii="宋体" w:hAnsi="宋体" w:cs="宋体"/>
          <w:b/>
          <w:bCs/>
          <w:szCs w:val="21"/>
        </w:rPr>
        <w:t>（四）质量考核验收标准及违约金：</w:t>
      </w:r>
    </w:p>
    <w:p>
      <w:pPr>
        <w:spacing w:line="360" w:lineRule="auto"/>
        <w:ind w:firstLine="420" w:firstLineChars="200"/>
        <w:jc w:val="left"/>
        <w:rPr>
          <w:rFonts w:ascii="宋体" w:hAnsi="宋体" w:cs="宋体"/>
          <w:szCs w:val="21"/>
        </w:rPr>
      </w:pPr>
      <w:r>
        <w:rPr>
          <w:rFonts w:hint="eastAsia" w:ascii="宋体" w:hAnsi="宋体" w:cs="宋体"/>
          <w:szCs w:val="21"/>
        </w:rPr>
        <w:t>1、质量考核验收标准：</w:t>
      </w:r>
      <w:r>
        <w:rPr>
          <w:rFonts w:hint="eastAsia" w:ascii="宋体" w:hAnsi="宋体" w:cs="宋体"/>
          <w:kern w:val="0"/>
          <w:szCs w:val="21"/>
        </w:rPr>
        <w:t>在保单年度结束前4个月，由采购人与保险经纪人对中标供应商根据招投标文件中的条款（包括但不限于中标人在投标文件中提出的安全保密服务、承保理赔服务、增值服务等）进行履约评价。</w:t>
      </w:r>
      <w:r>
        <w:rPr>
          <w:rFonts w:hint="eastAsia" w:ascii="宋体" w:hAnsi="宋体" w:cs="宋体"/>
          <w:szCs w:val="21"/>
        </w:rPr>
        <w:t>最终考核规则将由采购单位根据合同和实际情况制定，采购单位对考核规则拥有最终修改权和解释权，中标人须无条件接受。采购单位有权根据履约考核结果决定是否与中标单位续签保险合同。</w:t>
      </w:r>
    </w:p>
    <w:p>
      <w:pPr>
        <w:adjustRightInd w:val="0"/>
        <w:spacing w:line="360" w:lineRule="auto"/>
        <w:ind w:firstLine="420" w:firstLineChars="200"/>
        <w:jc w:val="left"/>
        <w:rPr>
          <w:rFonts w:ascii="宋体" w:hAnsi="宋体" w:cs="宋体"/>
          <w:snapToGrid w:val="0"/>
          <w:kern w:val="0"/>
          <w:szCs w:val="21"/>
        </w:rPr>
      </w:pPr>
      <w:r>
        <w:rPr>
          <w:rFonts w:hint="eastAsia" w:ascii="宋体" w:hAnsi="宋体" w:cs="宋体"/>
          <w:szCs w:val="21"/>
        </w:rPr>
        <w:t>2、违约金：无，若有违约行为</w:t>
      </w:r>
      <w:r>
        <w:rPr>
          <w:rFonts w:hint="eastAsia" w:ascii="宋体" w:hAnsi="宋体" w:cs="宋体"/>
          <w:szCs w:val="21"/>
          <w:lang w:eastAsia="zh-CN"/>
        </w:rPr>
        <w:t>采购人有权终止合同</w:t>
      </w:r>
      <w:r>
        <w:rPr>
          <w:rFonts w:hint="eastAsia" w:ascii="宋体" w:hAnsi="宋体" w:cs="宋体"/>
          <w:szCs w:val="21"/>
        </w:rPr>
        <w:t>。</w:t>
      </w:r>
    </w:p>
    <w:p>
      <w:pPr>
        <w:widowControl/>
        <w:spacing w:line="360" w:lineRule="auto"/>
        <w:ind w:firstLine="482" w:firstLineChars="200"/>
        <w:jc w:val="left"/>
        <w:rPr>
          <w:rFonts w:hint="eastAsia" w:ascii="宋体" w:hAnsi="宋体" w:cs="宋体"/>
          <w:b/>
          <w:bCs/>
          <w:color w:val="000000" w:themeColor="text1"/>
          <w:sz w:val="24"/>
          <w:szCs w:val="24"/>
          <w:lang w:val="en-US" w:eastAsia="zh-CN"/>
          <w14:textFill>
            <w14:solidFill>
              <w14:schemeClr w14:val="tx1"/>
            </w14:solidFill>
          </w14:textFill>
        </w:rPr>
      </w:pPr>
    </w:p>
    <w:p>
      <w:pPr>
        <w:widowControl/>
        <w:spacing w:line="360" w:lineRule="auto"/>
        <w:ind w:firstLine="482" w:firstLineChars="200"/>
        <w:jc w:val="left"/>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四</w:t>
      </w:r>
      <w:r>
        <w:rPr>
          <w:rFonts w:hint="eastAsia" w:ascii="宋体" w:hAnsi="宋体" w:cs="宋体"/>
          <w:b/>
          <w:bCs/>
          <w:color w:val="000000" w:themeColor="text1"/>
          <w:sz w:val="24"/>
          <w:szCs w:val="24"/>
          <w14:textFill>
            <w14:solidFill>
              <w14:schemeClr w14:val="tx1"/>
            </w14:solidFill>
          </w14:textFill>
        </w:rPr>
        <w:t>、</w:t>
      </w:r>
      <w:r>
        <w:rPr>
          <w:rFonts w:hint="eastAsia" w:ascii="宋体" w:hAnsi="宋体" w:cs="宋体"/>
          <w:b/>
          <w:bCs/>
          <w:color w:val="000000" w:themeColor="text1"/>
          <w:sz w:val="24"/>
          <w:szCs w:val="24"/>
          <w:lang w:val="en-US" w:eastAsia="zh-CN"/>
          <w14:textFill>
            <w14:solidFill>
              <w14:schemeClr w14:val="tx1"/>
            </w14:solidFill>
          </w14:textFill>
        </w:rPr>
        <w:t>其他</w:t>
      </w:r>
      <w:r>
        <w:rPr>
          <w:rFonts w:hint="eastAsia" w:ascii="宋体" w:hAnsi="宋体" w:cs="宋体"/>
          <w:b/>
          <w:bCs/>
          <w:color w:val="000000" w:themeColor="text1"/>
          <w:sz w:val="24"/>
          <w:szCs w:val="24"/>
          <w14:textFill>
            <w14:solidFill>
              <w14:schemeClr w14:val="tx1"/>
            </w14:solidFill>
          </w14:textFill>
        </w:rPr>
        <w:t>要求：</w:t>
      </w:r>
    </w:p>
    <w:p>
      <w:pPr>
        <w:adjustRightInd w:val="0"/>
        <w:snapToGrid/>
        <w:spacing w:line="360" w:lineRule="auto"/>
        <w:ind w:firstLine="420" w:firstLineChars="200"/>
        <w:jc w:val="left"/>
        <w:rPr>
          <w:rFonts w:hint="eastAsia" w:ascii="宋体" w:hAnsi="宋体" w:eastAsia="宋体" w:cs="宋体"/>
          <w:snapToGrid/>
          <w:kern w:val="2"/>
          <w:sz w:val="21"/>
          <w:szCs w:val="21"/>
          <w:lang w:val="en-US" w:eastAsia="zh-CN"/>
        </w:rPr>
      </w:pPr>
      <w:r>
        <w:rPr>
          <w:rFonts w:hint="eastAsia" w:ascii="宋体" w:hAnsi="宋体" w:eastAsia="宋体" w:cs="宋体"/>
          <w:snapToGrid/>
          <w:kern w:val="2"/>
          <w:sz w:val="21"/>
          <w:szCs w:val="21"/>
          <w:lang w:val="en-US" w:eastAsia="zh-CN"/>
        </w:rPr>
        <w:t>1、安排的项目服务团队成员数量不少于6人，其中负责人1人，服务成员不少于5人；</w:t>
      </w:r>
    </w:p>
    <w:p>
      <w:pPr>
        <w:adjustRightInd w:val="0"/>
        <w:snapToGrid/>
        <w:spacing w:line="360" w:lineRule="auto"/>
        <w:ind w:firstLine="420" w:firstLineChars="200"/>
        <w:jc w:val="left"/>
        <w:rPr>
          <w:rFonts w:hint="eastAsia" w:ascii="宋体" w:hAnsi="宋体" w:eastAsia="宋体" w:cs="宋体"/>
          <w:snapToGrid/>
          <w:kern w:val="2"/>
          <w:sz w:val="21"/>
          <w:szCs w:val="21"/>
          <w:lang w:val="en-US" w:eastAsia="zh-CN"/>
        </w:rPr>
      </w:pPr>
      <w:r>
        <w:rPr>
          <w:rFonts w:hint="eastAsia" w:ascii="宋体" w:hAnsi="宋体" w:eastAsia="宋体" w:cs="宋体"/>
          <w:snapToGrid/>
          <w:kern w:val="2"/>
          <w:sz w:val="21"/>
          <w:szCs w:val="21"/>
          <w:lang w:val="en-US" w:eastAsia="zh-CN"/>
        </w:rPr>
        <w:t>2、安排的项目负责人应当具备本科</w:t>
      </w:r>
      <w:r>
        <w:rPr>
          <w:rFonts w:hint="eastAsia" w:ascii="宋体" w:hAnsi="宋体" w:cs="宋体"/>
          <w:snapToGrid/>
          <w:kern w:val="2"/>
          <w:sz w:val="21"/>
          <w:szCs w:val="21"/>
          <w:lang w:val="en-US" w:eastAsia="zh-CN"/>
        </w:rPr>
        <w:t>或</w:t>
      </w:r>
      <w:r>
        <w:rPr>
          <w:rFonts w:hint="eastAsia" w:ascii="宋体" w:hAnsi="宋体" w:eastAsia="宋体" w:cs="宋体"/>
          <w:snapToGrid/>
          <w:kern w:val="2"/>
          <w:sz w:val="21"/>
          <w:szCs w:val="21"/>
          <w:lang w:val="en-US" w:eastAsia="zh-CN"/>
        </w:rPr>
        <w:t>以上学历</w:t>
      </w:r>
      <w:r>
        <w:rPr>
          <w:rFonts w:hint="eastAsia" w:ascii="宋体" w:hAnsi="宋体" w:cs="宋体"/>
          <w:snapToGrid/>
          <w:kern w:val="2"/>
          <w:sz w:val="21"/>
          <w:szCs w:val="21"/>
          <w:lang w:val="en-US" w:eastAsia="zh-CN"/>
        </w:rPr>
        <w:t>和</w:t>
      </w:r>
      <w:r>
        <w:rPr>
          <w:rFonts w:hint="eastAsia" w:ascii="宋体" w:hAnsi="宋体" w:eastAsia="宋体" w:cs="宋体"/>
          <w:snapToGrid/>
          <w:kern w:val="2"/>
          <w:sz w:val="21"/>
          <w:szCs w:val="21"/>
          <w:lang w:val="en-US" w:eastAsia="zh-CN"/>
        </w:rPr>
        <w:t>中级或以上职称</w:t>
      </w:r>
      <w:r>
        <w:rPr>
          <w:rFonts w:hint="eastAsia" w:ascii="宋体" w:hAnsi="宋体" w:cs="宋体"/>
          <w:snapToGrid/>
          <w:kern w:val="2"/>
          <w:sz w:val="21"/>
          <w:szCs w:val="21"/>
          <w:lang w:val="en-US" w:eastAsia="zh-CN"/>
        </w:rPr>
        <w:t>证书，且具有</w:t>
      </w:r>
      <w:r>
        <w:rPr>
          <w:rFonts w:hint="eastAsia" w:ascii="宋体" w:hAnsi="宋体" w:eastAsia="宋体" w:cs="宋体"/>
          <w:snapToGrid/>
          <w:kern w:val="2"/>
          <w:sz w:val="21"/>
          <w:szCs w:val="21"/>
          <w:lang w:val="en-US" w:eastAsia="zh-CN"/>
        </w:rPr>
        <w:t>团体意外险服务经验；</w:t>
      </w:r>
    </w:p>
    <w:p>
      <w:pPr>
        <w:adjustRightInd w:val="0"/>
        <w:snapToGrid/>
        <w:spacing w:line="360" w:lineRule="auto"/>
        <w:ind w:firstLine="420" w:firstLineChars="200"/>
        <w:jc w:val="left"/>
        <w:rPr>
          <w:rFonts w:cs="仿宋" w:asciiTheme="minorEastAsia" w:hAnsiTheme="minorEastAsia" w:eastAsiaTheme="minorEastAsia"/>
          <w:snapToGrid w:val="0"/>
          <w:kern w:val="0"/>
          <w:sz w:val="56"/>
          <w:szCs w:val="96"/>
        </w:rPr>
      </w:pPr>
      <w:r>
        <w:rPr>
          <w:rFonts w:hint="eastAsia" w:ascii="宋体" w:hAnsi="宋体" w:eastAsia="宋体" w:cs="宋体"/>
          <w:snapToGrid/>
          <w:kern w:val="2"/>
          <w:sz w:val="21"/>
          <w:szCs w:val="21"/>
          <w:lang w:val="en-US" w:eastAsia="zh-CN"/>
        </w:rPr>
        <w:t>3、安排的项目团队应当具备</w:t>
      </w:r>
      <w:r>
        <w:rPr>
          <w:rFonts w:hint="eastAsia" w:ascii="宋体" w:hAnsi="宋体" w:cs="宋体"/>
          <w:snapToGrid/>
          <w:kern w:val="2"/>
          <w:sz w:val="21"/>
          <w:szCs w:val="21"/>
          <w:lang w:val="en-US" w:eastAsia="zh-CN"/>
        </w:rPr>
        <w:t>本科或以上学历以及具有团体意外险服务经验。</w:t>
      </w:r>
    </w:p>
    <w:p>
      <w:pPr>
        <w:spacing w:line="360" w:lineRule="auto"/>
        <w:ind w:firstLine="1120" w:firstLineChars="200"/>
        <w:rPr>
          <w:rFonts w:cs="仿宋" w:asciiTheme="minorEastAsia" w:hAnsiTheme="minorEastAsia" w:eastAsiaTheme="minorEastAsia"/>
          <w:snapToGrid w:val="0"/>
          <w:kern w:val="0"/>
          <w:sz w:val="56"/>
          <w:szCs w:val="96"/>
        </w:rPr>
      </w:pPr>
      <w:r>
        <w:rPr>
          <w:rFonts w:cs="仿宋" w:asciiTheme="minorEastAsia" w:hAnsiTheme="minorEastAsia" w:eastAsiaTheme="minorEastAsia"/>
          <w:snapToGrid w:val="0"/>
          <w:kern w:val="0"/>
          <w:sz w:val="56"/>
          <w:szCs w:val="96"/>
        </w:rPr>
        <w:br w:type="page"/>
      </w:r>
    </w:p>
    <w:p>
      <w:pPr>
        <w:adjustRightInd w:val="0"/>
        <w:snapToGrid w:val="0"/>
        <w:spacing w:line="300" w:lineRule="auto"/>
        <w:jc w:val="center"/>
        <w:rPr>
          <w:rFonts w:cs="仿宋" w:asciiTheme="minorEastAsia" w:hAnsiTheme="minorEastAsia" w:eastAsiaTheme="minorEastAsia"/>
          <w:snapToGrid w:val="0"/>
          <w:kern w:val="0"/>
          <w:sz w:val="56"/>
          <w:szCs w:val="96"/>
        </w:rPr>
      </w:pPr>
    </w:p>
    <w:p>
      <w:pPr>
        <w:adjustRightInd w:val="0"/>
        <w:snapToGrid w:val="0"/>
        <w:spacing w:line="300" w:lineRule="auto"/>
        <w:jc w:val="center"/>
        <w:rPr>
          <w:rFonts w:cs="仿宋" w:asciiTheme="minorEastAsia" w:hAnsiTheme="minorEastAsia" w:eastAsiaTheme="minorEastAsia"/>
          <w:snapToGrid w:val="0"/>
          <w:kern w:val="0"/>
          <w:sz w:val="56"/>
          <w:szCs w:val="96"/>
        </w:rPr>
      </w:pPr>
    </w:p>
    <w:p>
      <w:pPr>
        <w:adjustRightInd w:val="0"/>
        <w:snapToGrid w:val="0"/>
        <w:spacing w:line="300" w:lineRule="auto"/>
        <w:jc w:val="center"/>
        <w:rPr>
          <w:rFonts w:cs="仿宋" w:asciiTheme="minorEastAsia" w:hAnsiTheme="minorEastAsia" w:eastAsiaTheme="minorEastAsia"/>
          <w:snapToGrid w:val="0"/>
          <w:kern w:val="0"/>
          <w:sz w:val="56"/>
          <w:szCs w:val="96"/>
        </w:rPr>
      </w:pPr>
    </w:p>
    <w:p>
      <w:pPr>
        <w:adjustRightInd w:val="0"/>
        <w:snapToGrid w:val="0"/>
        <w:spacing w:line="300" w:lineRule="auto"/>
        <w:jc w:val="center"/>
        <w:rPr>
          <w:rFonts w:cs="仿宋" w:asciiTheme="minorEastAsia" w:hAnsiTheme="minorEastAsia" w:eastAsiaTheme="minorEastAsia"/>
          <w:snapToGrid w:val="0"/>
          <w:kern w:val="0"/>
          <w:sz w:val="56"/>
          <w:szCs w:val="96"/>
        </w:rPr>
      </w:pPr>
    </w:p>
    <w:p>
      <w:pPr>
        <w:adjustRightInd w:val="0"/>
        <w:snapToGrid w:val="0"/>
        <w:spacing w:line="300" w:lineRule="auto"/>
        <w:jc w:val="center"/>
        <w:rPr>
          <w:rFonts w:cs="仿宋" w:asciiTheme="minorEastAsia" w:hAnsiTheme="minorEastAsia" w:eastAsiaTheme="minorEastAsia"/>
          <w:snapToGrid w:val="0"/>
          <w:kern w:val="0"/>
          <w:sz w:val="56"/>
          <w:szCs w:val="96"/>
        </w:rPr>
      </w:pPr>
    </w:p>
    <w:p>
      <w:pPr>
        <w:adjustRightInd w:val="0"/>
        <w:snapToGrid w:val="0"/>
        <w:spacing w:line="300" w:lineRule="auto"/>
        <w:jc w:val="center"/>
        <w:rPr>
          <w:rFonts w:cs="仿宋" w:asciiTheme="minorEastAsia" w:hAnsiTheme="minorEastAsia" w:eastAsiaTheme="minorEastAsia"/>
          <w:snapToGrid w:val="0"/>
          <w:kern w:val="0"/>
          <w:sz w:val="56"/>
          <w:szCs w:val="96"/>
        </w:rPr>
      </w:pPr>
      <w:r>
        <w:rPr>
          <w:rFonts w:hint="eastAsia" w:cs="仿宋" w:asciiTheme="minorEastAsia" w:hAnsiTheme="minorEastAsia" w:eastAsiaTheme="minorEastAsia"/>
          <w:snapToGrid w:val="0"/>
          <w:kern w:val="0"/>
          <w:sz w:val="56"/>
          <w:szCs w:val="96"/>
        </w:rPr>
        <w:t>第三部分</w:t>
      </w:r>
    </w:p>
    <w:p>
      <w:pPr>
        <w:jc w:val="center"/>
        <w:rPr>
          <w:rFonts w:cs="仿宋" w:asciiTheme="minorEastAsia" w:hAnsiTheme="minorEastAsia" w:eastAsiaTheme="minorEastAsia"/>
          <w:snapToGrid w:val="0"/>
          <w:kern w:val="0"/>
          <w:sz w:val="56"/>
          <w:szCs w:val="96"/>
        </w:rPr>
      </w:pPr>
      <w:r>
        <w:rPr>
          <w:rFonts w:hint="eastAsia" w:cs="仿宋" w:asciiTheme="minorEastAsia" w:hAnsiTheme="minorEastAsia" w:eastAsiaTheme="minorEastAsia"/>
          <w:snapToGrid w:val="0"/>
          <w:kern w:val="0"/>
          <w:sz w:val="56"/>
          <w:szCs w:val="96"/>
        </w:rPr>
        <w:t>投标文件格式</w:t>
      </w:r>
    </w:p>
    <w:p>
      <w:pPr>
        <w:rPr>
          <w:rFonts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br w:type="page"/>
      </w:r>
    </w:p>
    <w:p>
      <w:pPr>
        <w:widowControl/>
        <w:jc w:val="left"/>
        <w:rPr>
          <w:rFonts w:cs="仿宋" w:asciiTheme="minorEastAsia" w:hAnsiTheme="minorEastAsia" w:eastAsiaTheme="minorEastAsia"/>
        </w:rPr>
      </w:pPr>
    </w:p>
    <w:p>
      <w:pPr>
        <w:jc w:val="center"/>
        <w:rPr>
          <w:rFonts w:cs="仿宋" w:asciiTheme="minorEastAsia" w:hAnsiTheme="minorEastAsia" w:eastAsiaTheme="minorEastAsia"/>
          <w:sz w:val="36"/>
          <w:szCs w:val="36"/>
        </w:rPr>
      </w:pPr>
      <w:r>
        <w:rPr>
          <w:rFonts w:hint="eastAsia" w:cs="仿宋" w:asciiTheme="minorEastAsia" w:hAnsiTheme="minorEastAsia" w:eastAsiaTheme="minorEastAsia"/>
          <w:sz w:val="36"/>
          <w:szCs w:val="36"/>
        </w:rPr>
        <w:t>投标文件格式</w:t>
      </w:r>
    </w:p>
    <w:tbl>
      <w:tblPr>
        <w:tblStyle w:val="24"/>
        <w:tblpPr w:leftFromText="180" w:rightFromText="180" w:vertAnchor="text" w:horzAnchor="page" w:tblpX="1785" w:tblpY="301"/>
        <w:tblOverlap w:val="never"/>
        <w:tblW w:w="8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40" w:type="dxa"/>
            <w:vAlign w:val="center"/>
          </w:tcPr>
          <w:p>
            <w:pPr>
              <w:spacing w:line="360" w:lineRule="auto"/>
              <w:rPr>
                <w:rFonts w:asciiTheme="minorEastAsia" w:hAnsiTheme="minorEastAsia" w:eastAsiaTheme="minorEastAsia"/>
              </w:rPr>
            </w:pPr>
            <w:r>
              <w:rPr>
                <w:rFonts w:hint="eastAsia" w:cs="仿宋" w:asciiTheme="minorEastAsia" w:hAnsiTheme="minorEastAsia" w:eastAsiaTheme="minorEastAsia"/>
                <w:sz w:val="24"/>
              </w:rPr>
              <w:t>一、投标文件目录（自拟）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40" w:type="dxa"/>
            <w:vAlign w:val="center"/>
          </w:tcPr>
          <w:p>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二、政府采购违法行为风险知悉确认书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40" w:type="dxa"/>
            <w:vAlign w:val="center"/>
          </w:tcPr>
          <w:p>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三、评审指引表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40" w:type="dxa"/>
            <w:vAlign w:val="center"/>
          </w:tcPr>
          <w:p>
            <w:pPr>
              <w:widowControl/>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四、声明函（格式1）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40" w:type="dxa"/>
            <w:vAlign w:val="center"/>
          </w:tcPr>
          <w:p>
            <w:pPr>
              <w:widowControl/>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五、投标人资格证明文件（格式2）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40" w:type="dxa"/>
            <w:vAlign w:val="center"/>
          </w:tcPr>
          <w:p>
            <w:pPr>
              <w:widowControl/>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六、评分中涉及的承诺及声明函（格式3）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40" w:type="dxa"/>
            <w:vAlign w:val="center"/>
          </w:tcPr>
          <w:p>
            <w:pPr>
              <w:widowControl/>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七、开标一览表（格式4）</w:t>
            </w:r>
          </w:p>
          <w:p>
            <w:pPr>
              <w:widowControl/>
              <w:spacing w:line="360" w:lineRule="auto"/>
              <w:rPr>
                <w:rFonts w:cs="仿宋" w:asciiTheme="minorEastAsia" w:hAnsiTheme="minorEastAsia" w:eastAsiaTheme="minorEastAsia"/>
                <w:color w:val="FF0000"/>
                <w:sz w:val="24"/>
              </w:rPr>
            </w:pPr>
            <w:r>
              <w:rPr>
                <w:rFonts w:hint="eastAsia" w:cs="仿宋" w:asciiTheme="minorEastAsia" w:hAnsiTheme="minorEastAsia" w:eastAsiaTheme="minorEastAsia"/>
                <w:sz w:val="24"/>
              </w:rPr>
              <w:t xml:space="preserve">    </w:t>
            </w:r>
            <w:r>
              <w:rPr>
                <w:rFonts w:hint="eastAsia" w:cs="仿宋" w:asciiTheme="minorEastAsia" w:hAnsiTheme="minorEastAsia" w:eastAsiaTheme="minorEastAsia"/>
                <w:color w:val="FF0000"/>
              </w:rPr>
              <w:t>注：此表应与“法定代表人（负责人）证明书、法定代表人（负责人）授权委托书”一起密封于一信封，在递交投标文件时单独交与采购代理机构。（如法定代表人递交，则无需法定代表人（负责人）授权委托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40" w:type="dxa"/>
            <w:vAlign w:val="center"/>
          </w:tcPr>
          <w:p>
            <w:pPr>
              <w:widowControl/>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八、报价表（格式5）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40" w:type="dxa"/>
            <w:vAlign w:val="center"/>
          </w:tcPr>
          <w:p>
            <w:pPr>
              <w:widowControl/>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九、服务方案（格式6）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40" w:type="dxa"/>
            <w:vAlign w:val="center"/>
          </w:tcPr>
          <w:p>
            <w:pPr>
              <w:widowControl/>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十、投标人情况介绍（格式7）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40" w:type="dxa"/>
            <w:vAlign w:val="center"/>
          </w:tcPr>
          <w:p>
            <w:pPr>
              <w:widowControl/>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十一、偏离表（格式8）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40" w:type="dxa"/>
            <w:vAlign w:val="center"/>
          </w:tcPr>
          <w:p>
            <w:pPr>
              <w:widowControl/>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十二、其他招标文件要求的资料或投标人认为需要补充的资料（格式9）</w:t>
            </w:r>
          </w:p>
        </w:tc>
      </w:tr>
    </w:tbl>
    <w:p>
      <w:pPr>
        <w:rPr>
          <w:rFonts w:cs="仿宋" w:asciiTheme="minorEastAsia" w:hAnsiTheme="minorEastAsia" w:eastAsiaTheme="minorEastAsia"/>
        </w:rPr>
      </w:pPr>
    </w:p>
    <w:p>
      <w:pPr>
        <w:rPr>
          <w:rFonts w:cs="仿宋" w:asciiTheme="minorEastAsia" w:hAnsiTheme="minorEastAsia" w:eastAsiaTheme="minorEastAsia"/>
        </w:rPr>
      </w:pPr>
    </w:p>
    <w:p>
      <w:pPr>
        <w:jc w:val="left"/>
        <w:rPr>
          <w:rFonts w:cs="仿宋" w:asciiTheme="minorEastAsia" w:hAnsiTheme="minorEastAsia" w:eastAsiaTheme="minorEastAsia"/>
        </w:rPr>
      </w:pPr>
      <w:r>
        <w:rPr>
          <w:rFonts w:hint="eastAsia" w:cs="仿宋" w:asciiTheme="minorEastAsia" w:hAnsiTheme="minorEastAsia" w:eastAsiaTheme="minorEastAsia"/>
        </w:rPr>
        <w:br w:type="page"/>
      </w: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jc w:val="center"/>
        <w:rPr>
          <w:rFonts w:cs="仿宋" w:asciiTheme="minorEastAsia" w:hAnsiTheme="minorEastAsia" w:eastAsiaTheme="minorEastAsia"/>
          <w:sz w:val="56"/>
          <w:szCs w:val="56"/>
        </w:rPr>
      </w:pPr>
      <w:r>
        <w:rPr>
          <w:rFonts w:hint="eastAsia" w:cs="仿宋" w:asciiTheme="minorEastAsia" w:hAnsiTheme="minorEastAsia" w:eastAsiaTheme="minorEastAsia"/>
          <w:sz w:val="56"/>
          <w:szCs w:val="56"/>
        </w:rPr>
        <w:t>投 标 文 件</w:t>
      </w:r>
    </w:p>
    <w:p>
      <w:pPr>
        <w:rPr>
          <w:rFonts w:cs="仿宋" w:asciiTheme="minorEastAsia" w:hAnsiTheme="minorEastAsia" w:eastAsiaTheme="minorEastAsia"/>
        </w:rPr>
      </w:pPr>
    </w:p>
    <w:p>
      <w:pPr>
        <w:rPr>
          <w:rFonts w:cs="仿宋" w:asciiTheme="minorEastAsia" w:hAnsiTheme="minorEastAsia" w:eastAsiaTheme="minorEastAsia"/>
        </w:rPr>
      </w:pPr>
    </w:p>
    <w:p>
      <w:pPr>
        <w:jc w:val="center"/>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（正本/副本）</w:t>
      </w: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tbl>
      <w:tblPr>
        <w:tblStyle w:val="24"/>
        <w:tblW w:w="691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38"/>
        <w:gridCol w:w="47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38" w:type="dxa"/>
            <w:vAlign w:val="center"/>
          </w:tcPr>
          <w:p>
            <w:pPr>
              <w:widowControl/>
              <w:spacing w:line="48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项 目 名 称：</w:t>
            </w:r>
          </w:p>
        </w:tc>
        <w:tc>
          <w:tcPr>
            <w:tcW w:w="4774" w:type="dxa"/>
            <w:vAlign w:val="center"/>
          </w:tcPr>
          <w:p>
            <w:pPr>
              <w:widowControl/>
              <w:spacing w:line="480" w:lineRule="auto"/>
              <w:rPr>
                <w:rFonts w:cs="仿宋" w:asciiTheme="minorEastAsia" w:hAnsiTheme="minorEastAsia" w:eastAsiaTheme="minorEastAsia"/>
                <w:sz w:val="24"/>
                <w:u w:val="single"/>
              </w:rPr>
            </w:pPr>
            <w:r>
              <w:rPr>
                <w:rFonts w:hint="eastAsia" w:cs="仿宋" w:asciiTheme="minorEastAsia" w:hAnsiTheme="minorEastAsia" w:eastAsiaTheme="minorEastAsia"/>
                <w:sz w:val="2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38" w:type="dxa"/>
            <w:vAlign w:val="center"/>
          </w:tcPr>
          <w:p>
            <w:pPr>
              <w:widowControl/>
              <w:spacing w:line="276"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法定代表人：</w:t>
            </w:r>
          </w:p>
          <w:p>
            <w:pPr>
              <w:widowControl/>
              <w:spacing w:line="276"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（授权代理人）</w:t>
            </w:r>
          </w:p>
        </w:tc>
        <w:tc>
          <w:tcPr>
            <w:tcW w:w="4774" w:type="dxa"/>
            <w:vAlign w:val="center"/>
          </w:tcPr>
          <w:p>
            <w:pPr>
              <w:widowControl/>
              <w:spacing w:line="480" w:lineRule="auto"/>
              <w:rPr>
                <w:rFonts w:cs="仿宋" w:asciiTheme="minorEastAsia" w:hAnsiTheme="minorEastAsia" w:eastAsiaTheme="minorEastAsia"/>
                <w:sz w:val="24"/>
              </w:rPr>
            </w:pPr>
            <w:r>
              <w:rPr>
                <w:rFonts w:hint="eastAsia" w:cs="仿宋" w:asciiTheme="minorEastAsia" w:hAnsiTheme="minorEastAsia" w:eastAsiaTheme="minorEastAsia"/>
                <w:sz w:val="2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38" w:type="dxa"/>
            <w:vAlign w:val="center"/>
          </w:tcPr>
          <w:p>
            <w:pPr>
              <w:widowControl/>
              <w:spacing w:line="48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投标人：</w:t>
            </w:r>
          </w:p>
        </w:tc>
        <w:tc>
          <w:tcPr>
            <w:tcW w:w="4774" w:type="dxa"/>
            <w:vAlign w:val="center"/>
          </w:tcPr>
          <w:p>
            <w:pPr>
              <w:widowControl/>
              <w:spacing w:line="480" w:lineRule="auto"/>
              <w:rPr>
                <w:rFonts w:cs="仿宋" w:asciiTheme="minorEastAsia" w:hAnsiTheme="minorEastAsia" w:eastAsiaTheme="minorEastAsia"/>
                <w:sz w:val="24"/>
              </w:rPr>
            </w:pPr>
            <w:r>
              <w:rPr>
                <w:rFonts w:hint="eastAsia" w:cs="仿宋" w:asciiTheme="minorEastAsia" w:hAnsiTheme="minorEastAsia" w:eastAsiaTheme="minorEastAsia"/>
                <w:sz w:val="2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38" w:type="dxa"/>
            <w:vAlign w:val="center"/>
          </w:tcPr>
          <w:p>
            <w:pPr>
              <w:widowControl/>
              <w:spacing w:line="48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日       期：</w:t>
            </w:r>
          </w:p>
        </w:tc>
        <w:tc>
          <w:tcPr>
            <w:tcW w:w="4774" w:type="dxa"/>
            <w:vAlign w:val="center"/>
          </w:tcPr>
          <w:p>
            <w:pPr>
              <w:widowControl/>
              <w:spacing w:line="480" w:lineRule="auto"/>
              <w:rPr>
                <w:rFonts w:cs="仿宋" w:asciiTheme="minorEastAsia" w:hAnsiTheme="minorEastAsia" w:eastAsiaTheme="minorEastAsia"/>
                <w:sz w:val="24"/>
              </w:rPr>
            </w:pPr>
            <w:r>
              <w:rPr>
                <w:rFonts w:hint="eastAsia" w:cs="仿宋" w:asciiTheme="minorEastAsia" w:hAnsiTheme="minorEastAsia" w:eastAsiaTheme="minorEastAsia"/>
                <w:sz w:val="24"/>
                <w:u w:val="single"/>
              </w:rPr>
              <w:t xml:space="preserve">                              </w:t>
            </w:r>
          </w:p>
        </w:tc>
      </w:tr>
    </w:tbl>
    <w:p>
      <w:pPr>
        <w:widowControl/>
        <w:jc w:val="left"/>
        <w:rPr>
          <w:rFonts w:cs="仿宋" w:asciiTheme="minorEastAsia" w:hAnsiTheme="minorEastAsia" w:eastAsiaTheme="minorEastAsia"/>
        </w:rPr>
      </w:pPr>
      <w:r>
        <w:rPr>
          <w:rFonts w:hint="eastAsia" w:cs="仿宋" w:asciiTheme="minorEastAsia" w:hAnsiTheme="minorEastAsia" w:eastAsiaTheme="minorEastAsia"/>
        </w:rPr>
        <w:br w:type="page"/>
      </w:r>
    </w:p>
    <w:p>
      <w:pPr>
        <w:keepNext/>
        <w:keepLines/>
        <w:spacing w:before="260" w:after="260" w:line="400" w:lineRule="exact"/>
        <w:jc w:val="center"/>
        <w:outlineLvl w:val="1"/>
        <w:rPr>
          <w:rFonts w:asciiTheme="minorEastAsia" w:hAnsiTheme="minorEastAsia" w:eastAsiaTheme="minorEastAsia"/>
          <w:sz w:val="28"/>
          <w:szCs w:val="32"/>
        </w:rPr>
      </w:pPr>
      <w:bookmarkStart w:id="0" w:name="_Toc110410380"/>
      <w:r>
        <w:rPr>
          <w:rFonts w:hint="eastAsia" w:asciiTheme="minorEastAsia" w:hAnsiTheme="minorEastAsia" w:eastAsiaTheme="minorEastAsia"/>
          <w:sz w:val="28"/>
          <w:szCs w:val="32"/>
        </w:rPr>
        <w:t>政府采购违法行为风险知悉确认书</w:t>
      </w:r>
      <w:bookmarkEnd w:id="0"/>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本公司在投标前已充分知悉以下情形为参与政府采购活动时的重大风险事项，并承诺已对下述风险提示事项重点排查，做到严谨、诚信、依法依规参与政府采购活动。</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一、本公司已充分知悉“隐瞒真实情况，提供虚假资料”的法定情形，相关情形包括但不限于：</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（一）通过转让或者租借等方式从其他单位获取资格或者资质证书投标的。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（二）由其他单位或者其他单位负责人在投标人编制的投标文件上加盖印章或者签字的。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（三）项目负责人或者主要技术人员不是本单位人员的。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（四）投标保证金不是从投标人基本账户转出的。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（五）其他隐瞒真实情况、提供虚假资料的行为。</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二、本公司已充分知悉“与其他采购参加人串通投标”的法定情形，相关情形包括但不限于：</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（一）投标人之间相互约定给予未中标的人利益补偿。</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（二）不同投标人的法定代表人、主要经营负责人、项目投标授权代表人、项目负责人、主要技术人员为同一人、属同一单位或者在同一单位缴纳社会保险。</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（三）不同投标人的投标文件由同一单位或者同一人编制，或者由同一人分阶段参与编制的。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（四）不同投标人的投标文件或部分投标文件相互混装。</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（五）不同投标人的投标文件内容存在非正常一致。</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（六）由同一单位工作人员为两家以上（含两家）人进行同一项投标活动的。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（七）不同投标人的投标报价呈规律性差异。</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（八）不同投标人的投标保证金从同一单位或者个人的账户转出。</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（九）主管部门依照法律、法规认定的其他情形。</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三、本公司已充分知悉下列情形所对应的法律风险，并在投标前已对相关风险事项进行排查。</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对于从其他主体获取的投标资料，人应审慎核查，确保投标资料的真实性。如主管部门查实投标文件中存在虚假资料的，无论相关资料是否由第三方或本公司员工提供，均不影响主管部门对人存在“隐瞒真实情况，提供虚假资料”违法行为的认定。</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（二）对于涉及国家机关出具的公文、证件、证明材料等文件，一旦涉嫌虚假，经查实，主管部门将依法从严处理，并移送有关部门追究法律责任；涉嫌犯罪的，主管部门将一并移送司法机关追究法律责任。</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（三）对于涉及安全生产、特种作业、抢险救灾、防疫等政府采购项目，人实施提供虚假资料、串通投标等违法行为的，主管部门将依法从严处理。</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四）人应严格规范项目授权代表、员工参与招标投标的行为，加强对投标文件的审核。项目授权代表、员工编制、上传投标文件等行为违反政府采购法律法规或招标文件要求的，投标人应当依法承担相应法律责任。</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五）人对投标电子密钥负有妥善保管、及时变更和续期等主体责任。人使用电子密钥在深圳政府采购网站进行的活动，均具有法律效力，须承担相应的法律后果。人擅自将投标密钥出借他人使用所造成的法律后果，由人自行承担。</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（六）单位负责人为同一人或者存在直接控股、管理关系的不同人，不得参加同一合同项下的政府采购活动。相关情形如查实，依法作投标无效处理；涉嫌串通投标等违法行为的，主管部门将依法调查处理。</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四、本公司已充分知悉政府采购违法、违规行为的法律后果。经查实，若投标人存在政府采购违法、违规行为，主管部门将依据《深圳经济特区政府采购条例》第五十七条的规定，处以一至三年内禁止参与本市政府采购，并由主管部门记入人诚信档案，处采购金额千分之十以上千分之二十以下罚款；情节严重的，取消参与本市政府采购资格，处采购金额千分之二十以上千分之三十以下罚款，并由市场监管部门依法吊销营业执照。</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以下文字请投标人抄写并确认：“本公司已仔细阅读《政府采购违法行为风险知悉确认书》，充分知悉违法行为的法律后果，并承诺将严谨、诚信、依法依规参与政府采购活动”。</w:t>
      </w:r>
    </w:p>
    <w:p>
      <w:pPr>
        <w:spacing w:line="360" w:lineRule="auto"/>
        <w:ind w:firstLine="420" w:firstLineChars="200"/>
        <w:rPr>
          <w:rFonts w:asciiTheme="minorEastAsia" w:hAnsiTheme="minorEastAsia" w:eastAsiaTheme="minorEastAsia" w:cstheme="minorBidi"/>
          <w:szCs w:val="21"/>
          <w:u w:val="single"/>
        </w:rPr>
      </w:pPr>
      <w:r>
        <w:rPr>
          <w:rFonts w:hint="eastAsia" w:asciiTheme="minorEastAsia" w:hAnsiTheme="minorEastAsia" w:eastAsiaTheme="minorEastAsia" w:cstheme="minorBidi"/>
          <w:szCs w:val="21"/>
          <w:u w:val="single"/>
        </w:rPr>
        <w:t xml:space="preserve">                                                                                         </w:t>
      </w:r>
    </w:p>
    <w:p>
      <w:pPr>
        <w:spacing w:line="360" w:lineRule="auto"/>
        <w:rPr>
          <w:rFonts w:asciiTheme="minorEastAsia" w:hAnsiTheme="minorEastAsia" w:eastAsiaTheme="minorEastAsia" w:cstheme="minorBidi"/>
          <w:szCs w:val="21"/>
          <w:u w:val="single"/>
        </w:rPr>
      </w:pPr>
      <w:r>
        <w:rPr>
          <w:rFonts w:hint="eastAsia" w:asciiTheme="minorEastAsia" w:hAnsiTheme="minorEastAsia" w:eastAsiaTheme="minorEastAsia" w:cstheme="minorBidi"/>
          <w:szCs w:val="21"/>
          <w:u w:val="single"/>
        </w:rPr>
        <w:t xml:space="preserve">                                                                                            </w:t>
      </w:r>
    </w:p>
    <w:p>
      <w:pPr>
        <w:spacing w:line="360" w:lineRule="auto"/>
        <w:rPr>
          <w:rFonts w:asciiTheme="minorEastAsia" w:hAnsiTheme="minorEastAsia" w:eastAsiaTheme="minorEastAsia" w:cstheme="minorBidi"/>
          <w:szCs w:val="21"/>
          <w:u w:val="single"/>
        </w:rPr>
      </w:pPr>
      <w:r>
        <w:rPr>
          <w:rFonts w:hint="eastAsia" w:asciiTheme="minorEastAsia" w:hAnsiTheme="minorEastAsia" w:eastAsiaTheme="minorEastAsia" w:cstheme="minorBidi"/>
          <w:szCs w:val="21"/>
          <w:u w:val="single"/>
        </w:rPr>
        <w:t xml:space="preserve">                                                                                            </w:t>
      </w:r>
    </w:p>
    <w:p>
      <w:pPr>
        <w:spacing w:line="360" w:lineRule="auto"/>
        <w:ind w:firstLine="420" w:firstLineChars="200"/>
        <w:rPr>
          <w:rFonts w:asciiTheme="minorEastAsia" w:hAnsiTheme="minorEastAsia" w:eastAsiaTheme="minorEastAsia"/>
          <w:szCs w:val="21"/>
          <w:u w:val="single"/>
        </w:rPr>
      </w:pP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负责人</w:t>
      </w:r>
      <w:r>
        <w:rPr>
          <w:rFonts w:asciiTheme="minorEastAsia" w:hAnsiTheme="minorEastAsia" w:eastAsiaTheme="minorEastAsia"/>
          <w:szCs w:val="21"/>
        </w:rPr>
        <w:t>/</w:t>
      </w:r>
      <w:r>
        <w:rPr>
          <w:rFonts w:hint="eastAsia" w:asciiTheme="minorEastAsia" w:hAnsiTheme="minorEastAsia" w:eastAsiaTheme="minorEastAsia"/>
          <w:szCs w:val="21"/>
        </w:rPr>
        <w:t>投标授权代表签名：</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知悉人（公章）：</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日期：</w:t>
      </w:r>
    </w:p>
    <w:p>
      <w:pPr>
        <w:rPr>
          <w:rFonts w:cs="仿宋" w:asciiTheme="minorEastAsia" w:hAnsiTheme="minorEastAsia" w:eastAsiaTheme="minorEastAsia"/>
          <w:sz w:val="36"/>
          <w:szCs w:val="36"/>
        </w:rPr>
      </w:pPr>
      <w:r>
        <w:rPr>
          <w:rFonts w:hint="eastAsia" w:cs="仿宋" w:asciiTheme="minorEastAsia" w:hAnsiTheme="minorEastAsia" w:eastAsiaTheme="minorEastAsia"/>
          <w:sz w:val="36"/>
          <w:szCs w:val="36"/>
        </w:rPr>
        <w:br w:type="page"/>
      </w:r>
    </w:p>
    <w:p>
      <w:pPr>
        <w:jc w:val="center"/>
        <w:rPr>
          <w:rFonts w:cs="仿宋" w:asciiTheme="minorEastAsia" w:hAnsiTheme="minorEastAsia" w:eastAsiaTheme="minorEastAsia"/>
          <w:sz w:val="36"/>
          <w:szCs w:val="36"/>
        </w:rPr>
      </w:pPr>
      <w:r>
        <w:rPr>
          <w:rFonts w:hint="eastAsia" w:cs="仿宋" w:asciiTheme="minorEastAsia" w:hAnsiTheme="minorEastAsia" w:eastAsiaTheme="minorEastAsia"/>
          <w:sz w:val="36"/>
          <w:szCs w:val="36"/>
        </w:rPr>
        <w:t>评审指引表</w:t>
      </w:r>
    </w:p>
    <w:p>
      <w:pPr>
        <w:ind w:left="424" w:leftChars="202" w:firstLine="424" w:firstLineChars="202"/>
        <w:rPr>
          <w:rFonts w:cs="仿宋" w:asciiTheme="minorEastAsia" w:hAnsiTheme="minorEastAsia" w:eastAsiaTheme="minorEastAsia"/>
        </w:rPr>
      </w:pPr>
    </w:p>
    <w:p>
      <w:pPr>
        <w:tabs>
          <w:tab w:val="left" w:pos="8306"/>
        </w:tabs>
        <w:spacing w:line="360" w:lineRule="auto"/>
        <w:ind w:right="-57" w:rightChars="-27" w:firstLine="425"/>
        <w:rPr>
          <w:rFonts w:cs="仿宋" w:asciiTheme="minorEastAsia" w:hAnsiTheme="minorEastAsia" w:eastAsiaTheme="minorEastAsia"/>
        </w:rPr>
      </w:pPr>
      <w:r>
        <w:rPr>
          <w:rFonts w:hint="eastAsia" w:cs="仿宋" w:asciiTheme="minorEastAsia" w:hAnsiTheme="minorEastAsia" w:eastAsiaTheme="minorEastAsia"/>
        </w:rPr>
        <w:t>为方便参与该项目的评委专家的评审，快速找到评审事项与该项目投标文件所对应的位置，请投标人参照下表格式，编制本项目评审指引表。</w:t>
      </w:r>
    </w:p>
    <w:p>
      <w:pPr>
        <w:pStyle w:val="18"/>
      </w:pPr>
    </w:p>
    <w:tbl>
      <w:tblPr>
        <w:tblStyle w:val="23"/>
        <w:tblW w:w="85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854"/>
        <w:gridCol w:w="151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8561" w:type="dxa"/>
            <w:gridSpan w:val="4"/>
            <w:vAlign w:val="center"/>
          </w:tcPr>
          <w:p>
            <w:pPr>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一、综合评分指引（评分内容见“评审信息”）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57" w:type="dxa"/>
            <w:vAlign w:val="center"/>
          </w:tcPr>
          <w:p>
            <w:pPr>
              <w:spacing w:line="360" w:lineRule="exact"/>
              <w:jc w:val="center"/>
              <w:rPr>
                <w:rFonts w:ascii="宋体" w:hAnsi="宋体"/>
                <w:szCs w:val="21"/>
              </w:rPr>
            </w:pPr>
            <w:r>
              <w:rPr>
                <w:rFonts w:hint="eastAsia" w:ascii="宋体" w:hAnsi="宋体"/>
                <w:szCs w:val="21"/>
              </w:rPr>
              <w:t>评分类别</w:t>
            </w:r>
          </w:p>
        </w:tc>
        <w:tc>
          <w:tcPr>
            <w:tcW w:w="4854"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评分内容</w:t>
            </w:r>
          </w:p>
        </w:tc>
        <w:tc>
          <w:tcPr>
            <w:tcW w:w="1516" w:type="dxa"/>
            <w:vAlign w:val="center"/>
          </w:tcPr>
          <w:p>
            <w:pPr>
              <w:spacing w:line="360" w:lineRule="exact"/>
              <w:jc w:val="center"/>
              <w:rPr>
                <w:rFonts w:ascii="宋体" w:hAnsi="宋体"/>
                <w:szCs w:val="21"/>
              </w:rPr>
            </w:pPr>
            <w:r>
              <w:rPr>
                <w:rFonts w:hint="eastAsia" w:ascii="宋体" w:hAnsi="宋体"/>
                <w:szCs w:val="21"/>
              </w:rPr>
              <w:t>证明文件起止页码</w:t>
            </w:r>
          </w:p>
        </w:tc>
        <w:tc>
          <w:tcPr>
            <w:tcW w:w="1134" w:type="dxa"/>
            <w:vAlign w:val="center"/>
          </w:tcPr>
          <w:p>
            <w:pPr>
              <w:spacing w:line="360" w:lineRule="exac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1057" w:type="dxa"/>
            <w:vAlign w:val="center"/>
          </w:tcPr>
          <w:p>
            <w:pPr>
              <w:spacing w:line="360" w:lineRule="exact"/>
              <w:jc w:val="center"/>
              <w:rPr>
                <w:rFonts w:ascii="宋体" w:hAnsi="宋体"/>
                <w:szCs w:val="21"/>
              </w:rPr>
            </w:pPr>
            <w:r>
              <w:rPr>
                <w:rFonts w:hint="eastAsia" w:ascii="宋体" w:hAnsi="宋体"/>
                <w:szCs w:val="21"/>
              </w:rPr>
              <w:t>价格部分</w:t>
            </w:r>
          </w:p>
        </w:tc>
        <w:tc>
          <w:tcPr>
            <w:tcW w:w="4854" w:type="dxa"/>
            <w:vAlign w:val="center"/>
          </w:tcPr>
          <w:p>
            <w:pPr>
              <w:rPr>
                <w:rFonts w:asciiTheme="minorEastAsia" w:hAnsiTheme="minorEastAsia" w:eastAsiaTheme="minorEastAsia"/>
                <w:szCs w:val="24"/>
              </w:rPr>
            </w:pPr>
            <w:r>
              <w:rPr>
                <w:rFonts w:hint="eastAsia" w:asciiTheme="minorEastAsia" w:hAnsiTheme="minorEastAsia" w:eastAsiaTheme="minorEastAsia"/>
                <w:szCs w:val="21"/>
              </w:rPr>
              <w:t>小型企业、微型企业、监狱企业、残疾人福利性单位声明、节能产品、环境标志产品等 ，详见评审信息政府采购优惠政策。</w:t>
            </w:r>
          </w:p>
        </w:tc>
        <w:tc>
          <w:tcPr>
            <w:tcW w:w="1516" w:type="dxa"/>
            <w:vAlign w:val="center"/>
          </w:tcPr>
          <w:p>
            <w:pPr>
              <w:spacing w:line="360" w:lineRule="exact"/>
              <w:jc w:val="center"/>
              <w:rPr>
                <w:rFonts w:ascii="宋体" w:hAnsi="宋体"/>
                <w:b/>
                <w:szCs w:val="21"/>
              </w:rPr>
            </w:pPr>
          </w:p>
        </w:tc>
        <w:tc>
          <w:tcPr>
            <w:tcW w:w="1134"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vAlign w:val="center"/>
          </w:tcPr>
          <w:p>
            <w:pPr>
              <w:spacing w:line="360" w:lineRule="exact"/>
              <w:jc w:val="center"/>
              <w:rPr>
                <w:rFonts w:ascii="宋体" w:hAnsi="宋体"/>
                <w:szCs w:val="21"/>
              </w:rPr>
            </w:pPr>
            <w:r>
              <w:rPr>
                <w:rFonts w:hint="eastAsia" w:ascii="宋体" w:hAnsi="宋体"/>
                <w:szCs w:val="21"/>
              </w:rPr>
              <w:t>技术部分</w:t>
            </w:r>
          </w:p>
        </w:tc>
        <w:tc>
          <w:tcPr>
            <w:tcW w:w="4854" w:type="dxa"/>
          </w:tcPr>
          <w:p>
            <w:pPr>
              <w:spacing w:line="360" w:lineRule="exact"/>
              <w:jc w:val="center"/>
              <w:rPr>
                <w:rFonts w:ascii="宋体" w:hAnsi="宋体"/>
                <w:szCs w:val="21"/>
              </w:rPr>
            </w:pPr>
            <w:r>
              <w:rPr>
                <w:rFonts w:hint="eastAsia" w:ascii="宋体" w:hAnsi="宋体"/>
                <w:szCs w:val="21"/>
              </w:rPr>
              <w:t>1.……</w:t>
            </w:r>
          </w:p>
        </w:tc>
        <w:tc>
          <w:tcPr>
            <w:tcW w:w="1516" w:type="dxa"/>
            <w:vAlign w:val="center"/>
          </w:tcPr>
          <w:p>
            <w:pPr>
              <w:spacing w:line="360" w:lineRule="exact"/>
              <w:jc w:val="center"/>
              <w:rPr>
                <w:rFonts w:ascii="宋体" w:hAnsi="宋体"/>
                <w:b/>
                <w:szCs w:val="21"/>
              </w:rPr>
            </w:pPr>
          </w:p>
        </w:tc>
        <w:tc>
          <w:tcPr>
            <w:tcW w:w="1134"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pPr>
              <w:spacing w:line="360" w:lineRule="exact"/>
              <w:jc w:val="center"/>
              <w:rPr>
                <w:rFonts w:ascii="宋体" w:hAnsi="宋体"/>
                <w:szCs w:val="21"/>
              </w:rPr>
            </w:pPr>
          </w:p>
        </w:tc>
        <w:tc>
          <w:tcPr>
            <w:tcW w:w="4854" w:type="dxa"/>
          </w:tcPr>
          <w:p>
            <w:pPr>
              <w:spacing w:line="360" w:lineRule="exact"/>
              <w:jc w:val="center"/>
              <w:rPr>
                <w:rFonts w:ascii="宋体" w:hAnsi="宋体"/>
                <w:szCs w:val="21"/>
              </w:rPr>
            </w:pPr>
            <w:r>
              <w:rPr>
                <w:rFonts w:hint="eastAsia" w:ascii="宋体" w:hAnsi="宋体"/>
                <w:szCs w:val="21"/>
              </w:rPr>
              <w:t>2.……</w:t>
            </w:r>
          </w:p>
        </w:tc>
        <w:tc>
          <w:tcPr>
            <w:tcW w:w="1516" w:type="dxa"/>
            <w:vAlign w:val="center"/>
          </w:tcPr>
          <w:p>
            <w:pPr>
              <w:spacing w:line="360" w:lineRule="exact"/>
              <w:jc w:val="center"/>
              <w:rPr>
                <w:rFonts w:ascii="宋体" w:hAnsi="宋体"/>
                <w:b/>
                <w:szCs w:val="21"/>
              </w:rPr>
            </w:pPr>
          </w:p>
        </w:tc>
        <w:tc>
          <w:tcPr>
            <w:tcW w:w="1134"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pPr>
              <w:spacing w:line="360" w:lineRule="exact"/>
              <w:jc w:val="center"/>
              <w:rPr>
                <w:rFonts w:ascii="宋体" w:hAnsi="宋体"/>
                <w:szCs w:val="21"/>
              </w:rPr>
            </w:pPr>
          </w:p>
        </w:tc>
        <w:tc>
          <w:tcPr>
            <w:tcW w:w="4854" w:type="dxa"/>
          </w:tcPr>
          <w:p>
            <w:pPr>
              <w:spacing w:line="360" w:lineRule="exact"/>
              <w:jc w:val="center"/>
              <w:rPr>
                <w:rFonts w:ascii="宋体" w:hAnsi="宋体"/>
                <w:szCs w:val="21"/>
              </w:rPr>
            </w:pPr>
            <w:r>
              <w:rPr>
                <w:rFonts w:hint="eastAsia" w:ascii="宋体" w:hAnsi="宋体"/>
                <w:szCs w:val="21"/>
              </w:rPr>
              <w:t>……</w:t>
            </w:r>
          </w:p>
        </w:tc>
        <w:tc>
          <w:tcPr>
            <w:tcW w:w="1516" w:type="dxa"/>
            <w:vAlign w:val="center"/>
          </w:tcPr>
          <w:p>
            <w:pPr>
              <w:spacing w:line="360" w:lineRule="exact"/>
              <w:jc w:val="center"/>
              <w:rPr>
                <w:rFonts w:ascii="宋体" w:hAnsi="宋体"/>
                <w:b/>
                <w:szCs w:val="21"/>
              </w:rPr>
            </w:pPr>
          </w:p>
        </w:tc>
        <w:tc>
          <w:tcPr>
            <w:tcW w:w="1134"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vAlign w:val="center"/>
          </w:tcPr>
          <w:p>
            <w:pPr>
              <w:spacing w:line="360" w:lineRule="exact"/>
              <w:jc w:val="center"/>
              <w:rPr>
                <w:rFonts w:ascii="宋体" w:hAnsi="宋体"/>
                <w:szCs w:val="21"/>
              </w:rPr>
            </w:pPr>
            <w:r>
              <w:rPr>
                <w:rFonts w:hint="eastAsia" w:ascii="宋体" w:hAnsi="宋体"/>
                <w:szCs w:val="21"/>
              </w:rPr>
              <w:t>商务部分</w:t>
            </w:r>
          </w:p>
        </w:tc>
        <w:tc>
          <w:tcPr>
            <w:tcW w:w="4854" w:type="dxa"/>
          </w:tcPr>
          <w:p>
            <w:pPr>
              <w:spacing w:line="360" w:lineRule="exact"/>
              <w:jc w:val="center"/>
              <w:rPr>
                <w:rFonts w:ascii="宋体" w:hAnsi="宋体"/>
                <w:szCs w:val="21"/>
              </w:rPr>
            </w:pPr>
            <w:r>
              <w:rPr>
                <w:rFonts w:hint="eastAsia" w:ascii="宋体" w:hAnsi="宋体"/>
                <w:szCs w:val="21"/>
              </w:rPr>
              <w:t>1.……</w:t>
            </w:r>
          </w:p>
        </w:tc>
        <w:tc>
          <w:tcPr>
            <w:tcW w:w="1516" w:type="dxa"/>
            <w:vAlign w:val="center"/>
          </w:tcPr>
          <w:p>
            <w:pPr>
              <w:spacing w:line="360" w:lineRule="exact"/>
              <w:jc w:val="center"/>
              <w:rPr>
                <w:rFonts w:ascii="宋体" w:hAnsi="宋体"/>
                <w:b/>
                <w:szCs w:val="21"/>
              </w:rPr>
            </w:pPr>
          </w:p>
        </w:tc>
        <w:tc>
          <w:tcPr>
            <w:tcW w:w="1134"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pPr>
              <w:spacing w:line="360" w:lineRule="exact"/>
              <w:jc w:val="center"/>
              <w:rPr>
                <w:rFonts w:ascii="宋体" w:hAnsi="宋体"/>
                <w:szCs w:val="21"/>
              </w:rPr>
            </w:pPr>
          </w:p>
        </w:tc>
        <w:tc>
          <w:tcPr>
            <w:tcW w:w="4854" w:type="dxa"/>
          </w:tcPr>
          <w:p>
            <w:pPr>
              <w:spacing w:line="360" w:lineRule="exact"/>
              <w:jc w:val="center"/>
              <w:rPr>
                <w:rFonts w:ascii="宋体" w:hAnsi="宋体"/>
                <w:szCs w:val="21"/>
              </w:rPr>
            </w:pPr>
            <w:r>
              <w:rPr>
                <w:rFonts w:hint="eastAsia" w:ascii="宋体" w:hAnsi="宋体"/>
                <w:szCs w:val="21"/>
              </w:rPr>
              <w:t>2.……</w:t>
            </w:r>
          </w:p>
        </w:tc>
        <w:tc>
          <w:tcPr>
            <w:tcW w:w="1516" w:type="dxa"/>
            <w:vAlign w:val="center"/>
          </w:tcPr>
          <w:p>
            <w:pPr>
              <w:spacing w:line="360" w:lineRule="exact"/>
              <w:jc w:val="center"/>
              <w:rPr>
                <w:rFonts w:ascii="宋体" w:hAnsi="宋体"/>
                <w:b/>
                <w:szCs w:val="21"/>
              </w:rPr>
            </w:pPr>
          </w:p>
        </w:tc>
        <w:tc>
          <w:tcPr>
            <w:tcW w:w="1134"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pPr>
              <w:spacing w:line="360" w:lineRule="exact"/>
              <w:jc w:val="center"/>
              <w:rPr>
                <w:rFonts w:ascii="宋体" w:hAnsi="宋体"/>
                <w:szCs w:val="21"/>
              </w:rPr>
            </w:pPr>
          </w:p>
        </w:tc>
        <w:tc>
          <w:tcPr>
            <w:tcW w:w="4854" w:type="dxa"/>
          </w:tcPr>
          <w:p>
            <w:pPr>
              <w:spacing w:line="360" w:lineRule="exact"/>
              <w:jc w:val="center"/>
              <w:rPr>
                <w:rFonts w:ascii="宋体" w:hAnsi="宋体"/>
                <w:szCs w:val="21"/>
              </w:rPr>
            </w:pPr>
            <w:r>
              <w:rPr>
                <w:rFonts w:hint="eastAsia" w:ascii="宋体" w:hAnsi="宋体"/>
                <w:szCs w:val="21"/>
              </w:rPr>
              <w:t>……</w:t>
            </w:r>
          </w:p>
        </w:tc>
        <w:tc>
          <w:tcPr>
            <w:tcW w:w="1516" w:type="dxa"/>
            <w:vAlign w:val="center"/>
          </w:tcPr>
          <w:p>
            <w:pPr>
              <w:spacing w:line="360" w:lineRule="exact"/>
              <w:jc w:val="center"/>
              <w:rPr>
                <w:rFonts w:ascii="宋体" w:hAnsi="宋体"/>
                <w:b/>
                <w:szCs w:val="21"/>
              </w:rPr>
            </w:pPr>
          </w:p>
        </w:tc>
        <w:tc>
          <w:tcPr>
            <w:tcW w:w="1134"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8561" w:type="dxa"/>
            <w:gridSpan w:val="4"/>
            <w:vAlign w:val="center"/>
          </w:tcPr>
          <w:p>
            <w:pPr>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二、其他评审指引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1057" w:type="dxa"/>
            <w:vAlign w:val="center"/>
          </w:tcPr>
          <w:p>
            <w:pPr>
              <w:spacing w:line="360" w:lineRule="exact"/>
              <w:jc w:val="center"/>
              <w:rPr>
                <w:rFonts w:ascii="宋体" w:hAnsi="宋体"/>
                <w:szCs w:val="21"/>
              </w:rPr>
            </w:pPr>
            <w:r>
              <w:rPr>
                <w:rFonts w:hint="eastAsia" w:ascii="宋体" w:hAnsi="宋体"/>
                <w:szCs w:val="21"/>
              </w:rPr>
              <w:t>其他资料</w:t>
            </w:r>
          </w:p>
        </w:tc>
        <w:tc>
          <w:tcPr>
            <w:tcW w:w="4854" w:type="dxa"/>
            <w:vAlign w:val="center"/>
          </w:tcPr>
          <w:p>
            <w:pPr>
              <w:rPr>
                <w:rFonts w:asciiTheme="minorEastAsia" w:hAnsiTheme="minorEastAsia" w:eastAsiaTheme="minorEastAsia"/>
                <w:szCs w:val="24"/>
              </w:rPr>
            </w:pPr>
            <w:r>
              <w:rPr>
                <w:rFonts w:hint="eastAsia" w:asciiTheme="minorEastAsia" w:hAnsiTheme="minorEastAsia" w:eastAsiaTheme="minorEastAsia"/>
                <w:color w:val="FF0000"/>
                <w:kern w:val="0"/>
                <w:szCs w:val="21"/>
              </w:rPr>
              <w:t>投标单位法定代表人、主要经营负责人、项目投标授权代表人、项目负责人及主要技术人员近一年社保缴纳查询记录（包含在投标单位及其他缴纳社保单位的记录）；社保缴纳不满一年的按实际缴纳情况提供。</w:t>
            </w:r>
          </w:p>
        </w:tc>
        <w:tc>
          <w:tcPr>
            <w:tcW w:w="1516" w:type="dxa"/>
            <w:vAlign w:val="center"/>
          </w:tcPr>
          <w:p>
            <w:pPr>
              <w:spacing w:line="360" w:lineRule="exact"/>
              <w:jc w:val="center"/>
              <w:rPr>
                <w:rFonts w:ascii="宋体" w:hAnsi="宋体"/>
                <w:b/>
                <w:szCs w:val="21"/>
              </w:rPr>
            </w:pPr>
          </w:p>
        </w:tc>
        <w:tc>
          <w:tcPr>
            <w:tcW w:w="1134" w:type="dxa"/>
            <w:vAlign w:val="center"/>
          </w:tcPr>
          <w:p>
            <w:pPr>
              <w:spacing w:line="360" w:lineRule="exact"/>
              <w:jc w:val="center"/>
              <w:rPr>
                <w:rFonts w:ascii="宋体" w:hAnsi="宋体"/>
                <w:b/>
                <w:szCs w:val="21"/>
              </w:rPr>
            </w:pPr>
          </w:p>
        </w:tc>
      </w:tr>
    </w:tbl>
    <w:p>
      <w:pPr>
        <w:pStyle w:val="18"/>
      </w:pPr>
    </w:p>
    <w:p>
      <w:pPr>
        <w:ind w:left="424" w:leftChars="202" w:right="792" w:rightChars="377" w:firstLine="444" w:firstLineChars="202"/>
        <w:rPr>
          <w:rFonts w:cs="仿宋" w:asciiTheme="minorEastAsia" w:hAnsiTheme="minorEastAsia" w:eastAsiaTheme="minorEastAsia"/>
          <w:sz w:val="22"/>
        </w:rPr>
      </w:pPr>
    </w:p>
    <w:p>
      <w:pPr>
        <w:spacing w:line="360" w:lineRule="auto"/>
        <w:ind w:firstLine="424" w:firstLineChars="193"/>
        <w:rPr>
          <w:rFonts w:cs="仿宋" w:asciiTheme="minorEastAsia" w:hAnsiTheme="minorEastAsia" w:eastAsiaTheme="minorEastAsia"/>
        </w:rPr>
      </w:pPr>
      <w:r>
        <w:rPr>
          <w:rFonts w:hint="eastAsia" w:cs="仿宋" w:asciiTheme="minorEastAsia" w:hAnsiTheme="minorEastAsia" w:eastAsiaTheme="minorEastAsia"/>
          <w:sz w:val="22"/>
          <w:szCs w:val="24"/>
        </w:rPr>
        <w:t>注：请投标供应商按照招标文件规定的审查和评分内容，自上而下的顺序填写本表。因项目次序混乱而影响评标结果者，投标供应商自负其责。</w:t>
      </w:r>
    </w:p>
    <w:p>
      <w:pPr>
        <w:widowControl/>
        <w:jc w:val="left"/>
        <w:rPr>
          <w:rFonts w:cs="仿宋" w:asciiTheme="minorEastAsia" w:hAnsiTheme="minorEastAsia" w:eastAsiaTheme="minorEastAsia"/>
        </w:rPr>
      </w:pPr>
      <w:r>
        <w:rPr>
          <w:rFonts w:hint="eastAsia" w:cs="仿宋" w:asciiTheme="minorEastAsia" w:hAnsiTheme="minorEastAsia" w:eastAsiaTheme="minorEastAsia"/>
        </w:rPr>
        <w:br w:type="page"/>
      </w:r>
    </w:p>
    <w:p>
      <w:pPr>
        <w:jc w:val="center"/>
        <w:rPr>
          <w:rFonts w:cs="仿宋" w:asciiTheme="minorEastAsia" w:hAnsiTheme="minorEastAsia" w:eastAsiaTheme="minorEastAsia"/>
          <w:sz w:val="32"/>
          <w:szCs w:val="36"/>
        </w:rPr>
      </w:pPr>
      <w:r>
        <w:rPr>
          <w:rFonts w:hint="eastAsia" w:cs="仿宋" w:asciiTheme="minorEastAsia" w:hAnsiTheme="minorEastAsia" w:eastAsiaTheme="minorEastAsia"/>
          <w:sz w:val="32"/>
          <w:szCs w:val="36"/>
        </w:rPr>
        <w:t>格式1  声 明 函</w:t>
      </w:r>
    </w:p>
    <w:p>
      <w:pPr>
        <w:jc w:val="center"/>
        <w:rPr>
          <w:rFonts w:cs="仿宋" w:asciiTheme="minorEastAsia" w:hAnsiTheme="minorEastAsia" w:eastAsiaTheme="minorEastAsia"/>
          <w:sz w:val="36"/>
          <w:szCs w:val="36"/>
        </w:rPr>
      </w:pPr>
    </w:p>
    <w:p>
      <w:pPr>
        <w:adjustRightInd w:val="0"/>
        <w:snapToGrid w:val="0"/>
        <w:spacing w:line="360" w:lineRule="auto"/>
        <w:rPr>
          <w:rFonts w:cs="仿宋" w:asciiTheme="minorEastAsia" w:hAnsiTheme="minorEastAsia" w:eastAsiaTheme="minorEastAsia"/>
        </w:rPr>
      </w:pPr>
      <w:r>
        <w:rPr>
          <w:rFonts w:hint="eastAsia" w:cs="仿宋" w:asciiTheme="minorEastAsia" w:hAnsiTheme="minorEastAsia" w:eastAsiaTheme="minorEastAsia"/>
        </w:rPr>
        <w:t>深圳市中正招标有限公司：</w:t>
      </w:r>
    </w:p>
    <w:p>
      <w:pPr>
        <w:adjustRightInd w:val="0"/>
        <w:snapToGrid w:val="0"/>
        <w:spacing w:line="360" w:lineRule="auto"/>
        <w:rPr>
          <w:rFonts w:cs="仿宋" w:asciiTheme="minorEastAsia" w:hAnsiTheme="minorEastAsia" w:eastAsiaTheme="minorEastAsia"/>
        </w:rPr>
      </w:pPr>
      <w:r>
        <w:rPr>
          <w:rFonts w:hint="eastAsia" w:cs="仿宋" w:asciiTheme="minorEastAsia" w:hAnsiTheme="minorEastAsia" w:eastAsiaTheme="minorEastAsia"/>
        </w:rPr>
        <w:t xml:space="preserve">    我们收到你们组织的 （</w:t>
      </w:r>
      <w:r>
        <w:rPr>
          <w:rFonts w:hint="eastAsia" w:cs="仿宋" w:asciiTheme="minorEastAsia" w:hAnsiTheme="minorEastAsia" w:eastAsiaTheme="minorEastAsia"/>
          <w:u w:val="single"/>
        </w:rPr>
        <w:t xml:space="preserve">项目名称：    </w:t>
      </w:r>
      <w:r>
        <w:rPr>
          <w:rFonts w:hint="eastAsia" w:cs="仿宋" w:asciiTheme="minorEastAsia" w:hAnsiTheme="minorEastAsia" w:eastAsiaTheme="minorEastAsia"/>
        </w:rPr>
        <w:t>）招标文件，经详细研究，我们决定参加该项目 （</w:t>
      </w:r>
      <w:r>
        <w:rPr>
          <w:rFonts w:hint="eastAsia" w:cs="仿宋" w:asciiTheme="minorEastAsia" w:hAnsiTheme="minorEastAsia" w:eastAsiaTheme="minorEastAsia"/>
          <w:u w:val="single"/>
        </w:rPr>
        <w:t xml:space="preserve">项目编号：    </w:t>
      </w:r>
      <w:r>
        <w:rPr>
          <w:rFonts w:hint="eastAsia" w:cs="仿宋" w:asciiTheme="minorEastAsia" w:hAnsiTheme="minorEastAsia" w:eastAsiaTheme="minorEastAsia"/>
        </w:rPr>
        <w:t>）采购的有关活动并投标。为此，我方谨郑重声明以下诸点，并对之负法律责任。</w:t>
      </w:r>
    </w:p>
    <w:p>
      <w:pPr>
        <w:spacing w:line="360" w:lineRule="auto"/>
        <w:ind w:firstLine="424" w:firstLineChars="202"/>
        <w:jc w:val="left"/>
        <w:rPr>
          <w:rFonts w:cs="仿宋" w:asciiTheme="minorEastAsia" w:hAnsiTheme="minorEastAsia" w:eastAsiaTheme="minorEastAsia"/>
        </w:rPr>
      </w:pPr>
      <w:r>
        <w:rPr>
          <w:rFonts w:hint="eastAsia" w:cs="仿宋" w:asciiTheme="minorEastAsia" w:hAnsiTheme="minorEastAsia" w:eastAsiaTheme="minorEastAsia"/>
        </w:rPr>
        <w:t>1．我方愿以《开标一览表》中填写的投标总价并按照招标文件中的一切要求，承担上述项目的全部工作。</w:t>
      </w:r>
    </w:p>
    <w:p>
      <w:pPr>
        <w:spacing w:line="360" w:lineRule="auto"/>
        <w:ind w:firstLine="424" w:firstLineChars="202"/>
        <w:rPr>
          <w:rFonts w:cs="仿宋" w:asciiTheme="minorEastAsia" w:hAnsiTheme="minorEastAsia" w:eastAsiaTheme="minorEastAsia"/>
        </w:rPr>
      </w:pPr>
      <w:r>
        <w:rPr>
          <w:rFonts w:hint="eastAsia" w:cs="仿宋" w:asciiTheme="minorEastAsia" w:hAnsiTheme="minorEastAsia" w:eastAsiaTheme="minorEastAsia"/>
        </w:rPr>
        <w:t>2．我方提交的投标文件为：投标书正本两份，副本四份，电子档文件（正本彩色扫描件PDF格式）一份。</w:t>
      </w:r>
    </w:p>
    <w:p>
      <w:pPr>
        <w:spacing w:line="360" w:lineRule="auto"/>
        <w:ind w:firstLine="424" w:firstLineChars="202"/>
        <w:rPr>
          <w:rFonts w:cs="仿宋" w:asciiTheme="minorEastAsia" w:hAnsiTheme="minorEastAsia" w:eastAsiaTheme="minorEastAsia"/>
        </w:rPr>
      </w:pPr>
      <w:r>
        <w:rPr>
          <w:rFonts w:hint="eastAsia" w:cs="仿宋" w:asciiTheme="minorEastAsia" w:hAnsiTheme="minorEastAsia" w:eastAsiaTheme="minorEastAsia"/>
        </w:rPr>
        <w:t>3．如果我们投标文件被接受，我们将履行招标文件中规定的每一项要求，按期、按质、按量完成任务。</w:t>
      </w:r>
    </w:p>
    <w:p>
      <w:pPr>
        <w:spacing w:line="360" w:lineRule="auto"/>
        <w:ind w:firstLine="424" w:firstLineChars="202"/>
        <w:rPr>
          <w:rFonts w:cs="仿宋" w:asciiTheme="minorEastAsia" w:hAnsiTheme="minorEastAsia" w:eastAsiaTheme="minorEastAsia"/>
        </w:rPr>
      </w:pPr>
      <w:r>
        <w:rPr>
          <w:rFonts w:hint="eastAsia" w:cs="仿宋" w:asciiTheme="minorEastAsia" w:hAnsiTheme="minorEastAsia" w:eastAsiaTheme="minorEastAsia"/>
        </w:rPr>
        <w:t>4．我们愿意提供采购代理机构在招标文件中要求的所有资料，且所递交的投标文件在投标有效期（即90天）内有效，在此期间内我方的投标有可能中标，我方将受此约束。如果在投标有效期内撤销投标文件，贵司有权无条件不退还本司已提交的项目保证金。</w:t>
      </w:r>
    </w:p>
    <w:p>
      <w:pPr>
        <w:spacing w:line="360" w:lineRule="auto"/>
        <w:ind w:firstLine="424" w:firstLineChars="202"/>
        <w:rPr>
          <w:rFonts w:cs="仿宋" w:asciiTheme="minorEastAsia" w:hAnsiTheme="minorEastAsia" w:eastAsiaTheme="minorEastAsia"/>
        </w:rPr>
      </w:pPr>
      <w:r>
        <w:rPr>
          <w:rFonts w:hint="eastAsia" w:cs="仿宋" w:asciiTheme="minorEastAsia" w:hAnsiTheme="minorEastAsia" w:eastAsiaTheme="minorEastAsia"/>
        </w:rPr>
        <w:t>5．我们理解，最低报价不是中标的唯一条件。我们认为你们有选择或拒绝任何投标者中标的权利。</w:t>
      </w:r>
    </w:p>
    <w:p>
      <w:pPr>
        <w:spacing w:line="360" w:lineRule="auto"/>
        <w:ind w:firstLine="424" w:firstLineChars="202"/>
        <w:rPr>
          <w:rFonts w:cs="仿宋" w:asciiTheme="minorEastAsia" w:hAnsiTheme="minorEastAsia" w:eastAsiaTheme="minorEastAsia"/>
        </w:rPr>
      </w:pPr>
      <w:r>
        <w:rPr>
          <w:rFonts w:hint="eastAsia" w:cs="仿宋" w:asciiTheme="minorEastAsia" w:hAnsiTheme="minorEastAsia" w:eastAsiaTheme="minorEastAsia"/>
        </w:rPr>
        <w:t>6．我方愿按《中华人民共和国民法典》履行自己的全部责任。</w:t>
      </w:r>
    </w:p>
    <w:p>
      <w:pPr>
        <w:spacing w:line="360" w:lineRule="auto"/>
        <w:ind w:firstLine="424" w:firstLineChars="202"/>
        <w:rPr>
          <w:rFonts w:cs="仿宋" w:asciiTheme="minorEastAsia" w:hAnsiTheme="minorEastAsia" w:eastAsiaTheme="minorEastAsia"/>
        </w:rPr>
      </w:pPr>
      <w:r>
        <w:rPr>
          <w:rFonts w:hint="eastAsia" w:cs="仿宋" w:asciiTheme="minorEastAsia" w:hAnsiTheme="minorEastAsia" w:eastAsiaTheme="minorEastAsia"/>
        </w:rPr>
        <w:t>7．我们同意招标文件之规定，遵守有关采购的各项规定。</w:t>
      </w:r>
    </w:p>
    <w:p>
      <w:pPr>
        <w:spacing w:line="360" w:lineRule="auto"/>
        <w:ind w:firstLine="424" w:firstLineChars="202"/>
        <w:rPr>
          <w:rFonts w:cs="仿宋" w:asciiTheme="minorEastAsia" w:hAnsiTheme="minorEastAsia" w:eastAsiaTheme="minorEastAsia"/>
        </w:rPr>
      </w:pPr>
      <w:r>
        <w:rPr>
          <w:rFonts w:hint="eastAsia" w:cs="仿宋" w:asciiTheme="minorEastAsia" w:hAnsiTheme="minorEastAsia" w:eastAsiaTheme="minorEastAsia"/>
        </w:rPr>
        <w:t>8. 我们同意中标后向采购代理机构支付招标文件要求数额的采购代理服务费。</w:t>
      </w:r>
    </w:p>
    <w:p>
      <w:pPr>
        <w:spacing w:line="360" w:lineRule="auto"/>
        <w:ind w:firstLine="424" w:firstLineChars="202"/>
        <w:rPr>
          <w:rFonts w:cs="仿宋" w:asciiTheme="minorEastAsia" w:hAnsiTheme="minorEastAsia" w:eastAsiaTheme="minorEastAsia"/>
        </w:rPr>
      </w:pPr>
      <w:r>
        <w:rPr>
          <w:rFonts w:hint="eastAsia" w:cs="仿宋" w:asciiTheme="minorEastAsia" w:hAnsiTheme="minorEastAsia" w:eastAsiaTheme="minorEastAsia"/>
        </w:rPr>
        <w:t>9．所有有关本标书的函电，请按下列地址联系：</w:t>
      </w:r>
    </w:p>
    <w:p>
      <w:pPr>
        <w:adjustRightInd w:val="0"/>
        <w:snapToGrid w:val="0"/>
        <w:spacing w:line="360" w:lineRule="auto"/>
        <w:ind w:firstLine="600"/>
        <w:rPr>
          <w:rFonts w:cs="仿宋" w:asciiTheme="minorEastAsia" w:hAnsiTheme="minorEastAsia" w:eastAsiaTheme="minorEastAsia"/>
        </w:rPr>
      </w:pPr>
    </w:p>
    <w:p>
      <w:pPr>
        <w:adjustRightInd w:val="0"/>
        <w:snapToGrid w:val="0"/>
        <w:spacing w:line="360" w:lineRule="auto"/>
        <w:ind w:firstLine="600"/>
        <w:rPr>
          <w:rFonts w:cs="仿宋" w:asciiTheme="minorEastAsia" w:hAnsiTheme="minorEastAsia" w:eastAsiaTheme="minorEastAsia"/>
        </w:rPr>
      </w:pPr>
      <w:r>
        <w:rPr>
          <w:rFonts w:hint="eastAsia" w:cs="仿宋" w:asciiTheme="minorEastAsia" w:hAnsiTheme="minorEastAsia" w:eastAsiaTheme="minorEastAsia"/>
        </w:rPr>
        <w:t>单    位： （盖章）</w:t>
      </w:r>
    </w:p>
    <w:p>
      <w:pPr>
        <w:adjustRightInd w:val="0"/>
        <w:snapToGrid w:val="0"/>
        <w:spacing w:line="360" w:lineRule="auto"/>
        <w:ind w:firstLine="600"/>
        <w:rPr>
          <w:rFonts w:cs="仿宋" w:asciiTheme="minorEastAsia" w:hAnsiTheme="minorEastAsia" w:eastAsiaTheme="minorEastAsia"/>
        </w:rPr>
      </w:pPr>
      <w:r>
        <w:rPr>
          <w:rFonts w:hint="eastAsia" w:cs="仿宋" w:asciiTheme="minorEastAsia" w:hAnsiTheme="minorEastAsia" w:eastAsiaTheme="minorEastAsia"/>
        </w:rPr>
        <w:t>地    址：</w:t>
      </w:r>
    </w:p>
    <w:p>
      <w:pPr>
        <w:adjustRightInd w:val="0"/>
        <w:snapToGrid w:val="0"/>
        <w:spacing w:line="360" w:lineRule="auto"/>
        <w:ind w:firstLine="600"/>
        <w:rPr>
          <w:rFonts w:cs="仿宋" w:asciiTheme="minorEastAsia" w:hAnsiTheme="minorEastAsia" w:eastAsiaTheme="minorEastAsia"/>
        </w:rPr>
      </w:pPr>
      <w:r>
        <w:rPr>
          <w:rFonts w:hint="eastAsia" w:cs="仿宋" w:asciiTheme="minorEastAsia" w:hAnsiTheme="minorEastAsia" w:eastAsiaTheme="minorEastAsia"/>
        </w:rPr>
        <w:t>电    话：</w:t>
      </w:r>
    </w:p>
    <w:p>
      <w:pPr>
        <w:adjustRightInd w:val="0"/>
        <w:snapToGrid w:val="0"/>
        <w:spacing w:line="360" w:lineRule="auto"/>
        <w:ind w:firstLine="600"/>
        <w:rPr>
          <w:rFonts w:cs="仿宋" w:asciiTheme="minorEastAsia" w:hAnsiTheme="minorEastAsia" w:eastAsiaTheme="minorEastAsia"/>
        </w:rPr>
      </w:pPr>
      <w:r>
        <w:rPr>
          <w:rFonts w:hint="eastAsia" w:cs="仿宋" w:asciiTheme="minorEastAsia" w:hAnsiTheme="minorEastAsia" w:eastAsiaTheme="minorEastAsia"/>
        </w:rPr>
        <w:t>联 系 人：</w:t>
      </w:r>
    </w:p>
    <w:p>
      <w:pPr>
        <w:jc w:val="right"/>
        <w:rPr>
          <w:rFonts w:cs="仿宋" w:asciiTheme="minorEastAsia" w:hAnsiTheme="minorEastAsia" w:eastAsiaTheme="minorEastAsia"/>
        </w:rPr>
      </w:pPr>
      <w:r>
        <w:rPr>
          <w:rFonts w:hint="eastAsia" w:cs="仿宋" w:asciiTheme="minorEastAsia" w:hAnsiTheme="minorEastAsia" w:eastAsiaTheme="minorEastAsia"/>
        </w:rPr>
        <w:t>年    月    日</w:t>
      </w:r>
    </w:p>
    <w:p>
      <w:pPr>
        <w:jc w:val="left"/>
        <w:rPr>
          <w:rFonts w:cs="仿宋" w:asciiTheme="minorEastAsia" w:hAnsiTheme="minorEastAsia" w:eastAsiaTheme="minorEastAsia"/>
        </w:rPr>
      </w:pPr>
    </w:p>
    <w:p>
      <w:pPr>
        <w:widowControl/>
        <w:jc w:val="left"/>
        <w:rPr>
          <w:rFonts w:cs="仿宋" w:asciiTheme="minorEastAsia" w:hAnsiTheme="minorEastAsia" w:eastAsiaTheme="minorEastAsia"/>
          <w:sz w:val="32"/>
          <w:szCs w:val="36"/>
        </w:rPr>
      </w:pPr>
      <w:r>
        <w:rPr>
          <w:rFonts w:hint="eastAsia" w:cs="仿宋" w:asciiTheme="minorEastAsia" w:hAnsiTheme="minorEastAsia" w:eastAsiaTheme="minorEastAsia"/>
          <w:sz w:val="32"/>
          <w:szCs w:val="36"/>
        </w:rPr>
        <w:br w:type="page"/>
      </w:r>
    </w:p>
    <w:p>
      <w:pPr>
        <w:jc w:val="center"/>
        <w:rPr>
          <w:rFonts w:cs="仿宋" w:asciiTheme="minorEastAsia" w:hAnsiTheme="minorEastAsia" w:eastAsiaTheme="minorEastAsia"/>
          <w:sz w:val="32"/>
          <w:szCs w:val="36"/>
        </w:rPr>
      </w:pPr>
      <w:r>
        <w:rPr>
          <w:rFonts w:hint="eastAsia" w:cs="仿宋" w:asciiTheme="minorEastAsia" w:hAnsiTheme="minorEastAsia" w:eastAsiaTheme="minorEastAsia"/>
          <w:sz w:val="32"/>
          <w:szCs w:val="36"/>
        </w:rPr>
        <w:t>格式2  投标人资格证明文件</w:t>
      </w:r>
    </w:p>
    <w:p>
      <w:pPr>
        <w:ind w:firstLine="1274" w:firstLineChars="607"/>
        <w:rPr>
          <w:rFonts w:cs="仿宋" w:asciiTheme="minorEastAsia" w:hAnsiTheme="minorEastAsia" w:eastAsiaTheme="minorEastAsia"/>
        </w:rPr>
      </w:pPr>
    </w:p>
    <w:p>
      <w:pPr>
        <w:jc w:val="center"/>
        <w:rPr>
          <w:rFonts w:cs="仿宋" w:asciiTheme="minorEastAsia" w:hAnsiTheme="minorEastAsia" w:eastAsiaTheme="minorEastAsia"/>
        </w:rPr>
      </w:pPr>
    </w:p>
    <w:p>
      <w:pPr>
        <w:spacing w:line="360" w:lineRule="auto"/>
        <w:ind w:firstLine="955" w:firstLineChars="455"/>
        <w:rPr>
          <w:rFonts w:cs="仿宋" w:asciiTheme="minorEastAsia" w:hAnsiTheme="minorEastAsia" w:eastAsiaTheme="minorEastAsia"/>
        </w:rPr>
      </w:pPr>
      <w:r>
        <w:rPr>
          <w:rFonts w:hint="eastAsia" w:cs="仿宋" w:asciiTheme="minorEastAsia" w:hAnsiTheme="minorEastAsia" w:eastAsiaTheme="minorEastAsia"/>
        </w:rPr>
        <w:t>1、营业执照或法人证书等证明文件【扫描件或复印件】</w:t>
      </w:r>
    </w:p>
    <w:p>
      <w:pPr>
        <w:spacing w:line="360" w:lineRule="auto"/>
        <w:ind w:firstLine="955" w:firstLineChars="455"/>
        <w:rPr>
          <w:rFonts w:cs="仿宋" w:asciiTheme="minorEastAsia" w:hAnsiTheme="minorEastAsia" w:eastAsiaTheme="minorEastAsia"/>
        </w:rPr>
      </w:pPr>
      <w:r>
        <w:rPr>
          <w:rFonts w:hint="eastAsia" w:cs="仿宋" w:asciiTheme="minorEastAsia" w:hAnsiTheme="minorEastAsia" w:eastAsiaTheme="minorEastAsia"/>
        </w:rPr>
        <w:t>2、法定代表人（负责人）证明书【原件】</w:t>
      </w:r>
    </w:p>
    <w:p>
      <w:pPr>
        <w:spacing w:line="360" w:lineRule="auto"/>
        <w:ind w:firstLine="955" w:firstLineChars="455"/>
        <w:rPr>
          <w:rFonts w:cs="仿宋" w:asciiTheme="minorEastAsia" w:hAnsiTheme="minorEastAsia" w:eastAsiaTheme="minorEastAsia"/>
        </w:rPr>
      </w:pPr>
      <w:r>
        <w:rPr>
          <w:rFonts w:hint="eastAsia" w:cs="仿宋" w:asciiTheme="minorEastAsia" w:hAnsiTheme="minorEastAsia" w:eastAsiaTheme="minorEastAsia"/>
        </w:rPr>
        <w:t>3、法定代表人（负责人）授权委托书【原件】</w:t>
      </w:r>
    </w:p>
    <w:p>
      <w:pPr>
        <w:spacing w:line="360" w:lineRule="auto"/>
        <w:ind w:firstLine="955" w:firstLineChars="455"/>
        <w:rPr>
          <w:rFonts w:cs="仿宋" w:asciiTheme="minorEastAsia" w:hAnsiTheme="minorEastAsia" w:eastAsiaTheme="minorEastAsia"/>
        </w:rPr>
      </w:pPr>
      <w:r>
        <w:rPr>
          <w:rFonts w:hint="eastAsia" w:cs="仿宋" w:asciiTheme="minorEastAsia" w:hAnsiTheme="minorEastAsia" w:eastAsiaTheme="minorEastAsia"/>
        </w:rPr>
        <w:t>4、承诺函【详见格式《承诺函》】</w:t>
      </w:r>
    </w:p>
    <w:p>
      <w:pPr>
        <w:spacing w:line="360" w:lineRule="auto"/>
        <w:ind w:left="1394" w:leftChars="474" w:hanging="399" w:hangingChars="190"/>
        <w:rPr>
          <w:rFonts w:cs="仿宋" w:asciiTheme="minorEastAsia" w:hAnsiTheme="minorEastAsia" w:eastAsiaTheme="minorEastAsia"/>
          <w:color w:val="FF0000"/>
          <w:sz w:val="22"/>
        </w:rPr>
      </w:pPr>
      <w:r>
        <w:rPr>
          <w:rFonts w:hint="eastAsia" w:cs="仿宋" w:asciiTheme="minorEastAsia" w:hAnsiTheme="minorEastAsia" w:eastAsiaTheme="minorEastAsia"/>
        </w:rPr>
        <w:t>5、其他【如有，按采购公告“申请人的资格要求”提供】</w:t>
      </w:r>
    </w:p>
    <w:p>
      <w:pPr>
        <w:adjustRightInd w:val="0"/>
        <w:snapToGrid w:val="0"/>
        <w:spacing w:line="360" w:lineRule="auto"/>
        <w:ind w:firstLine="991" w:firstLineChars="472"/>
        <w:rPr>
          <w:rFonts w:cs="仿宋" w:asciiTheme="minorEastAsia" w:hAnsiTheme="minorEastAsia" w:eastAsiaTheme="minorEastAsia"/>
        </w:rPr>
      </w:pPr>
    </w:p>
    <w:p>
      <w:pPr>
        <w:spacing w:line="360" w:lineRule="auto"/>
        <w:ind w:left="1394" w:leftChars="474" w:hanging="399" w:hangingChars="190"/>
        <w:rPr>
          <w:rFonts w:cs="仿宋" w:asciiTheme="minorEastAsia" w:hAnsiTheme="minorEastAsia" w:eastAsiaTheme="minorEastAsia"/>
        </w:rPr>
      </w:pPr>
    </w:p>
    <w:p>
      <w:pPr>
        <w:spacing w:line="360" w:lineRule="auto"/>
        <w:ind w:left="1413" w:leftChars="474" w:hanging="418" w:hangingChars="190"/>
        <w:rPr>
          <w:rFonts w:cs="仿宋" w:asciiTheme="minorEastAsia" w:hAnsiTheme="minorEastAsia" w:eastAsiaTheme="minorEastAsia"/>
          <w:color w:val="FF0000"/>
          <w:sz w:val="22"/>
        </w:rPr>
      </w:pPr>
      <w:r>
        <w:rPr>
          <w:rFonts w:hint="eastAsia" w:cs="仿宋" w:asciiTheme="minorEastAsia" w:hAnsiTheme="minorEastAsia" w:eastAsiaTheme="minorEastAsia"/>
          <w:color w:val="FF0000"/>
          <w:sz w:val="22"/>
        </w:rPr>
        <w:t>注：以上资料均须加盖投标人公章，原件备查</w:t>
      </w:r>
    </w:p>
    <w:p>
      <w:pPr>
        <w:spacing w:line="360" w:lineRule="auto"/>
        <w:ind w:left="1413" w:leftChars="474" w:hanging="418" w:hangingChars="190"/>
        <w:rPr>
          <w:rFonts w:cs="仿宋" w:asciiTheme="minorEastAsia" w:hAnsiTheme="minorEastAsia" w:eastAsiaTheme="minorEastAsia"/>
          <w:color w:val="FF0000"/>
          <w:sz w:val="22"/>
        </w:rPr>
      </w:pPr>
    </w:p>
    <w:p>
      <w:pPr>
        <w:widowControl/>
        <w:jc w:val="left"/>
        <w:rPr>
          <w:rFonts w:cs="仿宋" w:asciiTheme="minorEastAsia" w:hAnsiTheme="minorEastAsia" w:eastAsiaTheme="minorEastAsia"/>
          <w:color w:val="FF0000"/>
          <w:sz w:val="22"/>
        </w:rPr>
      </w:pPr>
      <w:r>
        <w:rPr>
          <w:rFonts w:hint="eastAsia" w:cs="仿宋" w:asciiTheme="minorEastAsia" w:hAnsiTheme="minorEastAsia" w:eastAsiaTheme="minorEastAsia"/>
          <w:color w:val="FF0000"/>
          <w:sz w:val="22"/>
        </w:rPr>
        <w:br w:type="page"/>
      </w:r>
    </w:p>
    <w:p>
      <w:pPr>
        <w:adjustRightInd w:val="0"/>
        <w:spacing w:line="300" w:lineRule="auto"/>
        <w:ind w:hanging="2"/>
        <w:jc w:val="center"/>
        <w:rPr>
          <w:rFonts w:cs="仿宋" w:asciiTheme="minorEastAsia" w:hAnsiTheme="minorEastAsia" w:eastAsiaTheme="minorEastAsia"/>
        </w:rPr>
      </w:pPr>
      <w:r>
        <w:rPr>
          <w:rFonts w:hint="eastAsia" w:cs="仿宋" w:asciiTheme="minorEastAsia" w:hAnsiTheme="minorEastAsia" w:eastAsiaTheme="minorEastAsia"/>
          <w:snapToGrid w:val="0"/>
          <w:kern w:val="0"/>
          <w:sz w:val="28"/>
        </w:rPr>
        <w:t>承诺函</w:t>
      </w:r>
    </w:p>
    <w:p>
      <w:pPr>
        <w:spacing w:line="400" w:lineRule="exact"/>
        <w:rPr>
          <w:rFonts w:cs="仿宋" w:asciiTheme="minorEastAsia" w:hAnsiTheme="minorEastAsia" w:eastAsiaTheme="minorEastAsia"/>
          <w:snapToGrid w:val="0"/>
          <w:szCs w:val="18"/>
        </w:rPr>
      </w:pPr>
      <w:r>
        <w:rPr>
          <w:rFonts w:hint="eastAsia" w:cs="仿宋" w:asciiTheme="minorEastAsia" w:hAnsiTheme="minorEastAsia" w:eastAsiaTheme="minorEastAsia"/>
          <w:snapToGrid w:val="0"/>
          <w:szCs w:val="18"/>
        </w:rPr>
        <w:t>深圳市中正招标有限公司：</w:t>
      </w:r>
    </w:p>
    <w:p>
      <w:pPr>
        <w:spacing w:line="400" w:lineRule="exact"/>
        <w:ind w:firstLine="420" w:firstLineChars="200"/>
        <w:rPr>
          <w:rFonts w:cs="仿宋" w:asciiTheme="minorEastAsia" w:hAnsiTheme="minorEastAsia" w:eastAsiaTheme="minorEastAsia"/>
          <w:snapToGrid w:val="0"/>
          <w:szCs w:val="18"/>
        </w:rPr>
      </w:pPr>
      <w:r>
        <w:rPr>
          <w:rFonts w:hint="eastAsia" w:cs="仿宋" w:asciiTheme="minorEastAsia" w:hAnsiTheme="minorEastAsia" w:eastAsiaTheme="minorEastAsia"/>
          <w:snapToGrid w:val="0"/>
          <w:szCs w:val="18"/>
        </w:rPr>
        <w:t>我单位承诺：</w:t>
      </w:r>
    </w:p>
    <w:p>
      <w:pPr>
        <w:spacing w:line="400" w:lineRule="exact"/>
        <w:ind w:firstLine="420" w:firstLineChars="200"/>
        <w:rPr>
          <w:rFonts w:ascii="宋体" w:hAnsi="宋体"/>
          <w:szCs w:val="21"/>
        </w:rPr>
      </w:pPr>
      <w:r>
        <w:rPr>
          <w:rFonts w:hint="eastAsia" w:ascii="宋体" w:hAnsi="宋体"/>
          <w:szCs w:val="21"/>
        </w:rPr>
        <w:t>1.我单位满足《中华人民共和国政府采购法》第二十二条规定的下列条件：</w:t>
      </w:r>
    </w:p>
    <w:p>
      <w:pPr>
        <w:spacing w:line="400" w:lineRule="exact"/>
        <w:ind w:firstLine="420" w:firstLineChars="200"/>
        <w:rPr>
          <w:rFonts w:ascii="宋体" w:hAnsi="宋体"/>
          <w:szCs w:val="21"/>
        </w:rPr>
      </w:pPr>
      <w:r>
        <w:rPr>
          <w:rFonts w:hint="eastAsia" w:ascii="宋体" w:hAnsi="宋体"/>
          <w:szCs w:val="21"/>
        </w:rPr>
        <w:t>（一）具有独立承担民事责任的能力；</w:t>
      </w:r>
    </w:p>
    <w:p>
      <w:pPr>
        <w:spacing w:line="400" w:lineRule="exact"/>
        <w:ind w:firstLine="420" w:firstLineChars="200"/>
        <w:rPr>
          <w:rFonts w:ascii="宋体" w:hAnsi="宋体"/>
          <w:szCs w:val="21"/>
        </w:rPr>
      </w:pPr>
      <w:r>
        <w:rPr>
          <w:rFonts w:hint="eastAsia" w:ascii="宋体" w:hAnsi="宋体"/>
          <w:szCs w:val="21"/>
        </w:rPr>
        <w:t>（二）具有良好的商业信誉和健全的财务会计制度；</w:t>
      </w:r>
    </w:p>
    <w:p>
      <w:pPr>
        <w:spacing w:line="400" w:lineRule="exact"/>
        <w:ind w:firstLine="420" w:firstLineChars="200"/>
        <w:rPr>
          <w:rFonts w:ascii="宋体" w:hAnsi="宋体"/>
          <w:szCs w:val="21"/>
        </w:rPr>
      </w:pPr>
      <w:r>
        <w:rPr>
          <w:rFonts w:hint="eastAsia" w:ascii="宋体" w:hAnsi="宋体"/>
          <w:szCs w:val="21"/>
        </w:rPr>
        <w:t>（三）具有履行合同所必需的设备和专业技术能力；</w:t>
      </w:r>
    </w:p>
    <w:p>
      <w:pPr>
        <w:spacing w:line="400" w:lineRule="exact"/>
        <w:ind w:firstLine="420" w:firstLineChars="200"/>
        <w:rPr>
          <w:rFonts w:ascii="宋体" w:hAnsi="宋体"/>
          <w:szCs w:val="21"/>
        </w:rPr>
      </w:pPr>
      <w:r>
        <w:rPr>
          <w:rFonts w:hint="eastAsia" w:ascii="宋体" w:hAnsi="宋体"/>
          <w:szCs w:val="21"/>
        </w:rPr>
        <w:t>（四）有依法缴纳税收和社会保障资金的良好记录；</w:t>
      </w:r>
    </w:p>
    <w:p>
      <w:pPr>
        <w:spacing w:line="400" w:lineRule="exact"/>
        <w:ind w:firstLine="420" w:firstLineChars="200"/>
        <w:rPr>
          <w:rFonts w:ascii="宋体" w:hAnsi="宋体"/>
          <w:szCs w:val="21"/>
        </w:rPr>
      </w:pPr>
      <w:r>
        <w:rPr>
          <w:rFonts w:hint="eastAsia" w:ascii="宋体" w:hAnsi="宋体"/>
          <w:szCs w:val="21"/>
        </w:rPr>
        <w:t>（五）参加政府采购活动前三年内，在经营活动中没有重大违法记录；</w:t>
      </w:r>
    </w:p>
    <w:p>
      <w:pPr>
        <w:spacing w:line="400" w:lineRule="exact"/>
        <w:ind w:firstLine="420" w:firstLineChars="200"/>
        <w:rPr>
          <w:rFonts w:ascii="宋体" w:hAnsi="宋体"/>
          <w:szCs w:val="21"/>
        </w:rPr>
      </w:pPr>
      <w:r>
        <w:rPr>
          <w:rFonts w:hint="eastAsia" w:ascii="宋体" w:hAnsi="宋体"/>
          <w:szCs w:val="21"/>
        </w:rPr>
        <w:t>（六）法律、行政法规规定的其他条件。</w:t>
      </w:r>
    </w:p>
    <w:p>
      <w:pPr>
        <w:spacing w:line="400" w:lineRule="exact"/>
        <w:ind w:firstLine="420" w:firstLineChars="200"/>
        <w:rPr>
          <w:rFonts w:cs="仿宋" w:asciiTheme="minorEastAsia" w:hAnsiTheme="minorEastAsia" w:eastAsiaTheme="minorEastAsia"/>
          <w:szCs w:val="21"/>
        </w:rPr>
      </w:pPr>
      <w:r>
        <w:rPr>
          <w:rFonts w:hint="eastAsia" w:ascii="宋体" w:hAnsi="宋体"/>
          <w:szCs w:val="21"/>
        </w:rPr>
        <w:t>2.我单位参与本项目采购活动前三年内，在经营活动中没有重大违法记录，包括</w:t>
      </w:r>
      <w:r>
        <w:rPr>
          <w:rFonts w:ascii="Times New Roman" w:hAnsi="Times New Roman"/>
          <w:szCs w:val="21"/>
        </w:rPr>
        <w:t>因违法经营受到刑事处罚或者责令停产停业、吊销许可证或者执照、较大数额罚款等行政处罚</w:t>
      </w:r>
      <w:r>
        <w:rPr>
          <w:rFonts w:hint="eastAsia" w:cs="仿宋" w:asciiTheme="minorEastAsia" w:hAnsiTheme="minorEastAsia" w:eastAsiaTheme="minorEastAsia"/>
          <w:szCs w:val="21"/>
        </w:rPr>
        <w:t>。</w:t>
      </w:r>
    </w:p>
    <w:p>
      <w:pPr>
        <w:spacing w:line="400" w:lineRule="exact"/>
        <w:ind w:firstLine="420" w:firstLineChars="200"/>
        <w:rPr>
          <w:rFonts w:cs="仿宋" w:asciiTheme="minorEastAsia" w:hAnsiTheme="minorEastAsia" w:eastAsiaTheme="minorEastAsia"/>
        </w:rPr>
      </w:pPr>
      <w:r>
        <w:rPr>
          <w:rFonts w:hint="eastAsia" w:cs="仿宋" w:asciiTheme="minorEastAsia" w:hAnsiTheme="minorEastAsia" w:eastAsiaTheme="minorEastAsia"/>
          <w:szCs w:val="21"/>
        </w:rPr>
        <w:t>3.我单位参与本项目</w:t>
      </w:r>
      <w:r>
        <w:rPr>
          <w:rFonts w:hint="eastAsia" w:cs="仿宋" w:asciiTheme="minorEastAsia" w:hAnsiTheme="minorEastAsia" w:eastAsiaTheme="minorEastAsia"/>
        </w:rPr>
        <w:t>采购活动时不存在被有关部门禁止参与政府采购活动且在有效期内的情况。</w:t>
      </w:r>
    </w:p>
    <w:p>
      <w:pPr>
        <w:spacing w:line="40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4.我单位</w:t>
      </w:r>
      <w:r>
        <w:rPr>
          <w:rFonts w:hint="eastAsia" w:cs="仿宋" w:asciiTheme="minorEastAsia" w:hAnsiTheme="minorEastAsia" w:eastAsiaTheme="minorEastAsia"/>
          <w:snapToGrid w:val="0"/>
          <w:szCs w:val="18"/>
        </w:rPr>
        <w:t>与其他投标人不存在“单位负责人为同一人或者存在直接控股、管理关系”的情况；</w:t>
      </w:r>
      <w:r>
        <w:rPr>
          <w:rFonts w:hint="eastAsia" w:cs="仿宋" w:asciiTheme="minorEastAsia" w:hAnsiTheme="minorEastAsia" w:eastAsiaTheme="minorEastAsia"/>
          <w:szCs w:val="21"/>
        </w:rPr>
        <w:t>除单一来源采购项目外，如为采购项目提供整体设计、规范编制或者项目管理、监理、检测等服务，不再参加该采购项目的其他采购活动</w:t>
      </w:r>
      <w:r>
        <w:rPr>
          <w:rFonts w:hint="eastAsia" w:cs="仿宋" w:asciiTheme="minorEastAsia" w:hAnsiTheme="minorEastAsia" w:eastAsiaTheme="minorEastAsia"/>
        </w:rPr>
        <w:t>。</w:t>
      </w:r>
    </w:p>
    <w:p>
      <w:pPr>
        <w:spacing w:line="40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5.我单位承诺非联合体投标，不非法转包或分包。</w:t>
      </w:r>
    </w:p>
    <w:p>
      <w:pPr>
        <w:spacing w:line="40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6.我单位参与本项目所提供的货物或服务未侵犯知识产权。</w:t>
      </w:r>
    </w:p>
    <w:p>
      <w:pPr>
        <w:spacing w:line="400" w:lineRule="exact"/>
        <w:ind w:firstLine="420" w:firstLineChars="200"/>
        <w:rPr>
          <w:rFonts w:ascii="宋体" w:hAnsi="宋体"/>
          <w:szCs w:val="21"/>
        </w:rPr>
      </w:pPr>
      <w:r>
        <w:rPr>
          <w:rFonts w:hint="eastAsia" w:cs="仿宋" w:asciiTheme="minorEastAsia" w:hAnsiTheme="minorEastAsia" w:eastAsiaTheme="minorEastAsia"/>
          <w:szCs w:val="21"/>
        </w:rPr>
        <w:t>7.</w:t>
      </w:r>
      <w:r>
        <w:rPr>
          <w:rFonts w:hint="eastAsia" w:ascii="宋体" w:hAnsi="宋体"/>
          <w:szCs w:val="21"/>
        </w:rPr>
        <w:t>我单位参与该项目投标，严格遵循公平竞争的原则，不妨碍其他投标人的竞争行为，不损害采购人或者其他投标人的合法权益，与其他采购参加人不存在下列串通投标情形：</w:t>
      </w:r>
    </w:p>
    <w:p>
      <w:pPr>
        <w:spacing w:line="400" w:lineRule="exact"/>
        <w:ind w:firstLine="420" w:firstLineChars="200"/>
        <w:rPr>
          <w:rFonts w:ascii="宋体" w:hAnsi="宋体"/>
          <w:szCs w:val="21"/>
        </w:rPr>
      </w:pPr>
      <w:r>
        <w:rPr>
          <w:rFonts w:hint="eastAsia" w:ascii="宋体" w:hAnsi="宋体"/>
          <w:szCs w:val="21"/>
        </w:rPr>
        <w:t>（1）投标供应商之间相互约定给予未中标的供应商利益补偿；</w:t>
      </w:r>
    </w:p>
    <w:p>
      <w:pPr>
        <w:spacing w:line="400" w:lineRule="exact"/>
        <w:ind w:firstLine="420" w:firstLineChars="200"/>
        <w:rPr>
          <w:rFonts w:ascii="宋体" w:hAnsi="宋体"/>
          <w:szCs w:val="21"/>
        </w:rPr>
      </w:pPr>
      <w:r>
        <w:rPr>
          <w:rFonts w:hint="eastAsia" w:ascii="宋体" w:hAnsi="宋体"/>
          <w:szCs w:val="21"/>
        </w:rPr>
        <w:t>（2）不同投标供应商的法定代表人、主要经营负责人、项目投标授权代表人、项目负责人、主要技术人员为同一人、属同一单位或者在同一单位缴纳社会保险；</w:t>
      </w:r>
    </w:p>
    <w:p>
      <w:pPr>
        <w:spacing w:line="400" w:lineRule="exact"/>
        <w:ind w:firstLine="420" w:firstLineChars="200"/>
        <w:rPr>
          <w:rFonts w:ascii="宋体" w:hAnsi="宋体"/>
          <w:szCs w:val="21"/>
        </w:rPr>
      </w:pPr>
      <w:r>
        <w:rPr>
          <w:rFonts w:hint="eastAsia" w:ascii="宋体" w:hAnsi="宋体"/>
          <w:szCs w:val="21"/>
        </w:rPr>
        <w:t>（3）不同投标供应商的投标文件由同一单位或者同一人编制，或者由同一人分阶段参与编制的；</w:t>
      </w:r>
    </w:p>
    <w:p>
      <w:pPr>
        <w:spacing w:line="400" w:lineRule="exact"/>
        <w:ind w:firstLine="420" w:firstLineChars="200"/>
        <w:rPr>
          <w:rFonts w:ascii="宋体" w:hAnsi="宋体"/>
          <w:szCs w:val="21"/>
        </w:rPr>
      </w:pPr>
      <w:r>
        <w:rPr>
          <w:rFonts w:hint="eastAsia" w:ascii="宋体" w:hAnsi="宋体"/>
          <w:szCs w:val="21"/>
        </w:rPr>
        <w:t>（4）不同投标供应商的投标文件或部分投标文件相互混装；</w:t>
      </w:r>
    </w:p>
    <w:p>
      <w:pPr>
        <w:spacing w:line="400" w:lineRule="exact"/>
        <w:ind w:firstLine="420" w:firstLineChars="200"/>
        <w:rPr>
          <w:rFonts w:ascii="宋体" w:hAnsi="宋体"/>
          <w:szCs w:val="21"/>
        </w:rPr>
      </w:pPr>
      <w:r>
        <w:rPr>
          <w:rFonts w:hint="eastAsia" w:ascii="宋体" w:hAnsi="宋体"/>
          <w:szCs w:val="21"/>
        </w:rPr>
        <w:t>（5）不同投标供应商的投标文件内容存在非正常一致；</w:t>
      </w:r>
    </w:p>
    <w:p>
      <w:pPr>
        <w:spacing w:line="400" w:lineRule="exact"/>
        <w:ind w:firstLine="420" w:firstLineChars="200"/>
        <w:rPr>
          <w:rFonts w:ascii="宋体" w:hAnsi="宋体"/>
          <w:szCs w:val="21"/>
        </w:rPr>
      </w:pPr>
      <w:r>
        <w:rPr>
          <w:rFonts w:hint="eastAsia" w:ascii="宋体" w:hAnsi="宋体"/>
          <w:szCs w:val="21"/>
        </w:rPr>
        <w:t>（6）由同一单位工作人员为两家以上（含两家）供应商进行同一项投标活动的；</w:t>
      </w:r>
    </w:p>
    <w:p>
      <w:pPr>
        <w:spacing w:line="400" w:lineRule="exact"/>
        <w:ind w:firstLine="420" w:firstLineChars="200"/>
        <w:rPr>
          <w:rFonts w:cs="仿宋" w:asciiTheme="minorEastAsia" w:hAnsiTheme="minorEastAsia" w:eastAsiaTheme="minorEastAsia"/>
          <w:szCs w:val="21"/>
        </w:rPr>
      </w:pPr>
      <w:r>
        <w:rPr>
          <w:rFonts w:hint="eastAsia" w:ascii="宋体" w:hAnsi="宋体"/>
          <w:szCs w:val="21"/>
        </w:rPr>
        <w:t>（7）主管部门依照法律、法规认定的其他情形</w:t>
      </w:r>
      <w:r>
        <w:rPr>
          <w:rFonts w:hint="eastAsia" w:cs="仿宋" w:asciiTheme="minorEastAsia" w:hAnsiTheme="minorEastAsia" w:eastAsiaTheme="minorEastAsia"/>
          <w:szCs w:val="21"/>
        </w:rPr>
        <w:t>。</w:t>
      </w:r>
    </w:p>
    <w:p>
      <w:pPr>
        <w:spacing w:line="40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8.我单位如果中标，做到守信，不偷工减料，依照本项目招标文件需求内容、签署的采购合同及本单位在投标中所作的一切承诺履约。</w:t>
      </w:r>
    </w:p>
    <w:p>
      <w:pPr>
        <w:spacing w:line="40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line="40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以上承诺，如有违反，愿依照相关法律法规处理，并承担由此给采购人带来的损失。</w:t>
      </w:r>
    </w:p>
    <w:p>
      <w:pPr>
        <w:spacing w:line="360" w:lineRule="auto"/>
        <w:ind w:firstLine="600"/>
        <w:rPr>
          <w:rFonts w:cs="仿宋" w:asciiTheme="minorEastAsia" w:hAnsiTheme="minorEastAsia" w:eastAsiaTheme="minorEastAsia"/>
          <w:snapToGrid w:val="0"/>
          <w:szCs w:val="18"/>
        </w:rPr>
      </w:pPr>
    </w:p>
    <w:p>
      <w:pPr>
        <w:adjustRightInd w:val="0"/>
        <w:snapToGrid w:val="0"/>
        <w:spacing w:line="300" w:lineRule="auto"/>
        <w:rPr>
          <w:rFonts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投标人：（盖章）</w:t>
      </w:r>
    </w:p>
    <w:p>
      <w:pPr>
        <w:adjustRightInd w:val="0"/>
        <w:snapToGrid w:val="0"/>
        <w:spacing w:line="300" w:lineRule="auto"/>
        <w:rPr>
          <w:rFonts w:cs="仿宋" w:asciiTheme="minorEastAsia" w:hAnsiTheme="minorEastAsia" w:eastAsiaTheme="minorEastAsia"/>
          <w:snapToGrid w:val="0"/>
          <w:kern w:val="0"/>
        </w:rPr>
      </w:pPr>
    </w:p>
    <w:p>
      <w:pPr>
        <w:adjustRightInd w:val="0"/>
        <w:snapToGrid w:val="0"/>
        <w:spacing w:line="300" w:lineRule="auto"/>
        <w:rPr>
          <w:rFonts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法定代表人或其授权代表：（签字或盖章）</w:t>
      </w:r>
    </w:p>
    <w:p>
      <w:pPr>
        <w:adjustRightInd w:val="0"/>
        <w:snapToGrid w:val="0"/>
        <w:spacing w:line="300" w:lineRule="auto"/>
        <w:ind w:right="420"/>
        <w:rPr>
          <w:rFonts w:cs="仿宋" w:asciiTheme="minorEastAsia" w:hAnsiTheme="minorEastAsia" w:eastAsiaTheme="minorEastAsia"/>
          <w:snapToGrid w:val="0"/>
          <w:kern w:val="0"/>
        </w:rPr>
      </w:pPr>
    </w:p>
    <w:p>
      <w:pPr>
        <w:snapToGrid w:val="0"/>
        <w:spacing w:line="360" w:lineRule="auto"/>
        <w:ind w:left="560"/>
        <w:jc w:val="right"/>
        <w:rPr>
          <w:rFonts w:cs="仿宋" w:asciiTheme="minorEastAsia" w:hAnsiTheme="minorEastAsia" w:eastAsiaTheme="minorEastAsia"/>
        </w:rPr>
      </w:pPr>
      <w:r>
        <w:rPr>
          <w:rFonts w:hint="eastAsia" w:cs="仿宋" w:asciiTheme="minorEastAsia" w:hAnsiTheme="minorEastAsia" w:eastAsiaTheme="minorEastAsia"/>
        </w:rPr>
        <w:t>年     月    日</w:t>
      </w:r>
      <w:r>
        <w:rPr>
          <w:rFonts w:hint="eastAsia" w:cs="仿宋" w:asciiTheme="minorEastAsia" w:hAnsiTheme="minorEastAsia" w:eastAsiaTheme="minorEastAsia"/>
        </w:rPr>
        <w:br w:type="page"/>
      </w:r>
    </w:p>
    <w:p>
      <w:pPr>
        <w:widowControl/>
        <w:jc w:val="left"/>
        <w:rPr>
          <w:rFonts w:cs="仿宋" w:asciiTheme="minorEastAsia" w:hAnsiTheme="minorEastAsia" w:eastAsiaTheme="minorEastAsia"/>
        </w:rPr>
      </w:pPr>
    </w:p>
    <w:p>
      <w:pPr>
        <w:jc w:val="center"/>
        <w:rPr>
          <w:rFonts w:cs="仿宋" w:asciiTheme="minorEastAsia" w:hAnsiTheme="minorEastAsia" w:eastAsiaTheme="minorEastAsia"/>
          <w:sz w:val="32"/>
          <w:szCs w:val="36"/>
        </w:rPr>
      </w:pPr>
      <w:r>
        <w:rPr>
          <w:rFonts w:hint="eastAsia" w:cs="仿宋" w:asciiTheme="minorEastAsia" w:hAnsiTheme="minorEastAsia" w:eastAsiaTheme="minorEastAsia"/>
          <w:sz w:val="32"/>
          <w:szCs w:val="36"/>
        </w:rPr>
        <w:t>法定代表人（负责人）证明书（格式）</w:t>
      </w:r>
    </w:p>
    <w:p>
      <w:pPr>
        <w:jc w:val="center"/>
        <w:rPr>
          <w:rFonts w:cs="仿宋" w:asciiTheme="minorEastAsia" w:hAnsiTheme="minorEastAsia" w:eastAsiaTheme="minorEastAsia"/>
          <w:sz w:val="32"/>
          <w:szCs w:val="36"/>
        </w:rPr>
      </w:pPr>
    </w:p>
    <w:p>
      <w:pPr>
        <w:tabs>
          <w:tab w:val="left" w:pos="900"/>
        </w:tabs>
        <w:spacing w:line="360" w:lineRule="auto"/>
        <w:ind w:firstLine="630" w:firstLineChars="300"/>
        <w:rPr>
          <w:rFonts w:cs="仿宋" w:asciiTheme="minorEastAsia" w:hAnsiTheme="minorEastAsia" w:eastAsiaTheme="minorEastAsia"/>
        </w:rPr>
      </w:pP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同志，现任我单位</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职务，为法定代表人（负责人），特此证明。</w:t>
      </w:r>
    </w:p>
    <w:p>
      <w:pPr>
        <w:spacing w:line="36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有效日期与本公司投标文件中标注的投标有效期相同。签发日期：</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年</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月</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日</w:t>
      </w:r>
    </w:p>
    <w:p>
      <w:pPr>
        <w:spacing w:line="36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附：</w:t>
      </w:r>
    </w:p>
    <w:p>
      <w:pPr>
        <w:spacing w:line="360" w:lineRule="auto"/>
        <w:ind w:firstLine="840" w:firstLineChars="400"/>
        <w:rPr>
          <w:rFonts w:cs="仿宋" w:asciiTheme="minorEastAsia" w:hAnsiTheme="minorEastAsia" w:eastAsiaTheme="minorEastAsia"/>
        </w:rPr>
      </w:pPr>
      <w:r>
        <w:rPr>
          <w:rFonts w:hint="eastAsia" w:cs="仿宋" w:asciiTheme="minorEastAsia" w:hAnsiTheme="minorEastAsia" w:eastAsiaTheme="minorEastAsia"/>
        </w:rPr>
        <w:t xml:space="preserve">营业执照（注册号）： </w:t>
      </w:r>
    </w:p>
    <w:p>
      <w:pPr>
        <w:spacing w:line="360" w:lineRule="auto"/>
        <w:ind w:firstLine="840" w:firstLineChars="400"/>
        <w:rPr>
          <w:rFonts w:cs="仿宋" w:asciiTheme="minorEastAsia" w:hAnsiTheme="minorEastAsia" w:eastAsiaTheme="minorEastAsia"/>
        </w:rPr>
      </w:pPr>
      <w:r>
        <w:rPr>
          <w:rFonts w:hint="eastAsia" w:cs="仿宋" w:asciiTheme="minorEastAsia" w:hAnsiTheme="minorEastAsia" w:eastAsiaTheme="minorEastAsia"/>
        </w:rPr>
        <w:t>经济性质：</w:t>
      </w:r>
    </w:p>
    <w:p>
      <w:pPr>
        <w:spacing w:line="360" w:lineRule="auto"/>
        <w:ind w:firstLine="840" w:firstLineChars="400"/>
        <w:rPr>
          <w:rFonts w:cs="仿宋" w:asciiTheme="minorEastAsia" w:hAnsiTheme="minorEastAsia" w:eastAsiaTheme="minorEastAsia"/>
        </w:rPr>
      </w:pPr>
      <w:r>
        <w:rPr>
          <w:rFonts w:hint="eastAsia" w:cs="仿宋" w:asciiTheme="minorEastAsia" w:hAnsiTheme="minorEastAsia" w:eastAsiaTheme="minorEastAsia"/>
        </w:rPr>
        <w:t>主营（产）：</w:t>
      </w:r>
    </w:p>
    <w:p>
      <w:pPr>
        <w:spacing w:line="360" w:lineRule="auto"/>
        <w:ind w:firstLine="840" w:firstLineChars="400"/>
        <w:rPr>
          <w:rFonts w:cs="仿宋" w:asciiTheme="minorEastAsia" w:hAnsiTheme="minorEastAsia" w:eastAsiaTheme="minorEastAsia"/>
        </w:rPr>
      </w:pPr>
      <w:r>
        <w:rPr>
          <w:rFonts w:hint="eastAsia" w:cs="仿宋" w:asciiTheme="minorEastAsia" w:hAnsiTheme="minorEastAsia" w:eastAsiaTheme="minorEastAsia"/>
        </w:rPr>
        <w:t>兼营（产）：</w:t>
      </w:r>
    </w:p>
    <w:p>
      <w:pPr>
        <w:spacing w:line="360" w:lineRule="auto"/>
        <w:jc w:val="right"/>
        <w:rPr>
          <w:rFonts w:cs="仿宋" w:asciiTheme="minorEastAsia" w:hAnsiTheme="minorEastAsia" w:eastAsiaTheme="minorEastAsia"/>
        </w:rPr>
      </w:pPr>
      <w:r>
        <w:rPr>
          <w:rFonts w:hint="eastAsia" w:cs="仿宋" w:asciiTheme="minorEastAsia" w:hAnsiTheme="minorEastAsia" w:eastAsiaTheme="minorEastAsia"/>
        </w:rPr>
        <w:t>单位名称：（公章）：</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w:t>
      </w:r>
    </w:p>
    <w:p>
      <w:pPr>
        <w:spacing w:line="360" w:lineRule="auto"/>
        <w:ind w:firstLine="743" w:firstLineChars="354"/>
        <w:jc w:val="right"/>
        <w:rPr>
          <w:rFonts w:cs="仿宋" w:asciiTheme="minorEastAsia" w:hAnsiTheme="minorEastAsia" w:eastAsiaTheme="minorEastAsia"/>
        </w:rPr>
      </w:pPr>
      <w:r>
        <w:rPr>
          <w:rFonts w:hint="eastAsia" w:cs="仿宋" w:asciiTheme="minorEastAsia" w:hAnsiTheme="minorEastAsia" w:eastAsiaTheme="minorEastAsia"/>
        </w:rPr>
        <w:t>日期：</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年</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 xml:space="preserve">月 </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日</w:t>
      </w:r>
    </w:p>
    <w:p>
      <w:pPr>
        <w:spacing w:line="360" w:lineRule="auto"/>
        <w:ind w:firstLine="849" w:firstLineChars="354"/>
        <w:jc w:val="right"/>
        <w:rPr>
          <w:rFonts w:cs="仿宋" w:asciiTheme="minorEastAsia" w:hAnsiTheme="minorEastAsia" w:eastAsiaTheme="minorEastAsia"/>
          <w:sz w:val="24"/>
        </w:rPr>
      </w:pPr>
    </w:p>
    <w:p>
      <w:pPr>
        <w:spacing w:line="360" w:lineRule="auto"/>
        <w:rPr>
          <w:rFonts w:cs="仿宋" w:asciiTheme="minorEastAsia" w:hAnsiTheme="minorEastAsia" w:eastAsiaTheme="minorEastAsia"/>
        </w:rPr>
      </w:pPr>
      <w:r>
        <w:rPr>
          <w:rFonts w:cs="仿宋" w:asciiTheme="minorEastAsia" w:hAnsiTheme="minorEastAsia" w:eastAsiaTheme="minorEastAsia"/>
        </w:rPr>
        <mc:AlternateContent>
          <mc:Choice Requires="wps">
            <w:drawing>
              <wp:anchor distT="0" distB="0" distL="114300" distR="114300" simplePos="0" relativeHeight="251661312" behindDoc="0" locked="0" layoutInCell="1" allowOverlap="1">
                <wp:simplePos x="0" y="0"/>
                <wp:positionH relativeFrom="column">
                  <wp:posOffset>2840355</wp:posOffset>
                </wp:positionH>
                <wp:positionV relativeFrom="paragraph">
                  <wp:posOffset>136525</wp:posOffset>
                </wp:positionV>
                <wp:extent cx="2705100" cy="1981200"/>
                <wp:effectExtent l="4445" t="5080" r="14605" b="13970"/>
                <wp:wrapNone/>
                <wp:docPr id="6" name="Rectangle 5"/>
                <wp:cNvGraphicFramePr/>
                <a:graphic xmlns:a="http://schemas.openxmlformats.org/drawingml/2006/main">
                  <a:graphicData uri="http://schemas.microsoft.com/office/word/2010/wordprocessingShape">
                    <wps:wsp>
                      <wps:cNvSpPr/>
                      <wps:spPr>
                        <a:xfrm>
                          <a:off x="0" y="0"/>
                          <a:ext cx="2705100" cy="19812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auto"/>
                              <w:ind w:firstLine="1680" w:firstLineChars="800"/>
                            </w:pPr>
                          </w:p>
                          <w:p>
                            <w:pPr>
                              <w:spacing w:line="360" w:lineRule="auto"/>
                              <w:jc w:val="center"/>
                              <w:rPr>
                                <w:rFonts w:ascii="仿宋" w:hAnsi="仿宋" w:eastAsia="仿宋"/>
                                <w:sz w:val="22"/>
                              </w:rPr>
                            </w:pPr>
                            <w:r>
                              <w:rPr>
                                <w:rFonts w:hint="eastAsia" w:ascii="仿宋" w:hAnsi="仿宋" w:eastAsia="仿宋"/>
                                <w:sz w:val="22"/>
                              </w:rPr>
                              <w:t>法定代表人</w:t>
                            </w:r>
                          </w:p>
                          <w:p>
                            <w:pPr>
                              <w:spacing w:line="360" w:lineRule="auto"/>
                              <w:jc w:val="center"/>
                              <w:rPr>
                                <w:rFonts w:ascii="仿宋" w:hAnsi="仿宋" w:eastAsia="仿宋"/>
                                <w:sz w:val="22"/>
                              </w:rPr>
                            </w:pPr>
                            <w:r>
                              <w:rPr>
                                <w:rFonts w:hint="eastAsia" w:ascii="仿宋" w:hAnsi="仿宋" w:eastAsia="仿宋"/>
                                <w:sz w:val="22"/>
                              </w:rPr>
                              <w:t>居民身份证复印件粘贴处</w:t>
                            </w:r>
                          </w:p>
                          <w:p>
                            <w:pPr>
                              <w:spacing w:line="360" w:lineRule="auto"/>
                              <w:jc w:val="center"/>
                              <w:rPr>
                                <w:rFonts w:ascii="仿宋" w:hAnsi="仿宋" w:eastAsia="仿宋"/>
                                <w:sz w:val="22"/>
                              </w:rPr>
                            </w:pPr>
                            <w:r>
                              <w:rPr>
                                <w:rFonts w:hint="eastAsia" w:ascii="仿宋" w:hAnsi="仿宋" w:eastAsia="仿宋"/>
                                <w:sz w:val="22"/>
                              </w:rPr>
                              <w:t>（反面）</w:t>
                            </w:r>
                          </w:p>
                        </w:txbxContent>
                      </wps:txbx>
                      <wps:bodyPr upright="1"/>
                    </wps:wsp>
                  </a:graphicData>
                </a:graphic>
              </wp:anchor>
            </w:drawing>
          </mc:Choice>
          <mc:Fallback>
            <w:pict>
              <v:rect id="Rectangle 5" o:spid="_x0000_s1026" o:spt="1" style="position:absolute;left:0pt;margin-left:223.65pt;margin-top:10.75pt;height:156pt;width:213pt;z-index:251661312;mso-width-relative:page;mso-height-relative:page;" fillcolor="#FFFFFF" filled="t" stroked="t" coordsize="21600,21600" o:gfxdata="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cT0NvZAAAACgEAAA8AAAAAAAAAAQAgAAAAIgAAAGRycy9kb3ducmV2&#10;LnhtbFBLAQIUABQAAAAIAIdO4kAK/+Rm+wEAADsEAAAOAAAAAAAAAAEAIAAAACgBAABkcnMvZTJv&#10;RG9jLnhtbFBLBQYAAAAABgAGAFkBAACVBQAAAAA=&#10;">
                <v:fill on="t" focussize="0,0"/>
                <v:stroke color="#000000" joinstyle="miter"/>
                <v:imagedata o:title=""/>
                <o:lock v:ext="edit" aspectratio="f"/>
                <v:textbox>
                  <w:txbxContent>
                    <w:p>
                      <w:pPr>
                        <w:spacing w:line="360" w:lineRule="auto"/>
                        <w:ind w:firstLine="1680" w:firstLineChars="800"/>
                      </w:pPr>
                    </w:p>
                    <w:p>
                      <w:pPr>
                        <w:spacing w:line="360" w:lineRule="auto"/>
                        <w:jc w:val="center"/>
                        <w:rPr>
                          <w:rFonts w:ascii="仿宋" w:hAnsi="仿宋" w:eastAsia="仿宋"/>
                          <w:sz w:val="22"/>
                        </w:rPr>
                      </w:pPr>
                      <w:r>
                        <w:rPr>
                          <w:rFonts w:hint="eastAsia" w:ascii="仿宋" w:hAnsi="仿宋" w:eastAsia="仿宋"/>
                          <w:sz w:val="22"/>
                        </w:rPr>
                        <w:t>法定代表人</w:t>
                      </w:r>
                    </w:p>
                    <w:p>
                      <w:pPr>
                        <w:spacing w:line="360" w:lineRule="auto"/>
                        <w:jc w:val="center"/>
                        <w:rPr>
                          <w:rFonts w:ascii="仿宋" w:hAnsi="仿宋" w:eastAsia="仿宋"/>
                          <w:sz w:val="22"/>
                        </w:rPr>
                      </w:pPr>
                      <w:r>
                        <w:rPr>
                          <w:rFonts w:hint="eastAsia" w:ascii="仿宋" w:hAnsi="仿宋" w:eastAsia="仿宋"/>
                          <w:sz w:val="22"/>
                        </w:rPr>
                        <w:t>居民身份证复印件粘贴处</w:t>
                      </w:r>
                    </w:p>
                    <w:p>
                      <w:pPr>
                        <w:spacing w:line="360" w:lineRule="auto"/>
                        <w:jc w:val="center"/>
                        <w:rPr>
                          <w:rFonts w:ascii="仿宋" w:hAnsi="仿宋" w:eastAsia="仿宋"/>
                          <w:sz w:val="22"/>
                        </w:rPr>
                      </w:pPr>
                      <w:r>
                        <w:rPr>
                          <w:rFonts w:hint="eastAsia" w:ascii="仿宋" w:hAnsi="仿宋" w:eastAsia="仿宋"/>
                          <w:sz w:val="22"/>
                        </w:rPr>
                        <w:t>（反面）</w:t>
                      </w:r>
                    </w:p>
                  </w:txbxContent>
                </v:textbox>
              </v:rect>
            </w:pict>
          </mc:Fallback>
        </mc:AlternateContent>
      </w:r>
      <w:r>
        <w:rPr>
          <w:rFonts w:cs="仿宋" w:asciiTheme="minorEastAsia" w:hAnsiTheme="minorEastAsia" w:eastAsiaTheme="minorEastAsia"/>
        </w:rPr>
        <mc:AlternateContent>
          <mc:Choice Requires="wps">
            <w:drawing>
              <wp:anchor distT="0" distB="0" distL="114300" distR="114300" simplePos="0" relativeHeight="251660288" behindDoc="0" locked="0" layoutInCell="1" allowOverlap="1">
                <wp:simplePos x="0" y="0"/>
                <wp:positionH relativeFrom="column">
                  <wp:posOffset>-112395</wp:posOffset>
                </wp:positionH>
                <wp:positionV relativeFrom="paragraph">
                  <wp:posOffset>136525</wp:posOffset>
                </wp:positionV>
                <wp:extent cx="2705100" cy="1981200"/>
                <wp:effectExtent l="4445" t="5080" r="14605" b="13970"/>
                <wp:wrapNone/>
                <wp:docPr id="5" name="Rectangle 4"/>
                <wp:cNvGraphicFramePr/>
                <a:graphic xmlns:a="http://schemas.openxmlformats.org/drawingml/2006/main">
                  <a:graphicData uri="http://schemas.microsoft.com/office/word/2010/wordprocessingShape">
                    <wps:wsp>
                      <wps:cNvSpPr/>
                      <wps:spPr>
                        <a:xfrm>
                          <a:off x="0" y="0"/>
                          <a:ext cx="2705100" cy="19812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auto"/>
                              <w:jc w:val="center"/>
                            </w:pPr>
                          </w:p>
                          <w:p>
                            <w:pPr>
                              <w:spacing w:line="360" w:lineRule="auto"/>
                              <w:jc w:val="center"/>
                              <w:rPr>
                                <w:rFonts w:ascii="仿宋" w:hAnsi="仿宋" w:eastAsia="仿宋"/>
                                <w:sz w:val="22"/>
                              </w:rPr>
                            </w:pPr>
                            <w:r>
                              <w:rPr>
                                <w:rFonts w:hint="eastAsia" w:ascii="仿宋" w:hAnsi="仿宋" w:eastAsia="仿宋"/>
                                <w:sz w:val="22"/>
                              </w:rPr>
                              <w:t>法定代表人</w:t>
                            </w:r>
                            <w:r>
                              <w:rPr>
                                <w:rFonts w:hint="eastAsia" w:ascii="仿宋" w:hAnsi="仿宋" w:eastAsia="仿宋"/>
                              </w:rPr>
                              <w:t>（负责人）</w:t>
                            </w:r>
                          </w:p>
                          <w:p>
                            <w:pPr>
                              <w:spacing w:line="360" w:lineRule="auto"/>
                              <w:jc w:val="center"/>
                              <w:rPr>
                                <w:rFonts w:ascii="仿宋" w:hAnsi="仿宋" w:eastAsia="仿宋"/>
                                <w:sz w:val="22"/>
                              </w:rPr>
                            </w:pPr>
                            <w:r>
                              <w:rPr>
                                <w:rFonts w:hint="eastAsia" w:ascii="仿宋" w:hAnsi="仿宋" w:eastAsia="仿宋"/>
                                <w:sz w:val="22"/>
                              </w:rPr>
                              <w:t>居民身份证复印件粘贴处</w:t>
                            </w:r>
                          </w:p>
                          <w:p>
                            <w:pPr>
                              <w:spacing w:line="360" w:lineRule="auto"/>
                              <w:jc w:val="center"/>
                              <w:rPr>
                                <w:rFonts w:ascii="仿宋" w:hAnsi="仿宋" w:eastAsia="仿宋"/>
                                <w:sz w:val="22"/>
                              </w:rPr>
                            </w:pPr>
                            <w:r>
                              <w:rPr>
                                <w:rFonts w:hint="eastAsia" w:ascii="仿宋" w:hAnsi="仿宋" w:eastAsia="仿宋"/>
                                <w:sz w:val="22"/>
                              </w:rPr>
                              <w:t>（正面）</w:t>
                            </w:r>
                          </w:p>
                        </w:txbxContent>
                      </wps:txbx>
                      <wps:bodyPr upright="1"/>
                    </wps:wsp>
                  </a:graphicData>
                </a:graphic>
              </wp:anchor>
            </w:drawing>
          </mc:Choice>
          <mc:Fallback>
            <w:pict>
              <v:rect id="Rectangle 4" o:spid="_x0000_s1026" o:spt="1" style="position:absolute;left:0pt;margin-left:-8.85pt;margin-top:10.75pt;height:156pt;width:213pt;z-index:251660288;mso-width-relative:page;mso-height-relative:page;" fillcolor="#FFFFFF" filled="t" stroked="t" coordsize="21600,21600" o:gfxdata="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sTcSu9kAAAAKAQAADwAAAAAAAAABACAAAAAiAAAAZHJzL2Rvd25yZXYu&#10;eG1sUEsBAhQAFAAAAAgAh07iQOY+OIX6AQAAOwQAAA4AAAAAAAAAAQAgAAAAKAEAAGRycy9lMm9E&#10;b2MueG1sUEsFBgAAAAAGAAYAWQEAAJQFAAAAAA==&#10;">
                <v:fill on="t" focussize="0,0"/>
                <v:stroke color="#000000" joinstyle="miter"/>
                <v:imagedata o:title=""/>
                <o:lock v:ext="edit" aspectratio="f"/>
                <v:textbox>
                  <w:txbxContent>
                    <w:p>
                      <w:pPr>
                        <w:spacing w:line="360" w:lineRule="auto"/>
                        <w:jc w:val="center"/>
                      </w:pPr>
                    </w:p>
                    <w:p>
                      <w:pPr>
                        <w:spacing w:line="360" w:lineRule="auto"/>
                        <w:jc w:val="center"/>
                        <w:rPr>
                          <w:rFonts w:ascii="仿宋" w:hAnsi="仿宋" w:eastAsia="仿宋"/>
                          <w:sz w:val="22"/>
                        </w:rPr>
                      </w:pPr>
                      <w:r>
                        <w:rPr>
                          <w:rFonts w:hint="eastAsia" w:ascii="仿宋" w:hAnsi="仿宋" w:eastAsia="仿宋"/>
                          <w:sz w:val="22"/>
                        </w:rPr>
                        <w:t>法定代表人</w:t>
                      </w:r>
                      <w:r>
                        <w:rPr>
                          <w:rFonts w:hint="eastAsia" w:ascii="仿宋" w:hAnsi="仿宋" w:eastAsia="仿宋"/>
                        </w:rPr>
                        <w:t>（负责人）</w:t>
                      </w:r>
                    </w:p>
                    <w:p>
                      <w:pPr>
                        <w:spacing w:line="360" w:lineRule="auto"/>
                        <w:jc w:val="center"/>
                        <w:rPr>
                          <w:rFonts w:ascii="仿宋" w:hAnsi="仿宋" w:eastAsia="仿宋"/>
                          <w:sz w:val="22"/>
                        </w:rPr>
                      </w:pPr>
                      <w:r>
                        <w:rPr>
                          <w:rFonts w:hint="eastAsia" w:ascii="仿宋" w:hAnsi="仿宋" w:eastAsia="仿宋"/>
                          <w:sz w:val="22"/>
                        </w:rPr>
                        <w:t>居民身份证复印件粘贴处</w:t>
                      </w:r>
                    </w:p>
                    <w:p>
                      <w:pPr>
                        <w:spacing w:line="360" w:lineRule="auto"/>
                        <w:jc w:val="center"/>
                        <w:rPr>
                          <w:rFonts w:ascii="仿宋" w:hAnsi="仿宋" w:eastAsia="仿宋"/>
                          <w:sz w:val="22"/>
                        </w:rPr>
                      </w:pPr>
                      <w:r>
                        <w:rPr>
                          <w:rFonts w:hint="eastAsia" w:ascii="仿宋" w:hAnsi="仿宋" w:eastAsia="仿宋"/>
                          <w:sz w:val="22"/>
                        </w:rPr>
                        <w:t>（正面）</w:t>
                      </w:r>
                    </w:p>
                  </w:txbxContent>
                </v:textbox>
              </v:rect>
            </w:pict>
          </mc:Fallback>
        </mc:AlternateContent>
      </w:r>
    </w:p>
    <w:p>
      <w:pPr>
        <w:spacing w:line="360" w:lineRule="auto"/>
        <w:rPr>
          <w:rFonts w:cs="仿宋" w:asciiTheme="minorEastAsia" w:hAnsiTheme="minorEastAsia" w:eastAsiaTheme="minorEastAsia"/>
        </w:rPr>
      </w:pPr>
    </w:p>
    <w:p>
      <w:pPr>
        <w:spacing w:line="360" w:lineRule="auto"/>
        <w:rPr>
          <w:rFonts w:cs="仿宋" w:asciiTheme="minorEastAsia" w:hAnsiTheme="minorEastAsia" w:eastAsiaTheme="minorEastAsia"/>
        </w:rPr>
      </w:pPr>
    </w:p>
    <w:p>
      <w:pPr>
        <w:spacing w:line="360" w:lineRule="auto"/>
        <w:rPr>
          <w:rFonts w:cs="仿宋" w:asciiTheme="minorEastAsia" w:hAnsiTheme="minorEastAsia" w:eastAsiaTheme="minorEastAsia"/>
        </w:rPr>
      </w:pPr>
    </w:p>
    <w:p>
      <w:pPr>
        <w:spacing w:line="360" w:lineRule="auto"/>
        <w:rPr>
          <w:rFonts w:cs="仿宋" w:asciiTheme="minorEastAsia" w:hAnsiTheme="minorEastAsia" w:eastAsiaTheme="minorEastAsia"/>
        </w:rPr>
      </w:pPr>
    </w:p>
    <w:p>
      <w:pPr>
        <w:spacing w:line="360" w:lineRule="auto"/>
        <w:rPr>
          <w:rFonts w:cs="仿宋" w:asciiTheme="minorEastAsia" w:hAnsiTheme="minorEastAsia" w:eastAsiaTheme="minorEastAsia"/>
        </w:rPr>
      </w:pPr>
    </w:p>
    <w:p>
      <w:pPr>
        <w:spacing w:line="360" w:lineRule="auto"/>
        <w:rPr>
          <w:rFonts w:cs="仿宋" w:asciiTheme="minorEastAsia" w:hAnsiTheme="minorEastAsia" w:eastAsiaTheme="minorEastAsia"/>
        </w:rPr>
      </w:pPr>
      <w:r>
        <w:rPr>
          <w:rFonts w:hint="eastAsia" w:cs="仿宋" w:asciiTheme="minorEastAsia" w:hAnsiTheme="minorEastAsia" w:eastAsiaTheme="minorEastAsia"/>
        </w:rPr>
        <w:t xml:space="preserve">                         </w:t>
      </w: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widowControl/>
        <w:jc w:val="left"/>
        <w:rPr>
          <w:rFonts w:cs="仿宋" w:asciiTheme="minorEastAsia" w:hAnsiTheme="minorEastAsia" w:eastAsiaTheme="minorEastAsia"/>
        </w:rPr>
      </w:pPr>
      <w:r>
        <w:rPr>
          <w:rFonts w:hint="eastAsia" w:cs="仿宋" w:asciiTheme="minorEastAsia" w:hAnsiTheme="minorEastAsia" w:eastAsiaTheme="minorEastAsia"/>
        </w:rPr>
        <w:br w:type="page"/>
      </w:r>
    </w:p>
    <w:p>
      <w:pPr>
        <w:jc w:val="center"/>
        <w:rPr>
          <w:rFonts w:cs="仿宋" w:asciiTheme="minorEastAsia" w:hAnsiTheme="minorEastAsia" w:eastAsiaTheme="minorEastAsia"/>
          <w:sz w:val="32"/>
          <w:szCs w:val="36"/>
        </w:rPr>
      </w:pPr>
      <w:r>
        <w:rPr>
          <w:rFonts w:hint="eastAsia" w:cs="仿宋" w:asciiTheme="minorEastAsia" w:hAnsiTheme="minorEastAsia" w:eastAsiaTheme="minorEastAsia"/>
          <w:sz w:val="32"/>
          <w:szCs w:val="36"/>
        </w:rPr>
        <w:t>法定代表人（负责人）授权委托书（格式）</w:t>
      </w:r>
    </w:p>
    <w:p>
      <w:pPr>
        <w:spacing w:line="360" w:lineRule="auto"/>
        <w:rPr>
          <w:rFonts w:cs="仿宋" w:asciiTheme="minorEastAsia" w:hAnsiTheme="minorEastAsia" w:eastAsiaTheme="minorEastAsia"/>
        </w:rPr>
      </w:pPr>
    </w:p>
    <w:p>
      <w:pPr>
        <w:spacing w:line="360" w:lineRule="auto"/>
        <w:rPr>
          <w:rFonts w:cs="仿宋" w:asciiTheme="minorEastAsia" w:hAnsiTheme="minorEastAsia" w:eastAsiaTheme="minorEastAsia"/>
        </w:rPr>
      </w:pPr>
      <w:r>
        <w:rPr>
          <w:rFonts w:hint="eastAsia" w:cs="仿宋" w:asciiTheme="minorEastAsia" w:hAnsiTheme="minorEastAsia" w:eastAsiaTheme="minorEastAsia"/>
        </w:rPr>
        <w:t>深圳市中正招标有限公司：</w:t>
      </w:r>
    </w:p>
    <w:p>
      <w:pPr>
        <w:adjustRightInd w:val="0"/>
        <w:snapToGrid w:val="0"/>
        <w:spacing w:line="360" w:lineRule="auto"/>
        <w:ind w:firstLine="629"/>
        <w:rPr>
          <w:rFonts w:cs="仿宋" w:asciiTheme="minorEastAsia" w:hAnsiTheme="minorEastAsia" w:eastAsiaTheme="minorEastAsia"/>
        </w:rPr>
      </w:pPr>
      <w:r>
        <w:rPr>
          <w:rFonts w:hint="eastAsia" w:cs="仿宋" w:asciiTheme="minorEastAsia" w:hAnsiTheme="minorEastAsia" w:eastAsiaTheme="minorEastAsia"/>
        </w:rPr>
        <w:t>现委派</w:t>
      </w:r>
      <w:r>
        <w:rPr>
          <w:rFonts w:hint="eastAsia" w:cs="仿宋" w:asciiTheme="minorEastAsia" w:hAnsiTheme="minorEastAsia" w:eastAsiaTheme="minorEastAsia"/>
          <w:u w:val="single"/>
        </w:rPr>
        <w:t>（姓名、职务）</w:t>
      </w:r>
      <w:r>
        <w:rPr>
          <w:rFonts w:hint="eastAsia" w:cs="仿宋" w:asciiTheme="minorEastAsia" w:hAnsiTheme="minorEastAsia" w:eastAsiaTheme="minorEastAsia"/>
        </w:rPr>
        <w:t>参加贵公司组织的</w:t>
      </w:r>
      <w:r>
        <w:rPr>
          <w:rFonts w:hint="eastAsia" w:cs="仿宋" w:asciiTheme="minorEastAsia" w:hAnsiTheme="minorEastAsia" w:eastAsiaTheme="minorEastAsia"/>
          <w:u w:val="single"/>
        </w:rPr>
        <w:t>（采购项目名称、编号）</w:t>
      </w:r>
      <w:r>
        <w:rPr>
          <w:rFonts w:hint="eastAsia" w:cs="仿宋" w:asciiTheme="minorEastAsia" w:hAnsiTheme="minorEastAsia" w:eastAsiaTheme="minorEastAsia"/>
        </w:rPr>
        <w:t>采购活动，全权代表我单位处理投标的有关事宜。</w:t>
      </w:r>
    </w:p>
    <w:p>
      <w:pPr>
        <w:spacing w:line="360" w:lineRule="auto"/>
        <w:rPr>
          <w:rFonts w:cs="仿宋" w:asciiTheme="minorEastAsia" w:hAnsiTheme="minorEastAsia" w:eastAsiaTheme="minorEastAsia"/>
        </w:rPr>
      </w:pPr>
    </w:p>
    <w:p>
      <w:pPr>
        <w:adjustRightInd w:val="0"/>
        <w:snapToGrid w:val="0"/>
        <w:spacing w:line="360" w:lineRule="auto"/>
        <w:ind w:firstLine="629"/>
        <w:rPr>
          <w:rFonts w:cs="仿宋" w:asciiTheme="minorEastAsia" w:hAnsiTheme="minorEastAsia" w:eastAsiaTheme="minorEastAsia"/>
        </w:rPr>
      </w:pPr>
      <w:r>
        <w:rPr>
          <w:rFonts w:hint="eastAsia" w:cs="仿宋" w:asciiTheme="minorEastAsia" w:hAnsiTheme="minorEastAsia" w:eastAsiaTheme="minorEastAsia"/>
        </w:rPr>
        <w:t>附授权代表情况：</w:t>
      </w:r>
    </w:p>
    <w:p>
      <w:pPr>
        <w:adjustRightInd w:val="0"/>
        <w:snapToGrid w:val="0"/>
        <w:spacing w:line="360" w:lineRule="auto"/>
        <w:ind w:firstLine="629"/>
        <w:rPr>
          <w:rFonts w:cs="仿宋" w:asciiTheme="minorEastAsia" w:hAnsiTheme="minorEastAsia" w:eastAsiaTheme="minorEastAsia"/>
        </w:rPr>
      </w:pPr>
      <w:r>
        <w:rPr>
          <w:rFonts w:hint="eastAsia" w:cs="仿宋" w:asciiTheme="minorEastAsia" w:hAnsiTheme="minorEastAsia" w:eastAsiaTheme="minorEastAsia"/>
        </w:rPr>
        <w:t>姓       名：</w:t>
      </w:r>
    </w:p>
    <w:p>
      <w:pPr>
        <w:adjustRightInd w:val="0"/>
        <w:snapToGrid w:val="0"/>
        <w:spacing w:line="360" w:lineRule="auto"/>
        <w:ind w:firstLine="629"/>
        <w:rPr>
          <w:rFonts w:cs="仿宋" w:asciiTheme="minorEastAsia" w:hAnsiTheme="minorEastAsia" w:eastAsiaTheme="minorEastAsia"/>
        </w:rPr>
      </w:pPr>
      <w:r>
        <w:rPr>
          <w:rFonts w:hint="eastAsia" w:cs="仿宋" w:asciiTheme="minorEastAsia" w:hAnsiTheme="minorEastAsia" w:eastAsiaTheme="minorEastAsia"/>
        </w:rPr>
        <w:t>性       别：</w:t>
      </w:r>
    </w:p>
    <w:p>
      <w:pPr>
        <w:adjustRightInd w:val="0"/>
        <w:snapToGrid w:val="0"/>
        <w:spacing w:line="360" w:lineRule="auto"/>
        <w:ind w:firstLine="629"/>
        <w:rPr>
          <w:rFonts w:cs="仿宋" w:asciiTheme="minorEastAsia" w:hAnsiTheme="minorEastAsia" w:eastAsiaTheme="minorEastAsia"/>
        </w:rPr>
      </w:pPr>
      <w:r>
        <w:rPr>
          <w:rFonts w:hint="eastAsia" w:cs="仿宋" w:asciiTheme="minorEastAsia" w:hAnsiTheme="minorEastAsia" w:eastAsiaTheme="minorEastAsia"/>
        </w:rPr>
        <w:t>年       龄：</w:t>
      </w:r>
    </w:p>
    <w:p>
      <w:pPr>
        <w:adjustRightInd w:val="0"/>
        <w:snapToGrid w:val="0"/>
        <w:spacing w:line="360" w:lineRule="auto"/>
        <w:ind w:firstLine="629"/>
        <w:rPr>
          <w:rFonts w:cs="仿宋" w:asciiTheme="minorEastAsia" w:hAnsiTheme="minorEastAsia" w:eastAsiaTheme="minorEastAsia"/>
        </w:rPr>
      </w:pPr>
      <w:r>
        <w:rPr>
          <w:rFonts w:hint="eastAsia" w:cs="仿宋" w:asciiTheme="minorEastAsia" w:hAnsiTheme="minorEastAsia" w:eastAsiaTheme="minorEastAsia"/>
        </w:rPr>
        <w:t>职       务：</w:t>
      </w:r>
    </w:p>
    <w:p>
      <w:pPr>
        <w:adjustRightInd w:val="0"/>
        <w:snapToGrid w:val="0"/>
        <w:spacing w:line="360" w:lineRule="auto"/>
        <w:ind w:firstLine="629"/>
        <w:rPr>
          <w:rFonts w:cs="仿宋" w:asciiTheme="minorEastAsia" w:hAnsiTheme="minorEastAsia" w:eastAsiaTheme="minorEastAsia"/>
        </w:rPr>
      </w:pPr>
      <w:r>
        <w:rPr>
          <w:rFonts w:hint="eastAsia" w:cs="仿宋" w:asciiTheme="minorEastAsia" w:hAnsiTheme="minorEastAsia" w:eastAsiaTheme="minorEastAsia"/>
        </w:rPr>
        <w:t>身 份证号码：</w:t>
      </w:r>
    </w:p>
    <w:p>
      <w:pPr>
        <w:adjustRightInd w:val="0"/>
        <w:snapToGrid w:val="0"/>
        <w:spacing w:line="360" w:lineRule="auto"/>
        <w:ind w:firstLine="629"/>
        <w:rPr>
          <w:rFonts w:cs="仿宋" w:asciiTheme="minorEastAsia" w:hAnsiTheme="minorEastAsia" w:eastAsiaTheme="minorEastAsia"/>
        </w:rPr>
      </w:pPr>
      <w:r>
        <w:rPr>
          <w:rFonts w:hint="eastAsia" w:cs="仿宋" w:asciiTheme="minorEastAsia" w:hAnsiTheme="minorEastAsia" w:eastAsiaTheme="minorEastAsia"/>
        </w:rPr>
        <w:t xml:space="preserve">通 讯 地 址： </w:t>
      </w:r>
    </w:p>
    <w:p>
      <w:pPr>
        <w:adjustRightInd w:val="0"/>
        <w:snapToGrid w:val="0"/>
        <w:spacing w:line="360" w:lineRule="auto"/>
        <w:ind w:firstLine="629"/>
        <w:rPr>
          <w:rFonts w:cs="仿宋" w:asciiTheme="minorEastAsia" w:hAnsiTheme="minorEastAsia" w:eastAsiaTheme="minorEastAsia"/>
        </w:rPr>
      </w:pPr>
      <w:r>
        <w:rPr>
          <w:rFonts w:hint="eastAsia" w:cs="仿宋" w:asciiTheme="minorEastAsia" w:hAnsiTheme="minorEastAsia" w:eastAsiaTheme="minorEastAsia"/>
        </w:rPr>
        <w:t xml:space="preserve">联 系 方 式： </w:t>
      </w:r>
    </w:p>
    <w:p>
      <w:pPr>
        <w:spacing w:line="360" w:lineRule="auto"/>
        <w:ind w:firstLine="630"/>
        <w:rPr>
          <w:rFonts w:cs="仿宋" w:asciiTheme="minorEastAsia" w:hAnsiTheme="minorEastAsia" w:eastAsiaTheme="minorEastAsia"/>
        </w:rPr>
      </w:pPr>
      <w:r>
        <w:rPr>
          <w:rFonts w:hint="eastAsia" w:cs="仿宋" w:asciiTheme="minorEastAsia" w:hAnsiTheme="minorEastAsia" w:eastAsiaTheme="minorEastAsia"/>
        </w:rPr>
        <w:t>单 位 名 称：（公章）</w:t>
      </w:r>
    </w:p>
    <w:p>
      <w:pPr>
        <w:spacing w:line="360" w:lineRule="auto"/>
        <w:ind w:firstLine="630"/>
        <w:rPr>
          <w:rFonts w:cs="仿宋" w:asciiTheme="minorEastAsia" w:hAnsiTheme="minorEastAsia" w:eastAsiaTheme="minorEastAsia"/>
        </w:rPr>
      </w:pPr>
      <w:r>
        <w:rPr>
          <w:rFonts w:hint="eastAsia" w:cs="仿宋" w:asciiTheme="minorEastAsia" w:hAnsiTheme="minorEastAsia" w:eastAsiaTheme="minorEastAsia"/>
        </w:rPr>
        <w:t>法 人 代 表：（签字或盖章）</w:t>
      </w:r>
    </w:p>
    <w:p>
      <w:pPr>
        <w:spacing w:line="360" w:lineRule="auto"/>
        <w:ind w:firstLine="630"/>
        <w:rPr>
          <w:rFonts w:cs="仿宋" w:asciiTheme="minorEastAsia" w:hAnsiTheme="minorEastAsia" w:eastAsiaTheme="minorEastAsia"/>
        </w:rPr>
      </w:pPr>
    </w:p>
    <w:p>
      <w:pPr>
        <w:adjustRightInd w:val="0"/>
        <w:snapToGrid w:val="0"/>
        <w:spacing w:line="360" w:lineRule="auto"/>
        <w:jc w:val="right"/>
        <w:rPr>
          <w:rFonts w:cs="仿宋" w:asciiTheme="minorEastAsia" w:hAnsiTheme="minorEastAsia" w:eastAsiaTheme="minorEastAsia"/>
        </w:rPr>
      </w:pP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年</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 xml:space="preserve">月 </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日</w:t>
      </w:r>
    </w:p>
    <w:p>
      <w:pPr>
        <w:spacing w:line="360" w:lineRule="auto"/>
        <w:rPr>
          <w:rFonts w:cs="仿宋" w:asciiTheme="minorEastAsia" w:hAnsiTheme="minorEastAsia" w:eastAsiaTheme="minorEastAsia"/>
        </w:rPr>
      </w:pPr>
      <w:bookmarkStart w:id="1" w:name="_Toc226217114"/>
      <w:r>
        <w:rPr>
          <w:rFonts w:cs="仿宋" w:asciiTheme="minorEastAsia" w:hAnsiTheme="minorEastAsia" w:eastAsiaTheme="minorEastAsia"/>
        </w:rPr>
        <mc:AlternateContent>
          <mc:Choice Requires="wps">
            <w:drawing>
              <wp:anchor distT="0" distB="0" distL="114300" distR="114300" simplePos="0" relativeHeight="251662336" behindDoc="0" locked="0" layoutInCell="1" allowOverlap="1">
                <wp:simplePos x="0" y="0"/>
                <wp:positionH relativeFrom="column">
                  <wp:posOffset>-17145</wp:posOffset>
                </wp:positionH>
                <wp:positionV relativeFrom="paragraph">
                  <wp:posOffset>71120</wp:posOffset>
                </wp:positionV>
                <wp:extent cx="2619375" cy="1722755"/>
                <wp:effectExtent l="4445" t="4445" r="5080" b="6350"/>
                <wp:wrapNone/>
                <wp:docPr id="7" name="Rectangle 2"/>
                <wp:cNvGraphicFramePr/>
                <a:graphic xmlns:a="http://schemas.openxmlformats.org/drawingml/2006/main">
                  <a:graphicData uri="http://schemas.microsoft.com/office/word/2010/wordprocessingShape">
                    <wps:wsp>
                      <wps:cNvSpPr/>
                      <wps:spPr>
                        <a:xfrm>
                          <a:off x="0" y="0"/>
                          <a:ext cx="2619375" cy="17227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auto"/>
                              <w:ind w:firstLine="1260" w:firstLineChars="600"/>
                            </w:pPr>
                          </w:p>
                          <w:p>
                            <w:pPr>
                              <w:spacing w:line="360" w:lineRule="auto"/>
                              <w:jc w:val="center"/>
                              <w:rPr>
                                <w:rFonts w:ascii="仿宋" w:hAnsi="仿宋" w:eastAsia="仿宋"/>
                                <w:sz w:val="22"/>
                              </w:rPr>
                            </w:pPr>
                            <w:r>
                              <w:rPr>
                                <w:rFonts w:hint="eastAsia" w:ascii="仿宋" w:hAnsi="仿宋" w:eastAsia="仿宋"/>
                                <w:sz w:val="22"/>
                              </w:rPr>
                              <w:t>被授权人（授权代表）</w:t>
                            </w:r>
                          </w:p>
                          <w:p>
                            <w:pPr>
                              <w:spacing w:line="360" w:lineRule="auto"/>
                              <w:jc w:val="center"/>
                              <w:rPr>
                                <w:rFonts w:ascii="仿宋" w:hAnsi="仿宋" w:eastAsia="仿宋"/>
                                <w:sz w:val="22"/>
                              </w:rPr>
                            </w:pPr>
                            <w:r>
                              <w:rPr>
                                <w:rFonts w:hint="eastAsia" w:ascii="仿宋" w:hAnsi="仿宋" w:eastAsia="仿宋"/>
                                <w:sz w:val="22"/>
                              </w:rPr>
                              <w:t>居民身份证复印件粘贴处</w:t>
                            </w:r>
                          </w:p>
                          <w:p>
                            <w:pPr>
                              <w:spacing w:line="360" w:lineRule="auto"/>
                              <w:jc w:val="center"/>
                              <w:rPr>
                                <w:rFonts w:ascii="仿宋" w:hAnsi="仿宋" w:eastAsia="仿宋"/>
                                <w:sz w:val="22"/>
                              </w:rPr>
                            </w:pPr>
                            <w:r>
                              <w:rPr>
                                <w:rFonts w:hint="eastAsia" w:ascii="仿宋" w:hAnsi="仿宋" w:eastAsia="仿宋"/>
                                <w:sz w:val="22"/>
                              </w:rPr>
                              <w:t>（正面）</w:t>
                            </w:r>
                          </w:p>
                        </w:txbxContent>
                      </wps:txbx>
                      <wps:bodyPr upright="1"/>
                    </wps:wsp>
                  </a:graphicData>
                </a:graphic>
              </wp:anchor>
            </w:drawing>
          </mc:Choice>
          <mc:Fallback>
            <w:pict>
              <v:rect id="Rectangle 2" o:spid="_x0000_s1026" o:spt="1" style="position:absolute;left:0pt;margin-left:-1.35pt;margin-top:5.6pt;height:135.65pt;width:206.25pt;z-index:251662336;mso-width-relative:page;mso-height-relative:page;" fillcolor="#FFFFFF" filled="t" stroked="t" coordsize="21600,21600" o:gfxdata="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cd5BW1wAAAAkBAAAPAAAAAAAAAAEAIAAAACIAAABkcnMvZG93bnJldi54&#10;bWxQSwECFAAUAAAACACHTuJAjOU73/sBAAA7BAAADgAAAAAAAAABACAAAAAmAQAAZHJzL2Uyb0Rv&#10;Yy54bWxQSwUGAAAAAAYABgBZAQAAkwUAAAAA&#10;">
                <v:fill on="t" focussize="0,0"/>
                <v:stroke color="#000000" joinstyle="miter"/>
                <v:imagedata o:title=""/>
                <o:lock v:ext="edit" aspectratio="f"/>
                <v:textbox>
                  <w:txbxContent>
                    <w:p>
                      <w:pPr>
                        <w:spacing w:line="360" w:lineRule="auto"/>
                        <w:ind w:firstLine="1260" w:firstLineChars="600"/>
                      </w:pPr>
                    </w:p>
                    <w:p>
                      <w:pPr>
                        <w:spacing w:line="360" w:lineRule="auto"/>
                        <w:jc w:val="center"/>
                        <w:rPr>
                          <w:rFonts w:ascii="仿宋" w:hAnsi="仿宋" w:eastAsia="仿宋"/>
                          <w:sz w:val="22"/>
                        </w:rPr>
                      </w:pPr>
                      <w:r>
                        <w:rPr>
                          <w:rFonts w:hint="eastAsia" w:ascii="仿宋" w:hAnsi="仿宋" w:eastAsia="仿宋"/>
                          <w:sz w:val="22"/>
                        </w:rPr>
                        <w:t>被授权人（授权代表）</w:t>
                      </w:r>
                    </w:p>
                    <w:p>
                      <w:pPr>
                        <w:spacing w:line="360" w:lineRule="auto"/>
                        <w:jc w:val="center"/>
                        <w:rPr>
                          <w:rFonts w:ascii="仿宋" w:hAnsi="仿宋" w:eastAsia="仿宋"/>
                          <w:sz w:val="22"/>
                        </w:rPr>
                      </w:pPr>
                      <w:r>
                        <w:rPr>
                          <w:rFonts w:hint="eastAsia" w:ascii="仿宋" w:hAnsi="仿宋" w:eastAsia="仿宋"/>
                          <w:sz w:val="22"/>
                        </w:rPr>
                        <w:t>居民身份证复印件粘贴处</w:t>
                      </w:r>
                    </w:p>
                    <w:p>
                      <w:pPr>
                        <w:spacing w:line="360" w:lineRule="auto"/>
                        <w:jc w:val="center"/>
                        <w:rPr>
                          <w:rFonts w:ascii="仿宋" w:hAnsi="仿宋" w:eastAsia="仿宋"/>
                          <w:sz w:val="22"/>
                        </w:rPr>
                      </w:pPr>
                      <w:r>
                        <w:rPr>
                          <w:rFonts w:hint="eastAsia" w:ascii="仿宋" w:hAnsi="仿宋" w:eastAsia="仿宋"/>
                          <w:sz w:val="22"/>
                        </w:rPr>
                        <w:t>（正面）</w:t>
                      </w:r>
                    </w:p>
                  </w:txbxContent>
                </v:textbox>
              </v:rect>
            </w:pict>
          </mc:Fallback>
        </mc:AlternateContent>
      </w:r>
      <w:r>
        <w:rPr>
          <w:rFonts w:cs="仿宋" w:asciiTheme="minorEastAsia" w:hAnsiTheme="minorEastAsia" w:eastAsiaTheme="minorEastAsia"/>
        </w:rPr>
        <mc:AlternateContent>
          <mc:Choice Requires="wps">
            <w:drawing>
              <wp:anchor distT="0" distB="0" distL="114300" distR="114300" simplePos="0" relativeHeight="251663360" behindDoc="0" locked="0" layoutInCell="1" allowOverlap="1">
                <wp:simplePos x="0" y="0"/>
                <wp:positionH relativeFrom="column">
                  <wp:posOffset>2821305</wp:posOffset>
                </wp:positionH>
                <wp:positionV relativeFrom="paragraph">
                  <wp:posOffset>71120</wp:posOffset>
                </wp:positionV>
                <wp:extent cx="2533650" cy="1722755"/>
                <wp:effectExtent l="4445" t="4445" r="14605" b="6350"/>
                <wp:wrapNone/>
                <wp:docPr id="8" name="Rectangle 3"/>
                <wp:cNvGraphicFramePr/>
                <a:graphic xmlns:a="http://schemas.openxmlformats.org/drawingml/2006/main">
                  <a:graphicData uri="http://schemas.microsoft.com/office/word/2010/wordprocessingShape">
                    <wps:wsp>
                      <wps:cNvSpPr/>
                      <wps:spPr>
                        <a:xfrm>
                          <a:off x="0" y="0"/>
                          <a:ext cx="2533650" cy="17227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auto"/>
                              <w:jc w:val="center"/>
                            </w:pPr>
                          </w:p>
                          <w:p>
                            <w:pPr>
                              <w:spacing w:line="360" w:lineRule="auto"/>
                              <w:jc w:val="center"/>
                              <w:rPr>
                                <w:rFonts w:ascii="仿宋" w:hAnsi="仿宋" w:eastAsia="仿宋"/>
                                <w:sz w:val="22"/>
                              </w:rPr>
                            </w:pPr>
                            <w:r>
                              <w:rPr>
                                <w:rFonts w:hint="eastAsia" w:ascii="仿宋" w:hAnsi="仿宋" w:eastAsia="仿宋"/>
                                <w:sz w:val="22"/>
                              </w:rPr>
                              <w:t>被授权人（授权代表）</w:t>
                            </w:r>
                          </w:p>
                          <w:p>
                            <w:pPr>
                              <w:spacing w:line="360" w:lineRule="auto"/>
                              <w:jc w:val="center"/>
                              <w:rPr>
                                <w:rFonts w:ascii="仿宋" w:hAnsi="仿宋" w:eastAsia="仿宋"/>
                                <w:sz w:val="22"/>
                              </w:rPr>
                            </w:pPr>
                            <w:r>
                              <w:rPr>
                                <w:rFonts w:hint="eastAsia" w:ascii="仿宋" w:hAnsi="仿宋" w:eastAsia="仿宋"/>
                                <w:sz w:val="22"/>
                              </w:rPr>
                              <w:t>居民身份证复印件粘贴处</w:t>
                            </w:r>
                          </w:p>
                          <w:p>
                            <w:pPr>
                              <w:spacing w:line="360" w:lineRule="auto"/>
                              <w:jc w:val="center"/>
                              <w:rPr>
                                <w:rFonts w:ascii="仿宋" w:hAnsi="仿宋" w:eastAsia="仿宋"/>
                              </w:rPr>
                            </w:pPr>
                            <w:r>
                              <w:rPr>
                                <w:rFonts w:hint="eastAsia" w:ascii="仿宋" w:hAnsi="仿宋" w:eastAsia="仿宋"/>
                                <w:sz w:val="22"/>
                              </w:rPr>
                              <w:t>（反面）</w:t>
                            </w:r>
                          </w:p>
                          <w:p/>
                        </w:txbxContent>
                      </wps:txbx>
                      <wps:bodyPr upright="1"/>
                    </wps:wsp>
                  </a:graphicData>
                </a:graphic>
              </wp:anchor>
            </w:drawing>
          </mc:Choice>
          <mc:Fallback>
            <w:pict>
              <v:rect id="Rectangle 3" o:spid="_x0000_s1026" o:spt="1" style="position:absolute;left:0pt;margin-left:222.15pt;margin-top:5.6pt;height:135.65pt;width:199.5pt;z-index:251663360;mso-width-relative:page;mso-height-relative:page;" fillcolor="#FFFFFF" filled="t" stroked="t" coordsize="21600,21600" o:gfxdata="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bTsh1NcAAAAKAQAADwAAAAAAAAABACAAAAAiAAAAZHJzL2Rvd25yZXYu&#10;eG1sUEsBAhQAFAAAAAgAh07iQK7Q+W38AQAAOwQAAA4AAAAAAAAAAQAgAAAAJgEAAGRycy9lMm9E&#10;b2MueG1sUEsFBgAAAAAGAAYAWQEAAJQFAAAAAA==&#10;">
                <v:fill on="t" focussize="0,0"/>
                <v:stroke color="#000000" joinstyle="miter"/>
                <v:imagedata o:title=""/>
                <o:lock v:ext="edit" aspectratio="f"/>
                <v:textbox>
                  <w:txbxContent>
                    <w:p>
                      <w:pPr>
                        <w:spacing w:line="360" w:lineRule="auto"/>
                        <w:jc w:val="center"/>
                      </w:pPr>
                    </w:p>
                    <w:p>
                      <w:pPr>
                        <w:spacing w:line="360" w:lineRule="auto"/>
                        <w:jc w:val="center"/>
                        <w:rPr>
                          <w:rFonts w:ascii="仿宋" w:hAnsi="仿宋" w:eastAsia="仿宋"/>
                          <w:sz w:val="22"/>
                        </w:rPr>
                      </w:pPr>
                      <w:r>
                        <w:rPr>
                          <w:rFonts w:hint="eastAsia" w:ascii="仿宋" w:hAnsi="仿宋" w:eastAsia="仿宋"/>
                          <w:sz w:val="22"/>
                        </w:rPr>
                        <w:t>被授权人（授权代表）</w:t>
                      </w:r>
                    </w:p>
                    <w:p>
                      <w:pPr>
                        <w:spacing w:line="360" w:lineRule="auto"/>
                        <w:jc w:val="center"/>
                        <w:rPr>
                          <w:rFonts w:ascii="仿宋" w:hAnsi="仿宋" w:eastAsia="仿宋"/>
                          <w:sz w:val="22"/>
                        </w:rPr>
                      </w:pPr>
                      <w:r>
                        <w:rPr>
                          <w:rFonts w:hint="eastAsia" w:ascii="仿宋" w:hAnsi="仿宋" w:eastAsia="仿宋"/>
                          <w:sz w:val="22"/>
                        </w:rPr>
                        <w:t>居民身份证复印件粘贴处</w:t>
                      </w:r>
                    </w:p>
                    <w:p>
                      <w:pPr>
                        <w:spacing w:line="360" w:lineRule="auto"/>
                        <w:jc w:val="center"/>
                        <w:rPr>
                          <w:rFonts w:ascii="仿宋" w:hAnsi="仿宋" w:eastAsia="仿宋"/>
                        </w:rPr>
                      </w:pPr>
                      <w:r>
                        <w:rPr>
                          <w:rFonts w:hint="eastAsia" w:ascii="仿宋" w:hAnsi="仿宋" w:eastAsia="仿宋"/>
                          <w:sz w:val="22"/>
                        </w:rPr>
                        <w:t>（反面）</w:t>
                      </w:r>
                    </w:p>
                    <w:p/>
                  </w:txbxContent>
                </v:textbox>
              </v:rect>
            </w:pict>
          </mc:Fallback>
        </mc:AlternateContent>
      </w:r>
      <w:bookmarkEnd w:id="1"/>
    </w:p>
    <w:p>
      <w:pPr>
        <w:spacing w:line="360" w:lineRule="auto"/>
        <w:rPr>
          <w:rFonts w:cs="仿宋" w:asciiTheme="minorEastAsia" w:hAnsiTheme="minorEastAsia" w:eastAsiaTheme="minorEastAsia"/>
        </w:rPr>
      </w:pPr>
    </w:p>
    <w:p>
      <w:pPr>
        <w:spacing w:line="360" w:lineRule="auto"/>
        <w:rPr>
          <w:rFonts w:cs="仿宋" w:asciiTheme="minorEastAsia" w:hAnsiTheme="minorEastAsia" w:eastAsiaTheme="minorEastAsia"/>
        </w:rPr>
      </w:pPr>
    </w:p>
    <w:p>
      <w:pPr>
        <w:spacing w:line="360" w:lineRule="auto"/>
        <w:rPr>
          <w:rFonts w:cs="仿宋" w:asciiTheme="minorEastAsia" w:hAnsiTheme="minorEastAsia" w:eastAsiaTheme="minorEastAsia"/>
        </w:rPr>
      </w:pPr>
    </w:p>
    <w:p>
      <w:pPr>
        <w:spacing w:line="360" w:lineRule="auto"/>
        <w:rPr>
          <w:rFonts w:cs="仿宋" w:asciiTheme="minorEastAsia" w:hAnsiTheme="minorEastAsia" w:eastAsiaTheme="minorEastAsia"/>
        </w:rPr>
      </w:pPr>
    </w:p>
    <w:p>
      <w:pPr>
        <w:tabs>
          <w:tab w:val="left" w:pos="5115"/>
        </w:tabs>
        <w:spacing w:line="360" w:lineRule="auto"/>
        <w:rPr>
          <w:rFonts w:cs="仿宋" w:asciiTheme="minorEastAsia" w:hAnsiTheme="minorEastAsia" w:eastAsiaTheme="minorEastAsia"/>
        </w:rPr>
      </w:pPr>
      <w:r>
        <w:rPr>
          <w:rFonts w:hint="eastAsia" w:cs="仿宋" w:asciiTheme="minorEastAsia" w:hAnsiTheme="minorEastAsia" w:eastAsiaTheme="minorEastAsia"/>
        </w:rPr>
        <w:tab/>
      </w:r>
    </w:p>
    <w:p>
      <w:pPr>
        <w:spacing w:line="360" w:lineRule="auto"/>
        <w:rPr>
          <w:rFonts w:cs="仿宋" w:asciiTheme="minorEastAsia" w:hAnsiTheme="minorEastAsia" w:eastAsiaTheme="minorEastAsia"/>
        </w:rPr>
      </w:pPr>
    </w:p>
    <w:p>
      <w:pPr>
        <w:adjustRightInd w:val="0"/>
        <w:snapToGrid w:val="0"/>
        <w:spacing w:line="360" w:lineRule="auto"/>
        <w:ind w:firstLine="5008" w:firstLineChars="2385"/>
        <w:rPr>
          <w:rFonts w:cs="仿宋" w:asciiTheme="minorEastAsia" w:hAnsiTheme="minorEastAsia" w:eastAsiaTheme="minorEastAsia"/>
        </w:rPr>
      </w:pPr>
    </w:p>
    <w:p>
      <w:pPr>
        <w:ind w:left="431" w:hanging="431" w:hangingChars="196"/>
        <w:rPr>
          <w:rFonts w:cs="仿宋" w:asciiTheme="minorEastAsia" w:hAnsiTheme="minorEastAsia" w:eastAsiaTheme="minorEastAsia"/>
          <w:color w:val="FF0000"/>
          <w:sz w:val="22"/>
        </w:rPr>
      </w:pPr>
      <w:r>
        <w:rPr>
          <w:rFonts w:hint="eastAsia" w:cs="仿宋" w:asciiTheme="minorEastAsia" w:hAnsiTheme="minorEastAsia" w:eastAsiaTheme="minorEastAsia"/>
          <w:color w:val="FF0000"/>
          <w:sz w:val="22"/>
        </w:rPr>
        <w:t>注：法定代表人（负责人）授权委托书除装订于投标文件中外，还须另置一份按“投标须知”18.5项要求单独密封。</w:t>
      </w:r>
    </w:p>
    <w:p>
      <w:pPr>
        <w:widowControl/>
        <w:jc w:val="center"/>
        <w:rPr>
          <w:rFonts w:cs="仿宋" w:asciiTheme="minorEastAsia" w:hAnsiTheme="minorEastAsia" w:eastAsiaTheme="minorEastAsia"/>
        </w:rPr>
      </w:pPr>
      <w:r>
        <w:rPr>
          <w:rFonts w:hint="eastAsia" w:cs="仿宋" w:asciiTheme="minorEastAsia" w:hAnsiTheme="minorEastAsia" w:eastAsiaTheme="minorEastAsia"/>
          <w:sz w:val="32"/>
          <w:szCs w:val="36"/>
        </w:rPr>
        <w:t xml:space="preserve"> </w:t>
      </w:r>
    </w:p>
    <w:p>
      <w:pPr>
        <w:jc w:val="center"/>
        <w:rPr>
          <w:rFonts w:cs="仿宋" w:asciiTheme="minorEastAsia" w:hAnsiTheme="minorEastAsia" w:eastAsiaTheme="minorEastAsia"/>
          <w:sz w:val="32"/>
          <w:szCs w:val="36"/>
        </w:rPr>
      </w:pPr>
      <w:r>
        <w:rPr>
          <w:rFonts w:hint="eastAsia" w:cs="仿宋" w:asciiTheme="minorEastAsia" w:hAnsiTheme="minorEastAsia" w:eastAsiaTheme="minorEastAsia"/>
        </w:rPr>
        <w:br w:type="page"/>
      </w:r>
      <w:r>
        <w:rPr>
          <w:rFonts w:hint="eastAsia" w:cs="仿宋" w:asciiTheme="minorEastAsia" w:hAnsiTheme="minorEastAsia" w:eastAsiaTheme="minorEastAsia"/>
          <w:sz w:val="32"/>
          <w:szCs w:val="36"/>
        </w:rPr>
        <w:t>格式3  评分中涉及的承诺及声明函</w:t>
      </w:r>
    </w:p>
    <w:p>
      <w:pPr>
        <w:widowControl/>
        <w:snapToGrid w:val="0"/>
        <w:spacing w:line="360" w:lineRule="auto"/>
        <w:jc w:val="left"/>
        <w:outlineLvl w:val="4"/>
        <w:rPr>
          <w:rFonts w:ascii="仿宋" w:hAnsi="仿宋" w:eastAsia="仿宋"/>
          <w:b/>
          <w:bCs/>
          <w:color w:val="FF0000"/>
          <w:kern w:val="0"/>
          <w:sz w:val="25"/>
          <w:szCs w:val="25"/>
        </w:rPr>
      </w:pPr>
    </w:p>
    <w:p>
      <w:pPr>
        <w:widowControl/>
        <w:snapToGrid w:val="0"/>
        <w:spacing w:line="360" w:lineRule="auto"/>
        <w:jc w:val="left"/>
        <w:outlineLvl w:val="4"/>
        <w:rPr>
          <w:rFonts w:ascii="仿宋" w:hAnsi="仿宋" w:eastAsia="仿宋"/>
          <w:b/>
          <w:bCs/>
          <w:kern w:val="0"/>
          <w:sz w:val="25"/>
          <w:szCs w:val="25"/>
        </w:rPr>
      </w:pPr>
      <w:r>
        <w:rPr>
          <w:rFonts w:hint="eastAsia" w:ascii="仿宋" w:hAnsi="仿宋" w:eastAsia="仿宋"/>
          <w:b/>
          <w:bCs/>
          <w:kern w:val="0"/>
          <w:sz w:val="25"/>
          <w:szCs w:val="25"/>
        </w:rPr>
        <w:t>填写指引：</w:t>
      </w:r>
    </w:p>
    <w:p>
      <w:pPr>
        <w:widowControl/>
        <w:snapToGrid w:val="0"/>
        <w:spacing w:line="360" w:lineRule="auto"/>
        <w:jc w:val="left"/>
        <w:rPr>
          <w:rFonts w:asciiTheme="minorEastAsia" w:hAnsiTheme="minorEastAsia" w:eastAsiaTheme="minorEastAsia"/>
          <w:kern w:val="0"/>
          <w:szCs w:val="21"/>
        </w:rPr>
      </w:pPr>
      <w:r>
        <w:rPr>
          <w:rFonts w:hint="eastAsia" w:ascii="仿宋" w:hAnsi="仿宋" w:eastAsia="仿宋"/>
          <w:kern w:val="0"/>
          <w:sz w:val="25"/>
          <w:szCs w:val="25"/>
        </w:rPr>
        <w:t xml:space="preserve">  </w:t>
      </w:r>
      <w:r>
        <w:rPr>
          <w:rFonts w:hint="eastAsia" w:asciiTheme="minorEastAsia" w:hAnsiTheme="minorEastAsia" w:eastAsiaTheme="minorEastAsia"/>
          <w:kern w:val="0"/>
          <w:szCs w:val="21"/>
        </w:rPr>
        <w:t xml:space="preserve">  1、该部分内容由投标人根据自身实际情况填写，投标人提供的声明函不属实的，属于提供虚假资料谋取中标，依照《中华人民共和国政府采购法》等国家有关规定追究相应责任。</w:t>
      </w:r>
    </w:p>
    <w:p>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2、该部分内容填写需要参考的相关文件包括但不限于（具体内容详见附件）：</w:t>
      </w:r>
    </w:p>
    <w:p>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1</w:t>
      </w:r>
      <w:r>
        <w:rPr>
          <w:rFonts w:hint="eastAsia" w:asciiTheme="minorEastAsia" w:hAnsiTheme="minorEastAsia" w:eastAsiaTheme="minorEastAsia"/>
          <w:kern w:val="0"/>
          <w:szCs w:val="21"/>
        </w:rPr>
        <w:t>)</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工业和信息化部关于印发《政府采购促进中小企业发展管理办法》的通知（财库〔2020〕46号）</w:t>
      </w:r>
    </w:p>
    <w:p>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2</w:t>
      </w:r>
      <w:r>
        <w:rPr>
          <w:rFonts w:hint="eastAsia" w:asciiTheme="minorEastAsia" w:hAnsiTheme="minorEastAsia" w:eastAsiaTheme="minorEastAsia"/>
          <w:kern w:val="0"/>
          <w:szCs w:val="21"/>
        </w:rPr>
        <w:t>)</w:t>
      </w:r>
      <w:bookmarkStart w:id="2" w:name="_Hlk71925120"/>
      <w:r>
        <w:rPr>
          <w:rFonts w:hint="eastAsia" w:asciiTheme="minorEastAsia" w:hAnsiTheme="minorEastAsia" w:eastAsiaTheme="minorEastAsia"/>
          <w:kern w:val="0"/>
          <w:szCs w:val="21"/>
        </w:rPr>
        <w:t>《关于印发中小企业划型标准规定的通知》（工信部联企业〔2011〕300 号</w:t>
      </w:r>
      <w:bookmarkEnd w:id="2"/>
      <w:r>
        <w:rPr>
          <w:rFonts w:hint="eastAsia" w:asciiTheme="minorEastAsia" w:hAnsiTheme="minorEastAsia" w:eastAsiaTheme="minorEastAsia"/>
          <w:kern w:val="0"/>
          <w:szCs w:val="21"/>
        </w:rPr>
        <w:t>）</w:t>
      </w:r>
    </w:p>
    <w:p>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国家统计局关于印发《统计上大中小微型企业划分办法 （2017）》的通知（国统字〔2017〕213 号）</w:t>
      </w:r>
    </w:p>
    <w:p>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民政部 中国残疾人联合会关于促进残疾人就业 政府采购政策的通知（财库〔2017〕141号）</w:t>
      </w:r>
    </w:p>
    <w:p>
      <w:pPr>
        <w:widowControl/>
        <w:snapToGrid w:val="0"/>
        <w:spacing w:line="360" w:lineRule="auto"/>
        <w:ind w:firstLine="555"/>
        <w:jc w:val="left"/>
        <w:rPr>
          <w:rFonts w:asciiTheme="minorEastAsia" w:hAnsiTheme="minorEastAsia" w:eastAsiaTheme="minorEastAsia"/>
          <w:szCs w:val="21"/>
        </w:rPr>
      </w:pPr>
      <w:r>
        <w:rPr>
          <w:rFonts w:hint="eastAsia" w:asciiTheme="minorEastAsia" w:hAnsiTheme="minorEastAsia" w:eastAsiaTheme="minorEastAsia"/>
          <w:kern w:val="0"/>
          <w:szCs w:val="21"/>
        </w:rPr>
        <w:t>(5)</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司法部关于政府采购支持监狱企业发展有关问题的通知（财库〔2014〕68号）</w:t>
      </w:r>
    </w:p>
    <w:p>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3、请依照招标文件提供的格式和内容填写声明函，不要随意变更格式；满足多项优惠政策的投标人，不重复享受多项价格扣除政策。不符合要求的供应商可以不填写。</w:t>
      </w:r>
    </w:p>
    <w:p>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4、《中小企业声明函》填写要求：</w:t>
      </w:r>
    </w:p>
    <w:p>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（1）在“单位名称”下划线处如实填写</w:t>
      </w:r>
      <w:r>
        <w:rPr>
          <w:rFonts w:hint="eastAsia" w:asciiTheme="minorEastAsia" w:hAnsiTheme="minorEastAsia" w:eastAsiaTheme="minorEastAsia"/>
          <w:b/>
          <w:color w:val="FF0000"/>
          <w:kern w:val="0"/>
          <w:szCs w:val="21"/>
        </w:rPr>
        <w:t>采购人名称（详见采购人信息，非采购代理机构）</w:t>
      </w:r>
      <w:r>
        <w:rPr>
          <w:rFonts w:hint="eastAsia" w:asciiTheme="minorEastAsia" w:hAnsiTheme="minorEastAsia" w:eastAsiaTheme="minorEastAsia"/>
          <w:kern w:val="0"/>
          <w:szCs w:val="21"/>
        </w:rPr>
        <w:t>；</w:t>
      </w:r>
    </w:p>
    <w:p>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（2）在“项目名称”下划线处如实填写</w:t>
      </w:r>
      <w:r>
        <w:rPr>
          <w:rFonts w:hint="eastAsia" w:asciiTheme="minorEastAsia" w:hAnsiTheme="minorEastAsia" w:eastAsiaTheme="minorEastAsia"/>
          <w:b/>
          <w:color w:val="FF0000"/>
          <w:kern w:val="0"/>
          <w:szCs w:val="21"/>
        </w:rPr>
        <w:t>采购项目名称</w:t>
      </w:r>
      <w:r>
        <w:rPr>
          <w:rFonts w:hint="eastAsia" w:asciiTheme="minorEastAsia" w:hAnsiTheme="minorEastAsia" w:eastAsiaTheme="minorEastAsia"/>
          <w:kern w:val="0"/>
          <w:szCs w:val="21"/>
        </w:rPr>
        <w:t>；</w:t>
      </w:r>
    </w:p>
    <w:p>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（3）在“标的名称”下划线处填写所采购标的（货物或服务或工程）的具体名称</w:t>
      </w:r>
      <w:r>
        <w:rPr>
          <w:rFonts w:hint="eastAsia" w:asciiTheme="minorEastAsia" w:hAnsiTheme="minorEastAsia" w:eastAsiaTheme="minorEastAsia"/>
          <w:b/>
          <w:bCs/>
          <w:color w:val="FF0000"/>
          <w:kern w:val="0"/>
          <w:szCs w:val="21"/>
        </w:rPr>
        <w:t>（具体详见第二章项目需求，如涉及多项标的，投标人需逐项进行响应）</w:t>
      </w:r>
      <w:r>
        <w:rPr>
          <w:rFonts w:hint="eastAsia" w:asciiTheme="minorEastAsia" w:hAnsiTheme="minorEastAsia" w:eastAsiaTheme="minorEastAsia"/>
          <w:kern w:val="0"/>
          <w:szCs w:val="21"/>
        </w:rPr>
        <w:t>；</w:t>
      </w:r>
    </w:p>
    <w:p>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（4）在“</w:t>
      </w:r>
      <w:r>
        <w:rPr>
          <w:rFonts w:asciiTheme="minorEastAsia" w:hAnsiTheme="minorEastAsia" w:eastAsiaTheme="minorEastAsia"/>
          <w:szCs w:val="21"/>
        </w:rPr>
        <w:t>采购文件</w:t>
      </w:r>
      <w:r>
        <w:rPr>
          <w:rFonts w:hint="eastAsia" w:asciiTheme="minorEastAsia" w:hAnsiTheme="minorEastAsia" w:eastAsiaTheme="minorEastAsia"/>
          <w:kern w:val="0"/>
          <w:szCs w:val="21"/>
        </w:rPr>
        <w:t>中明确的所属行业”下划线处填写采购文件规定的本项目所属行业</w:t>
      </w:r>
      <w:r>
        <w:rPr>
          <w:rFonts w:hint="eastAsia" w:asciiTheme="minorEastAsia" w:hAnsiTheme="minorEastAsia" w:eastAsiaTheme="minorEastAsia"/>
          <w:b/>
          <w:bCs/>
          <w:color w:val="FF0000"/>
          <w:kern w:val="0"/>
          <w:szCs w:val="21"/>
        </w:rPr>
        <w:t>（详见评审信息）</w:t>
      </w:r>
      <w:r>
        <w:rPr>
          <w:rFonts w:hint="eastAsia" w:asciiTheme="minorEastAsia" w:hAnsiTheme="minorEastAsia" w:eastAsiaTheme="minorEastAsia"/>
          <w:kern w:val="0"/>
          <w:szCs w:val="21"/>
        </w:rPr>
        <w:t>；</w:t>
      </w:r>
    </w:p>
    <w:p>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（5）在“企业名称”下划线处如实填写</w:t>
      </w:r>
      <w:r>
        <w:rPr>
          <w:rFonts w:hint="eastAsia" w:asciiTheme="minorEastAsia" w:hAnsiTheme="minorEastAsia" w:eastAsiaTheme="minorEastAsia"/>
          <w:b/>
          <w:color w:val="FF0000"/>
          <w:kern w:val="0"/>
          <w:szCs w:val="21"/>
        </w:rPr>
        <w:t>制造商（货物类）或承接企业名称（服务或工程类）</w:t>
      </w:r>
      <w:r>
        <w:rPr>
          <w:rFonts w:hint="eastAsia" w:asciiTheme="minorEastAsia" w:hAnsiTheme="minorEastAsia" w:eastAsiaTheme="minorEastAsia"/>
          <w:kern w:val="0"/>
          <w:szCs w:val="21"/>
        </w:rPr>
        <w:t>；在“从业人员”、“营业收入”、“资产总额”下划线处如实填写从业人员、营业收入、资产总额；在“中型企业、小型企业、微型企业”下划线处如实依照工信部联企业〔2011〕300号文填写相应的企业类型；从业人员、营业收入、资产总额填报上一年度数据，无上一年度数据的新成立企业可以不填报。</w:t>
      </w:r>
    </w:p>
    <w:p>
      <w:pPr>
        <w:widowControl/>
        <w:snapToGrid w:val="0"/>
        <w:spacing w:line="360" w:lineRule="auto"/>
        <w:jc w:val="left"/>
        <w:rPr>
          <w:b/>
          <w:bCs/>
          <w:color w:val="FF0000"/>
        </w:rPr>
      </w:pPr>
      <w:r>
        <w:rPr>
          <w:rFonts w:hint="eastAsia" w:asciiTheme="minorEastAsia" w:hAnsiTheme="minorEastAsia" w:eastAsiaTheme="minorEastAsia"/>
          <w:kern w:val="0"/>
          <w:szCs w:val="21"/>
        </w:rPr>
        <w:t xml:space="preserve">    </w:t>
      </w:r>
    </w:p>
    <w:p>
      <w:pPr>
        <w:pStyle w:val="8"/>
        <w:tabs>
          <w:tab w:val="left" w:pos="0"/>
        </w:tabs>
        <w:jc w:val="center"/>
        <w:rPr>
          <w:rFonts w:ascii="宋体" w:hAnsi="宋体"/>
        </w:rPr>
      </w:pPr>
      <w:r>
        <w:rPr>
          <w:rFonts w:hint="eastAsia" w:ascii="宋体" w:hAnsi="宋体"/>
        </w:rPr>
        <w:t>中小企业声明函</w:t>
      </w:r>
    </w:p>
    <w:p>
      <w:pPr>
        <w:pStyle w:val="14"/>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本公司（联合体）郑重声明，根据《政府采购促进中小企业发展管理办法》（财库</w:t>
      </w:r>
      <w:r>
        <w:rPr>
          <w:rFonts w:hint="eastAsia" w:asciiTheme="minorEastAsia" w:hAnsiTheme="minorEastAsia" w:eastAsiaTheme="minorEastAsia"/>
          <w:szCs w:val="21"/>
        </w:rPr>
        <w:t>﹝</w:t>
      </w:r>
      <w:r>
        <w:rPr>
          <w:rFonts w:asciiTheme="minorEastAsia" w:hAnsiTheme="minorEastAsia" w:eastAsiaTheme="minorEastAsia"/>
          <w:szCs w:val="21"/>
        </w:rPr>
        <w:t>2020</w:t>
      </w:r>
      <w:r>
        <w:rPr>
          <w:rFonts w:hint="eastAsia" w:asciiTheme="minorEastAsia" w:hAnsiTheme="minorEastAsia" w:eastAsiaTheme="minorEastAsia"/>
          <w:szCs w:val="21"/>
        </w:rPr>
        <w:t>﹞</w:t>
      </w:r>
      <w:r>
        <w:rPr>
          <w:rFonts w:asciiTheme="minorEastAsia" w:hAnsiTheme="minorEastAsia" w:eastAsiaTheme="minorEastAsia"/>
          <w:szCs w:val="21"/>
        </w:rPr>
        <w:t>46 号）的规定，本公司（联合体）参加</w:t>
      </w:r>
      <w:r>
        <w:rPr>
          <w:rFonts w:asciiTheme="minorEastAsia" w:hAnsiTheme="minorEastAsia" w:eastAsiaTheme="minorEastAsia"/>
          <w:szCs w:val="21"/>
          <w:u w:val="single"/>
        </w:rPr>
        <w:t>（单位名称）</w:t>
      </w:r>
      <w:r>
        <w:rPr>
          <w:rFonts w:asciiTheme="minorEastAsia" w:hAnsiTheme="minorEastAsia" w:eastAsiaTheme="minorEastAsia"/>
          <w:szCs w:val="21"/>
        </w:rPr>
        <w:t>的</w:t>
      </w:r>
      <w:r>
        <w:rPr>
          <w:rFonts w:asciiTheme="minorEastAsia" w:hAnsiTheme="minorEastAsia" w:eastAsiaTheme="minorEastAsia"/>
          <w:szCs w:val="21"/>
          <w:u w:val="single"/>
        </w:rPr>
        <w:t>（项目名称）</w:t>
      </w:r>
      <w:r>
        <w:rPr>
          <w:rFonts w:asciiTheme="minorEastAsia" w:hAnsiTheme="minorEastAsia" w:eastAsiaTheme="minorEastAsia"/>
          <w:szCs w:val="21"/>
        </w:rPr>
        <w:t>采购活动，</w:t>
      </w:r>
      <w:r>
        <w:rPr>
          <w:rFonts w:hint="eastAsia" w:asciiTheme="minorEastAsia" w:hAnsiTheme="minorEastAsia" w:eastAsiaTheme="minorEastAsia"/>
          <w:szCs w:val="21"/>
        </w:rPr>
        <w:t>服务全部由符合政策要求的中小企业承接</w:t>
      </w:r>
      <w:r>
        <w:rPr>
          <w:rFonts w:asciiTheme="minorEastAsia" w:hAnsiTheme="minorEastAsia" w:eastAsiaTheme="minorEastAsia"/>
          <w:szCs w:val="21"/>
        </w:rPr>
        <w:t>。相关企业（含联合体中的中小企业、签订分包意向协议的中小企业）的具体情况如下：</w:t>
      </w:r>
    </w:p>
    <w:p>
      <w:pPr>
        <w:pStyle w:val="14"/>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1.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asciiTheme="minorEastAsia" w:hAnsiTheme="minorEastAsia" w:eastAsiaTheme="minorEastAsia"/>
          <w:szCs w:val="21"/>
        </w:rPr>
        <w:t>；承接企业为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pPr>
        <w:pStyle w:val="14"/>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2.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asciiTheme="minorEastAsia" w:hAnsiTheme="minorEastAsia" w:eastAsiaTheme="minorEastAsia"/>
          <w:szCs w:val="21"/>
        </w:rPr>
        <w:t>；承接企业为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pPr>
        <w:pStyle w:val="14"/>
        <w:spacing w:before="11"/>
        <w:ind w:right="-1" w:firstLine="424" w:firstLineChars="202"/>
        <w:rPr>
          <w:rFonts w:asciiTheme="minorEastAsia" w:hAnsiTheme="minorEastAsia" w:eastAsiaTheme="minorEastAsia"/>
          <w:szCs w:val="21"/>
        </w:rPr>
      </w:pPr>
      <w:r>
        <w:rPr>
          <w:rFonts w:asciiTheme="minorEastAsia" w:hAnsiTheme="minorEastAsia" w:eastAsiaTheme="minorEastAsia"/>
          <w:szCs w:val="21"/>
        </w:rPr>
        <w:t>……</w:t>
      </w:r>
    </w:p>
    <w:p>
      <w:pPr>
        <w:pStyle w:val="14"/>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以上企业，不属于大企业的分支机构，不存在控股股东为大企业的情形，也不存在与大企业的负责人为同一人的情形。</w:t>
      </w:r>
    </w:p>
    <w:p>
      <w:pPr>
        <w:pStyle w:val="14"/>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本企业对上述声明内容的真实性负责。如有虚假，将依法承担相应责任</w:t>
      </w:r>
      <w:r>
        <w:rPr>
          <w:rFonts w:hint="eastAsia" w:asciiTheme="minorEastAsia" w:hAnsiTheme="minorEastAsia" w:eastAsiaTheme="minorEastAsia"/>
          <w:szCs w:val="21"/>
        </w:rPr>
        <w:t>。</w:t>
      </w:r>
    </w:p>
    <w:p>
      <w:pPr>
        <w:pStyle w:val="14"/>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本企业</w:t>
      </w:r>
      <w:r>
        <w:rPr>
          <w:rFonts w:hint="eastAsia" w:asciiTheme="minorEastAsia" w:hAnsiTheme="minorEastAsia" w:eastAsiaTheme="minorEastAsia"/>
          <w:szCs w:val="21"/>
        </w:rPr>
        <w:t>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spacing w:line="360" w:lineRule="auto"/>
        <w:ind w:firstLine="420" w:firstLineChars="200"/>
        <w:rPr>
          <w:rFonts w:asciiTheme="minorEastAsia" w:hAnsiTheme="minorEastAsia" w:eastAsiaTheme="minorEastAsia"/>
          <w:szCs w:val="21"/>
        </w:rPr>
      </w:pPr>
    </w:p>
    <w:p>
      <w:pPr>
        <w:spacing w:line="360" w:lineRule="auto"/>
        <w:ind w:firstLine="420" w:firstLineChars="200"/>
        <w:jc w:val="right"/>
        <w:rPr>
          <w:rFonts w:ascii="宋体" w:hAnsi="宋体"/>
          <w:szCs w:val="21"/>
        </w:rPr>
      </w:pPr>
      <w:r>
        <w:rPr>
          <w:rFonts w:hint="eastAsia" w:ascii="宋体" w:hAnsi="宋体"/>
          <w:szCs w:val="21"/>
        </w:rPr>
        <w:t>企业名称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pPr>
        <w:spacing w:line="360" w:lineRule="auto"/>
        <w:ind w:firstLine="420" w:firstLineChars="200"/>
        <w:rPr>
          <w:rFonts w:ascii="宋体" w:hAnsi="宋体"/>
          <w:szCs w:val="21"/>
        </w:rPr>
      </w:pPr>
      <w:r>
        <w:rPr>
          <w:rFonts w:hint="eastAsia" w:ascii="宋体" w:hAnsi="宋体"/>
          <w:szCs w:val="21"/>
        </w:rPr>
        <w:t>备注：</w:t>
      </w:r>
    </w:p>
    <w:p>
      <w:pPr>
        <w:spacing w:line="360" w:lineRule="auto"/>
        <w:ind w:firstLine="420" w:firstLineChars="200"/>
        <w:rPr>
          <w:rFonts w:ascii="宋体" w:hAnsi="宋体"/>
          <w:szCs w:val="21"/>
        </w:rPr>
      </w:pPr>
      <w:r>
        <w:rPr>
          <w:rFonts w:hint="eastAsia" w:ascii="宋体" w:hAnsi="宋体"/>
          <w:szCs w:val="21"/>
        </w:rPr>
        <w:t>1、填写前请认真阅读《工业和信息化部、国家统计局、国家发展和改革委员会、财政部关于印发中小企业划型标准规定的通知》</w:t>
      </w:r>
      <w:r>
        <w:rPr>
          <w:rFonts w:ascii="宋体" w:hAnsi="宋体"/>
          <w:szCs w:val="21"/>
        </w:rPr>
        <w:t>(</w:t>
      </w:r>
      <w:r>
        <w:rPr>
          <w:rFonts w:hint="eastAsia" w:ascii="宋体" w:hAnsi="宋体"/>
          <w:szCs w:val="21"/>
        </w:rPr>
        <w:t>工信部联企业〔</w:t>
      </w:r>
      <w:r>
        <w:rPr>
          <w:rFonts w:ascii="宋体" w:hAnsi="宋体"/>
          <w:szCs w:val="21"/>
        </w:rPr>
        <w:t>2011</w:t>
      </w:r>
      <w:r>
        <w:rPr>
          <w:rFonts w:hint="eastAsia" w:ascii="宋体" w:hAnsi="宋体"/>
          <w:szCs w:val="21"/>
        </w:rPr>
        <w:t>〕</w:t>
      </w:r>
      <w:r>
        <w:rPr>
          <w:rFonts w:ascii="宋体" w:hAnsi="宋体"/>
          <w:szCs w:val="21"/>
        </w:rPr>
        <w:t>300</w:t>
      </w:r>
      <w:r>
        <w:rPr>
          <w:rFonts w:hint="eastAsia" w:ascii="宋体" w:hAnsi="宋体"/>
          <w:szCs w:val="21"/>
        </w:rPr>
        <w:t>号</w:t>
      </w:r>
      <w:r>
        <w:rPr>
          <w:rFonts w:ascii="宋体" w:hAnsi="宋体"/>
          <w:szCs w:val="21"/>
        </w:rPr>
        <w:t>)</w:t>
      </w:r>
      <w:r>
        <w:rPr>
          <w:rFonts w:hint="eastAsia" w:ascii="宋体" w:hAnsi="宋体"/>
          <w:szCs w:val="21"/>
        </w:rPr>
        <w:t>和《财政部 工业和信息化部关于印发《政府采购促进中小企业发展管理办法》的通知》</w:t>
      </w:r>
      <w:r>
        <w:rPr>
          <w:rFonts w:ascii="宋体" w:hAnsi="宋体"/>
          <w:szCs w:val="21"/>
        </w:rPr>
        <w:t>(</w:t>
      </w:r>
      <w:r>
        <w:rPr>
          <w:rFonts w:hint="eastAsia" w:ascii="宋体" w:hAnsi="宋体"/>
          <w:szCs w:val="21"/>
        </w:rPr>
        <w:t>财库〔2020〕46号</w:t>
      </w:r>
      <w:r>
        <w:rPr>
          <w:rFonts w:ascii="宋体" w:hAnsi="宋体"/>
          <w:szCs w:val="21"/>
        </w:rPr>
        <w:t>)</w:t>
      </w:r>
      <w:r>
        <w:rPr>
          <w:rFonts w:hint="eastAsia" w:ascii="宋体" w:hAnsi="宋体"/>
          <w:szCs w:val="21"/>
        </w:rPr>
        <w:t>相关规定。</w:t>
      </w:r>
    </w:p>
    <w:p>
      <w:pPr>
        <w:spacing w:line="360" w:lineRule="auto"/>
        <w:ind w:firstLine="420" w:firstLineChars="200"/>
        <w:rPr>
          <w:rFonts w:ascii="宋体" w:hAnsi="宋体"/>
          <w:szCs w:val="21"/>
        </w:rPr>
      </w:pPr>
      <w:r>
        <w:rPr>
          <w:rFonts w:hint="eastAsia" w:ascii="宋体" w:hAnsi="宋体"/>
          <w:szCs w:val="21"/>
        </w:rPr>
        <w:t>2、从业人员、营业收入、资产总额填报上一年度数据，无上一年度数据的新成立企业可不填报。</w:t>
      </w:r>
    </w:p>
    <w:p>
      <w:pPr>
        <w:pStyle w:val="8"/>
        <w:tabs>
          <w:tab w:val="left" w:pos="0"/>
        </w:tabs>
        <w:jc w:val="center"/>
        <w:rPr>
          <w:rFonts w:ascii="宋体" w:hAnsi="宋体"/>
        </w:rPr>
      </w:pPr>
      <w:r>
        <w:rPr>
          <w:rFonts w:hint="eastAsia" w:ascii="宋体" w:hAnsi="宋体"/>
        </w:rPr>
        <w:t>监狱企业声明函</w:t>
      </w:r>
    </w:p>
    <w:p>
      <w:pPr>
        <w:spacing w:after="60" w:line="360" w:lineRule="auto"/>
        <w:ind w:firstLine="420" w:firstLineChars="200"/>
        <w:rPr>
          <w:rFonts w:ascii="宋体" w:hAnsi="宋体"/>
          <w:szCs w:val="21"/>
        </w:rPr>
      </w:pPr>
      <w:r>
        <w:rPr>
          <w:rFonts w:hint="eastAsia" w:ascii="宋体" w:hAnsi="宋体"/>
          <w:szCs w:val="21"/>
        </w:rPr>
        <w:t>本单位郑重声明，根据《财政部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号）的规定，本单位为符合条件的监狱企业。</w:t>
      </w:r>
    </w:p>
    <w:p>
      <w:pPr>
        <w:spacing w:after="60"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pPr>
        <w:spacing w:line="360" w:lineRule="auto"/>
        <w:ind w:firstLine="645"/>
        <w:rPr>
          <w:rFonts w:ascii="宋体"/>
          <w:b/>
          <w:szCs w:val="21"/>
        </w:rPr>
      </w:pPr>
      <w:r>
        <w:rPr>
          <w:rFonts w:hint="eastAsia" w:ascii="宋体" w:hAnsi="宋体"/>
          <w:szCs w:val="21"/>
        </w:rPr>
        <w:t xml:space="preserve">                                    </w:t>
      </w:r>
    </w:p>
    <w:p>
      <w:pPr>
        <w:spacing w:after="60" w:line="360" w:lineRule="auto"/>
        <w:ind w:firstLine="422" w:firstLineChars="200"/>
        <w:rPr>
          <w:rFonts w:ascii="宋体" w:hAnsi="宋体"/>
          <w:b/>
          <w:szCs w:val="21"/>
        </w:rPr>
      </w:pPr>
      <w:r>
        <w:rPr>
          <w:rFonts w:hint="eastAsia" w:ascii="宋体" w:hAnsi="宋体"/>
          <w:b/>
          <w:szCs w:val="21"/>
        </w:rPr>
        <w:t>附：省级以上监狱管理局、戒毒管理局（含新疆生产建设兵团）出具的监狱企业证明文件。</w:t>
      </w:r>
    </w:p>
    <w:p>
      <w:pPr>
        <w:spacing w:line="360" w:lineRule="auto"/>
        <w:ind w:left="723" w:hanging="723" w:hangingChars="300"/>
        <w:rPr>
          <w:b/>
          <w:sz w:val="24"/>
        </w:rPr>
      </w:pPr>
    </w:p>
    <w:p>
      <w:pPr>
        <w:spacing w:line="360" w:lineRule="auto"/>
        <w:ind w:firstLine="424" w:firstLineChars="202"/>
        <w:rPr>
          <w:rFonts w:ascii="宋体" w:hAnsi="宋体"/>
          <w:szCs w:val="21"/>
        </w:rPr>
      </w:pPr>
      <w:r>
        <w:rPr>
          <w:rFonts w:hint="eastAsia" w:ascii="宋体" w:hAnsi="宋体"/>
          <w:szCs w:val="21"/>
        </w:rPr>
        <w:t>备注：填写前请认真阅读《财政部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pPr>
        <w:pStyle w:val="8"/>
        <w:tabs>
          <w:tab w:val="left" w:pos="0"/>
        </w:tabs>
        <w:jc w:val="center"/>
        <w:rPr>
          <w:rFonts w:ascii="宋体" w:hAnsi="宋体"/>
        </w:rPr>
      </w:pPr>
      <w:r>
        <w:rPr>
          <w:rFonts w:hint="eastAsia" w:ascii="宋体" w:hAnsi="宋体"/>
        </w:rPr>
        <w:t>残疾人福利性单位声明函</w:t>
      </w: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项目采购活动，由本单位提供服务。</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ind w:firstLine="420" w:firstLineChars="200"/>
        <w:rPr>
          <w:rFonts w:ascii="宋体" w:hAnsi="宋体"/>
          <w:szCs w:val="21"/>
        </w:rPr>
      </w:pPr>
      <w:r>
        <w:rPr>
          <w:rFonts w:hint="eastAsia" w:ascii="宋体" w:hAnsi="宋体"/>
          <w:szCs w:val="21"/>
        </w:rPr>
        <w:t>本单位知悉《关于促进残疾人就业政府采购政策的通知》（财库〔2017〕141 号）的规定，承诺提供的声明函内容是真实的，如提供声明函内容不实，则依法追究相关法律责任。</w:t>
      </w:r>
    </w:p>
    <w:p>
      <w:pPr>
        <w:spacing w:line="360" w:lineRule="auto"/>
        <w:ind w:firstLine="420" w:firstLineChars="200"/>
        <w:rPr>
          <w:rFonts w:ascii="宋体" w:hAnsi="宋体"/>
          <w:szCs w:val="21"/>
        </w:rPr>
      </w:pPr>
    </w:p>
    <w:p>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pPr>
        <w:spacing w:line="360" w:lineRule="auto"/>
        <w:ind w:firstLine="420" w:firstLineChars="200"/>
        <w:jc w:val="right"/>
        <w:rPr>
          <w:rFonts w:ascii="宋体" w:hAnsi="宋体"/>
          <w:szCs w:val="21"/>
        </w:rPr>
      </w:pPr>
    </w:p>
    <w:p>
      <w:pPr>
        <w:spacing w:line="360" w:lineRule="auto"/>
        <w:jc w:val="left"/>
        <w:rPr>
          <w:rFonts w:ascii="宋体" w:hAnsi="宋体"/>
          <w:szCs w:val="21"/>
        </w:rPr>
      </w:pPr>
      <w:r>
        <w:rPr>
          <w:rFonts w:hint="eastAsia" w:ascii="宋体" w:hAnsi="宋体"/>
          <w:szCs w:val="21"/>
        </w:rPr>
        <w:t xml:space="preserve">    备注：填写前请认真阅读《财政部 民政部 中国残疾人联合会关于促进残疾人就业政府采购政策的通知》</w:t>
      </w:r>
      <w:r>
        <w:rPr>
          <w:rFonts w:ascii="宋体" w:hAnsi="宋体"/>
          <w:szCs w:val="21"/>
        </w:rPr>
        <w:t>(</w:t>
      </w:r>
      <w:r>
        <w:rPr>
          <w:rFonts w:hint="eastAsia" w:ascii="宋体" w:hAnsi="宋体"/>
          <w:szCs w:val="21"/>
        </w:rPr>
        <w:t>财库〔2017〕141号</w:t>
      </w:r>
      <w:r>
        <w:rPr>
          <w:rFonts w:ascii="宋体" w:hAnsi="宋体"/>
          <w:szCs w:val="21"/>
        </w:rPr>
        <w:t>)</w:t>
      </w:r>
      <w:r>
        <w:rPr>
          <w:rFonts w:hint="eastAsia" w:ascii="宋体" w:hAnsi="宋体"/>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pPr>
        <w:adjustRightInd w:val="0"/>
        <w:snapToGrid w:val="0"/>
        <w:spacing w:line="360" w:lineRule="auto"/>
        <w:ind w:firstLine="600"/>
        <w:jc w:val="right"/>
      </w:pPr>
      <w:r>
        <w:t xml:space="preserve">                                          </w:t>
      </w:r>
      <w:r>
        <w:rPr>
          <w:b/>
          <w:bCs/>
        </w:rPr>
        <w:t xml:space="preserve">  </w:t>
      </w:r>
    </w:p>
    <w:p>
      <w:pPr>
        <w:keepNext/>
        <w:keepLines/>
        <w:tabs>
          <w:tab w:val="left" w:pos="0"/>
        </w:tabs>
        <w:spacing w:before="280" w:after="290" w:line="376" w:lineRule="auto"/>
        <w:jc w:val="center"/>
        <w:outlineLvl w:val="3"/>
        <w:rPr>
          <w:rFonts w:ascii="宋体" w:hAnsi="宋体"/>
          <w:b/>
          <w:bCs/>
          <w:sz w:val="28"/>
          <w:szCs w:val="28"/>
        </w:rPr>
      </w:pPr>
      <w:r>
        <w:rPr>
          <w:rFonts w:hint="eastAsia" w:ascii="宋体" w:hAnsi="宋体"/>
          <w:b/>
          <w:bCs/>
          <w:sz w:val="28"/>
          <w:szCs w:val="28"/>
        </w:rPr>
        <w:t>列入政府优先采购清单的投标产品一览表</w:t>
      </w:r>
    </w:p>
    <w:tbl>
      <w:tblPr>
        <w:tblStyle w:val="23"/>
        <w:tblW w:w="10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3"/>
        <w:gridCol w:w="1840"/>
        <w:gridCol w:w="818"/>
        <w:gridCol w:w="1241"/>
        <w:gridCol w:w="2292"/>
        <w:gridCol w:w="1503"/>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540" w:type="dxa"/>
            <w:vMerge w:val="restart"/>
            <w:vAlign w:val="center"/>
          </w:tcPr>
          <w:p>
            <w:pPr>
              <w:jc w:val="center"/>
              <w:rPr>
                <w:rFonts w:ascii="Times New Roman" w:hAnsi="Times New Roman"/>
                <w:b/>
                <w:szCs w:val="21"/>
              </w:rPr>
            </w:pPr>
            <w:r>
              <w:rPr>
                <w:rFonts w:hint="eastAsia" w:ascii="Times New Roman" w:hAnsi="Times New Roman"/>
                <w:b/>
                <w:szCs w:val="21"/>
              </w:rPr>
              <w:t>序号</w:t>
            </w:r>
          </w:p>
        </w:tc>
        <w:tc>
          <w:tcPr>
            <w:tcW w:w="1213" w:type="dxa"/>
            <w:vMerge w:val="restart"/>
            <w:vAlign w:val="center"/>
          </w:tcPr>
          <w:p>
            <w:pPr>
              <w:jc w:val="center"/>
              <w:rPr>
                <w:rFonts w:ascii="Times New Roman" w:hAnsi="Times New Roman"/>
                <w:b/>
                <w:szCs w:val="21"/>
              </w:rPr>
            </w:pPr>
            <w:r>
              <w:rPr>
                <w:rFonts w:hint="eastAsia" w:ascii="Times New Roman" w:hAnsi="Times New Roman"/>
                <w:b/>
                <w:szCs w:val="21"/>
              </w:rPr>
              <w:t>投标产品名称</w:t>
            </w:r>
          </w:p>
        </w:tc>
        <w:tc>
          <w:tcPr>
            <w:tcW w:w="1840" w:type="dxa"/>
            <w:vMerge w:val="restart"/>
            <w:vAlign w:val="center"/>
          </w:tcPr>
          <w:p>
            <w:pPr>
              <w:jc w:val="center"/>
              <w:rPr>
                <w:rFonts w:ascii="Times New Roman" w:hAnsi="Times New Roman"/>
                <w:b/>
                <w:szCs w:val="21"/>
              </w:rPr>
            </w:pPr>
            <w:r>
              <w:rPr>
                <w:rFonts w:hint="eastAsia" w:ascii="Times New Roman" w:hAnsi="Times New Roman"/>
                <w:b/>
                <w:szCs w:val="21"/>
              </w:rPr>
              <w:t>规格及型号</w:t>
            </w:r>
          </w:p>
        </w:tc>
        <w:tc>
          <w:tcPr>
            <w:tcW w:w="4351" w:type="dxa"/>
            <w:gridSpan w:val="3"/>
            <w:vAlign w:val="center"/>
          </w:tcPr>
          <w:p>
            <w:pPr>
              <w:jc w:val="center"/>
              <w:rPr>
                <w:rFonts w:ascii="Times New Roman" w:hAnsi="Times New Roman"/>
                <w:b/>
                <w:szCs w:val="21"/>
              </w:rPr>
            </w:pPr>
            <w:r>
              <w:rPr>
                <w:rFonts w:hint="eastAsia" w:ascii="Times New Roman" w:hAnsi="Times New Roman"/>
                <w:b/>
                <w:szCs w:val="21"/>
              </w:rPr>
              <w:t>投标产品报价</w:t>
            </w:r>
          </w:p>
        </w:tc>
        <w:tc>
          <w:tcPr>
            <w:tcW w:w="1503" w:type="dxa"/>
            <w:vMerge w:val="restart"/>
            <w:vAlign w:val="center"/>
          </w:tcPr>
          <w:p>
            <w:pPr>
              <w:jc w:val="center"/>
              <w:rPr>
                <w:rFonts w:ascii="Times New Roman" w:hAnsi="Times New Roman"/>
                <w:b/>
                <w:szCs w:val="21"/>
              </w:rPr>
            </w:pPr>
            <w:r>
              <w:rPr>
                <w:rFonts w:hint="eastAsia" w:ascii="Times New Roman" w:hAnsi="Times New Roman"/>
                <w:b/>
                <w:szCs w:val="21"/>
              </w:rPr>
              <w:t>属于优先采购清单的类别</w:t>
            </w:r>
          </w:p>
        </w:tc>
        <w:tc>
          <w:tcPr>
            <w:tcW w:w="720" w:type="dxa"/>
            <w:vMerge w:val="restart"/>
            <w:vAlign w:val="center"/>
          </w:tcPr>
          <w:p>
            <w:pPr>
              <w:jc w:val="center"/>
              <w:rPr>
                <w:rFonts w:ascii="Times New Roman" w:hAnsi="Times New Roman"/>
                <w:b/>
                <w:szCs w:val="21"/>
              </w:rPr>
            </w:pPr>
            <w:r>
              <w:rPr>
                <w:rFonts w:hint="eastAsia" w:ascii="Times New Roman" w:hAnsi="Times New Roman"/>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vAlign w:val="center"/>
          </w:tcPr>
          <w:p>
            <w:pPr>
              <w:rPr>
                <w:rFonts w:ascii="Times New Roman" w:hAnsi="Times New Roman"/>
                <w:szCs w:val="21"/>
              </w:rPr>
            </w:pPr>
          </w:p>
        </w:tc>
        <w:tc>
          <w:tcPr>
            <w:tcW w:w="1213" w:type="dxa"/>
            <w:vMerge w:val="continue"/>
            <w:vAlign w:val="center"/>
          </w:tcPr>
          <w:p>
            <w:pPr>
              <w:rPr>
                <w:rFonts w:ascii="Times New Roman" w:hAnsi="Times New Roman"/>
                <w:szCs w:val="21"/>
              </w:rPr>
            </w:pPr>
          </w:p>
        </w:tc>
        <w:tc>
          <w:tcPr>
            <w:tcW w:w="1840" w:type="dxa"/>
            <w:vMerge w:val="continue"/>
            <w:vAlign w:val="center"/>
          </w:tcPr>
          <w:p>
            <w:pPr>
              <w:rPr>
                <w:rFonts w:ascii="Times New Roman" w:hAnsi="Times New Roman"/>
                <w:szCs w:val="21"/>
              </w:rPr>
            </w:pPr>
          </w:p>
        </w:tc>
        <w:tc>
          <w:tcPr>
            <w:tcW w:w="818" w:type="dxa"/>
            <w:vAlign w:val="center"/>
          </w:tcPr>
          <w:p>
            <w:pPr>
              <w:rPr>
                <w:rFonts w:ascii="Times New Roman" w:hAnsi="Times New Roman"/>
                <w:szCs w:val="21"/>
              </w:rPr>
            </w:pPr>
            <w:r>
              <w:rPr>
                <w:rFonts w:hint="eastAsia" w:ascii="Times New Roman" w:hAnsi="Times New Roman"/>
                <w:szCs w:val="21"/>
              </w:rPr>
              <w:t>数量</w:t>
            </w:r>
          </w:p>
        </w:tc>
        <w:tc>
          <w:tcPr>
            <w:tcW w:w="1241" w:type="dxa"/>
            <w:vAlign w:val="center"/>
          </w:tcPr>
          <w:p>
            <w:pPr>
              <w:jc w:val="center"/>
              <w:rPr>
                <w:rFonts w:ascii="Times New Roman" w:hAnsi="Times New Roman"/>
                <w:szCs w:val="21"/>
              </w:rPr>
            </w:pPr>
            <w:r>
              <w:rPr>
                <w:rFonts w:hint="eastAsia" w:ascii="Times New Roman" w:hAnsi="Times New Roman"/>
                <w:szCs w:val="21"/>
              </w:rPr>
              <w:t>投标单价（元）</w:t>
            </w:r>
          </w:p>
        </w:tc>
        <w:tc>
          <w:tcPr>
            <w:tcW w:w="2292" w:type="dxa"/>
            <w:vAlign w:val="center"/>
          </w:tcPr>
          <w:p>
            <w:pPr>
              <w:jc w:val="center"/>
              <w:rPr>
                <w:rFonts w:ascii="Times New Roman" w:hAnsi="Times New Roman"/>
                <w:szCs w:val="21"/>
              </w:rPr>
            </w:pPr>
            <w:r>
              <w:rPr>
                <w:rFonts w:hint="eastAsia" w:ascii="Times New Roman" w:hAnsi="Times New Roman"/>
                <w:szCs w:val="21"/>
              </w:rPr>
              <w:t>投标</w:t>
            </w:r>
            <w:r>
              <w:rPr>
                <w:rFonts w:hint="eastAsia" w:ascii="宋体" w:hAnsi="宋体"/>
                <w:szCs w:val="21"/>
              </w:rPr>
              <w:t>合计</w:t>
            </w:r>
            <w:r>
              <w:rPr>
                <w:rFonts w:hint="eastAsia" w:ascii="Times New Roman" w:hAnsi="Times New Roman"/>
                <w:szCs w:val="21"/>
              </w:rPr>
              <w:t>报价（元）</w:t>
            </w:r>
          </w:p>
        </w:tc>
        <w:tc>
          <w:tcPr>
            <w:tcW w:w="1503" w:type="dxa"/>
            <w:vMerge w:val="continue"/>
            <w:vAlign w:val="center"/>
          </w:tcPr>
          <w:p>
            <w:pPr>
              <w:rPr>
                <w:rFonts w:ascii="Times New Roman" w:hAnsi="Times New Roman"/>
                <w:szCs w:val="21"/>
              </w:rPr>
            </w:pPr>
          </w:p>
        </w:tc>
        <w:tc>
          <w:tcPr>
            <w:tcW w:w="720" w:type="dxa"/>
            <w:vMerge w:val="continue"/>
            <w:vAlign w:val="center"/>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pPr>
              <w:jc w:val="center"/>
              <w:rPr>
                <w:rFonts w:ascii="宋体" w:hAnsi="宋体"/>
                <w:szCs w:val="21"/>
              </w:rPr>
            </w:pPr>
            <w:r>
              <w:rPr>
                <w:rFonts w:hint="eastAsia" w:ascii="宋体" w:hAnsi="宋体"/>
                <w:szCs w:val="21"/>
              </w:rPr>
              <w:t>1</w:t>
            </w:r>
          </w:p>
        </w:tc>
        <w:tc>
          <w:tcPr>
            <w:tcW w:w="1213" w:type="dxa"/>
            <w:vAlign w:val="center"/>
          </w:tcPr>
          <w:p>
            <w:pPr>
              <w:jc w:val="center"/>
              <w:rPr>
                <w:rFonts w:ascii="Times New Roman" w:hAnsi="Times New Roman"/>
                <w:szCs w:val="21"/>
              </w:rPr>
            </w:pPr>
          </w:p>
        </w:tc>
        <w:tc>
          <w:tcPr>
            <w:tcW w:w="1840" w:type="dxa"/>
            <w:vAlign w:val="center"/>
          </w:tcPr>
          <w:p>
            <w:pPr>
              <w:jc w:val="center"/>
              <w:rPr>
                <w:rFonts w:ascii="Times New Roman" w:hAnsi="Times New Roman"/>
                <w:szCs w:val="21"/>
              </w:rPr>
            </w:pPr>
          </w:p>
        </w:tc>
        <w:tc>
          <w:tcPr>
            <w:tcW w:w="818" w:type="dxa"/>
            <w:vAlign w:val="center"/>
          </w:tcPr>
          <w:p>
            <w:pPr>
              <w:jc w:val="center"/>
              <w:rPr>
                <w:rFonts w:ascii="Times New Roman" w:hAnsi="Times New Roman"/>
                <w:szCs w:val="21"/>
              </w:rPr>
            </w:pPr>
          </w:p>
        </w:tc>
        <w:tc>
          <w:tcPr>
            <w:tcW w:w="1241" w:type="dxa"/>
            <w:vAlign w:val="center"/>
          </w:tcPr>
          <w:p>
            <w:pPr>
              <w:jc w:val="center"/>
              <w:rPr>
                <w:rFonts w:ascii="Times New Roman" w:hAnsi="Times New Roman"/>
                <w:szCs w:val="21"/>
              </w:rPr>
            </w:pPr>
          </w:p>
        </w:tc>
        <w:tc>
          <w:tcPr>
            <w:tcW w:w="2292" w:type="dxa"/>
            <w:vAlign w:val="center"/>
          </w:tcPr>
          <w:p>
            <w:pPr>
              <w:jc w:val="center"/>
              <w:rPr>
                <w:rFonts w:ascii="Times New Roman" w:hAnsi="Times New Roman"/>
                <w:szCs w:val="21"/>
              </w:rPr>
            </w:pPr>
          </w:p>
        </w:tc>
        <w:tc>
          <w:tcPr>
            <w:tcW w:w="1503" w:type="dxa"/>
            <w:vAlign w:val="center"/>
          </w:tcPr>
          <w:p>
            <w:pPr>
              <w:jc w:val="center"/>
              <w:rPr>
                <w:rFonts w:ascii="Times New Roman" w:hAnsi="Times New Roman"/>
                <w:szCs w:val="21"/>
              </w:rPr>
            </w:pPr>
          </w:p>
        </w:tc>
        <w:tc>
          <w:tcPr>
            <w:tcW w:w="720" w:type="dxa"/>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pPr>
              <w:jc w:val="center"/>
              <w:rPr>
                <w:rFonts w:ascii="宋体" w:hAnsi="宋体"/>
                <w:szCs w:val="21"/>
              </w:rPr>
            </w:pPr>
            <w:r>
              <w:rPr>
                <w:rFonts w:hint="eastAsia" w:ascii="宋体" w:hAnsi="宋体"/>
                <w:szCs w:val="21"/>
              </w:rPr>
              <w:t>2</w:t>
            </w:r>
          </w:p>
        </w:tc>
        <w:tc>
          <w:tcPr>
            <w:tcW w:w="1213" w:type="dxa"/>
            <w:vAlign w:val="center"/>
          </w:tcPr>
          <w:p>
            <w:pPr>
              <w:jc w:val="center"/>
              <w:rPr>
                <w:rFonts w:ascii="Times New Roman" w:hAnsi="Times New Roman"/>
                <w:szCs w:val="21"/>
              </w:rPr>
            </w:pPr>
          </w:p>
        </w:tc>
        <w:tc>
          <w:tcPr>
            <w:tcW w:w="1840" w:type="dxa"/>
            <w:vAlign w:val="center"/>
          </w:tcPr>
          <w:p>
            <w:pPr>
              <w:jc w:val="center"/>
              <w:rPr>
                <w:rFonts w:ascii="Times New Roman" w:hAnsi="Times New Roman"/>
                <w:szCs w:val="21"/>
              </w:rPr>
            </w:pPr>
          </w:p>
        </w:tc>
        <w:tc>
          <w:tcPr>
            <w:tcW w:w="818" w:type="dxa"/>
            <w:vAlign w:val="center"/>
          </w:tcPr>
          <w:p>
            <w:pPr>
              <w:jc w:val="center"/>
              <w:rPr>
                <w:rFonts w:ascii="Times New Roman" w:hAnsi="Times New Roman"/>
                <w:szCs w:val="21"/>
              </w:rPr>
            </w:pPr>
          </w:p>
        </w:tc>
        <w:tc>
          <w:tcPr>
            <w:tcW w:w="1241" w:type="dxa"/>
            <w:vAlign w:val="center"/>
          </w:tcPr>
          <w:p>
            <w:pPr>
              <w:jc w:val="center"/>
              <w:rPr>
                <w:rFonts w:ascii="Times New Roman" w:hAnsi="Times New Roman"/>
                <w:szCs w:val="21"/>
              </w:rPr>
            </w:pPr>
          </w:p>
        </w:tc>
        <w:tc>
          <w:tcPr>
            <w:tcW w:w="2292" w:type="dxa"/>
            <w:vAlign w:val="center"/>
          </w:tcPr>
          <w:p>
            <w:pPr>
              <w:jc w:val="center"/>
              <w:rPr>
                <w:rFonts w:ascii="Times New Roman" w:hAnsi="Times New Roman"/>
                <w:szCs w:val="21"/>
              </w:rPr>
            </w:pPr>
          </w:p>
        </w:tc>
        <w:tc>
          <w:tcPr>
            <w:tcW w:w="1503" w:type="dxa"/>
            <w:vAlign w:val="center"/>
          </w:tcPr>
          <w:p>
            <w:pPr>
              <w:jc w:val="center"/>
              <w:rPr>
                <w:rFonts w:ascii="Times New Roman" w:hAnsi="Times New Roman"/>
                <w:szCs w:val="21"/>
              </w:rPr>
            </w:pPr>
          </w:p>
        </w:tc>
        <w:tc>
          <w:tcPr>
            <w:tcW w:w="720" w:type="dxa"/>
            <w:vAlign w:val="center"/>
          </w:tcPr>
          <w:p>
            <w:pPr>
              <w:jc w:val="center"/>
              <w:rPr>
                <w:rFonts w:ascii="Times New Roman" w:hAnsi="Times New Roman"/>
                <w:szCs w:val="21"/>
              </w:rPr>
            </w:pPr>
          </w:p>
        </w:tc>
      </w:tr>
    </w:tbl>
    <w:p>
      <w:pPr>
        <w:spacing w:line="360" w:lineRule="auto"/>
        <w:rPr>
          <w:rFonts w:ascii="Times New Roman" w:hAnsi="Times New Roman"/>
          <w:szCs w:val="21"/>
        </w:rPr>
      </w:pPr>
      <w:r>
        <w:rPr>
          <w:rFonts w:hint="eastAsia" w:ascii="Times New Roman" w:hAnsi="Times New Roman"/>
          <w:szCs w:val="21"/>
        </w:rPr>
        <w:t>注</w:t>
      </w:r>
      <w:r>
        <w:rPr>
          <w:rFonts w:hint="eastAsia" w:ascii="宋体" w:hAnsi="宋体"/>
          <w:szCs w:val="21"/>
        </w:rPr>
        <w:t xml:space="preserve">：1. </w:t>
      </w:r>
      <w:r>
        <w:rPr>
          <w:rFonts w:hint="eastAsia" w:ascii="宋体" w:hAnsi="宋体"/>
          <w:b/>
          <w:szCs w:val="21"/>
        </w:rPr>
        <w:t>对</w:t>
      </w:r>
      <w:r>
        <w:rPr>
          <w:rFonts w:ascii="宋体" w:hAnsi="宋体"/>
          <w:b/>
          <w:szCs w:val="21"/>
        </w:rPr>
        <w:t>属于</w:t>
      </w:r>
      <w:r>
        <w:rPr>
          <w:rFonts w:hint="eastAsia" w:ascii="宋体" w:hAnsi="宋体"/>
          <w:b/>
          <w:szCs w:val="21"/>
        </w:rPr>
        <w:t>《关于调整优化节能产品环境标志产品政府采购执行机制的通知》（财库〔2019〕9号）、《关于印发环境标志产品政府采购品目清单的通知》（财库〔2019〕18号）和《关于印发节能产品政府采购品目清单的通知》（财库〔2019〕19号）</w:t>
      </w:r>
      <w:r>
        <w:rPr>
          <w:rFonts w:ascii="宋体" w:hAnsi="宋体"/>
          <w:b/>
          <w:szCs w:val="21"/>
        </w:rPr>
        <w:t>品目清单范围</w:t>
      </w:r>
      <w:r>
        <w:rPr>
          <w:rFonts w:hint="eastAsia" w:ascii="宋体" w:hAnsi="宋体"/>
          <w:b/>
          <w:szCs w:val="21"/>
        </w:rPr>
        <w:t>内</w:t>
      </w:r>
      <w:r>
        <w:rPr>
          <w:rFonts w:ascii="宋体" w:hAnsi="宋体"/>
          <w:b/>
          <w:szCs w:val="21"/>
        </w:rPr>
        <w:t>的</w:t>
      </w:r>
      <w:r>
        <w:rPr>
          <w:rFonts w:hint="eastAsia" w:ascii="宋体" w:hAnsi="宋体"/>
          <w:b/>
          <w:szCs w:val="21"/>
        </w:rPr>
        <w:t>投标产品，投标人须提供</w:t>
      </w:r>
      <w:r>
        <w:rPr>
          <w:rFonts w:ascii="宋体" w:hAnsi="宋体"/>
          <w:b/>
          <w:szCs w:val="21"/>
        </w:rPr>
        <w:t>国家确定的认证机构出具的、处于有效期之内的节能产品、环境标志产品认证证书，</w:t>
      </w:r>
      <w:r>
        <w:rPr>
          <w:rFonts w:hint="eastAsia" w:ascii="宋体" w:hAnsi="宋体"/>
          <w:b/>
          <w:szCs w:val="21"/>
        </w:rPr>
        <w:t>以及相应的节能或环境标志产品政府采购品目清单，并显著标识投标产品所处位置。</w:t>
      </w:r>
      <w:r>
        <w:rPr>
          <w:rFonts w:hint="eastAsia" w:ascii="宋体" w:hAnsi="宋体"/>
          <w:szCs w:val="21"/>
        </w:rPr>
        <w:t>提供以上证明材料的扫描件或复印件加盖投标人公章，提供的证书若存在不齐全、已过有效期或其他未被评标委员会接受的瑕疵将不予认可。</w:t>
      </w:r>
      <w:r>
        <w:rPr>
          <w:rFonts w:hint="eastAsia" w:ascii="Times New Roman" w:hAnsi="Times New Roman"/>
          <w:szCs w:val="21"/>
        </w:rPr>
        <w:t>投标产品若不属于上述清单或目录范围内，则无需填写该表。</w:t>
      </w:r>
    </w:p>
    <w:p>
      <w:pPr>
        <w:spacing w:line="360" w:lineRule="auto"/>
        <w:rPr>
          <w:rFonts w:ascii="宋体" w:hAnsi="宋体"/>
          <w:szCs w:val="21"/>
        </w:rPr>
      </w:pPr>
      <w:r>
        <w:rPr>
          <w:rFonts w:hint="eastAsia" w:ascii="宋体" w:hAnsi="宋体"/>
          <w:szCs w:val="21"/>
        </w:rPr>
        <w:t>2. “投标产品报价”栏中须准确填报该投标产品的投标单价、数量及投标合计报价；投标产品名称、规格型号、价格应与“分项报价表”一致，如不一致，以“分项报价表”为准。</w:t>
      </w:r>
    </w:p>
    <w:p>
      <w:pPr>
        <w:spacing w:line="360" w:lineRule="auto"/>
        <w:rPr>
          <w:rFonts w:ascii="宋体" w:hAnsi="宋体"/>
          <w:szCs w:val="21"/>
        </w:rPr>
      </w:pPr>
      <w:r>
        <w:rPr>
          <w:rFonts w:hint="eastAsia" w:ascii="宋体" w:hAnsi="宋体"/>
          <w:szCs w:val="21"/>
        </w:rPr>
        <w:t>3. “属于优先采购清单的类别”栏中填写“节能产品政府采购品目清单”或“环境标志产品政府采购品目清单”。</w:t>
      </w:r>
    </w:p>
    <w:p>
      <w:pPr>
        <w:adjustRightInd w:val="0"/>
        <w:spacing w:line="300" w:lineRule="auto"/>
        <w:ind w:hanging="2"/>
        <w:jc w:val="center"/>
        <w:rPr>
          <w:b/>
          <w:snapToGrid w:val="0"/>
          <w:kern w:val="0"/>
          <w:sz w:val="28"/>
        </w:rPr>
      </w:pPr>
      <w:r>
        <w:br w:type="page"/>
      </w:r>
    </w:p>
    <w:p>
      <w:pPr>
        <w:jc w:val="center"/>
        <w:rPr>
          <w:rFonts w:ascii="宋体" w:hAnsi="宋体"/>
          <w:sz w:val="28"/>
          <w:szCs w:val="28"/>
        </w:rPr>
      </w:pPr>
      <w:r>
        <w:rPr>
          <w:rFonts w:hint="eastAsia" w:ascii="宋体" w:hAnsi="宋体"/>
          <w:b/>
          <w:bCs/>
          <w:sz w:val="28"/>
          <w:szCs w:val="28"/>
        </w:rPr>
        <w:t>授权承诺书（</w:t>
      </w:r>
      <w:r>
        <w:rPr>
          <w:rFonts w:hint="eastAsia" w:ascii="宋体" w:hAnsi="宋体"/>
          <w:b/>
          <w:bCs/>
          <w:sz w:val="28"/>
          <w:szCs w:val="28"/>
          <w:lang w:val="en-US" w:eastAsia="zh-CN"/>
        </w:rPr>
        <w:t>如有</w:t>
      </w:r>
      <w:r>
        <w:rPr>
          <w:rFonts w:hint="eastAsia" w:ascii="宋体" w:hAnsi="宋体"/>
          <w:b/>
          <w:bCs/>
          <w:sz w:val="28"/>
          <w:szCs w:val="28"/>
        </w:rPr>
        <w:t>）</w:t>
      </w: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u w:val="single"/>
        </w:rPr>
      </w:pPr>
      <w:r>
        <w:rPr>
          <w:rFonts w:hint="eastAsia" w:ascii="宋体" w:hAnsi="宋体" w:cs="宋体"/>
          <w:szCs w:val="21"/>
        </w:rPr>
        <w:t>现</w:t>
      </w:r>
      <w:r>
        <w:rPr>
          <w:rFonts w:hint="eastAsia" w:ascii="宋体" w:hAnsi="宋体" w:cs="宋体"/>
          <w:szCs w:val="21"/>
          <w:u w:val="single"/>
        </w:rPr>
        <w:t>***************公司</w:t>
      </w:r>
      <w:r>
        <w:rPr>
          <w:rFonts w:hint="eastAsia" w:ascii="宋体" w:hAnsi="宋体" w:cs="宋体"/>
          <w:szCs w:val="21"/>
        </w:rPr>
        <w:t>授权</w:t>
      </w:r>
      <w:r>
        <w:rPr>
          <w:rFonts w:hint="eastAsia" w:ascii="宋体" w:hAnsi="宋体" w:cs="宋体"/>
          <w:szCs w:val="21"/>
          <w:u w:val="single"/>
        </w:rPr>
        <w:t xml:space="preserve"> ********************分公司</w:t>
      </w:r>
      <w:r>
        <w:rPr>
          <w:rFonts w:hint="eastAsia" w:ascii="宋体" w:hAnsi="宋体" w:cs="宋体"/>
          <w:szCs w:val="21"/>
        </w:rPr>
        <w:t>以本公司的名义进行参与</w:t>
      </w:r>
      <w:r>
        <w:rPr>
          <w:rFonts w:hint="eastAsia" w:ascii="宋体" w:hAnsi="宋体" w:cs="宋体"/>
          <w:szCs w:val="21"/>
          <w:u w:val="single"/>
        </w:rPr>
        <w:t>项目名称：                  （项目编号：                  ）</w:t>
      </w:r>
      <w:r>
        <w:rPr>
          <w:rFonts w:hint="eastAsia" w:ascii="宋体" w:hAnsi="宋体" w:cs="宋体"/>
          <w:szCs w:val="21"/>
        </w:rPr>
        <w:t>的投标事宜，并承诺愿为其参与本项目投标及履约行为承担民事责任，且提供相关服务支持。</w:t>
      </w:r>
    </w:p>
    <w:p>
      <w:pPr>
        <w:spacing w:line="360" w:lineRule="auto"/>
        <w:ind w:firstLine="420" w:firstLineChars="200"/>
        <w:rPr>
          <w:rFonts w:ascii="宋体" w:hAnsi="宋体" w:cs="宋体"/>
          <w:szCs w:val="21"/>
        </w:rPr>
      </w:pPr>
      <w:r>
        <w:rPr>
          <w:rFonts w:hint="eastAsia" w:ascii="宋体" w:hAnsi="宋体" w:cs="宋体"/>
          <w:szCs w:val="21"/>
        </w:rPr>
        <w:t>此授权是唯一的和排他的，即本公司仅授权该分公司参加此次投标。</w:t>
      </w:r>
    </w:p>
    <w:p>
      <w:pPr>
        <w:spacing w:line="360" w:lineRule="auto"/>
        <w:ind w:firstLine="420" w:firstLineChars="200"/>
        <w:rPr>
          <w:rFonts w:ascii="宋体" w:hAnsi="宋体" w:cs="宋体"/>
          <w:szCs w:val="21"/>
        </w:rPr>
      </w:pPr>
    </w:p>
    <w:p>
      <w:pPr>
        <w:wordWrap w:val="0"/>
        <w:spacing w:line="360" w:lineRule="auto"/>
        <w:ind w:firstLine="420" w:firstLineChars="200"/>
        <w:jc w:val="right"/>
        <w:rPr>
          <w:rFonts w:ascii="宋体" w:hAnsi="宋体" w:cs="宋体"/>
          <w:szCs w:val="21"/>
        </w:rPr>
      </w:pPr>
      <w:r>
        <w:rPr>
          <w:rFonts w:hint="eastAsia" w:ascii="宋体" w:hAnsi="宋体" w:cs="宋体"/>
          <w:szCs w:val="21"/>
        </w:rPr>
        <w:t>承诺公司（公章）：</w:t>
      </w:r>
      <w:r>
        <w:rPr>
          <w:rFonts w:hint="eastAsia" w:ascii="宋体" w:hAnsi="宋体" w:cs="宋体"/>
          <w:szCs w:val="21"/>
          <w:u w:val="single"/>
        </w:rPr>
        <w:t>******公司</w:t>
      </w:r>
      <w:r>
        <w:rPr>
          <w:rFonts w:hint="eastAsia" w:ascii="宋体" w:hAnsi="宋体" w:cs="宋体"/>
          <w:szCs w:val="21"/>
        </w:rPr>
        <w:t xml:space="preserve"> </w:t>
      </w:r>
    </w:p>
    <w:p>
      <w:pPr>
        <w:spacing w:line="360" w:lineRule="auto"/>
        <w:ind w:firstLine="420" w:firstLineChars="200"/>
        <w:jc w:val="center"/>
      </w:pPr>
      <w:r>
        <w:rPr>
          <w:rFonts w:hint="eastAsia" w:ascii="宋体" w:hAnsi="宋体" w:cs="宋体"/>
          <w:szCs w:val="21"/>
        </w:rPr>
        <w:t xml:space="preserve">                                           日期：      年    月    日 </w:t>
      </w:r>
      <w:r>
        <w:rPr>
          <w:rFonts w:hint="eastAsia" w:ascii="宋体" w:hAnsi="宋体"/>
          <w:sz w:val="28"/>
          <w:szCs w:val="28"/>
        </w:rPr>
        <w:t xml:space="preserve"> </w:t>
      </w:r>
    </w:p>
    <w:p>
      <w:pPr>
        <w:rPr>
          <w:rFonts w:cs="仿宋" w:asciiTheme="minorEastAsia" w:hAnsiTheme="minorEastAsia" w:eastAsiaTheme="minorEastAsia"/>
          <w:sz w:val="32"/>
          <w:szCs w:val="32"/>
        </w:rPr>
      </w:pPr>
    </w:p>
    <w:p>
      <w:pPr>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br w:type="page"/>
      </w:r>
    </w:p>
    <w:p>
      <w:pPr>
        <w:jc w:val="center"/>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格式4  开标一览表</w:t>
      </w:r>
    </w:p>
    <w:p>
      <w:pPr>
        <w:rPr>
          <w:rFonts w:cs="仿宋" w:asciiTheme="minorEastAsia" w:hAnsiTheme="minorEastAsia" w:eastAsiaTheme="minorEastAsia"/>
        </w:rPr>
      </w:pPr>
    </w:p>
    <w:p>
      <w:pPr>
        <w:spacing w:line="360" w:lineRule="auto"/>
        <w:jc w:val="left"/>
        <w:rPr>
          <w:rFonts w:cs="仿宋" w:asciiTheme="minorEastAsia" w:hAnsiTheme="minorEastAsia" w:eastAsiaTheme="minorEastAsia"/>
        </w:rPr>
      </w:pPr>
      <w:r>
        <w:rPr>
          <w:rFonts w:hint="eastAsia" w:cs="仿宋" w:asciiTheme="minorEastAsia" w:hAnsiTheme="minorEastAsia" w:eastAsiaTheme="minorEastAsia"/>
        </w:rPr>
        <w:t>项目名称：</w:t>
      </w:r>
      <w:r>
        <w:rPr>
          <w:rFonts w:hint="eastAsia" w:cs="仿宋" w:asciiTheme="minorEastAsia" w:hAnsiTheme="minorEastAsia" w:eastAsiaTheme="minorEastAsia"/>
          <w:u w:val="single"/>
        </w:rPr>
        <w:t xml:space="preserve">                </w:t>
      </w:r>
    </w:p>
    <w:p>
      <w:pPr>
        <w:spacing w:line="360" w:lineRule="auto"/>
        <w:jc w:val="left"/>
        <w:rPr>
          <w:rFonts w:cs="仿宋" w:asciiTheme="minorEastAsia" w:hAnsiTheme="minorEastAsia" w:eastAsiaTheme="minorEastAsia"/>
        </w:rPr>
      </w:pPr>
      <w:r>
        <w:rPr>
          <w:rFonts w:hint="eastAsia" w:cs="仿宋" w:asciiTheme="minorEastAsia" w:hAnsiTheme="minorEastAsia" w:eastAsiaTheme="minorEastAsia"/>
        </w:rPr>
        <w:t>项目编号：</w:t>
      </w:r>
      <w:r>
        <w:rPr>
          <w:rFonts w:hint="eastAsia" w:cs="仿宋" w:asciiTheme="minorEastAsia" w:hAnsiTheme="minorEastAsia" w:eastAsiaTheme="minorEastAsia"/>
          <w:u w:val="single"/>
        </w:rPr>
        <w:t xml:space="preserve">                </w:t>
      </w:r>
    </w:p>
    <w:tbl>
      <w:tblPr>
        <w:tblStyle w:val="24"/>
        <w:tblW w:w="8520" w:type="dxa"/>
        <w:jc w:val="center"/>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074"/>
        <w:gridCol w:w="3914"/>
        <w:gridCol w:w="1532"/>
      </w:tblGrid>
      <w:tr>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074" w:type="dxa"/>
            <w:shd w:val="clear" w:color="auto" w:fill="C6D9F0" w:themeFill="text2" w:themeFillTint="33"/>
            <w:vAlign w:val="center"/>
          </w:tcPr>
          <w:p>
            <w:pPr>
              <w:spacing w:line="360" w:lineRule="auto"/>
              <w:jc w:val="center"/>
              <w:rPr>
                <w:rFonts w:cs="仿宋" w:asciiTheme="minorEastAsia" w:hAnsiTheme="minorEastAsia" w:eastAsiaTheme="minorEastAsia"/>
              </w:rPr>
            </w:pPr>
            <w:r>
              <w:rPr>
                <w:rFonts w:hint="eastAsia" w:cs="仿宋" w:asciiTheme="minorEastAsia" w:hAnsiTheme="minorEastAsia" w:eastAsiaTheme="minorEastAsia"/>
              </w:rPr>
              <w:t>项目名称</w:t>
            </w:r>
          </w:p>
        </w:tc>
        <w:tc>
          <w:tcPr>
            <w:tcW w:w="3914" w:type="dxa"/>
            <w:shd w:val="clear" w:color="auto" w:fill="C6D9F0" w:themeFill="text2" w:themeFillTint="33"/>
            <w:vAlign w:val="center"/>
          </w:tcPr>
          <w:p>
            <w:pPr>
              <w:jc w:val="center"/>
            </w:pPr>
            <w:r>
              <w:rPr>
                <w:rFonts w:hint="eastAsia"/>
              </w:rPr>
              <w:t>投标报价</w:t>
            </w:r>
          </w:p>
          <w:p>
            <w:pPr>
              <w:pStyle w:val="2"/>
              <w:ind w:firstLine="630" w:firstLineChars="300"/>
              <w:rPr>
                <w:rFonts w:eastAsiaTheme="minorEastAsia"/>
              </w:rPr>
            </w:pPr>
            <w:r>
              <w:rPr>
                <w:rFonts w:hint="eastAsia" w:eastAsiaTheme="minorEastAsia"/>
              </w:rPr>
              <w:t>（人民币元/人）</w:t>
            </w:r>
          </w:p>
        </w:tc>
        <w:tc>
          <w:tcPr>
            <w:tcW w:w="1532" w:type="dxa"/>
            <w:shd w:val="clear" w:color="auto" w:fill="C6D9F0" w:themeFill="text2" w:themeFillTint="33"/>
            <w:vAlign w:val="center"/>
          </w:tcPr>
          <w:p>
            <w:pPr>
              <w:spacing w:line="360" w:lineRule="auto"/>
              <w:jc w:val="center"/>
              <w:rPr>
                <w:rFonts w:cs="仿宋" w:asciiTheme="minorEastAsia" w:hAnsiTheme="minorEastAsia" w:eastAsiaTheme="minorEastAsia"/>
              </w:rPr>
            </w:pPr>
            <w:r>
              <w:rPr>
                <w:rFonts w:hint="eastAsia" w:cs="仿宋" w:asciiTheme="minorEastAsia" w:hAnsiTheme="minorEastAsia" w:eastAsiaTheme="minorEastAsia"/>
              </w:rPr>
              <w:t>备注</w:t>
            </w:r>
          </w:p>
        </w:tc>
      </w:tr>
      <w:tr>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09" w:hRule="atLeast"/>
          <w:jc w:val="center"/>
        </w:trPr>
        <w:tc>
          <w:tcPr>
            <w:tcW w:w="3074" w:type="dxa"/>
            <w:vAlign w:val="center"/>
          </w:tcPr>
          <w:p>
            <w:pPr>
              <w:spacing w:line="360" w:lineRule="auto"/>
              <w:jc w:val="center"/>
              <w:rPr>
                <w:rFonts w:cs="仿宋" w:asciiTheme="minorEastAsia" w:hAnsiTheme="minorEastAsia" w:eastAsiaTheme="minorEastAsia"/>
              </w:rPr>
            </w:pPr>
            <w:r>
              <w:rPr>
                <w:rFonts w:hint="eastAsia" w:cs="仿宋" w:asciiTheme="minorEastAsia" w:hAnsiTheme="minorEastAsia" w:eastAsiaTheme="minorEastAsia"/>
              </w:rPr>
              <w:t>深圳市公安局交通警察局2024年辅聘人员人身意外伤害保险服务</w:t>
            </w:r>
          </w:p>
        </w:tc>
        <w:tc>
          <w:tcPr>
            <w:tcW w:w="3914" w:type="dxa"/>
            <w:vAlign w:val="center"/>
          </w:tcPr>
          <w:p>
            <w:pPr>
              <w:spacing w:line="360" w:lineRule="auto"/>
              <w:jc w:val="center"/>
              <w:rPr>
                <w:rFonts w:cs="仿宋" w:asciiTheme="minorEastAsia" w:hAnsiTheme="minorEastAsia" w:eastAsiaTheme="minorEastAsia"/>
                <w:u w:val="single"/>
              </w:rPr>
            </w:pPr>
          </w:p>
        </w:tc>
        <w:tc>
          <w:tcPr>
            <w:tcW w:w="1532" w:type="dxa"/>
            <w:vAlign w:val="center"/>
          </w:tcPr>
          <w:p>
            <w:pPr>
              <w:spacing w:line="360" w:lineRule="auto"/>
              <w:jc w:val="center"/>
              <w:rPr>
                <w:rFonts w:cs="仿宋" w:asciiTheme="minorEastAsia" w:hAnsiTheme="minorEastAsia" w:eastAsiaTheme="minorEastAsia"/>
              </w:rPr>
            </w:pPr>
          </w:p>
        </w:tc>
      </w:tr>
    </w:tbl>
    <w:p>
      <w:pPr>
        <w:spacing w:line="360" w:lineRule="auto"/>
        <w:rPr>
          <w:rFonts w:cs="仿宋" w:asciiTheme="minorEastAsia" w:hAnsiTheme="minorEastAsia" w:eastAsiaTheme="minorEastAsia"/>
        </w:rPr>
      </w:pPr>
    </w:p>
    <w:p>
      <w:pPr>
        <w:spacing w:line="360" w:lineRule="auto"/>
        <w:rPr>
          <w:rFonts w:cs="仿宋" w:asciiTheme="minorEastAsia" w:hAnsiTheme="minorEastAsia" w:eastAsiaTheme="minorEastAsia"/>
        </w:rPr>
      </w:pPr>
      <w:r>
        <w:rPr>
          <w:rFonts w:hint="eastAsia" w:cs="仿宋" w:asciiTheme="minorEastAsia" w:hAnsiTheme="minorEastAsia" w:eastAsiaTheme="minorEastAsia"/>
        </w:rPr>
        <w:t>投标人：（公章）</w:t>
      </w:r>
    </w:p>
    <w:p>
      <w:pPr>
        <w:spacing w:line="360" w:lineRule="auto"/>
        <w:rPr>
          <w:rFonts w:cs="仿宋" w:asciiTheme="minorEastAsia" w:hAnsiTheme="minorEastAsia" w:eastAsiaTheme="minorEastAsia"/>
        </w:rPr>
      </w:pPr>
    </w:p>
    <w:p>
      <w:pPr>
        <w:spacing w:line="360" w:lineRule="auto"/>
        <w:rPr>
          <w:rFonts w:cs="仿宋" w:asciiTheme="minorEastAsia" w:hAnsiTheme="minorEastAsia" w:eastAsiaTheme="minorEastAsia"/>
        </w:rPr>
      </w:pPr>
      <w:r>
        <w:rPr>
          <w:rFonts w:hint="eastAsia" w:cs="仿宋" w:asciiTheme="minorEastAsia" w:hAnsiTheme="minorEastAsia" w:eastAsiaTheme="minorEastAsia"/>
        </w:rPr>
        <w:t>法定代表人或其授权代表：（签字或盖章）</w:t>
      </w:r>
    </w:p>
    <w:p>
      <w:pPr>
        <w:spacing w:line="360" w:lineRule="auto"/>
        <w:ind w:firstLine="630"/>
        <w:rPr>
          <w:rFonts w:cs="仿宋" w:asciiTheme="minorEastAsia" w:hAnsiTheme="minorEastAsia" w:eastAsiaTheme="minorEastAsia"/>
        </w:rPr>
      </w:pPr>
    </w:p>
    <w:p>
      <w:pPr>
        <w:jc w:val="right"/>
        <w:rPr>
          <w:rFonts w:cs="仿宋" w:asciiTheme="minorEastAsia" w:hAnsiTheme="minorEastAsia" w:eastAsiaTheme="minorEastAsia"/>
        </w:rPr>
      </w:pP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年</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 xml:space="preserve">月 </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日</w:t>
      </w:r>
    </w:p>
    <w:p>
      <w:pPr>
        <w:jc w:val="left"/>
        <w:rPr>
          <w:rFonts w:cs="仿宋" w:asciiTheme="minorEastAsia" w:hAnsiTheme="minorEastAsia" w:eastAsiaTheme="minorEastAsia"/>
        </w:rPr>
      </w:pPr>
    </w:p>
    <w:p>
      <w:pPr>
        <w:spacing w:line="440" w:lineRule="exact"/>
        <w:jc w:val="left"/>
        <w:rPr>
          <w:rFonts w:cs="仿宋" w:asciiTheme="minorEastAsia" w:hAnsiTheme="minorEastAsia" w:eastAsiaTheme="minorEastAsia"/>
        </w:rPr>
      </w:pPr>
      <w:r>
        <w:rPr>
          <w:rFonts w:hint="eastAsia" w:cs="仿宋" w:asciiTheme="minorEastAsia" w:hAnsiTheme="minorEastAsia" w:eastAsiaTheme="minorEastAsia"/>
          <w:color w:val="FF0000"/>
        </w:rPr>
        <w:t>注：</w:t>
      </w:r>
      <w:r>
        <w:rPr>
          <w:rFonts w:hint="eastAsia" w:cs="仿宋" w:asciiTheme="minorEastAsia" w:hAnsiTheme="minorEastAsia" w:eastAsiaTheme="minorEastAsia"/>
        </w:rPr>
        <w:t>1、价格应按“招标文件”中规定的货币单位填写</w:t>
      </w:r>
      <w:r>
        <w:rPr>
          <w:rFonts w:hint="eastAsia" w:ascii="宋体" w:hAnsi="宋体"/>
          <w:bCs/>
        </w:rPr>
        <w:t>，允许仅填报小写金额</w:t>
      </w:r>
      <w:r>
        <w:rPr>
          <w:rFonts w:hint="eastAsia" w:cs="仿宋" w:asciiTheme="minorEastAsia" w:hAnsiTheme="minorEastAsia" w:eastAsiaTheme="minorEastAsia"/>
        </w:rPr>
        <w:t>。</w:t>
      </w:r>
    </w:p>
    <w:p>
      <w:pPr>
        <w:spacing w:line="440" w:lineRule="exact"/>
        <w:ind w:firstLine="422" w:firstLineChars="200"/>
        <w:rPr>
          <w:rFonts w:cs="仿宋" w:asciiTheme="minorEastAsia" w:hAnsiTheme="minorEastAsia" w:eastAsiaTheme="minorEastAsia"/>
          <w:b/>
          <w:bCs/>
          <w:color w:val="FF0000"/>
          <w:highlight w:val="yellow"/>
        </w:rPr>
      </w:pPr>
      <w:r>
        <w:rPr>
          <w:rFonts w:hint="eastAsia" w:cs="仿宋" w:asciiTheme="minorEastAsia" w:hAnsiTheme="minorEastAsia" w:eastAsiaTheme="minorEastAsia"/>
          <w:b/>
          <w:bCs/>
          <w:color w:val="FF0000"/>
          <w:highlight w:val="yellow"/>
        </w:rPr>
        <w:t>2、本项目</w:t>
      </w:r>
      <w:r>
        <w:rPr>
          <w:rFonts w:hint="eastAsia" w:ascii="宋体" w:hAnsi="宋体" w:cs="宋体"/>
          <w:b/>
          <w:bCs/>
          <w:color w:val="FF0000"/>
          <w:highlight w:val="yellow"/>
        </w:rPr>
        <w:t>投标报价为综合单价报价，综合单价上限为200元/人，</w:t>
      </w:r>
      <w:r>
        <w:rPr>
          <w:rFonts w:hint="eastAsia" w:ascii="宋体" w:hAnsi="宋体" w:cs="宋体"/>
          <w:b/>
          <w:bCs/>
          <w:color w:val="FF0000"/>
          <w:szCs w:val="21"/>
          <w:highlight w:val="yellow"/>
        </w:rPr>
        <w:t>超过综合单价上限的报价均将按无效投标处理</w:t>
      </w:r>
      <w:r>
        <w:rPr>
          <w:rFonts w:hint="eastAsia" w:ascii="宋体" w:hAnsi="宋体" w:cs="宋体"/>
          <w:b/>
          <w:bCs/>
          <w:color w:val="FF0000"/>
          <w:highlight w:val="yellow"/>
        </w:rPr>
        <w:t>。</w:t>
      </w:r>
    </w:p>
    <w:p>
      <w:pPr>
        <w:spacing w:line="440" w:lineRule="exact"/>
        <w:ind w:firstLine="420" w:firstLineChars="200"/>
        <w:rPr>
          <w:rFonts w:cs="仿宋" w:asciiTheme="minorEastAsia" w:hAnsiTheme="minorEastAsia" w:eastAsiaTheme="minorEastAsia"/>
        </w:rPr>
      </w:pPr>
      <w:r>
        <w:rPr>
          <w:rFonts w:hint="eastAsia" w:cs="仿宋" w:asciiTheme="minorEastAsia" w:hAnsiTheme="minorEastAsia" w:eastAsiaTheme="minorEastAsia"/>
        </w:rPr>
        <w:t>3、根据《中华人民共和国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440" w:lineRule="exact"/>
        <w:ind w:firstLine="420" w:firstLineChars="200"/>
        <w:rPr>
          <w:rFonts w:cs="仿宋" w:asciiTheme="minorEastAsia" w:hAnsiTheme="minorEastAsia" w:eastAsiaTheme="minorEastAsia"/>
        </w:rPr>
      </w:pPr>
      <w:r>
        <w:rPr>
          <w:rFonts w:hint="eastAsia" w:cs="仿宋" w:asciiTheme="minorEastAsia" w:hAnsiTheme="minorEastAsia" w:eastAsiaTheme="minorEastAsia"/>
        </w:rPr>
        <w:t>4、此表应经法定代表人或其授权委托人签名，并加盖投标人公章。</w:t>
      </w:r>
    </w:p>
    <w:p>
      <w:pPr>
        <w:spacing w:line="440" w:lineRule="exact"/>
        <w:ind w:firstLine="482" w:firstLineChars="200"/>
        <w:rPr>
          <w:rFonts w:cs="仿宋" w:asciiTheme="minorEastAsia" w:hAnsiTheme="minorEastAsia" w:eastAsiaTheme="minorEastAsia"/>
          <w:b/>
          <w:bCs/>
          <w:sz w:val="24"/>
          <w:szCs w:val="24"/>
        </w:rPr>
      </w:pPr>
      <w:r>
        <w:rPr>
          <w:rFonts w:hint="eastAsia" w:cs="仿宋" w:asciiTheme="minorEastAsia" w:hAnsiTheme="minorEastAsia" w:eastAsiaTheme="minorEastAsia"/>
          <w:b/>
          <w:bCs/>
          <w:sz w:val="24"/>
          <w:szCs w:val="24"/>
        </w:rPr>
        <w:t>5、</w:t>
      </w:r>
      <w:r>
        <w:rPr>
          <w:rFonts w:cs="仿宋" w:asciiTheme="minorEastAsia" w:hAnsiTheme="minorEastAsia" w:eastAsiaTheme="minorEastAsia"/>
          <w:b/>
          <w:bCs/>
          <w:sz w:val="24"/>
          <w:szCs w:val="24"/>
        </w:rPr>
        <w:t>此表毋需装订于正副本内，应按“</w:t>
      </w:r>
      <w:r>
        <w:rPr>
          <w:rFonts w:hint="eastAsia" w:cs="仿宋" w:asciiTheme="minorEastAsia" w:hAnsiTheme="minorEastAsia" w:eastAsiaTheme="minorEastAsia"/>
          <w:b/>
          <w:bCs/>
          <w:sz w:val="24"/>
          <w:szCs w:val="24"/>
        </w:rPr>
        <w:t>投标须知”</w:t>
      </w:r>
      <w:r>
        <w:rPr>
          <w:rFonts w:cs="仿宋" w:asciiTheme="minorEastAsia" w:hAnsiTheme="minorEastAsia" w:eastAsiaTheme="minorEastAsia"/>
          <w:b/>
          <w:bCs/>
          <w:sz w:val="24"/>
          <w:szCs w:val="24"/>
        </w:rPr>
        <w:t>18.5项要求，与“法定代表人（负责人）证明书、法定代表人（负责人）授权委托书”一起单独密封提交</w:t>
      </w:r>
      <w:r>
        <w:rPr>
          <w:rFonts w:hint="eastAsia" w:cs="仿宋" w:asciiTheme="minorEastAsia" w:hAnsiTheme="minorEastAsia" w:eastAsiaTheme="minorEastAsia"/>
          <w:b/>
          <w:bCs/>
          <w:sz w:val="24"/>
          <w:szCs w:val="24"/>
        </w:rPr>
        <w:t>。</w:t>
      </w:r>
    </w:p>
    <w:p>
      <w:pPr>
        <w:jc w:val="left"/>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br w:type="page"/>
      </w:r>
    </w:p>
    <w:p>
      <w:pPr>
        <w:jc w:val="center"/>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格式5  报价表</w:t>
      </w:r>
    </w:p>
    <w:p>
      <w:pPr>
        <w:rPr>
          <w:rFonts w:cs="仿宋" w:asciiTheme="minorEastAsia" w:hAnsiTheme="minorEastAsia" w:eastAsiaTheme="minorEastAsia"/>
        </w:rPr>
      </w:pPr>
    </w:p>
    <w:p>
      <w:pPr>
        <w:spacing w:line="300" w:lineRule="auto"/>
        <w:rPr>
          <w:rFonts w:ascii="楷体_GB2312" w:eastAsia="楷体_GB2312"/>
          <w:b/>
          <w:sz w:val="24"/>
        </w:rPr>
      </w:pPr>
      <w:r>
        <w:rPr>
          <w:rFonts w:hint="eastAsia" w:ascii="楷体_GB2312" w:eastAsia="楷体_GB2312"/>
          <w:b/>
          <w:sz w:val="24"/>
        </w:rPr>
        <w:t>1   报价要求</w:t>
      </w:r>
    </w:p>
    <w:p>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  所有价格应按“招标文件”中规定的货币单位填写。</w:t>
      </w:r>
    </w:p>
    <w:p>
      <w:pPr>
        <w:spacing w:line="300" w:lineRule="auto"/>
        <w:rPr>
          <w:rFonts w:asciiTheme="minorEastAsia" w:hAnsiTheme="minorEastAsia" w:eastAsiaTheme="minorEastAsia"/>
          <w:b/>
          <w:bCs/>
          <w:snapToGrid w:val="0"/>
          <w:color w:val="FF0000"/>
          <w:kern w:val="0"/>
          <w:highlight w:val="yellow"/>
        </w:rPr>
      </w:pPr>
      <w:r>
        <w:rPr>
          <w:rFonts w:hint="eastAsia" w:asciiTheme="minorEastAsia" w:hAnsiTheme="minorEastAsia" w:eastAsiaTheme="minorEastAsia"/>
          <w:snapToGrid w:val="0"/>
          <w:kern w:val="0"/>
        </w:rPr>
        <w:t xml:space="preserve">1.2  </w:t>
      </w:r>
      <w:r>
        <w:rPr>
          <w:rFonts w:hint="eastAsia" w:cs="仿宋" w:asciiTheme="minorEastAsia" w:hAnsiTheme="minorEastAsia" w:eastAsiaTheme="minorEastAsia"/>
          <w:b/>
          <w:bCs/>
          <w:color w:val="FF0000"/>
          <w:highlight w:val="yellow"/>
        </w:rPr>
        <w:t>本项目</w:t>
      </w:r>
      <w:r>
        <w:rPr>
          <w:rFonts w:hint="eastAsia" w:ascii="宋体" w:hAnsi="宋体" w:cs="宋体"/>
          <w:b/>
          <w:bCs/>
          <w:color w:val="FF0000"/>
          <w:highlight w:val="yellow"/>
        </w:rPr>
        <w:t>投标报价为综合单价报价，综合单价上限为200元/人，</w:t>
      </w:r>
      <w:r>
        <w:rPr>
          <w:rFonts w:hint="eastAsia" w:ascii="宋体" w:hAnsi="宋体" w:cs="宋体"/>
          <w:b/>
          <w:bCs/>
          <w:color w:val="FF0000"/>
          <w:szCs w:val="21"/>
          <w:highlight w:val="yellow"/>
        </w:rPr>
        <w:t>超过综合单价上限的报价均将按无效投标处理</w:t>
      </w:r>
      <w:r>
        <w:rPr>
          <w:rFonts w:hint="eastAsia" w:asciiTheme="minorEastAsia" w:hAnsiTheme="minorEastAsia" w:eastAsiaTheme="minorEastAsia"/>
          <w:b/>
          <w:bCs/>
          <w:snapToGrid w:val="0"/>
          <w:color w:val="FF0000"/>
          <w:kern w:val="0"/>
          <w:highlight w:val="yellow"/>
        </w:rPr>
        <w:t>。</w:t>
      </w:r>
    </w:p>
    <w:p>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1.3  此表应经法定代表人或授权委托人签名，并加盖公章。</w:t>
      </w:r>
    </w:p>
    <w:p>
      <w:pPr>
        <w:adjustRightInd w:val="0"/>
        <w:snapToGrid w:val="0"/>
        <w:spacing w:line="300" w:lineRule="auto"/>
        <w:rPr>
          <w:snapToGrid w:val="0"/>
          <w:kern w:val="0"/>
        </w:rPr>
      </w:pPr>
    </w:p>
    <w:p>
      <w:pPr>
        <w:spacing w:line="300" w:lineRule="auto"/>
        <w:rPr>
          <w:rFonts w:eastAsia="楷体_GB2312"/>
          <w:b/>
          <w:sz w:val="24"/>
        </w:rPr>
      </w:pPr>
      <w:r>
        <w:rPr>
          <w:rFonts w:hint="eastAsia" w:eastAsia="楷体_GB2312"/>
          <w:b/>
          <w:sz w:val="24"/>
        </w:rPr>
        <w:t>2   报价表</w:t>
      </w:r>
    </w:p>
    <w:tbl>
      <w:tblPr>
        <w:tblStyle w:val="23"/>
        <w:tblW w:w="9605"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3588"/>
        <w:gridCol w:w="2664"/>
        <w:gridCol w:w="237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977" w:type="dxa"/>
            <w:vAlign w:val="center"/>
          </w:tcPr>
          <w:p>
            <w:pPr>
              <w:adjustRightInd w:val="0"/>
              <w:snapToGrid w:val="0"/>
              <w:spacing w:line="300" w:lineRule="auto"/>
              <w:jc w:val="center"/>
              <w:rPr>
                <w:b/>
                <w:snapToGrid w:val="0"/>
                <w:kern w:val="0"/>
              </w:rPr>
            </w:pPr>
            <w:r>
              <w:rPr>
                <w:b/>
                <w:snapToGrid w:val="0"/>
                <w:kern w:val="0"/>
              </w:rPr>
              <w:t>序号</w:t>
            </w:r>
          </w:p>
        </w:tc>
        <w:tc>
          <w:tcPr>
            <w:tcW w:w="3588" w:type="dxa"/>
            <w:vAlign w:val="center"/>
          </w:tcPr>
          <w:p>
            <w:pPr>
              <w:adjustRightInd w:val="0"/>
              <w:snapToGrid w:val="0"/>
              <w:spacing w:line="300" w:lineRule="auto"/>
              <w:jc w:val="center"/>
              <w:rPr>
                <w:b/>
                <w:snapToGrid w:val="0"/>
                <w:kern w:val="0"/>
              </w:rPr>
            </w:pPr>
            <w:r>
              <w:rPr>
                <w:rFonts w:hint="eastAsia"/>
                <w:b/>
                <w:snapToGrid w:val="0"/>
                <w:kern w:val="0"/>
              </w:rPr>
              <w:t>项目内容</w:t>
            </w:r>
          </w:p>
        </w:tc>
        <w:tc>
          <w:tcPr>
            <w:tcW w:w="2664" w:type="dxa"/>
            <w:vAlign w:val="center"/>
          </w:tcPr>
          <w:p>
            <w:pPr>
              <w:adjustRightInd w:val="0"/>
              <w:snapToGrid w:val="0"/>
              <w:spacing w:line="300" w:lineRule="auto"/>
              <w:jc w:val="center"/>
              <w:rPr>
                <w:b/>
                <w:snapToGrid w:val="0"/>
                <w:kern w:val="0"/>
              </w:rPr>
            </w:pPr>
            <w:r>
              <w:rPr>
                <w:rFonts w:hint="eastAsia"/>
                <w:b/>
                <w:snapToGrid w:val="0"/>
                <w:kern w:val="0"/>
              </w:rPr>
              <w:t>费用</w:t>
            </w:r>
            <w:r>
              <w:rPr>
                <w:b/>
                <w:snapToGrid w:val="0"/>
                <w:kern w:val="0"/>
              </w:rPr>
              <w:t>（单位：</w:t>
            </w:r>
            <w:r>
              <w:rPr>
                <w:rFonts w:hint="eastAsia"/>
                <w:b/>
                <w:snapToGrid w:val="0"/>
                <w:kern w:val="0"/>
              </w:rPr>
              <w:t>人民币元/人</w:t>
            </w:r>
            <w:r>
              <w:rPr>
                <w:b/>
                <w:snapToGrid w:val="0"/>
                <w:kern w:val="0"/>
              </w:rPr>
              <w:t>）</w:t>
            </w:r>
          </w:p>
        </w:tc>
        <w:tc>
          <w:tcPr>
            <w:tcW w:w="2376" w:type="dxa"/>
            <w:vAlign w:val="center"/>
          </w:tcPr>
          <w:p>
            <w:pPr>
              <w:adjustRightInd w:val="0"/>
              <w:snapToGrid w:val="0"/>
              <w:spacing w:line="300" w:lineRule="auto"/>
              <w:jc w:val="center"/>
              <w:rPr>
                <w:b/>
                <w:snapToGrid w:val="0"/>
                <w:kern w:val="0"/>
              </w:rPr>
            </w:pPr>
            <w:r>
              <w:rPr>
                <w:rFonts w:hint="eastAsia"/>
                <w:b/>
                <w:snapToGrid w:val="0"/>
                <w:kern w:val="0"/>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977" w:type="dxa"/>
            <w:vAlign w:val="center"/>
          </w:tcPr>
          <w:p>
            <w:pPr>
              <w:adjustRightInd w:val="0"/>
              <w:snapToGrid w:val="0"/>
              <w:spacing w:line="300" w:lineRule="auto"/>
              <w:jc w:val="center"/>
              <w:rPr>
                <w:rFonts w:ascii="宋体" w:hAnsi="宋体"/>
                <w:snapToGrid w:val="0"/>
                <w:kern w:val="0"/>
              </w:rPr>
            </w:pPr>
            <w:r>
              <w:rPr>
                <w:rFonts w:ascii="宋体" w:hAnsi="宋体"/>
                <w:snapToGrid w:val="0"/>
                <w:kern w:val="0"/>
              </w:rPr>
              <w:t>1</w:t>
            </w:r>
          </w:p>
        </w:tc>
        <w:tc>
          <w:tcPr>
            <w:tcW w:w="3588" w:type="dxa"/>
            <w:vAlign w:val="center"/>
          </w:tcPr>
          <w:p>
            <w:pPr>
              <w:adjustRightInd w:val="0"/>
              <w:snapToGrid w:val="0"/>
              <w:spacing w:line="300" w:lineRule="auto"/>
              <w:jc w:val="center"/>
              <w:rPr>
                <w:rFonts w:ascii="宋体" w:hAnsi="宋体"/>
                <w:snapToGrid w:val="0"/>
                <w:kern w:val="0"/>
              </w:rPr>
            </w:pPr>
            <w:r>
              <w:rPr>
                <w:rFonts w:hint="eastAsia" w:ascii="宋体" w:hAnsi="宋体" w:cs="宋体"/>
              </w:rPr>
              <w:t>综合单价</w:t>
            </w:r>
          </w:p>
        </w:tc>
        <w:tc>
          <w:tcPr>
            <w:tcW w:w="2664" w:type="dxa"/>
            <w:vAlign w:val="center"/>
          </w:tcPr>
          <w:p>
            <w:pPr>
              <w:adjustRightInd w:val="0"/>
              <w:snapToGrid w:val="0"/>
              <w:spacing w:line="300" w:lineRule="auto"/>
              <w:jc w:val="center"/>
              <w:rPr>
                <w:snapToGrid w:val="0"/>
                <w:kern w:val="0"/>
              </w:rPr>
            </w:pPr>
          </w:p>
        </w:tc>
        <w:tc>
          <w:tcPr>
            <w:tcW w:w="2376" w:type="dxa"/>
            <w:vAlign w:val="center"/>
          </w:tcPr>
          <w:p>
            <w:pPr>
              <w:adjustRightInd w:val="0"/>
              <w:snapToGrid w:val="0"/>
              <w:spacing w:line="300" w:lineRule="auto"/>
              <w:jc w:val="center"/>
              <w:rPr>
                <w:snapToGrid w:val="0"/>
                <w:kern w:val="0"/>
              </w:rPr>
            </w:pPr>
          </w:p>
        </w:tc>
      </w:tr>
    </w:tbl>
    <w:p>
      <w:pPr>
        <w:pStyle w:val="2"/>
        <w:ind w:left="0" w:leftChars="0" w:firstLine="0" w:firstLineChars="0"/>
      </w:pPr>
    </w:p>
    <w:p>
      <w:pPr>
        <w:adjustRightInd w:val="0"/>
        <w:snapToGrid w:val="0"/>
        <w:spacing w:line="300" w:lineRule="auto"/>
        <w:rPr>
          <w:snapToGrid w:val="0"/>
          <w:kern w:val="0"/>
        </w:rPr>
      </w:pPr>
    </w:p>
    <w:p>
      <w:pPr>
        <w:spacing w:beforeLines="50" w:afterLines="50"/>
        <w:rPr>
          <w:rFonts w:ascii="宋体" w:hAnsi="宋体"/>
          <w:szCs w:val="21"/>
        </w:rPr>
      </w:pPr>
      <w:r>
        <w:rPr>
          <w:rFonts w:hint="eastAsia" w:ascii="宋体" w:hAnsi="宋体"/>
          <w:szCs w:val="21"/>
        </w:rPr>
        <w:t>备注：1、</w:t>
      </w:r>
      <w:r>
        <w:rPr>
          <w:rFonts w:hint="eastAsia" w:ascii="宋体" w:hAnsi="宋体"/>
          <w:bCs/>
          <w:szCs w:val="21"/>
        </w:rPr>
        <w:t>本表格仅为指导性范本，供应商可根据项目具体情况对各分项内容进行调整。</w:t>
      </w:r>
    </w:p>
    <w:p>
      <w:pPr>
        <w:adjustRightInd w:val="0"/>
        <w:spacing w:beforeLines="50" w:afterLines="50"/>
        <w:jc w:val="left"/>
        <w:rPr>
          <w:snapToGrid w:val="0"/>
          <w:kern w:val="0"/>
          <w:szCs w:val="21"/>
        </w:rPr>
      </w:pPr>
      <w:r>
        <w:rPr>
          <w:rFonts w:hint="eastAsia" w:ascii="宋体" w:hAnsi="宋体"/>
          <w:szCs w:val="21"/>
        </w:rPr>
        <w:t xml:space="preserve">      2、</w:t>
      </w:r>
      <w:r>
        <w:rPr>
          <w:rFonts w:hint="eastAsia" w:asciiTheme="minorEastAsia" w:hAnsiTheme="minorEastAsia" w:eastAsiaTheme="minorEastAsia"/>
        </w:rPr>
        <w:t>开标一览表中的投标</w:t>
      </w:r>
      <w:r>
        <w:rPr>
          <w:rFonts w:hint="eastAsia"/>
          <w:snapToGrid w:val="0"/>
          <w:kern w:val="0"/>
        </w:rPr>
        <w:t>报</w:t>
      </w:r>
      <w:r>
        <w:rPr>
          <w:rFonts w:hint="eastAsia" w:asciiTheme="minorEastAsia" w:hAnsiTheme="minorEastAsia" w:eastAsiaTheme="minorEastAsia"/>
        </w:rPr>
        <w:t>价应与本表中的报价金额一致</w:t>
      </w:r>
      <w:r>
        <w:rPr>
          <w:rFonts w:hint="eastAsia" w:ascii="宋体" w:hAnsi="宋体"/>
          <w:szCs w:val="21"/>
        </w:rPr>
        <w:t>。</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法定代表人或其授权代表：（签字或盖章）</w:t>
      </w:r>
    </w:p>
    <w:p>
      <w:pPr>
        <w:adjustRightInd w:val="0"/>
        <w:snapToGrid w:val="0"/>
        <w:spacing w:line="300" w:lineRule="auto"/>
        <w:rPr>
          <w:snapToGrid w:val="0"/>
          <w:kern w:val="0"/>
        </w:rPr>
      </w:pPr>
    </w:p>
    <w:p>
      <w:pPr>
        <w:wordWrap w:val="0"/>
        <w:adjustRightInd w:val="0"/>
        <w:snapToGrid w:val="0"/>
        <w:spacing w:line="300" w:lineRule="auto"/>
        <w:jc w:val="right"/>
        <w:rPr>
          <w:snapToGrid w:val="0"/>
          <w:kern w:val="0"/>
        </w:rPr>
      </w:pPr>
      <w:r>
        <w:rPr>
          <w:rFonts w:hint="eastAsia"/>
          <w:snapToGrid w:val="0"/>
          <w:kern w:val="0"/>
        </w:rPr>
        <w:t>年    月   日</w:t>
      </w:r>
    </w:p>
    <w:p>
      <w:pPr>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br w:type="page"/>
      </w:r>
    </w:p>
    <w:p>
      <w:pPr>
        <w:jc w:val="center"/>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格式6   服务方案</w:t>
      </w:r>
    </w:p>
    <w:p>
      <w:pPr>
        <w:rPr>
          <w:rFonts w:cs="仿宋" w:asciiTheme="minorEastAsia" w:hAnsiTheme="minorEastAsia" w:eastAsiaTheme="minorEastAsia"/>
          <w:highlight w:val="yellow"/>
        </w:rPr>
      </w:pPr>
    </w:p>
    <w:p>
      <w:pPr>
        <w:spacing w:line="400" w:lineRule="exact"/>
        <w:ind w:firstLine="422" w:firstLineChars="200"/>
        <w:rPr>
          <w:rFonts w:ascii="宋体" w:hAnsi="宋体"/>
          <w:b/>
          <w:szCs w:val="21"/>
        </w:rPr>
      </w:pPr>
      <w:r>
        <w:rPr>
          <w:rFonts w:hint="eastAsia" w:ascii="宋体" w:hAnsi="宋体"/>
          <w:b/>
          <w:szCs w:val="21"/>
        </w:rPr>
        <w:t>本部分内容是投标人根据项目需求对其投标服务方案的详细描述，主要包括服务方案及拟投入本项目的人员配置等，投标单位自主编写，但应包含下列内容：</w:t>
      </w:r>
    </w:p>
    <w:p>
      <w:pPr>
        <w:spacing w:line="400" w:lineRule="exact"/>
        <w:ind w:firstLine="420" w:firstLineChars="200"/>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1、</w:t>
      </w:r>
      <w:r>
        <w:rPr>
          <w:rFonts w:hint="eastAsia" w:ascii="宋体" w:hAnsi="宋体" w:cs="宋体"/>
          <w:szCs w:val="21"/>
        </w:rPr>
        <w:t>实施方案</w:t>
      </w:r>
    </w:p>
    <w:p>
      <w:pPr>
        <w:spacing w:line="360" w:lineRule="auto"/>
        <w:ind w:firstLine="420" w:firstLineChars="200"/>
        <w:rPr>
          <w:rFonts w:ascii="宋体" w:hAnsi="宋体" w:cs="宋体"/>
          <w:szCs w:val="21"/>
        </w:rPr>
      </w:pPr>
      <w:r>
        <w:rPr>
          <w:rFonts w:hint="eastAsia" w:ascii="宋体" w:hAnsi="宋体"/>
          <w:szCs w:val="21"/>
        </w:rPr>
        <w:t>2、项目重点难点分析、应对措施及相关的合理化建议</w:t>
      </w:r>
    </w:p>
    <w:p>
      <w:pPr>
        <w:spacing w:line="360" w:lineRule="auto"/>
        <w:ind w:firstLine="420" w:firstLineChars="200"/>
        <w:rPr>
          <w:rFonts w:hint="eastAsia" w:ascii="宋体" w:hAnsi="宋体" w:cs="宋体"/>
          <w:szCs w:val="21"/>
        </w:rPr>
      </w:pPr>
      <w:r>
        <w:rPr>
          <w:rFonts w:hint="eastAsia" w:ascii="宋体" w:hAnsi="宋体" w:cs="宋体"/>
          <w:szCs w:val="21"/>
        </w:rPr>
        <w:t>3、</w:t>
      </w:r>
      <w:r>
        <w:rPr>
          <w:rFonts w:hint="eastAsia" w:ascii="宋体" w:hAnsi="宋体"/>
          <w:szCs w:val="21"/>
        </w:rPr>
        <w:t>保险方案响应及优化情况</w:t>
      </w:r>
    </w:p>
    <w:p>
      <w:pPr>
        <w:spacing w:line="360" w:lineRule="auto"/>
        <w:ind w:firstLine="420" w:firstLineChars="200"/>
        <w:rPr>
          <w:rFonts w:ascii="宋体" w:hAnsi="宋体" w:cs="宋体"/>
          <w:szCs w:val="21"/>
        </w:rPr>
      </w:pPr>
      <w:r>
        <w:rPr>
          <w:rFonts w:hint="eastAsia" w:ascii="宋体" w:hAnsi="宋体" w:cs="宋体"/>
          <w:szCs w:val="21"/>
        </w:rPr>
        <w:t>4、违约承诺</w:t>
      </w:r>
    </w:p>
    <w:p>
      <w:pPr>
        <w:spacing w:line="360" w:lineRule="auto"/>
        <w:ind w:firstLine="420" w:firstLineChars="200"/>
        <w:rPr>
          <w:rFonts w:ascii="宋体" w:hAnsi="宋体" w:cs="宋体"/>
          <w:szCs w:val="21"/>
        </w:rPr>
      </w:pPr>
      <w:r>
        <w:rPr>
          <w:rFonts w:hint="eastAsia" w:ascii="宋体" w:hAnsi="宋体" w:cs="宋体"/>
          <w:szCs w:val="21"/>
        </w:rPr>
        <w:t>5、拟安排的项目负责人情况（仅限一人）</w:t>
      </w:r>
    </w:p>
    <w:p>
      <w:pPr>
        <w:spacing w:line="360" w:lineRule="auto"/>
        <w:ind w:firstLine="420" w:firstLineChars="200"/>
        <w:rPr>
          <w:rFonts w:ascii="宋体" w:hAnsi="宋体"/>
          <w:szCs w:val="21"/>
        </w:rPr>
      </w:pPr>
      <w:r>
        <w:rPr>
          <w:rFonts w:hint="eastAsia" w:ascii="宋体" w:hAnsi="宋体"/>
          <w:szCs w:val="21"/>
        </w:rPr>
        <w:t>6、拟安排的项目主要团队成员（主要技术人员）情况（项目负责人除外）</w:t>
      </w:r>
    </w:p>
    <w:p>
      <w:pPr>
        <w:spacing w:line="360" w:lineRule="auto"/>
        <w:ind w:left="420"/>
        <w:rPr>
          <w:rFonts w:ascii="宋体" w:hAnsi="宋体"/>
          <w:bCs/>
        </w:rPr>
      </w:pPr>
      <w:r>
        <w:rPr>
          <w:rFonts w:hint="eastAsia" w:ascii="宋体" w:hAnsi="宋体"/>
          <w:bCs/>
        </w:rPr>
        <w:t>7、投标人认为必要的其他方案</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投标人：（盖章）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法定代表人或其授权代表：（签字或盖章）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wordWrap w:val="0"/>
        <w:adjustRightInd w:val="0"/>
        <w:snapToGrid w:val="0"/>
        <w:spacing w:line="300" w:lineRule="auto"/>
        <w:jc w:val="right"/>
        <w:rPr>
          <w:snapToGrid w:val="0"/>
          <w:kern w:val="0"/>
        </w:rPr>
      </w:pPr>
      <w:r>
        <w:rPr>
          <w:rFonts w:hint="eastAsia"/>
          <w:snapToGrid w:val="0"/>
          <w:kern w:val="0"/>
        </w:rPr>
        <w:t>年    月   日</w:t>
      </w:r>
    </w:p>
    <w:p>
      <w:pPr>
        <w:adjustRightInd w:val="0"/>
        <w:snapToGrid w:val="0"/>
        <w:spacing w:line="300" w:lineRule="auto"/>
        <w:jc w:val="right"/>
        <w:rPr>
          <w:snapToGrid w:val="0"/>
          <w:kern w:val="0"/>
        </w:rPr>
      </w:pPr>
    </w:p>
    <w:p>
      <w:pPr>
        <w:rPr>
          <w:rFonts w:cs="仿宋" w:asciiTheme="minorEastAsia" w:hAnsiTheme="minorEastAsia" w:eastAsiaTheme="minorEastAsia"/>
          <w:highlight w:val="yellow"/>
        </w:rPr>
      </w:pPr>
    </w:p>
    <w:p>
      <w:pPr>
        <w:widowControl/>
        <w:jc w:val="left"/>
        <w:rPr>
          <w:rFonts w:cs="仿宋" w:asciiTheme="minorEastAsia" w:hAnsiTheme="minorEastAsia" w:eastAsiaTheme="minorEastAsia"/>
        </w:rPr>
      </w:pPr>
      <w:r>
        <w:rPr>
          <w:rFonts w:cs="仿宋" w:asciiTheme="minorEastAsia" w:hAnsiTheme="minorEastAsia" w:eastAsiaTheme="minorEastAsia"/>
        </w:rPr>
        <w:br w:type="page"/>
      </w:r>
    </w:p>
    <w:p>
      <w:pPr>
        <w:tabs>
          <w:tab w:val="left" w:pos="8248"/>
          <w:tab w:val="left" w:pos="9368"/>
        </w:tabs>
        <w:spacing w:line="360" w:lineRule="auto"/>
      </w:pPr>
      <w:r>
        <w:rPr>
          <w:rFonts w:hint="eastAsia"/>
        </w:rPr>
        <w:t>附表</w:t>
      </w:r>
      <w:r>
        <w:rPr>
          <w:rFonts w:hint="eastAsia"/>
          <w:lang w:val="en-US" w:eastAsia="zh-CN"/>
        </w:rPr>
        <w:t>1</w:t>
      </w:r>
      <w:r>
        <w:rPr>
          <w:rFonts w:hint="eastAsia"/>
        </w:rPr>
        <w:t>：</w:t>
      </w:r>
    </w:p>
    <w:p>
      <w:pPr>
        <w:pStyle w:val="54"/>
        <w:jc w:val="center"/>
        <w:rPr>
          <w:rFonts w:hint="eastAsia"/>
          <w:lang w:val="en-US" w:eastAsia="zh-CN"/>
        </w:rPr>
      </w:pPr>
      <w:r>
        <w:rPr>
          <w:rFonts w:hint="eastAsia" w:ascii="仿宋" w:hAnsi="仿宋" w:eastAsia="仿宋" w:cs="Times New Roman"/>
          <w:b/>
          <w:bCs w:val="0"/>
          <w:snapToGrid w:val="0"/>
          <w:spacing w:val="0"/>
          <w:kern w:val="2"/>
          <w:sz w:val="28"/>
          <w:szCs w:val="28"/>
        </w:rPr>
        <w:t>保险方案响应情况表</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188"/>
        <w:gridCol w:w="2527"/>
        <w:gridCol w:w="3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 w:type="pct"/>
            <w:vMerge w:val="restart"/>
            <w:noWrap w:val="0"/>
            <w:vAlign w:val="center"/>
          </w:tcPr>
          <w:p>
            <w:pPr>
              <w:widowControl/>
              <w:spacing w:line="240" w:lineRule="auto"/>
              <w:ind w:firstLine="0" w:firstLineChars="0"/>
              <w:jc w:val="center"/>
              <w:rPr>
                <w:rFonts w:hint="eastAsia" w:ascii="宋体" w:hAnsi="宋体" w:eastAsia="宋体" w:cs="Courier New"/>
                <w:b w:val="0"/>
                <w:snapToGrid w:val="0"/>
                <w:kern w:val="2"/>
                <w:sz w:val="21"/>
                <w:szCs w:val="21"/>
                <w:lang w:val="en-US" w:eastAsia="zh-CN" w:bidi="ar-SA"/>
              </w:rPr>
            </w:pPr>
            <w:r>
              <w:rPr>
                <w:rFonts w:hint="eastAsia" w:ascii="宋体" w:hAnsi="宋体" w:eastAsia="宋体" w:cs="Courier New"/>
                <w:b w:val="0"/>
                <w:snapToGrid w:val="0"/>
                <w:kern w:val="2"/>
                <w:sz w:val="21"/>
                <w:szCs w:val="21"/>
                <w:lang w:val="en-US" w:eastAsia="zh-CN" w:bidi="ar-SA"/>
              </w:rPr>
              <w:t>序号</w:t>
            </w:r>
          </w:p>
        </w:tc>
        <w:tc>
          <w:tcPr>
            <w:tcW w:w="2767" w:type="pct"/>
            <w:gridSpan w:val="2"/>
            <w:noWrap w:val="0"/>
            <w:vAlign w:val="center"/>
          </w:tcPr>
          <w:p>
            <w:pPr>
              <w:widowControl/>
              <w:spacing w:line="240" w:lineRule="auto"/>
              <w:ind w:firstLine="0" w:firstLineChars="0"/>
              <w:jc w:val="center"/>
              <w:rPr>
                <w:rFonts w:hint="eastAsia" w:ascii="宋体" w:hAnsi="宋体" w:eastAsia="宋体" w:cs="Courier New"/>
                <w:b w:val="0"/>
                <w:snapToGrid w:val="0"/>
                <w:kern w:val="2"/>
                <w:sz w:val="21"/>
                <w:szCs w:val="21"/>
                <w:lang w:val="en-US" w:eastAsia="zh-CN" w:bidi="ar-SA"/>
              </w:rPr>
            </w:pPr>
            <w:r>
              <w:rPr>
                <w:rFonts w:hint="eastAsia" w:ascii="宋体" w:hAnsi="宋体" w:eastAsia="宋体" w:cs="Courier New"/>
                <w:b w:val="0"/>
                <w:snapToGrid w:val="0"/>
                <w:kern w:val="2"/>
                <w:sz w:val="21"/>
                <w:szCs w:val="21"/>
                <w:lang w:val="en-US" w:eastAsia="zh-CN" w:bidi="ar-SA"/>
              </w:rPr>
              <w:t>招标保险方案</w:t>
            </w:r>
          </w:p>
        </w:tc>
        <w:tc>
          <w:tcPr>
            <w:tcW w:w="1819" w:type="pct"/>
            <w:vMerge w:val="restart"/>
            <w:noWrap w:val="0"/>
            <w:vAlign w:val="center"/>
          </w:tcPr>
          <w:p>
            <w:pPr>
              <w:widowControl/>
              <w:spacing w:line="240" w:lineRule="auto"/>
              <w:ind w:firstLine="0" w:firstLineChars="0"/>
              <w:jc w:val="center"/>
              <w:rPr>
                <w:rFonts w:hint="eastAsia" w:ascii="宋体" w:hAnsi="宋体" w:eastAsia="宋体" w:cs="Courier New"/>
                <w:b w:val="0"/>
                <w:snapToGrid w:val="0"/>
                <w:kern w:val="2"/>
                <w:sz w:val="21"/>
                <w:szCs w:val="21"/>
                <w:lang w:val="en-US" w:eastAsia="zh-CN" w:bidi="ar-SA"/>
              </w:rPr>
            </w:pPr>
            <w:r>
              <w:rPr>
                <w:rFonts w:hint="eastAsia" w:ascii="宋体" w:hAnsi="宋体" w:eastAsia="宋体" w:cs="Courier New"/>
                <w:b w:val="0"/>
                <w:snapToGrid w:val="0"/>
                <w:kern w:val="2"/>
                <w:sz w:val="21"/>
                <w:szCs w:val="21"/>
                <w:lang w:val="en-US" w:eastAsia="zh-CN" w:bidi="ar-SA"/>
              </w:rPr>
              <w:t>投标保险方案响应情况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 w:type="pct"/>
            <w:vMerge w:val="continue"/>
            <w:noWrap w:val="0"/>
            <w:vAlign w:val="center"/>
          </w:tcPr>
          <w:p>
            <w:pPr>
              <w:widowControl w:val="0"/>
              <w:spacing w:line="360" w:lineRule="exact"/>
              <w:ind w:firstLine="0" w:firstLineChars="0"/>
              <w:jc w:val="center"/>
              <w:rPr>
                <w:rFonts w:ascii="宋体" w:hAnsi="宋体" w:eastAsia="宋体" w:cs="Times New Roman"/>
                <w:b/>
                <w:kern w:val="2"/>
                <w:sz w:val="20"/>
                <w:szCs w:val="20"/>
                <w:lang w:val="en-US" w:eastAsia="zh-CN" w:bidi="ar-SA"/>
              </w:rPr>
            </w:pPr>
          </w:p>
        </w:tc>
        <w:tc>
          <w:tcPr>
            <w:tcW w:w="1284" w:type="pct"/>
            <w:noWrap w:val="0"/>
            <w:vAlign w:val="center"/>
          </w:tcPr>
          <w:p>
            <w:pPr>
              <w:widowControl/>
              <w:spacing w:line="240" w:lineRule="auto"/>
              <w:ind w:firstLine="0" w:firstLineChars="0"/>
              <w:jc w:val="center"/>
              <w:rPr>
                <w:rFonts w:hint="eastAsia" w:ascii="宋体" w:hAnsi="宋体" w:eastAsia="宋体" w:cs="Courier New"/>
                <w:b w:val="0"/>
                <w:snapToGrid w:val="0"/>
                <w:kern w:val="2"/>
                <w:sz w:val="21"/>
                <w:szCs w:val="21"/>
                <w:lang w:val="en-US" w:eastAsia="zh-CN" w:bidi="ar-SA"/>
              </w:rPr>
            </w:pPr>
            <w:r>
              <w:rPr>
                <w:rFonts w:hint="eastAsia" w:ascii="宋体" w:hAnsi="宋体" w:eastAsia="宋体" w:cs="Courier New"/>
                <w:b w:val="0"/>
                <w:snapToGrid w:val="0"/>
                <w:kern w:val="2"/>
                <w:sz w:val="21"/>
                <w:szCs w:val="21"/>
                <w:lang w:val="en-US" w:eastAsia="zh-CN" w:bidi="ar-SA"/>
              </w:rPr>
              <w:t>条目</w:t>
            </w:r>
          </w:p>
        </w:tc>
        <w:tc>
          <w:tcPr>
            <w:tcW w:w="1483" w:type="pct"/>
            <w:noWrap w:val="0"/>
            <w:vAlign w:val="center"/>
          </w:tcPr>
          <w:p>
            <w:pPr>
              <w:widowControl/>
              <w:spacing w:line="240" w:lineRule="auto"/>
              <w:ind w:firstLine="0" w:firstLineChars="0"/>
              <w:jc w:val="center"/>
              <w:rPr>
                <w:rFonts w:hint="eastAsia" w:ascii="宋体" w:hAnsi="宋体" w:eastAsia="宋体" w:cs="Courier New"/>
                <w:b w:val="0"/>
                <w:snapToGrid w:val="0"/>
                <w:kern w:val="2"/>
                <w:sz w:val="21"/>
                <w:szCs w:val="21"/>
                <w:lang w:val="en-US" w:eastAsia="zh-CN" w:bidi="ar-SA"/>
              </w:rPr>
            </w:pPr>
            <w:r>
              <w:rPr>
                <w:rFonts w:hint="eastAsia" w:ascii="宋体" w:hAnsi="宋体" w:eastAsia="宋体" w:cs="Courier New"/>
                <w:b w:val="0"/>
                <w:snapToGrid w:val="0"/>
                <w:kern w:val="2"/>
                <w:sz w:val="21"/>
                <w:szCs w:val="21"/>
                <w:lang w:val="en-US" w:eastAsia="zh-CN" w:bidi="ar-SA"/>
              </w:rPr>
              <w:t>内容</w:t>
            </w:r>
          </w:p>
        </w:tc>
        <w:tc>
          <w:tcPr>
            <w:tcW w:w="1819" w:type="pct"/>
            <w:vMerge w:val="continue"/>
            <w:noWrap w:val="0"/>
            <w:vAlign w:val="center"/>
          </w:tcPr>
          <w:p>
            <w:pPr>
              <w:widowControl w:val="0"/>
              <w:spacing w:line="360" w:lineRule="exact"/>
              <w:ind w:firstLine="0" w:firstLineChars="0"/>
              <w:jc w:val="center"/>
              <w:rPr>
                <w:rFonts w:ascii="宋体" w:hAnsi="宋体" w:eastAsia="宋体" w:cs="Times New Roman"/>
                <w:b/>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 w:type="pct"/>
            <w:noWrap w:val="0"/>
            <w:vAlign w:val="top"/>
          </w:tcPr>
          <w:p>
            <w:pPr>
              <w:widowControl w:val="0"/>
              <w:spacing w:line="360" w:lineRule="exact"/>
              <w:ind w:firstLine="0" w:firstLineChars="0"/>
              <w:jc w:val="left"/>
              <w:rPr>
                <w:rFonts w:hint="eastAsia" w:ascii="宋体" w:hAnsi="宋体" w:eastAsia="宋体" w:cs="Times New Roman"/>
                <w:b w:val="0"/>
                <w:bCs/>
                <w:kern w:val="2"/>
                <w:sz w:val="20"/>
                <w:szCs w:val="20"/>
                <w:lang w:val="en-US" w:eastAsia="zh-CN" w:bidi="ar-SA"/>
              </w:rPr>
            </w:pPr>
          </w:p>
        </w:tc>
        <w:tc>
          <w:tcPr>
            <w:tcW w:w="1284" w:type="pct"/>
            <w:noWrap w:val="0"/>
            <w:vAlign w:val="top"/>
          </w:tcPr>
          <w:p>
            <w:pPr>
              <w:widowControl w:val="0"/>
              <w:spacing w:line="360" w:lineRule="exact"/>
              <w:ind w:firstLine="0" w:firstLineChars="0"/>
              <w:jc w:val="left"/>
              <w:rPr>
                <w:rFonts w:hint="eastAsia" w:ascii="宋体" w:hAnsi="宋体" w:eastAsia="宋体" w:cs="Times New Roman"/>
                <w:b w:val="0"/>
                <w:bCs/>
                <w:kern w:val="2"/>
                <w:sz w:val="20"/>
                <w:szCs w:val="20"/>
                <w:lang w:val="en-US" w:eastAsia="zh-CN" w:bidi="ar-SA"/>
              </w:rPr>
            </w:pPr>
          </w:p>
        </w:tc>
        <w:tc>
          <w:tcPr>
            <w:tcW w:w="1483" w:type="pct"/>
            <w:noWrap w:val="0"/>
            <w:vAlign w:val="top"/>
          </w:tcPr>
          <w:p>
            <w:pPr>
              <w:widowControl w:val="0"/>
              <w:spacing w:line="360" w:lineRule="exact"/>
              <w:ind w:firstLine="0" w:firstLineChars="0"/>
              <w:jc w:val="left"/>
              <w:rPr>
                <w:rFonts w:hint="eastAsia" w:ascii="宋体" w:hAnsi="宋体" w:eastAsia="宋体" w:cs="Times New Roman"/>
                <w:b w:val="0"/>
                <w:bCs/>
                <w:kern w:val="2"/>
                <w:sz w:val="20"/>
                <w:szCs w:val="20"/>
                <w:lang w:val="en-US" w:eastAsia="zh-CN" w:bidi="ar-SA"/>
              </w:rPr>
            </w:pPr>
          </w:p>
        </w:tc>
        <w:tc>
          <w:tcPr>
            <w:tcW w:w="1819" w:type="pct"/>
            <w:noWrap w:val="0"/>
            <w:vAlign w:val="top"/>
          </w:tcPr>
          <w:p>
            <w:pPr>
              <w:widowControl w:val="0"/>
              <w:spacing w:line="360" w:lineRule="exact"/>
              <w:ind w:firstLine="0" w:firstLineChars="0"/>
              <w:jc w:val="left"/>
              <w:rPr>
                <w:rFonts w:hint="eastAsia" w:ascii="宋体" w:hAnsi="宋体" w:eastAsia="宋体" w:cs="Times New Roman"/>
                <w:b w:val="0"/>
                <w:bCs/>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 w:type="pct"/>
            <w:noWrap w:val="0"/>
            <w:vAlign w:val="top"/>
          </w:tcPr>
          <w:p>
            <w:pPr>
              <w:widowControl w:val="0"/>
              <w:spacing w:line="360" w:lineRule="exact"/>
              <w:ind w:firstLine="0" w:firstLineChars="0"/>
              <w:jc w:val="left"/>
              <w:rPr>
                <w:rFonts w:ascii="宋体" w:hAnsi="宋体" w:eastAsia="宋体" w:cs="Times New Roman"/>
                <w:b/>
                <w:kern w:val="2"/>
                <w:sz w:val="20"/>
                <w:szCs w:val="20"/>
                <w:lang w:val="en-US" w:eastAsia="zh-CN" w:bidi="ar-SA"/>
              </w:rPr>
            </w:pPr>
          </w:p>
        </w:tc>
        <w:tc>
          <w:tcPr>
            <w:tcW w:w="1284" w:type="pct"/>
            <w:noWrap w:val="0"/>
            <w:vAlign w:val="top"/>
          </w:tcPr>
          <w:p>
            <w:pPr>
              <w:widowControl w:val="0"/>
              <w:spacing w:line="360" w:lineRule="exact"/>
              <w:ind w:firstLine="0" w:firstLineChars="0"/>
              <w:jc w:val="left"/>
              <w:rPr>
                <w:rFonts w:ascii="宋体" w:hAnsi="宋体" w:eastAsia="宋体" w:cs="Times New Roman"/>
                <w:b/>
                <w:kern w:val="2"/>
                <w:sz w:val="20"/>
                <w:szCs w:val="20"/>
                <w:lang w:val="en-US" w:eastAsia="zh-CN" w:bidi="ar-SA"/>
              </w:rPr>
            </w:pPr>
          </w:p>
        </w:tc>
        <w:tc>
          <w:tcPr>
            <w:tcW w:w="1483" w:type="pct"/>
            <w:noWrap w:val="0"/>
            <w:vAlign w:val="top"/>
          </w:tcPr>
          <w:p>
            <w:pPr>
              <w:widowControl w:val="0"/>
              <w:spacing w:line="360" w:lineRule="exact"/>
              <w:ind w:firstLine="0" w:firstLineChars="0"/>
              <w:jc w:val="left"/>
              <w:rPr>
                <w:rFonts w:ascii="宋体" w:hAnsi="宋体" w:eastAsia="宋体" w:cs="Times New Roman"/>
                <w:b/>
                <w:kern w:val="2"/>
                <w:sz w:val="20"/>
                <w:szCs w:val="20"/>
                <w:lang w:val="en-US" w:eastAsia="zh-CN" w:bidi="ar-SA"/>
              </w:rPr>
            </w:pPr>
          </w:p>
        </w:tc>
        <w:tc>
          <w:tcPr>
            <w:tcW w:w="1819" w:type="pct"/>
            <w:noWrap w:val="0"/>
            <w:vAlign w:val="top"/>
          </w:tcPr>
          <w:p>
            <w:pPr>
              <w:widowControl w:val="0"/>
              <w:spacing w:line="360" w:lineRule="exact"/>
              <w:ind w:firstLine="0" w:firstLineChars="0"/>
              <w:jc w:val="left"/>
              <w:rPr>
                <w:rFonts w:ascii="宋体" w:hAnsi="宋体" w:eastAsia="宋体" w:cs="Times New Roman"/>
                <w:b/>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 w:type="pct"/>
            <w:noWrap w:val="0"/>
            <w:vAlign w:val="top"/>
          </w:tcPr>
          <w:p>
            <w:pPr>
              <w:widowControl w:val="0"/>
              <w:spacing w:line="360" w:lineRule="exact"/>
              <w:ind w:firstLine="0" w:firstLineChars="0"/>
              <w:jc w:val="left"/>
              <w:rPr>
                <w:rFonts w:ascii="宋体" w:hAnsi="宋体" w:eastAsia="宋体" w:cs="Times New Roman"/>
                <w:b/>
                <w:kern w:val="2"/>
                <w:sz w:val="20"/>
                <w:szCs w:val="20"/>
                <w:lang w:val="en-US" w:eastAsia="zh-CN" w:bidi="ar-SA"/>
              </w:rPr>
            </w:pPr>
          </w:p>
        </w:tc>
        <w:tc>
          <w:tcPr>
            <w:tcW w:w="1284" w:type="pct"/>
            <w:noWrap w:val="0"/>
            <w:vAlign w:val="top"/>
          </w:tcPr>
          <w:p>
            <w:pPr>
              <w:widowControl w:val="0"/>
              <w:spacing w:line="360" w:lineRule="exact"/>
              <w:ind w:firstLine="0" w:firstLineChars="0"/>
              <w:jc w:val="left"/>
              <w:rPr>
                <w:rFonts w:ascii="宋体" w:hAnsi="宋体" w:eastAsia="宋体" w:cs="Times New Roman"/>
                <w:b/>
                <w:kern w:val="2"/>
                <w:sz w:val="20"/>
                <w:szCs w:val="20"/>
                <w:lang w:val="en-US" w:eastAsia="zh-CN" w:bidi="ar-SA"/>
              </w:rPr>
            </w:pPr>
          </w:p>
        </w:tc>
        <w:tc>
          <w:tcPr>
            <w:tcW w:w="1483" w:type="pct"/>
            <w:noWrap w:val="0"/>
            <w:vAlign w:val="top"/>
          </w:tcPr>
          <w:p>
            <w:pPr>
              <w:widowControl w:val="0"/>
              <w:spacing w:line="360" w:lineRule="exact"/>
              <w:ind w:firstLine="0" w:firstLineChars="0"/>
              <w:jc w:val="left"/>
              <w:rPr>
                <w:rFonts w:ascii="宋体" w:hAnsi="宋体" w:eastAsia="宋体" w:cs="Times New Roman"/>
                <w:b/>
                <w:kern w:val="2"/>
                <w:sz w:val="20"/>
                <w:szCs w:val="20"/>
                <w:lang w:val="en-US" w:eastAsia="zh-CN" w:bidi="ar-SA"/>
              </w:rPr>
            </w:pPr>
          </w:p>
        </w:tc>
        <w:tc>
          <w:tcPr>
            <w:tcW w:w="1819" w:type="pct"/>
            <w:noWrap w:val="0"/>
            <w:vAlign w:val="top"/>
          </w:tcPr>
          <w:p>
            <w:pPr>
              <w:widowControl w:val="0"/>
              <w:spacing w:line="360" w:lineRule="exact"/>
              <w:ind w:firstLine="0" w:firstLineChars="0"/>
              <w:jc w:val="left"/>
              <w:rPr>
                <w:rFonts w:ascii="宋体" w:hAnsi="宋体" w:eastAsia="宋体" w:cs="Times New Roman"/>
                <w:b/>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 w:type="pct"/>
            <w:noWrap w:val="0"/>
            <w:vAlign w:val="top"/>
          </w:tcPr>
          <w:p>
            <w:pPr>
              <w:widowControl w:val="0"/>
              <w:spacing w:line="360" w:lineRule="exact"/>
              <w:ind w:firstLine="0" w:firstLineChars="0"/>
              <w:jc w:val="left"/>
              <w:rPr>
                <w:rFonts w:ascii="宋体" w:hAnsi="宋体" w:eastAsia="宋体" w:cs="Times New Roman"/>
                <w:b/>
                <w:kern w:val="2"/>
                <w:sz w:val="20"/>
                <w:szCs w:val="20"/>
                <w:lang w:val="en-US" w:eastAsia="zh-CN" w:bidi="ar-SA"/>
              </w:rPr>
            </w:pPr>
          </w:p>
        </w:tc>
        <w:tc>
          <w:tcPr>
            <w:tcW w:w="1284" w:type="pct"/>
            <w:noWrap w:val="0"/>
            <w:vAlign w:val="top"/>
          </w:tcPr>
          <w:p>
            <w:pPr>
              <w:widowControl w:val="0"/>
              <w:spacing w:line="360" w:lineRule="exact"/>
              <w:ind w:firstLine="0" w:firstLineChars="0"/>
              <w:jc w:val="left"/>
              <w:rPr>
                <w:rFonts w:ascii="宋体" w:hAnsi="宋体" w:eastAsia="宋体" w:cs="Times New Roman"/>
                <w:b/>
                <w:kern w:val="2"/>
                <w:sz w:val="20"/>
                <w:szCs w:val="20"/>
                <w:lang w:val="en-US" w:eastAsia="zh-CN" w:bidi="ar-SA"/>
              </w:rPr>
            </w:pPr>
          </w:p>
        </w:tc>
        <w:tc>
          <w:tcPr>
            <w:tcW w:w="1483" w:type="pct"/>
            <w:noWrap w:val="0"/>
            <w:vAlign w:val="top"/>
          </w:tcPr>
          <w:p>
            <w:pPr>
              <w:widowControl w:val="0"/>
              <w:spacing w:line="360" w:lineRule="exact"/>
              <w:ind w:firstLine="0" w:firstLineChars="0"/>
              <w:jc w:val="left"/>
              <w:rPr>
                <w:rFonts w:ascii="宋体" w:hAnsi="宋体" w:eastAsia="宋体" w:cs="Times New Roman"/>
                <w:b/>
                <w:kern w:val="2"/>
                <w:sz w:val="20"/>
                <w:szCs w:val="20"/>
                <w:lang w:val="en-US" w:eastAsia="zh-CN" w:bidi="ar-SA"/>
              </w:rPr>
            </w:pPr>
          </w:p>
        </w:tc>
        <w:tc>
          <w:tcPr>
            <w:tcW w:w="1819" w:type="pct"/>
            <w:noWrap w:val="0"/>
            <w:vAlign w:val="top"/>
          </w:tcPr>
          <w:p>
            <w:pPr>
              <w:widowControl w:val="0"/>
              <w:spacing w:line="360" w:lineRule="exact"/>
              <w:ind w:firstLine="0" w:firstLineChars="0"/>
              <w:jc w:val="left"/>
              <w:rPr>
                <w:rFonts w:ascii="宋体" w:hAnsi="宋体" w:eastAsia="宋体" w:cs="Times New Roman"/>
                <w:b/>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 w:type="pct"/>
            <w:noWrap w:val="0"/>
            <w:vAlign w:val="top"/>
          </w:tcPr>
          <w:p>
            <w:pPr>
              <w:widowControl w:val="0"/>
              <w:spacing w:line="360" w:lineRule="exact"/>
              <w:ind w:firstLine="0" w:firstLineChars="0"/>
              <w:jc w:val="left"/>
              <w:rPr>
                <w:rFonts w:ascii="宋体" w:hAnsi="宋体" w:eastAsia="宋体" w:cs="Times New Roman"/>
                <w:b/>
                <w:kern w:val="2"/>
                <w:sz w:val="20"/>
                <w:szCs w:val="20"/>
                <w:lang w:val="en-US" w:eastAsia="zh-CN" w:bidi="ar-SA"/>
              </w:rPr>
            </w:pPr>
          </w:p>
        </w:tc>
        <w:tc>
          <w:tcPr>
            <w:tcW w:w="1284" w:type="pct"/>
            <w:noWrap w:val="0"/>
            <w:vAlign w:val="top"/>
          </w:tcPr>
          <w:p>
            <w:pPr>
              <w:widowControl w:val="0"/>
              <w:spacing w:line="360" w:lineRule="exact"/>
              <w:ind w:firstLine="0" w:firstLineChars="0"/>
              <w:jc w:val="left"/>
              <w:rPr>
                <w:rFonts w:ascii="宋体" w:hAnsi="宋体" w:eastAsia="宋体" w:cs="Times New Roman"/>
                <w:b/>
                <w:kern w:val="2"/>
                <w:sz w:val="20"/>
                <w:szCs w:val="20"/>
                <w:lang w:val="en-US" w:eastAsia="zh-CN" w:bidi="ar-SA"/>
              </w:rPr>
            </w:pPr>
          </w:p>
        </w:tc>
        <w:tc>
          <w:tcPr>
            <w:tcW w:w="1483" w:type="pct"/>
            <w:noWrap w:val="0"/>
            <w:vAlign w:val="top"/>
          </w:tcPr>
          <w:p>
            <w:pPr>
              <w:widowControl w:val="0"/>
              <w:spacing w:line="360" w:lineRule="exact"/>
              <w:ind w:firstLine="0" w:firstLineChars="0"/>
              <w:jc w:val="left"/>
              <w:rPr>
                <w:rFonts w:ascii="宋体" w:hAnsi="宋体" w:eastAsia="宋体" w:cs="Times New Roman"/>
                <w:b/>
                <w:kern w:val="2"/>
                <w:sz w:val="20"/>
                <w:szCs w:val="20"/>
                <w:lang w:val="en-US" w:eastAsia="zh-CN" w:bidi="ar-SA"/>
              </w:rPr>
            </w:pPr>
          </w:p>
        </w:tc>
        <w:tc>
          <w:tcPr>
            <w:tcW w:w="1819" w:type="pct"/>
            <w:noWrap w:val="0"/>
            <w:vAlign w:val="top"/>
          </w:tcPr>
          <w:p>
            <w:pPr>
              <w:widowControl w:val="0"/>
              <w:spacing w:line="360" w:lineRule="exact"/>
              <w:ind w:firstLine="0" w:firstLineChars="0"/>
              <w:jc w:val="left"/>
              <w:rPr>
                <w:rFonts w:ascii="宋体" w:hAnsi="宋体" w:eastAsia="宋体" w:cs="Times New Roman"/>
                <w:b/>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 w:type="pct"/>
            <w:noWrap w:val="0"/>
            <w:vAlign w:val="top"/>
          </w:tcPr>
          <w:p>
            <w:pPr>
              <w:widowControl w:val="0"/>
              <w:spacing w:line="360" w:lineRule="exact"/>
              <w:ind w:firstLine="0" w:firstLineChars="0"/>
              <w:jc w:val="left"/>
              <w:rPr>
                <w:rFonts w:ascii="宋体" w:hAnsi="宋体" w:eastAsia="宋体" w:cs="Times New Roman"/>
                <w:b/>
                <w:kern w:val="2"/>
                <w:sz w:val="20"/>
                <w:szCs w:val="20"/>
                <w:lang w:val="en-US" w:eastAsia="zh-CN" w:bidi="ar-SA"/>
              </w:rPr>
            </w:pPr>
          </w:p>
        </w:tc>
        <w:tc>
          <w:tcPr>
            <w:tcW w:w="1284" w:type="pct"/>
            <w:noWrap w:val="0"/>
            <w:vAlign w:val="top"/>
          </w:tcPr>
          <w:p>
            <w:pPr>
              <w:widowControl w:val="0"/>
              <w:spacing w:line="360" w:lineRule="exact"/>
              <w:ind w:firstLine="0" w:firstLineChars="0"/>
              <w:jc w:val="left"/>
              <w:rPr>
                <w:rFonts w:ascii="宋体" w:hAnsi="宋体" w:eastAsia="宋体" w:cs="Times New Roman"/>
                <w:b/>
                <w:kern w:val="2"/>
                <w:sz w:val="20"/>
                <w:szCs w:val="20"/>
                <w:lang w:val="en-US" w:eastAsia="zh-CN" w:bidi="ar-SA"/>
              </w:rPr>
            </w:pPr>
          </w:p>
        </w:tc>
        <w:tc>
          <w:tcPr>
            <w:tcW w:w="1483" w:type="pct"/>
            <w:noWrap w:val="0"/>
            <w:vAlign w:val="top"/>
          </w:tcPr>
          <w:p>
            <w:pPr>
              <w:widowControl w:val="0"/>
              <w:spacing w:line="360" w:lineRule="exact"/>
              <w:ind w:firstLine="0" w:firstLineChars="0"/>
              <w:jc w:val="left"/>
              <w:rPr>
                <w:rFonts w:ascii="宋体" w:hAnsi="宋体" w:eastAsia="宋体" w:cs="Times New Roman"/>
                <w:b/>
                <w:kern w:val="2"/>
                <w:sz w:val="20"/>
                <w:szCs w:val="20"/>
                <w:lang w:val="en-US" w:eastAsia="zh-CN" w:bidi="ar-SA"/>
              </w:rPr>
            </w:pPr>
          </w:p>
        </w:tc>
        <w:tc>
          <w:tcPr>
            <w:tcW w:w="1819" w:type="pct"/>
            <w:noWrap w:val="0"/>
            <w:vAlign w:val="top"/>
          </w:tcPr>
          <w:p>
            <w:pPr>
              <w:widowControl w:val="0"/>
              <w:spacing w:line="360" w:lineRule="exact"/>
              <w:ind w:firstLine="0" w:firstLineChars="0"/>
              <w:jc w:val="left"/>
              <w:rPr>
                <w:rFonts w:ascii="宋体" w:hAnsi="宋体" w:eastAsia="宋体" w:cs="Times New Roman"/>
                <w:b/>
                <w:kern w:val="2"/>
                <w:sz w:val="20"/>
                <w:szCs w:val="20"/>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Arial"/>
          <w:b/>
          <w:bCs/>
          <w:color w:val="auto"/>
          <w:sz w:val="21"/>
          <w:szCs w:val="21"/>
          <w:lang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Arial"/>
          <w:b/>
          <w:bCs/>
          <w:color w:val="auto"/>
          <w:sz w:val="21"/>
          <w:szCs w:val="21"/>
        </w:rPr>
      </w:pPr>
      <w:r>
        <w:rPr>
          <w:rFonts w:hint="eastAsia" w:ascii="宋体" w:hAnsi="宋体" w:eastAsia="宋体" w:cs="Arial"/>
          <w:b/>
          <w:bCs/>
          <w:color w:val="auto"/>
          <w:sz w:val="21"/>
          <w:szCs w:val="21"/>
          <w:lang w:eastAsia="zh-CN"/>
        </w:rPr>
        <w:t>说明</w:t>
      </w:r>
      <w:r>
        <w:rPr>
          <w:rFonts w:hint="eastAsia" w:ascii="宋体" w:hAnsi="宋体" w:eastAsia="宋体" w:cs="Arial"/>
          <w:b/>
          <w:bCs/>
          <w:color w:val="auto"/>
          <w:sz w:val="21"/>
          <w:szCs w:val="21"/>
        </w:rPr>
        <w:t>：</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Arial"/>
          <w:color w:val="auto"/>
          <w:sz w:val="21"/>
          <w:szCs w:val="21"/>
        </w:rPr>
      </w:pPr>
      <w:r>
        <w:rPr>
          <w:rFonts w:hint="eastAsia" w:ascii="宋体" w:hAnsi="宋体" w:eastAsia="宋体" w:cs="Arial"/>
          <w:color w:val="auto"/>
          <w:sz w:val="21"/>
          <w:szCs w:val="21"/>
          <w:lang w:val="en-US" w:eastAsia="zh-CN"/>
        </w:rPr>
        <w:t>1.</w:t>
      </w:r>
      <w:r>
        <w:rPr>
          <w:rFonts w:hint="eastAsia" w:ascii="宋体" w:hAnsi="宋体" w:eastAsia="宋体" w:cs="Arial"/>
          <w:color w:val="auto"/>
          <w:sz w:val="21"/>
          <w:szCs w:val="21"/>
        </w:rPr>
        <w:t>项目</w:t>
      </w:r>
      <w:r>
        <w:rPr>
          <w:rFonts w:hint="eastAsia" w:ascii="宋体" w:hAnsi="宋体" w:eastAsia="宋体" w:cs="Arial"/>
          <w:color w:val="auto"/>
          <w:sz w:val="21"/>
          <w:szCs w:val="21"/>
          <w:lang w:eastAsia="zh-CN"/>
        </w:rPr>
        <w:t>招标保险方案</w:t>
      </w:r>
      <w:r>
        <w:rPr>
          <w:rFonts w:hint="eastAsia" w:ascii="宋体" w:hAnsi="宋体" w:eastAsia="宋体" w:cs="Arial"/>
          <w:color w:val="auto"/>
          <w:sz w:val="21"/>
          <w:szCs w:val="21"/>
        </w:rPr>
        <w:t>是本次</w:t>
      </w:r>
      <w:r>
        <w:rPr>
          <w:rFonts w:hint="eastAsia" w:ascii="宋体" w:hAnsi="宋体" w:eastAsia="宋体" w:cs="Arial"/>
          <w:color w:val="auto"/>
          <w:sz w:val="21"/>
          <w:szCs w:val="21"/>
          <w:lang w:eastAsia="zh-CN"/>
        </w:rPr>
        <w:t>招标</w:t>
      </w:r>
      <w:r>
        <w:rPr>
          <w:rFonts w:hint="eastAsia" w:ascii="宋体" w:hAnsi="宋体" w:eastAsia="宋体" w:cs="Arial"/>
          <w:color w:val="auto"/>
          <w:sz w:val="21"/>
          <w:szCs w:val="21"/>
        </w:rPr>
        <w:t>的重要内容之一，请务必在</w:t>
      </w:r>
      <w:r>
        <w:rPr>
          <w:rFonts w:hint="eastAsia" w:ascii="宋体" w:hAnsi="宋体" w:eastAsia="宋体" w:cs="Arial"/>
          <w:color w:val="auto"/>
          <w:sz w:val="21"/>
          <w:szCs w:val="21"/>
          <w:lang w:eastAsia="zh-CN"/>
        </w:rPr>
        <w:t>上表中列明响应情况</w:t>
      </w:r>
      <w:r>
        <w:rPr>
          <w:rFonts w:hint="eastAsia" w:ascii="宋体" w:hAnsi="宋体" w:eastAsia="宋体" w:cs="Arial"/>
          <w:color w:val="auto"/>
          <w:sz w:val="21"/>
          <w:szCs w:val="21"/>
        </w:rPr>
        <w:t>，否则将视同接受。</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仿宋" w:hAnsi="仿宋" w:eastAsia="仿宋" w:cs="仿宋"/>
          <w:color w:val="auto"/>
          <w:sz w:val="32"/>
          <w:szCs w:val="40"/>
        </w:rPr>
      </w:pPr>
      <w:r>
        <w:rPr>
          <w:rFonts w:hint="eastAsia" w:ascii="宋体" w:hAnsi="宋体" w:eastAsia="宋体" w:cs="Arial"/>
          <w:color w:val="auto"/>
          <w:sz w:val="21"/>
          <w:szCs w:val="21"/>
          <w:lang w:val="en-US" w:eastAsia="zh-CN"/>
        </w:rPr>
        <w:t>2.</w:t>
      </w:r>
      <w:r>
        <w:rPr>
          <w:rFonts w:hint="eastAsia" w:ascii="宋体" w:hAnsi="宋体" w:eastAsia="宋体" w:cs="Arial"/>
          <w:color w:val="auto"/>
          <w:sz w:val="21"/>
          <w:szCs w:val="21"/>
        </w:rPr>
        <w:t>如保险公司使用报备条款与</w:t>
      </w:r>
      <w:r>
        <w:rPr>
          <w:rFonts w:hint="eastAsia" w:ascii="宋体" w:hAnsi="宋体" w:eastAsia="宋体" w:cs="Arial"/>
          <w:color w:val="auto"/>
          <w:sz w:val="21"/>
          <w:szCs w:val="21"/>
          <w:lang w:eastAsia="zh-CN"/>
        </w:rPr>
        <w:t>投标</w:t>
      </w:r>
      <w:r>
        <w:rPr>
          <w:rFonts w:hint="eastAsia" w:ascii="宋体" w:hAnsi="宋体" w:eastAsia="宋体" w:cs="Arial"/>
          <w:color w:val="auto"/>
          <w:sz w:val="21"/>
          <w:szCs w:val="21"/>
        </w:rPr>
        <w:t>文件所列条款措辞存在差异，但未缩减保险责任，不视为偏离。</w:t>
      </w:r>
    </w:p>
    <w:p>
      <w:pPr>
        <w:pStyle w:val="54"/>
        <w:jc w:val="center"/>
        <w:rPr>
          <w:rFonts w:hint="eastAsia" w:ascii="仿宋" w:hAnsi="仿宋" w:eastAsia="仿宋"/>
          <w:b/>
          <w:snapToGrid w:val="0"/>
          <w:sz w:val="28"/>
          <w:szCs w:val="28"/>
        </w:rPr>
      </w:pPr>
      <w:r>
        <w:rPr>
          <w:rFonts w:hint="eastAsia" w:ascii="仿宋" w:hAnsi="仿宋" w:eastAsia="仿宋" w:cs="Times New Roman"/>
          <w:b/>
          <w:bCs w:val="0"/>
          <w:snapToGrid w:val="0"/>
          <w:spacing w:val="0"/>
          <w:kern w:val="2"/>
          <w:sz w:val="28"/>
          <w:szCs w:val="28"/>
        </w:rPr>
        <w:t>保险方案</w:t>
      </w:r>
      <w:r>
        <w:rPr>
          <w:rFonts w:hint="eastAsia" w:ascii="仿宋" w:hAnsi="仿宋" w:eastAsia="仿宋" w:cs="Times New Roman"/>
          <w:b/>
          <w:bCs w:val="0"/>
          <w:snapToGrid w:val="0"/>
          <w:spacing w:val="0"/>
          <w:kern w:val="2"/>
          <w:sz w:val="28"/>
          <w:szCs w:val="28"/>
          <w:lang w:eastAsia="zh-CN"/>
        </w:rPr>
        <w:t>优化</w:t>
      </w:r>
      <w:r>
        <w:rPr>
          <w:rFonts w:hint="eastAsia" w:ascii="仿宋" w:hAnsi="仿宋" w:eastAsia="仿宋" w:cs="Times New Roman"/>
          <w:b/>
          <w:bCs w:val="0"/>
          <w:snapToGrid w:val="0"/>
          <w:spacing w:val="0"/>
          <w:kern w:val="2"/>
          <w:sz w:val="28"/>
          <w:szCs w:val="28"/>
        </w:rPr>
        <w:t>情况表</w:t>
      </w:r>
    </w:p>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7"/>
        <w:gridCol w:w="5822"/>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09" w:type="pct"/>
            <w:noWrap w:val="0"/>
            <w:vAlign w:val="center"/>
          </w:tcPr>
          <w:p>
            <w:pPr>
              <w:widowControl/>
              <w:spacing w:line="240" w:lineRule="auto"/>
              <w:ind w:firstLine="0" w:firstLineChars="0"/>
              <w:jc w:val="center"/>
              <w:rPr>
                <w:rFonts w:hint="eastAsia" w:ascii="宋体" w:hAnsi="宋体" w:eastAsia="宋体" w:cs="Courier New"/>
                <w:b/>
                <w:bCs/>
                <w:snapToGrid w:val="0"/>
                <w:kern w:val="2"/>
                <w:sz w:val="21"/>
                <w:szCs w:val="21"/>
                <w:lang w:val="en-US" w:eastAsia="zh-CN" w:bidi="ar-SA"/>
              </w:rPr>
            </w:pPr>
            <w:r>
              <w:rPr>
                <w:rFonts w:hint="eastAsia" w:ascii="宋体" w:hAnsi="宋体" w:cs="Courier New"/>
                <w:b/>
                <w:bCs/>
                <w:snapToGrid w:val="0"/>
                <w:kern w:val="2"/>
                <w:sz w:val="21"/>
                <w:szCs w:val="21"/>
                <w:lang w:val="en-US" w:eastAsia="zh-CN" w:bidi="ar-SA"/>
              </w:rPr>
              <w:t>序号</w:t>
            </w:r>
          </w:p>
        </w:tc>
        <w:tc>
          <w:tcPr>
            <w:tcW w:w="3416" w:type="pct"/>
            <w:noWrap w:val="0"/>
            <w:vAlign w:val="center"/>
          </w:tcPr>
          <w:p>
            <w:pPr>
              <w:widowControl/>
              <w:spacing w:line="240" w:lineRule="auto"/>
              <w:ind w:firstLine="0" w:firstLineChars="0"/>
              <w:jc w:val="center"/>
              <w:rPr>
                <w:rFonts w:hint="eastAsia" w:ascii="宋体" w:hAnsi="宋体" w:eastAsia="宋体" w:cs="Courier New"/>
                <w:b/>
                <w:bCs/>
                <w:snapToGrid w:val="0"/>
                <w:kern w:val="2"/>
                <w:sz w:val="21"/>
                <w:szCs w:val="21"/>
                <w:lang w:val="en-US" w:eastAsia="zh-CN" w:bidi="ar-SA"/>
              </w:rPr>
            </w:pPr>
            <w:r>
              <w:rPr>
                <w:rFonts w:hint="eastAsia" w:ascii="宋体" w:hAnsi="宋体" w:cs="Courier New"/>
                <w:b/>
                <w:bCs/>
                <w:snapToGrid w:val="0"/>
                <w:kern w:val="2"/>
                <w:sz w:val="21"/>
                <w:szCs w:val="21"/>
                <w:lang w:val="en-US" w:eastAsia="zh-CN" w:bidi="ar-SA"/>
              </w:rPr>
              <w:t>保障项目</w:t>
            </w:r>
          </w:p>
        </w:tc>
        <w:tc>
          <w:tcPr>
            <w:tcW w:w="974" w:type="pct"/>
            <w:noWrap w:val="0"/>
            <w:vAlign w:val="center"/>
          </w:tcPr>
          <w:p>
            <w:pPr>
              <w:widowControl/>
              <w:spacing w:line="240" w:lineRule="auto"/>
              <w:ind w:firstLine="0" w:firstLineChars="0"/>
              <w:jc w:val="center"/>
              <w:rPr>
                <w:rFonts w:hint="eastAsia" w:ascii="宋体" w:hAnsi="宋体" w:eastAsia="宋体" w:cs="Courier New"/>
                <w:b/>
                <w:bCs/>
                <w:snapToGrid w:val="0"/>
                <w:kern w:val="2"/>
                <w:sz w:val="21"/>
                <w:szCs w:val="21"/>
                <w:lang w:val="en-US" w:eastAsia="zh-CN" w:bidi="ar-SA"/>
              </w:rPr>
            </w:pPr>
            <w:r>
              <w:rPr>
                <w:rFonts w:hint="eastAsia" w:ascii="宋体" w:hAnsi="宋体" w:cs="Courier New"/>
                <w:b/>
                <w:bCs/>
                <w:snapToGrid w:val="0"/>
                <w:kern w:val="2"/>
                <w:sz w:val="21"/>
                <w:szCs w:val="21"/>
                <w:lang w:val="en-US" w:eastAsia="zh-CN" w:bidi="ar-SA"/>
              </w:rPr>
              <w:t>优化额度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09" w:type="pct"/>
            <w:noWrap w:val="0"/>
            <w:vAlign w:val="center"/>
          </w:tcPr>
          <w:p>
            <w:pPr>
              <w:widowControl w:val="0"/>
              <w:spacing w:line="360" w:lineRule="exact"/>
              <w:ind w:firstLine="0" w:firstLineChars="0"/>
              <w:jc w:val="center"/>
              <w:rPr>
                <w:rFonts w:hint="default" w:ascii="宋体" w:hAnsi="宋体" w:eastAsia="宋体" w:cs="Times New Roman"/>
                <w:b w:val="0"/>
                <w:bCs/>
                <w:kern w:val="2"/>
                <w:sz w:val="20"/>
                <w:szCs w:val="20"/>
                <w:lang w:val="en-US" w:eastAsia="zh-CN" w:bidi="ar-SA"/>
              </w:rPr>
            </w:pPr>
            <w:r>
              <w:rPr>
                <w:rFonts w:hint="eastAsia" w:ascii="宋体" w:hAnsi="宋体" w:cs="Times New Roman"/>
                <w:b w:val="0"/>
                <w:bCs/>
                <w:kern w:val="2"/>
                <w:sz w:val="20"/>
                <w:szCs w:val="20"/>
                <w:lang w:val="en-US" w:eastAsia="zh-CN" w:bidi="ar-SA"/>
              </w:rPr>
              <w:t>1</w:t>
            </w:r>
          </w:p>
        </w:tc>
        <w:tc>
          <w:tcPr>
            <w:tcW w:w="3416" w:type="pct"/>
            <w:noWrap w:val="0"/>
            <w:vAlign w:val="center"/>
          </w:tcPr>
          <w:p>
            <w:pPr>
              <w:widowControl w:val="0"/>
              <w:spacing w:line="360" w:lineRule="exact"/>
              <w:ind w:firstLine="0" w:firstLineChars="0"/>
              <w:jc w:val="center"/>
              <w:rPr>
                <w:rFonts w:hint="eastAsia" w:ascii="宋体" w:hAnsi="宋体" w:eastAsia="宋体" w:cs="Times New Roman"/>
                <w:b w:val="0"/>
                <w:bCs/>
                <w:kern w:val="2"/>
                <w:sz w:val="20"/>
                <w:szCs w:val="20"/>
                <w:lang w:val="en-US" w:eastAsia="zh-CN" w:bidi="ar-SA"/>
              </w:rPr>
            </w:pPr>
            <w:r>
              <w:rPr>
                <w:rFonts w:hint="eastAsia" w:ascii="宋体" w:hAnsi="宋体" w:eastAsia="宋体" w:cs="宋体"/>
              </w:rPr>
              <w:t>意外身故/</w:t>
            </w:r>
            <w:r>
              <w:rPr>
                <w:rFonts w:hint="eastAsia" w:ascii="宋体" w:hAnsi="宋体" w:cs="宋体"/>
                <w:lang w:eastAsia="zh-CN"/>
              </w:rPr>
              <w:t>伤残</w:t>
            </w:r>
          </w:p>
        </w:tc>
        <w:tc>
          <w:tcPr>
            <w:tcW w:w="974" w:type="pct"/>
            <w:noWrap w:val="0"/>
            <w:vAlign w:val="center"/>
          </w:tcPr>
          <w:p>
            <w:pPr>
              <w:widowControl w:val="0"/>
              <w:spacing w:line="360" w:lineRule="exact"/>
              <w:ind w:firstLine="0" w:firstLineChars="0"/>
              <w:jc w:val="center"/>
              <w:rPr>
                <w:rFonts w:hint="eastAsia" w:ascii="宋体" w:hAnsi="宋体" w:eastAsia="宋体" w:cs="Times New Roman"/>
                <w:b w:val="0"/>
                <w:bCs/>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09" w:type="pct"/>
            <w:noWrap w:val="0"/>
            <w:vAlign w:val="center"/>
          </w:tcPr>
          <w:p>
            <w:pPr>
              <w:widowControl w:val="0"/>
              <w:spacing w:line="360" w:lineRule="exact"/>
              <w:ind w:firstLine="0" w:firstLineChars="0"/>
              <w:jc w:val="center"/>
              <w:rPr>
                <w:rFonts w:hint="default" w:ascii="宋体" w:hAnsi="宋体" w:eastAsia="宋体" w:cs="Times New Roman"/>
                <w:b w:val="0"/>
                <w:bCs/>
                <w:kern w:val="2"/>
                <w:sz w:val="20"/>
                <w:szCs w:val="20"/>
                <w:lang w:val="en-US" w:eastAsia="zh-CN" w:bidi="ar-SA"/>
              </w:rPr>
            </w:pPr>
            <w:r>
              <w:rPr>
                <w:rFonts w:hint="eastAsia" w:ascii="宋体" w:hAnsi="宋体" w:cs="Times New Roman"/>
                <w:b w:val="0"/>
                <w:bCs/>
                <w:kern w:val="2"/>
                <w:sz w:val="20"/>
                <w:szCs w:val="20"/>
                <w:lang w:val="en-US" w:eastAsia="zh-CN" w:bidi="ar-SA"/>
              </w:rPr>
              <w:t>2</w:t>
            </w:r>
          </w:p>
        </w:tc>
        <w:tc>
          <w:tcPr>
            <w:tcW w:w="3416" w:type="pct"/>
            <w:noWrap w:val="0"/>
            <w:vAlign w:val="center"/>
          </w:tcPr>
          <w:p>
            <w:pPr>
              <w:widowControl w:val="0"/>
              <w:spacing w:line="360" w:lineRule="exact"/>
              <w:ind w:firstLine="0" w:firstLineChars="0"/>
              <w:jc w:val="center"/>
              <w:rPr>
                <w:rFonts w:ascii="宋体" w:hAnsi="宋体" w:eastAsia="宋体" w:cs="Times New Roman"/>
                <w:b/>
                <w:kern w:val="2"/>
                <w:sz w:val="20"/>
                <w:szCs w:val="20"/>
                <w:lang w:val="en-US" w:eastAsia="zh-CN" w:bidi="ar-SA"/>
              </w:rPr>
            </w:pPr>
            <w:r>
              <w:rPr>
                <w:rFonts w:hint="eastAsia" w:ascii="宋体" w:hAnsi="宋体" w:eastAsia="宋体" w:cs="宋体"/>
              </w:rPr>
              <w:t>意外医疗</w:t>
            </w:r>
            <w:r>
              <w:rPr>
                <w:rFonts w:hint="eastAsia" w:ascii="宋体" w:hAnsi="宋体" w:cs="宋体"/>
                <w:lang w:eastAsia="zh-CN"/>
              </w:rPr>
              <w:t>（门诊</w:t>
            </w:r>
            <w:r>
              <w:rPr>
                <w:rFonts w:hint="eastAsia" w:ascii="宋体" w:hAnsi="宋体" w:cs="宋体"/>
                <w:lang w:val="en-US" w:eastAsia="zh-CN"/>
              </w:rPr>
              <w:t>+住院</w:t>
            </w:r>
            <w:r>
              <w:rPr>
                <w:rFonts w:hint="eastAsia" w:ascii="宋体" w:hAnsi="宋体" w:cs="宋体"/>
                <w:lang w:eastAsia="zh-CN"/>
              </w:rPr>
              <w:t>）</w:t>
            </w:r>
          </w:p>
        </w:tc>
        <w:tc>
          <w:tcPr>
            <w:tcW w:w="974" w:type="pct"/>
            <w:noWrap w:val="0"/>
            <w:vAlign w:val="center"/>
          </w:tcPr>
          <w:p>
            <w:pPr>
              <w:widowControl w:val="0"/>
              <w:spacing w:line="360" w:lineRule="exact"/>
              <w:ind w:firstLine="0" w:firstLineChars="0"/>
              <w:jc w:val="center"/>
              <w:rPr>
                <w:rFonts w:ascii="宋体" w:hAnsi="宋体" w:eastAsia="宋体" w:cs="Times New Roman"/>
                <w:b/>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09" w:type="pct"/>
            <w:noWrap w:val="0"/>
            <w:vAlign w:val="center"/>
          </w:tcPr>
          <w:p>
            <w:pPr>
              <w:widowControl w:val="0"/>
              <w:spacing w:line="360" w:lineRule="exact"/>
              <w:ind w:firstLine="0" w:firstLineChars="0"/>
              <w:jc w:val="center"/>
              <w:rPr>
                <w:rFonts w:hint="default" w:ascii="宋体" w:hAnsi="宋体" w:eastAsia="宋体" w:cs="Times New Roman"/>
                <w:b w:val="0"/>
                <w:bCs/>
                <w:kern w:val="2"/>
                <w:sz w:val="20"/>
                <w:szCs w:val="20"/>
                <w:lang w:val="en-US" w:eastAsia="zh-CN" w:bidi="ar-SA"/>
              </w:rPr>
            </w:pPr>
            <w:r>
              <w:rPr>
                <w:rFonts w:hint="eastAsia" w:ascii="宋体" w:hAnsi="宋体" w:cs="Times New Roman"/>
                <w:b w:val="0"/>
                <w:bCs/>
                <w:kern w:val="2"/>
                <w:sz w:val="20"/>
                <w:szCs w:val="20"/>
                <w:lang w:val="en-US" w:eastAsia="zh-CN" w:bidi="ar-SA"/>
              </w:rPr>
              <w:t>3</w:t>
            </w:r>
          </w:p>
        </w:tc>
        <w:tc>
          <w:tcPr>
            <w:tcW w:w="3416" w:type="pct"/>
            <w:noWrap w:val="0"/>
            <w:vAlign w:val="center"/>
          </w:tcPr>
          <w:p>
            <w:pPr>
              <w:widowControl w:val="0"/>
              <w:spacing w:line="360" w:lineRule="exact"/>
              <w:ind w:firstLine="0" w:firstLineChars="0"/>
              <w:jc w:val="center"/>
              <w:rPr>
                <w:rFonts w:ascii="宋体" w:hAnsi="宋体" w:eastAsia="宋体" w:cs="Times New Roman"/>
                <w:b/>
                <w:kern w:val="2"/>
                <w:sz w:val="20"/>
                <w:szCs w:val="20"/>
                <w:lang w:val="en-US" w:eastAsia="zh-CN" w:bidi="ar-SA"/>
              </w:rPr>
            </w:pPr>
            <w:r>
              <w:rPr>
                <w:rFonts w:hint="eastAsia" w:ascii="宋体" w:hAnsi="宋体" w:eastAsia="宋体" w:cs="宋体"/>
              </w:rPr>
              <w:t>意外住院津贴</w:t>
            </w:r>
          </w:p>
        </w:tc>
        <w:tc>
          <w:tcPr>
            <w:tcW w:w="974" w:type="pct"/>
            <w:noWrap w:val="0"/>
            <w:vAlign w:val="center"/>
          </w:tcPr>
          <w:p>
            <w:pPr>
              <w:widowControl w:val="0"/>
              <w:spacing w:line="360" w:lineRule="exact"/>
              <w:ind w:firstLine="0" w:firstLineChars="0"/>
              <w:jc w:val="center"/>
              <w:rPr>
                <w:rFonts w:ascii="宋体" w:hAnsi="宋体" w:eastAsia="宋体" w:cs="Times New Roman"/>
                <w:b/>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09" w:type="pct"/>
            <w:noWrap w:val="0"/>
            <w:vAlign w:val="center"/>
          </w:tcPr>
          <w:p>
            <w:pPr>
              <w:widowControl w:val="0"/>
              <w:spacing w:line="360" w:lineRule="exact"/>
              <w:ind w:firstLine="0" w:firstLineChars="0"/>
              <w:jc w:val="center"/>
              <w:rPr>
                <w:rFonts w:hint="default" w:ascii="宋体" w:hAnsi="宋体" w:eastAsia="宋体" w:cs="Times New Roman"/>
                <w:b w:val="0"/>
                <w:bCs/>
                <w:kern w:val="2"/>
                <w:sz w:val="20"/>
                <w:szCs w:val="20"/>
                <w:lang w:val="en-US" w:eastAsia="zh-CN" w:bidi="ar-SA"/>
              </w:rPr>
            </w:pPr>
            <w:r>
              <w:rPr>
                <w:rFonts w:hint="eastAsia" w:ascii="宋体" w:hAnsi="宋体" w:cs="Times New Roman"/>
                <w:b w:val="0"/>
                <w:bCs/>
                <w:kern w:val="2"/>
                <w:sz w:val="20"/>
                <w:szCs w:val="20"/>
                <w:lang w:val="en-US" w:eastAsia="zh-CN" w:bidi="ar-SA"/>
              </w:rPr>
              <w:t>4</w:t>
            </w:r>
          </w:p>
        </w:tc>
        <w:tc>
          <w:tcPr>
            <w:tcW w:w="3416" w:type="pct"/>
            <w:noWrap w:val="0"/>
            <w:vAlign w:val="center"/>
          </w:tcPr>
          <w:p>
            <w:pPr>
              <w:widowControl w:val="0"/>
              <w:spacing w:line="360" w:lineRule="exact"/>
              <w:ind w:firstLine="0" w:firstLineChars="0"/>
              <w:jc w:val="center"/>
              <w:rPr>
                <w:rFonts w:ascii="宋体" w:hAnsi="宋体" w:eastAsia="宋体" w:cs="Times New Roman"/>
                <w:b/>
                <w:kern w:val="2"/>
                <w:sz w:val="20"/>
                <w:szCs w:val="20"/>
                <w:lang w:val="en-US" w:eastAsia="zh-CN" w:bidi="ar-SA"/>
              </w:rPr>
            </w:pPr>
            <w:r>
              <w:rPr>
                <w:rFonts w:hint="eastAsia" w:ascii="宋体" w:hAnsi="宋体" w:eastAsia="宋体" w:cs="宋体"/>
              </w:rPr>
              <w:t>猝死保险金</w:t>
            </w:r>
          </w:p>
        </w:tc>
        <w:tc>
          <w:tcPr>
            <w:tcW w:w="974" w:type="pct"/>
            <w:noWrap w:val="0"/>
            <w:vAlign w:val="center"/>
          </w:tcPr>
          <w:p>
            <w:pPr>
              <w:widowControl w:val="0"/>
              <w:spacing w:line="360" w:lineRule="exact"/>
              <w:ind w:firstLine="0" w:firstLineChars="0"/>
              <w:jc w:val="center"/>
              <w:rPr>
                <w:rFonts w:ascii="宋体" w:hAnsi="宋体" w:eastAsia="宋体" w:cs="Times New Roman"/>
                <w:b/>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09" w:type="pct"/>
            <w:noWrap w:val="0"/>
            <w:vAlign w:val="center"/>
          </w:tcPr>
          <w:p>
            <w:pPr>
              <w:widowControl w:val="0"/>
              <w:spacing w:line="360" w:lineRule="exact"/>
              <w:ind w:firstLine="0" w:firstLineChars="0"/>
              <w:jc w:val="center"/>
              <w:rPr>
                <w:rFonts w:hint="default" w:ascii="宋体" w:hAnsi="宋体" w:eastAsia="宋体" w:cs="Times New Roman"/>
                <w:b w:val="0"/>
                <w:bCs/>
                <w:kern w:val="2"/>
                <w:sz w:val="20"/>
                <w:szCs w:val="20"/>
                <w:lang w:val="en-US" w:eastAsia="zh-CN" w:bidi="ar-SA"/>
              </w:rPr>
            </w:pPr>
            <w:r>
              <w:rPr>
                <w:rFonts w:hint="eastAsia" w:ascii="宋体" w:hAnsi="宋体" w:cs="Times New Roman"/>
                <w:b w:val="0"/>
                <w:bCs/>
                <w:kern w:val="2"/>
                <w:sz w:val="20"/>
                <w:szCs w:val="20"/>
                <w:lang w:val="en-US" w:eastAsia="zh-CN" w:bidi="ar-SA"/>
              </w:rPr>
              <w:t>5</w:t>
            </w:r>
          </w:p>
        </w:tc>
        <w:tc>
          <w:tcPr>
            <w:tcW w:w="3416" w:type="pct"/>
            <w:noWrap w:val="0"/>
            <w:vAlign w:val="center"/>
          </w:tcPr>
          <w:p>
            <w:pPr>
              <w:widowControl w:val="0"/>
              <w:spacing w:line="360" w:lineRule="exact"/>
              <w:ind w:firstLine="0" w:firstLineChars="0"/>
              <w:jc w:val="center"/>
              <w:rPr>
                <w:rFonts w:ascii="宋体" w:hAnsi="宋体" w:eastAsia="宋体" w:cs="Times New Roman"/>
                <w:b/>
                <w:kern w:val="2"/>
                <w:sz w:val="20"/>
                <w:szCs w:val="20"/>
                <w:lang w:val="en-US" w:eastAsia="zh-CN" w:bidi="ar-SA"/>
              </w:rPr>
            </w:pPr>
            <w:r>
              <w:rPr>
                <w:rFonts w:hint="eastAsia" w:ascii="宋体" w:hAnsi="宋体" w:eastAsia="宋体" w:cs="宋体"/>
              </w:rPr>
              <w:t>重大疾病</w:t>
            </w:r>
          </w:p>
        </w:tc>
        <w:tc>
          <w:tcPr>
            <w:tcW w:w="974" w:type="pct"/>
            <w:noWrap w:val="0"/>
            <w:vAlign w:val="center"/>
          </w:tcPr>
          <w:p>
            <w:pPr>
              <w:widowControl w:val="0"/>
              <w:spacing w:line="360" w:lineRule="exact"/>
              <w:ind w:firstLine="0" w:firstLineChars="0"/>
              <w:jc w:val="center"/>
              <w:rPr>
                <w:rFonts w:ascii="宋体" w:hAnsi="宋体" w:eastAsia="宋体" w:cs="Times New Roman"/>
                <w:b/>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09" w:type="pct"/>
            <w:noWrap w:val="0"/>
            <w:vAlign w:val="center"/>
          </w:tcPr>
          <w:p>
            <w:pPr>
              <w:widowControl w:val="0"/>
              <w:spacing w:line="360" w:lineRule="exact"/>
              <w:ind w:firstLine="0" w:firstLineChars="0"/>
              <w:jc w:val="center"/>
              <w:rPr>
                <w:rFonts w:hint="default" w:ascii="宋体" w:hAnsi="宋体" w:eastAsia="宋体" w:cs="Times New Roman"/>
                <w:b w:val="0"/>
                <w:bCs/>
                <w:kern w:val="2"/>
                <w:sz w:val="20"/>
                <w:szCs w:val="20"/>
                <w:lang w:val="en-US" w:eastAsia="zh-CN" w:bidi="ar-SA"/>
              </w:rPr>
            </w:pPr>
            <w:r>
              <w:rPr>
                <w:rFonts w:hint="eastAsia" w:ascii="宋体" w:hAnsi="宋体" w:cs="Times New Roman"/>
                <w:b w:val="0"/>
                <w:bCs/>
                <w:kern w:val="2"/>
                <w:sz w:val="20"/>
                <w:szCs w:val="20"/>
                <w:lang w:val="en-US" w:eastAsia="zh-CN" w:bidi="ar-SA"/>
              </w:rPr>
              <w:t>6</w:t>
            </w:r>
          </w:p>
        </w:tc>
        <w:tc>
          <w:tcPr>
            <w:tcW w:w="3416" w:type="pct"/>
            <w:noWrap w:val="0"/>
            <w:vAlign w:val="center"/>
          </w:tcPr>
          <w:p>
            <w:pPr>
              <w:widowControl w:val="0"/>
              <w:spacing w:line="360" w:lineRule="exact"/>
              <w:ind w:firstLine="0" w:firstLineChars="0"/>
              <w:jc w:val="center"/>
              <w:rPr>
                <w:rFonts w:ascii="宋体" w:hAnsi="宋体" w:eastAsia="宋体" w:cs="Times New Roman"/>
                <w:b/>
                <w:kern w:val="2"/>
                <w:sz w:val="20"/>
                <w:szCs w:val="20"/>
                <w:lang w:val="en-US" w:eastAsia="zh-CN" w:bidi="ar-SA"/>
              </w:rPr>
            </w:pPr>
            <w:r>
              <w:rPr>
                <w:rFonts w:hint="eastAsia" w:ascii="宋体" w:hAnsi="宋体" w:eastAsia="宋体" w:cs="宋体"/>
              </w:rPr>
              <w:t>疾病身故</w:t>
            </w:r>
          </w:p>
        </w:tc>
        <w:tc>
          <w:tcPr>
            <w:tcW w:w="974" w:type="pct"/>
            <w:noWrap w:val="0"/>
            <w:vAlign w:val="center"/>
          </w:tcPr>
          <w:p>
            <w:pPr>
              <w:widowControl w:val="0"/>
              <w:spacing w:line="360" w:lineRule="exact"/>
              <w:ind w:firstLine="0" w:firstLineChars="0"/>
              <w:jc w:val="center"/>
              <w:rPr>
                <w:rFonts w:ascii="宋体" w:hAnsi="宋体" w:eastAsia="宋体" w:cs="Times New Roman"/>
                <w:b/>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09" w:type="pct"/>
            <w:noWrap w:val="0"/>
            <w:vAlign w:val="center"/>
          </w:tcPr>
          <w:p>
            <w:pPr>
              <w:widowControl w:val="0"/>
              <w:spacing w:line="360" w:lineRule="exact"/>
              <w:ind w:firstLine="0" w:firstLineChars="0"/>
              <w:jc w:val="center"/>
              <w:rPr>
                <w:rFonts w:hint="default" w:ascii="宋体" w:hAnsi="宋体" w:eastAsia="宋体" w:cs="Times New Roman"/>
                <w:b w:val="0"/>
                <w:bCs/>
                <w:kern w:val="2"/>
                <w:sz w:val="20"/>
                <w:szCs w:val="20"/>
                <w:lang w:val="en-US" w:eastAsia="zh-CN" w:bidi="ar-SA"/>
              </w:rPr>
            </w:pPr>
            <w:r>
              <w:rPr>
                <w:rFonts w:hint="eastAsia" w:ascii="宋体" w:hAnsi="宋体" w:cs="Times New Roman"/>
                <w:b w:val="0"/>
                <w:bCs/>
                <w:kern w:val="2"/>
                <w:sz w:val="20"/>
                <w:szCs w:val="20"/>
                <w:lang w:val="en-US" w:eastAsia="zh-CN" w:bidi="ar-SA"/>
              </w:rPr>
              <w:t>7</w:t>
            </w:r>
          </w:p>
        </w:tc>
        <w:tc>
          <w:tcPr>
            <w:tcW w:w="3416" w:type="pct"/>
            <w:noWrap w:val="0"/>
            <w:vAlign w:val="center"/>
          </w:tcPr>
          <w:p>
            <w:pPr>
              <w:widowControl w:val="0"/>
              <w:spacing w:line="360" w:lineRule="exact"/>
              <w:ind w:firstLine="0" w:firstLineChars="0"/>
              <w:jc w:val="center"/>
              <w:rPr>
                <w:rFonts w:ascii="宋体" w:hAnsi="宋体" w:eastAsia="宋体" w:cs="Times New Roman"/>
                <w:b/>
                <w:kern w:val="2"/>
                <w:sz w:val="20"/>
                <w:szCs w:val="20"/>
                <w:lang w:val="en-US" w:eastAsia="zh-CN" w:bidi="ar-SA"/>
              </w:rPr>
            </w:pPr>
            <w:r>
              <w:rPr>
                <w:rFonts w:hint="eastAsia" w:ascii="宋体" w:hAnsi="宋体" w:eastAsia="宋体" w:cs="宋体"/>
              </w:rPr>
              <w:t>疾病住院补充医疗</w:t>
            </w:r>
          </w:p>
        </w:tc>
        <w:tc>
          <w:tcPr>
            <w:tcW w:w="974" w:type="pct"/>
            <w:noWrap w:val="0"/>
            <w:vAlign w:val="center"/>
          </w:tcPr>
          <w:p>
            <w:pPr>
              <w:widowControl w:val="0"/>
              <w:spacing w:line="360" w:lineRule="exact"/>
              <w:ind w:firstLine="0" w:firstLineChars="0"/>
              <w:jc w:val="center"/>
              <w:rPr>
                <w:rFonts w:ascii="宋体" w:hAnsi="宋体" w:eastAsia="宋体" w:cs="Times New Roman"/>
                <w:b/>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09" w:type="pct"/>
            <w:noWrap w:val="0"/>
            <w:vAlign w:val="center"/>
          </w:tcPr>
          <w:p>
            <w:pPr>
              <w:widowControl w:val="0"/>
              <w:spacing w:line="360" w:lineRule="exact"/>
              <w:ind w:firstLine="0" w:firstLineChars="0"/>
              <w:jc w:val="center"/>
              <w:rPr>
                <w:rFonts w:hint="default" w:ascii="宋体" w:hAnsi="宋体" w:eastAsia="宋体" w:cs="Times New Roman"/>
                <w:b w:val="0"/>
                <w:bCs/>
                <w:kern w:val="2"/>
                <w:sz w:val="20"/>
                <w:szCs w:val="20"/>
                <w:lang w:val="en-US" w:eastAsia="zh-CN" w:bidi="ar-SA"/>
              </w:rPr>
            </w:pPr>
            <w:r>
              <w:rPr>
                <w:rFonts w:hint="eastAsia" w:ascii="宋体" w:hAnsi="宋体" w:cs="Times New Roman"/>
                <w:b w:val="0"/>
                <w:bCs/>
                <w:kern w:val="2"/>
                <w:sz w:val="20"/>
                <w:szCs w:val="20"/>
                <w:lang w:val="en-US" w:eastAsia="zh-CN" w:bidi="ar-SA"/>
              </w:rPr>
              <w:t>8</w:t>
            </w:r>
          </w:p>
        </w:tc>
        <w:tc>
          <w:tcPr>
            <w:tcW w:w="3416" w:type="pct"/>
            <w:noWrap w:val="0"/>
            <w:vAlign w:val="center"/>
          </w:tcPr>
          <w:p>
            <w:pPr>
              <w:widowControl w:val="0"/>
              <w:spacing w:line="360" w:lineRule="exact"/>
              <w:ind w:firstLine="0" w:firstLineChars="0"/>
              <w:jc w:val="center"/>
              <w:rPr>
                <w:rFonts w:ascii="宋体" w:hAnsi="宋体" w:eastAsia="宋体" w:cs="Times New Roman"/>
                <w:b/>
                <w:kern w:val="2"/>
                <w:sz w:val="20"/>
                <w:szCs w:val="20"/>
                <w:lang w:val="en-US" w:eastAsia="zh-CN" w:bidi="ar-SA"/>
              </w:rPr>
            </w:pPr>
            <w:r>
              <w:rPr>
                <w:rFonts w:hint="eastAsia" w:ascii="宋体" w:hAnsi="宋体" w:eastAsia="宋体" w:cs="宋体"/>
              </w:rPr>
              <w:t>疾病住院津贴</w:t>
            </w:r>
          </w:p>
        </w:tc>
        <w:tc>
          <w:tcPr>
            <w:tcW w:w="974" w:type="pct"/>
            <w:noWrap w:val="0"/>
            <w:vAlign w:val="center"/>
          </w:tcPr>
          <w:p>
            <w:pPr>
              <w:widowControl w:val="0"/>
              <w:spacing w:line="360" w:lineRule="exact"/>
              <w:ind w:firstLine="0" w:firstLineChars="0"/>
              <w:jc w:val="center"/>
              <w:rPr>
                <w:rFonts w:ascii="宋体" w:hAnsi="宋体" w:eastAsia="宋体" w:cs="Times New Roman"/>
                <w:b/>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09" w:type="pct"/>
            <w:noWrap w:val="0"/>
            <w:vAlign w:val="center"/>
          </w:tcPr>
          <w:p>
            <w:pPr>
              <w:widowControl w:val="0"/>
              <w:spacing w:line="360" w:lineRule="exact"/>
              <w:ind w:firstLine="0" w:firstLineChars="0"/>
              <w:jc w:val="center"/>
              <w:rPr>
                <w:rFonts w:hint="default" w:ascii="宋体" w:hAnsi="宋体" w:eastAsia="宋体" w:cs="Times New Roman"/>
                <w:b w:val="0"/>
                <w:bCs/>
                <w:kern w:val="2"/>
                <w:sz w:val="20"/>
                <w:szCs w:val="20"/>
                <w:lang w:val="en-US" w:eastAsia="zh-CN" w:bidi="ar-SA"/>
              </w:rPr>
            </w:pPr>
            <w:r>
              <w:rPr>
                <w:rFonts w:hint="eastAsia" w:ascii="宋体" w:hAnsi="宋体" w:cs="Times New Roman"/>
                <w:b w:val="0"/>
                <w:bCs/>
                <w:kern w:val="2"/>
                <w:sz w:val="20"/>
                <w:szCs w:val="20"/>
                <w:lang w:val="en-US" w:eastAsia="zh-CN" w:bidi="ar-SA"/>
              </w:rPr>
              <w:t>9</w:t>
            </w:r>
          </w:p>
        </w:tc>
        <w:tc>
          <w:tcPr>
            <w:tcW w:w="3416" w:type="pct"/>
            <w:noWrap w:val="0"/>
            <w:vAlign w:val="center"/>
          </w:tcPr>
          <w:p>
            <w:pPr>
              <w:widowControl w:val="0"/>
              <w:spacing w:line="360" w:lineRule="exact"/>
              <w:ind w:firstLine="0" w:firstLineChars="0"/>
              <w:jc w:val="center"/>
              <w:rPr>
                <w:rFonts w:ascii="宋体" w:hAnsi="宋体" w:eastAsia="宋体" w:cs="Times New Roman"/>
                <w:b/>
                <w:kern w:val="2"/>
                <w:sz w:val="20"/>
                <w:szCs w:val="20"/>
                <w:lang w:val="en-US" w:eastAsia="zh-CN" w:bidi="ar-SA"/>
              </w:rPr>
            </w:pPr>
            <w:r>
              <w:rPr>
                <w:rFonts w:hint="eastAsia" w:ascii="宋体" w:hAnsi="宋体" w:eastAsia="宋体" w:cs="宋体"/>
              </w:rPr>
              <w:t>轻症疾病</w:t>
            </w:r>
          </w:p>
        </w:tc>
        <w:tc>
          <w:tcPr>
            <w:tcW w:w="974" w:type="pct"/>
            <w:noWrap w:val="0"/>
            <w:vAlign w:val="center"/>
          </w:tcPr>
          <w:p>
            <w:pPr>
              <w:widowControl w:val="0"/>
              <w:spacing w:line="360" w:lineRule="exact"/>
              <w:ind w:firstLine="0" w:firstLineChars="0"/>
              <w:jc w:val="center"/>
              <w:rPr>
                <w:rFonts w:ascii="宋体" w:hAnsi="宋体" w:eastAsia="宋体" w:cs="Times New Roman"/>
                <w:b/>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609" w:type="pct"/>
            <w:noWrap w:val="0"/>
            <w:vAlign w:val="center"/>
          </w:tcPr>
          <w:p>
            <w:pPr>
              <w:widowControl w:val="0"/>
              <w:spacing w:line="360" w:lineRule="exact"/>
              <w:ind w:firstLine="0" w:firstLineChars="0"/>
              <w:jc w:val="center"/>
              <w:rPr>
                <w:rFonts w:hint="default" w:ascii="宋体" w:hAnsi="宋体" w:eastAsia="宋体" w:cs="Times New Roman"/>
                <w:b w:val="0"/>
                <w:bCs/>
                <w:kern w:val="2"/>
                <w:sz w:val="20"/>
                <w:szCs w:val="20"/>
                <w:lang w:val="en-US" w:eastAsia="zh-CN" w:bidi="ar-SA"/>
              </w:rPr>
            </w:pPr>
            <w:r>
              <w:rPr>
                <w:rFonts w:hint="eastAsia" w:ascii="宋体" w:hAnsi="宋体" w:cs="Times New Roman"/>
                <w:b w:val="0"/>
                <w:bCs/>
                <w:kern w:val="2"/>
                <w:sz w:val="20"/>
                <w:szCs w:val="20"/>
                <w:lang w:val="en-US" w:eastAsia="zh-CN" w:bidi="ar-SA"/>
              </w:rPr>
              <w:t>10</w:t>
            </w:r>
          </w:p>
        </w:tc>
        <w:tc>
          <w:tcPr>
            <w:tcW w:w="3416" w:type="pct"/>
            <w:noWrap w:val="0"/>
            <w:vAlign w:val="center"/>
          </w:tcPr>
          <w:p>
            <w:pPr>
              <w:widowControl w:val="0"/>
              <w:spacing w:line="360" w:lineRule="exact"/>
              <w:ind w:firstLine="0" w:firstLineChars="0"/>
              <w:jc w:val="center"/>
              <w:rPr>
                <w:rFonts w:ascii="宋体" w:hAnsi="宋体" w:eastAsia="宋体" w:cs="Times New Roman"/>
                <w:b/>
                <w:kern w:val="2"/>
                <w:sz w:val="20"/>
                <w:szCs w:val="20"/>
                <w:lang w:val="en-US" w:eastAsia="zh-CN" w:bidi="ar-SA"/>
              </w:rPr>
            </w:pPr>
            <w:r>
              <w:rPr>
                <w:rFonts w:hint="eastAsia" w:ascii="宋体" w:hAnsi="宋体" w:cs="宋体"/>
              </w:rPr>
              <w:t>公共交通工具意外伤害(死亡、伤残)</w:t>
            </w:r>
          </w:p>
        </w:tc>
        <w:tc>
          <w:tcPr>
            <w:tcW w:w="974" w:type="pct"/>
            <w:noWrap w:val="0"/>
            <w:vAlign w:val="center"/>
          </w:tcPr>
          <w:p>
            <w:pPr>
              <w:widowControl w:val="0"/>
              <w:spacing w:line="360" w:lineRule="exact"/>
              <w:ind w:firstLine="0" w:firstLineChars="0"/>
              <w:jc w:val="center"/>
              <w:rPr>
                <w:rFonts w:ascii="宋体" w:hAnsi="宋体" w:eastAsia="宋体" w:cs="Times New Roman"/>
                <w:b/>
                <w:kern w:val="2"/>
                <w:sz w:val="20"/>
                <w:szCs w:val="20"/>
                <w:lang w:val="en-US" w:eastAsia="zh-CN" w:bidi="ar-SA"/>
              </w:rPr>
            </w:pPr>
          </w:p>
        </w:tc>
      </w:tr>
    </w:tbl>
    <w:p>
      <w:pPr>
        <w:spacing w:line="360" w:lineRule="auto"/>
        <w:rPr>
          <w:rFonts w:hint="eastAsia" w:ascii="宋体" w:hAnsi="宋体" w:cs="Arial"/>
          <w:b/>
          <w:bCs/>
          <w:snapToGrid/>
          <w:color w:val="auto"/>
          <w:sz w:val="21"/>
          <w:szCs w:val="21"/>
          <w:lang w:eastAsia="zh-CN"/>
        </w:rPr>
      </w:pPr>
      <w:r>
        <w:rPr>
          <w:rFonts w:hint="eastAsia" w:ascii="宋体" w:hAnsi="宋体" w:cs="Arial"/>
          <w:b/>
          <w:bCs/>
          <w:snapToGrid/>
          <w:color w:val="auto"/>
          <w:sz w:val="21"/>
          <w:szCs w:val="21"/>
          <w:lang w:eastAsia="zh-CN"/>
        </w:rPr>
        <w:t>说明：</w:t>
      </w:r>
    </w:p>
    <w:p>
      <w:pPr>
        <w:spacing w:line="360" w:lineRule="auto"/>
        <w:rPr>
          <w:rFonts w:hint="eastAsia" w:ascii="宋体" w:hAnsi="宋体" w:eastAsia="宋体" w:cs="Arial"/>
          <w:b/>
          <w:bCs/>
          <w:snapToGrid/>
          <w:color w:val="auto"/>
          <w:sz w:val="21"/>
          <w:szCs w:val="21"/>
        </w:rPr>
      </w:pPr>
      <w:r>
        <w:rPr>
          <w:rFonts w:hint="eastAsia" w:ascii="宋体" w:hAnsi="宋体" w:cs="Arial"/>
          <w:b/>
          <w:bCs/>
          <w:snapToGrid/>
          <w:color w:val="auto"/>
          <w:sz w:val="21"/>
          <w:szCs w:val="21"/>
          <w:lang w:val="en-US" w:eastAsia="zh-CN"/>
        </w:rPr>
        <w:t>1.</w:t>
      </w:r>
      <w:r>
        <w:rPr>
          <w:rFonts w:hint="eastAsia" w:ascii="宋体" w:hAnsi="宋体" w:eastAsia="宋体" w:cs="Arial"/>
          <w:b/>
          <w:bCs/>
          <w:snapToGrid/>
          <w:color w:val="auto"/>
          <w:sz w:val="21"/>
          <w:szCs w:val="21"/>
        </w:rPr>
        <w:t>每一类保障项目仅能出现一个优化额度，不得针对不同的方案出具不同的优化额度(出现不同优化额度的不计得分)，如多款保险方案同时包含该类保障项目，则该保障项目优化额度自动适用于含有该类项目的保险方案。</w:t>
      </w:r>
    </w:p>
    <w:p>
      <w:pPr>
        <w:spacing w:line="360" w:lineRule="auto"/>
        <w:rPr>
          <w:rFonts w:hint="eastAsia" w:ascii="宋体" w:hAnsi="宋体" w:eastAsia="宋体" w:cs="Arial"/>
          <w:b/>
          <w:bCs/>
          <w:snapToGrid/>
          <w:color w:val="auto"/>
          <w:sz w:val="21"/>
          <w:szCs w:val="21"/>
        </w:rPr>
      </w:pPr>
      <w:r>
        <w:rPr>
          <w:rFonts w:hint="eastAsia" w:ascii="宋体" w:hAnsi="宋体" w:cs="Arial"/>
          <w:b/>
          <w:bCs/>
          <w:snapToGrid/>
          <w:color w:val="auto"/>
          <w:sz w:val="21"/>
          <w:szCs w:val="21"/>
          <w:lang w:val="en-US" w:eastAsia="zh-CN"/>
        </w:rPr>
        <w:t>2.</w:t>
      </w:r>
      <w:r>
        <w:rPr>
          <w:rFonts w:hint="eastAsia" w:ascii="宋体" w:hAnsi="宋体" w:eastAsia="宋体" w:cs="Arial"/>
          <w:b/>
          <w:bCs/>
          <w:snapToGrid/>
          <w:color w:val="auto"/>
          <w:sz w:val="21"/>
          <w:szCs w:val="21"/>
        </w:rPr>
        <w:t>优化额度=优化后保障额度-原有保障额度</w:t>
      </w:r>
    </w:p>
    <w:p>
      <w:pPr>
        <w:pStyle w:val="4"/>
        <w:tabs>
          <w:tab w:val="left" w:pos="418"/>
        </w:tabs>
        <w:jc w:val="left"/>
        <w:rPr>
          <w:rFonts w:hint="eastAsia" w:eastAsia="宋体"/>
          <w:lang w:eastAsia="zh-CN"/>
        </w:rPr>
      </w:pPr>
    </w:p>
    <w:p>
      <w:pPr>
        <w:tabs>
          <w:tab w:val="left" w:pos="8248"/>
          <w:tab w:val="left" w:pos="9368"/>
        </w:tabs>
        <w:spacing w:line="360" w:lineRule="auto"/>
      </w:pPr>
      <w:r>
        <w:rPr>
          <w:rFonts w:hint="eastAsia"/>
        </w:rPr>
        <w:t>附表</w:t>
      </w:r>
      <w:r>
        <w:rPr>
          <w:rFonts w:hint="eastAsia"/>
          <w:lang w:val="en-US" w:eastAsia="zh-CN"/>
        </w:rPr>
        <w:t>2</w:t>
      </w:r>
      <w:r>
        <w:rPr>
          <w:rFonts w:hint="eastAsia"/>
        </w:rPr>
        <w:t>：</w:t>
      </w:r>
    </w:p>
    <w:p>
      <w:pPr>
        <w:pStyle w:val="54"/>
        <w:jc w:val="center"/>
        <w:rPr>
          <w:rFonts w:ascii="仿宋" w:hAnsi="仿宋" w:eastAsia="仿宋"/>
          <w:b/>
          <w:snapToGrid w:val="0"/>
          <w:sz w:val="28"/>
          <w:szCs w:val="28"/>
        </w:rPr>
      </w:pPr>
      <w:r>
        <w:rPr>
          <w:rFonts w:hint="eastAsia" w:ascii="仿宋" w:hAnsi="仿宋" w:eastAsia="仿宋"/>
          <w:b/>
          <w:snapToGrid w:val="0"/>
          <w:sz w:val="28"/>
          <w:szCs w:val="28"/>
        </w:rPr>
        <w:t>项目人员情况一览表</w:t>
      </w:r>
    </w:p>
    <w:p/>
    <w:tbl>
      <w:tblPr>
        <w:tblStyle w:val="2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4" w:type="dxa"/>
          <w:bottom w:w="0" w:type="dxa"/>
          <w:right w:w="54" w:type="dxa"/>
        </w:tblCellMar>
      </w:tblPr>
      <w:tblGrid>
        <w:gridCol w:w="705"/>
        <w:gridCol w:w="1491"/>
        <w:gridCol w:w="851"/>
        <w:gridCol w:w="567"/>
        <w:gridCol w:w="1308"/>
        <w:gridCol w:w="1544"/>
        <w:gridCol w:w="1260"/>
        <w:gridCol w:w="162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402" w:hRule="atLeast"/>
          <w:jc w:val="center"/>
        </w:trPr>
        <w:tc>
          <w:tcPr>
            <w:tcW w:w="705" w:type="dxa"/>
            <w:vAlign w:val="center"/>
          </w:tcPr>
          <w:p>
            <w:pPr>
              <w:jc w:val="center"/>
              <w:rPr>
                <w:rFonts w:ascii="宋体" w:hAnsi="宋体" w:cs="Courier New"/>
                <w:snapToGrid w:val="0"/>
                <w:szCs w:val="21"/>
              </w:rPr>
            </w:pPr>
            <w:r>
              <w:rPr>
                <w:rFonts w:hint="eastAsia" w:ascii="宋体" w:hAnsi="宋体" w:cs="Courier New"/>
                <w:snapToGrid w:val="0"/>
                <w:szCs w:val="21"/>
              </w:rPr>
              <w:t>序号</w:t>
            </w:r>
          </w:p>
        </w:tc>
        <w:tc>
          <w:tcPr>
            <w:tcW w:w="1491" w:type="dxa"/>
            <w:vAlign w:val="center"/>
          </w:tcPr>
          <w:p>
            <w:pPr>
              <w:jc w:val="center"/>
              <w:rPr>
                <w:rFonts w:ascii="宋体" w:hAnsi="宋体" w:cs="Courier New"/>
                <w:snapToGrid w:val="0"/>
                <w:szCs w:val="21"/>
              </w:rPr>
            </w:pPr>
            <w:r>
              <w:rPr>
                <w:rFonts w:hint="eastAsia" w:ascii="宋体" w:hAnsi="宋体" w:cs="Courier New"/>
                <w:snapToGrid w:val="0"/>
                <w:szCs w:val="21"/>
              </w:rPr>
              <w:t>项目</w:t>
            </w:r>
          </w:p>
        </w:tc>
        <w:tc>
          <w:tcPr>
            <w:tcW w:w="851" w:type="dxa"/>
            <w:vAlign w:val="center"/>
          </w:tcPr>
          <w:p>
            <w:pPr>
              <w:jc w:val="center"/>
              <w:rPr>
                <w:rFonts w:ascii="宋体" w:hAnsi="宋体" w:cs="Courier New"/>
                <w:snapToGrid w:val="0"/>
                <w:szCs w:val="21"/>
              </w:rPr>
            </w:pPr>
            <w:r>
              <w:rPr>
                <w:rFonts w:hint="eastAsia" w:ascii="宋体" w:hAnsi="宋体" w:cs="Courier New"/>
                <w:snapToGrid w:val="0"/>
                <w:szCs w:val="21"/>
              </w:rPr>
              <w:t>姓名</w:t>
            </w:r>
          </w:p>
        </w:tc>
        <w:tc>
          <w:tcPr>
            <w:tcW w:w="567" w:type="dxa"/>
            <w:vAlign w:val="center"/>
          </w:tcPr>
          <w:p>
            <w:pPr>
              <w:jc w:val="center"/>
              <w:rPr>
                <w:rFonts w:ascii="宋体" w:hAnsi="宋体" w:cs="Courier New"/>
                <w:snapToGrid w:val="0"/>
                <w:szCs w:val="21"/>
              </w:rPr>
            </w:pPr>
            <w:r>
              <w:rPr>
                <w:rFonts w:hint="eastAsia" w:ascii="宋体" w:hAnsi="宋体" w:cs="Courier New"/>
                <w:snapToGrid w:val="0"/>
                <w:szCs w:val="21"/>
              </w:rPr>
              <w:t>学历</w:t>
            </w:r>
          </w:p>
        </w:tc>
        <w:tc>
          <w:tcPr>
            <w:tcW w:w="1308" w:type="dxa"/>
            <w:vAlign w:val="center"/>
          </w:tcPr>
          <w:p>
            <w:pPr>
              <w:jc w:val="center"/>
              <w:rPr>
                <w:rFonts w:ascii="宋体" w:hAnsi="宋体" w:cs="Courier New"/>
                <w:snapToGrid w:val="0"/>
                <w:szCs w:val="21"/>
              </w:rPr>
            </w:pPr>
            <w:r>
              <w:rPr>
                <w:rFonts w:hint="eastAsia" w:ascii="宋体" w:hAnsi="宋体" w:cs="Courier New"/>
                <w:snapToGrid w:val="0"/>
                <w:szCs w:val="21"/>
              </w:rPr>
              <w:t>岗位及职务</w:t>
            </w:r>
          </w:p>
        </w:tc>
        <w:tc>
          <w:tcPr>
            <w:tcW w:w="1544" w:type="dxa"/>
            <w:vAlign w:val="center"/>
          </w:tcPr>
          <w:p>
            <w:pPr>
              <w:ind w:right="-53" w:rightChars="-25"/>
              <w:jc w:val="center"/>
              <w:rPr>
                <w:rFonts w:ascii="宋体" w:hAnsi="宋体" w:cs="Courier New"/>
                <w:snapToGrid w:val="0"/>
                <w:szCs w:val="21"/>
              </w:rPr>
            </w:pPr>
            <w:r>
              <w:rPr>
                <w:rFonts w:hint="eastAsia" w:ascii="宋体" w:hAnsi="宋体" w:cs="Courier New"/>
                <w:snapToGrid w:val="0"/>
                <w:szCs w:val="21"/>
              </w:rPr>
              <w:t>持何种资格证件</w:t>
            </w:r>
          </w:p>
        </w:tc>
        <w:tc>
          <w:tcPr>
            <w:tcW w:w="1260" w:type="dxa"/>
            <w:vAlign w:val="center"/>
          </w:tcPr>
          <w:p>
            <w:pPr>
              <w:jc w:val="center"/>
              <w:rPr>
                <w:rFonts w:ascii="宋体" w:hAnsi="宋体" w:cs="Courier New"/>
                <w:snapToGrid w:val="0"/>
                <w:szCs w:val="21"/>
              </w:rPr>
            </w:pPr>
            <w:r>
              <w:rPr>
                <w:rFonts w:hint="eastAsia" w:ascii="宋体" w:hAnsi="宋体" w:cs="Courier New"/>
                <w:snapToGrid w:val="0"/>
                <w:szCs w:val="21"/>
              </w:rPr>
              <w:t>发证时间</w:t>
            </w:r>
          </w:p>
        </w:tc>
        <w:tc>
          <w:tcPr>
            <w:tcW w:w="1620" w:type="dxa"/>
            <w:vAlign w:val="center"/>
          </w:tcPr>
          <w:p>
            <w:pPr>
              <w:jc w:val="center"/>
              <w:rPr>
                <w:rFonts w:ascii="宋体" w:hAnsi="宋体" w:cs="Courier New"/>
                <w:snapToGrid w:val="0"/>
                <w:szCs w:val="21"/>
              </w:rPr>
            </w:pPr>
            <w:r>
              <w:rPr>
                <w:rFonts w:hint="eastAsia" w:ascii="宋体" w:hAnsi="宋体" w:cs="Courier New"/>
                <w:snapToGrid w:val="0"/>
                <w:szCs w:val="21"/>
              </w:rPr>
              <w:t>工作经验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680" w:hRule="exact"/>
          <w:jc w:val="center"/>
        </w:trPr>
        <w:tc>
          <w:tcPr>
            <w:tcW w:w="705" w:type="dxa"/>
            <w:vAlign w:val="center"/>
          </w:tcPr>
          <w:p>
            <w:pPr>
              <w:jc w:val="center"/>
              <w:rPr>
                <w:rFonts w:ascii="宋体" w:hAnsi="宋体" w:cs="Courier New"/>
                <w:snapToGrid w:val="0"/>
                <w:szCs w:val="21"/>
              </w:rPr>
            </w:pPr>
            <w:r>
              <w:rPr>
                <w:rFonts w:ascii="宋体" w:hAnsi="宋体" w:cs="Courier New"/>
                <w:snapToGrid w:val="0"/>
                <w:szCs w:val="21"/>
              </w:rPr>
              <w:t>1</w:t>
            </w:r>
          </w:p>
        </w:tc>
        <w:tc>
          <w:tcPr>
            <w:tcW w:w="1491" w:type="dxa"/>
            <w:vAlign w:val="center"/>
          </w:tcPr>
          <w:p>
            <w:pPr>
              <w:jc w:val="center"/>
              <w:rPr>
                <w:rFonts w:ascii="宋体" w:hAnsi="宋体" w:cs="Courier New"/>
                <w:snapToGrid w:val="0"/>
                <w:szCs w:val="21"/>
              </w:rPr>
            </w:pPr>
            <w:r>
              <w:rPr>
                <w:rFonts w:hint="eastAsia" w:ascii="宋体" w:hAnsi="宋体" w:cs="Courier New"/>
                <w:snapToGrid w:val="0"/>
                <w:szCs w:val="21"/>
              </w:rPr>
              <w:t>项目负责人</w:t>
            </w:r>
          </w:p>
        </w:tc>
        <w:tc>
          <w:tcPr>
            <w:tcW w:w="851" w:type="dxa"/>
            <w:vAlign w:val="center"/>
          </w:tcPr>
          <w:p>
            <w:pPr>
              <w:rPr>
                <w:rFonts w:ascii="宋体" w:hAnsi="宋体" w:cs="Courier New"/>
                <w:snapToGrid w:val="0"/>
                <w:szCs w:val="21"/>
              </w:rPr>
            </w:pPr>
          </w:p>
        </w:tc>
        <w:tc>
          <w:tcPr>
            <w:tcW w:w="567" w:type="dxa"/>
            <w:vAlign w:val="center"/>
          </w:tcPr>
          <w:p>
            <w:pPr>
              <w:rPr>
                <w:rFonts w:ascii="宋体" w:hAnsi="宋体" w:cs="Courier New"/>
                <w:snapToGrid w:val="0"/>
                <w:szCs w:val="21"/>
              </w:rPr>
            </w:pPr>
          </w:p>
        </w:tc>
        <w:tc>
          <w:tcPr>
            <w:tcW w:w="1308" w:type="dxa"/>
            <w:vAlign w:val="center"/>
          </w:tcPr>
          <w:p>
            <w:pPr>
              <w:rPr>
                <w:rFonts w:ascii="宋体" w:hAnsi="宋体" w:cs="Courier New"/>
                <w:snapToGrid w:val="0"/>
                <w:szCs w:val="21"/>
              </w:rPr>
            </w:pPr>
          </w:p>
        </w:tc>
        <w:tc>
          <w:tcPr>
            <w:tcW w:w="1544" w:type="dxa"/>
            <w:vAlign w:val="center"/>
          </w:tcPr>
          <w:p>
            <w:pPr>
              <w:rPr>
                <w:rFonts w:ascii="宋体" w:hAnsi="宋体" w:cs="Courier New"/>
                <w:snapToGrid w:val="0"/>
                <w:szCs w:val="21"/>
              </w:rPr>
            </w:pPr>
          </w:p>
        </w:tc>
        <w:tc>
          <w:tcPr>
            <w:tcW w:w="1260" w:type="dxa"/>
            <w:vAlign w:val="center"/>
          </w:tcPr>
          <w:p>
            <w:pPr>
              <w:rPr>
                <w:rFonts w:ascii="宋体" w:hAnsi="宋体" w:cs="Courier New"/>
                <w:snapToGrid w:val="0"/>
                <w:szCs w:val="21"/>
              </w:rPr>
            </w:pPr>
          </w:p>
        </w:tc>
        <w:tc>
          <w:tcPr>
            <w:tcW w:w="1620" w:type="dxa"/>
            <w:vAlign w:val="center"/>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2</w:t>
            </w:r>
          </w:p>
        </w:tc>
        <w:tc>
          <w:tcPr>
            <w:tcW w:w="1491" w:type="dxa"/>
            <w:vMerge w:val="restart"/>
            <w:vAlign w:val="center"/>
          </w:tcPr>
          <w:p>
            <w:pPr>
              <w:jc w:val="center"/>
              <w:rPr>
                <w:rFonts w:ascii="宋体" w:hAnsi="宋体" w:cs="Courier New"/>
                <w:snapToGrid w:val="0"/>
                <w:szCs w:val="21"/>
              </w:rPr>
            </w:pPr>
            <w:r>
              <w:rPr>
                <w:rFonts w:hint="eastAsia" w:ascii="宋体" w:hAnsi="宋体" w:cs="Courier New"/>
                <w:snapToGrid w:val="0"/>
                <w:szCs w:val="21"/>
              </w:rPr>
              <w:t>项目团队成员</w:t>
            </w: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3</w:t>
            </w:r>
          </w:p>
        </w:tc>
        <w:tc>
          <w:tcPr>
            <w:tcW w:w="1491" w:type="dxa"/>
            <w:vMerge w:val="continue"/>
          </w:tcPr>
          <w:p>
            <w:pPr>
              <w:jc w:val="center"/>
              <w:rPr>
                <w:rFonts w:ascii="宋体" w:hAnsi="宋体" w:cs="Courier New"/>
                <w:snapToGrid w:val="0"/>
                <w:szCs w:val="21"/>
              </w:rPr>
            </w:pP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4</w:t>
            </w:r>
          </w:p>
        </w:tc>
        <w:tc>
          <w:tcPr>
            <w:tcW w:w="1491" w:type="dxa"/>
            <w:vMerge w:val="continue"/>
          </w:tcPr>
          <w:p>
            <w:pPr>
              <w:jc w:val="center"/>
              <w:rPr>
                <w:rFonts w:ascii="宋体" w:hAnsi="宋体" w:cs="Courier New"/>
                <w:snapToGrid w:val="0"/>
                <w:szCs w:val="21"/>
              </w:rPr>
            </w:pP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5</w:t>
            </w:r>
          </w:p>
        </w:tc>
        <w:tc>
          <w:tcPr>
            <w:tcW w:w="1491" w:type="dxa"/>
            <w:vMerge w:val="continue"/>
          </w:tcPr>
          <w:p>
            <w:pPr>
              <w:jc w:val="center"/>
              <w:rPr>
                <w:rFonts w:ascii="宋体" w:hAnsi="宋体" w:cs="Courier New"/>
                <w:snapToGrid w:val="0"/>
                <w:szCs w:val="21"/>
              </w:rPr>
            </w:pP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6</w:t>
            </w:r>
          </w:p>
        </w:tc>
        <w:tc>
          <w:tcPr>
            <w:tcW w:w="1491" w:type="dxa"/>
            <w:vMerge w:val="continue"/>
          </w:tcPr>
          <w:p>
            <w:pPr>
              <w:jc w:val="center"/>
              <w:rPr>
                <w:rFonts w:ascii="宋体" w:hAnsi="宋体" w:cs="Courier New"/>
                <w:snapToGrid w:val="0"/>
                <w:szCs w:val="21"/>
              </w:rPr>
            </w:pP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7</w:t>
            </w:r>
          </w:p>
        </w:tc>
        <w:tc>
          <w:tcPr>
            <w:tcW w:w="1491" w:type="dxa"/>
            <w:vMerge w:val="continue"/>
          </w:tcPr>
          <w:p>
            <w:pPr>
              <w:jc w:val="center"/>
              <w:rPr>
                <w:rFonts w:ascii="宋体" w:hAnsi="宋体" w:cs="Courier New"/>
                <w:snapToGrid w:val="0"/>
                <w:szCs w:val="21"/>
              </w:rPr>
            </w:pP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8</w:t>
            </w:r>
          </w:p>
        </w:tc>
        <w:tc>
          <w:tcPr>
            <w:tcW w:w="1491" w:type="dxa"/>
            <w:vMerge w:val="continue"/>
          </w:tcPr>
          <w:p>
            <w:pPr>
              <w:jc w:val="center"/>
              <w:rPr>
                <w:rFonts w:ascii="宋体" w:hAnsi="宋体" w:cs="Courier New"/>
                <w:snapToGrid w:val="0"/>
                <w:szCs w:val="21"/>
              </w:rPr>
            </w:pP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9</w:t>
            </w:r>
          </w:p>
        </w:tc>
        <w:tc>
          <w:tcPr>
            <w:tcW w:w="1491" w:type="dxa"/>
            <w:vMerge w:val="continue"/>
          </w:tcPr>
          <w:p>
            <w:pPr>
              <w:jc w:val="center"/>
              <w:rPr>
                <w:rFonts w:ascii="宋体" w:hAnsi="宋体" w:cs="Courier New"/>
                <w:snapToGrid w:val="0"/>
                <w:szCs w:val="21"/>
              </w:rPr>
            </w:pP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bl>
    <w:p>
      <w:pPr>
        <w:autoSpaceDE w:val="0"/>
        <w:autoSpaceDN w:val="0"/>
        <w:adjustRightInd w:val="0"/>
        <w:spacing w:line="360" w:lineRule="auto"/>
        <w:rPr>
          <w:rFonts w:ascii="宋体" w:hAnsi="宋体"/>
          <w:szCs w:val="21"/>
          <w:lang w:val="zh-CN"/>
        </w:rPr>
      </w:pPr>
      <w:r>
        <w:rPr>
          <w:rFonts w:hint="eastAsia" w:ascii="宋体" w:hAnsi="宋体"/>
          <w:szCs w:val="21"/>
          <w:lang w:val="zh-CN"/>
        </w:rPr>
        <w:t xml:space="preserve">注： </w:t>
      </w:r>
    </w:p>
    <w:p>
      <w:pPr>
        <w:tabs>
          <w:tab w:val="left" w:pos="170"/>
        </w:tabs>
        <w:autoSpaceDE w:val="0"/>
        <w:autoSpaceDN w:val="0"/>
        <w:adjustRightInd w:val="0"/>
        <w:spacing w:line="360" w:lineRule="auto"/>
        <w:ind w:firstLine="210" w:firstLineChars="100"/>
        <w:rPr>
          <w:rFonts w:ascii="宋体" w:hAnsi="宋体"/>
          <w:szCs w:val="21"/>
          <w:lang w:val="zh-CN"/>
        </w:rPr>
      </w:pPr>
      <w:r>
        <w:rPr>
          <w:rFonts w:hint="eastAsia" w:ascii="宋体" w:hAnsi="宋体"/>
          <w:szCs w:val="21"/>
          <w:lang w:val="zh-CN"/>
        </w:rPr>
        <w:t>1、填写时，如本表格不适合投标单位的实际情况，可根据本表格格式自行划表填写。</w:t>
      </w:r>
    </w:p>
    <w:p>
      <w:pPr>
        <w:tabs>
          <w:tab w:val="left" w:pos="170"/>
        </w:tabs>
        <w:autoSpaceDE w:val="0"/>
        <w:autoSpaceDN w:val="0"/>
        <w:adjustRightInd w:val="0"/>
        <w:spacing w:line="360" w:lineRule="auto"/>
        <w:ind w:firstLine="210" w:firstLineChars="100"/>
        <w:rPr>
          <w:rFonts w:ascii="宋体" w:hAnsi="宋体"/>
          <w:szCs w:val="21"/>
          <w:lang w:val="zh-CN"/>
        </w:rPr>
      </w:pPr>
      <w:r>
        <w:rPr>
          <w:rFonts w:hint="eastAsia" w:ascii="宋体" w:hAnsi="宋体"/>
          <w:szCs w:val="21"/>
          <w:lang w:val="zh-CN"/>
        </w:rPr>
        <w:t>2、有关人员简历及资格证书及其它证明材料（复印件或扫描件加盖公章）需附在本表之后。</w:t>
      </w:r>
    </w:p>
    <w:p>
      <w:pPr>
        <w:tabs>
          <w:tab w:val="left" w:pos="170"/>
        </w:tabs>
        <w:autoSpaceDE w:val="0"/>
        <w:autoSpaceDN w:val="0"/>
        <w:adjustRightInd w:val="0"/>
        <w:spacing w:line="360" w:lineRule="auto"/>
        <w:ind w:firstLine="210" w:firstLineChars="100"/>
        <w:rPr>
          <w:rFonts w:ascii="宋体" w:hAnsi="宋体"/>
          <w:szCs w:val="21"/>
          <w:lang w:val="zh-CN"/>
        </w:rPr>
      </w:pPr>
      <w:r>
        <w:rPr>
          <w:rFonts w:hint="eastAsia" w:ascii="宋体" w:hAnsi="宋体"/>
          <w:szCs w:val="21"/>
          <w:lang w:val="zh-CN"/>
        </w:rPr>
        <w:t>3、本表格所要求填写的人员是指投标单位将安排在此项目的具体人员。</w:t>
      </w:r>
    </w:p>
    <w:p>
      <w:pPr>
        <w:spacing w:line="360" w:lineRule="auto"/>
        <w:rPr>
          <w:rFonts w:cs="Courier New"/>
          <w:snapToGrid w:val="0"/>
          <w:szCs w:val="18"/>
        </w:rPr>
      </w:pPr>
    </w:p>
    <w:p>
      <w:pPr>
        <w:spacing w:line="360" w:lineRule="auto"/>
        <w:rPr>
          <w:rFonts w:cs="Courier New"/>
          <w:snapToGrid w:val="0"/>
          <w:szCs w:val="18"/>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法定代表人或其授权代表：（签字或盖章）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wordWrap w:val="0"/>
        <w:adjustRightInd w:val="0"/>
        <w:snapToGrid w:val="0"/>
        <w:spacing w:line="300" w:lineRule="auto"/>
        <w:jc w:val="right"/>
        <w:rPr>
          <w:snapToGrid w:val="0"/>
          <w:kern w:val="0"/>
        </w:rPr>
      </w:pPr>
      <w:r>
        <w:rPr>
          <w:rFonts w:hint="eastAsia"/>
          <w:snapToGrid w:val="0"/>
          <w:kern w:val="0"/>
        </w:rPr>
        <w:t>年    月   日</w:t>
      </w: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br w:type="page"/>
      </w:r>
    </w:p>
    <w:p>
      <w:pPr>
        <w:tabs>
          <w:tab w:val="left" w:pos="170"/>
        </w:tabs>
        <w:autoSpaceDE w:val="0"/>
        <w:autoSpaceDN w:val="0"/>
        <w:adjustRightInd w:val="0"/>
        <w:spacing w:line="360" w:lineRule="auto"/>
        <w:ind w:firstLine="320" w:firstLineChars="100"/>
        <w:jc w:val="center"/>
        <w:rPr>
          <w:rFonts w:cs="仿宋" w:asciiTheme="minorEastAsia" w:hAnsiTheme="minorEastAsia" w:eastAsiaTheme="minorEastAsia"/>
        </w:rPr>
      </w:pPr>
      <w:r>
        <w:rPr>
          <w:rFonts w:hint="eastAsia" w:cs="仿宋" w:asciiTheme="minorEastAsia" w:hAnsiTheme="minorEastAsia" w:eastAsiaTheme="minorEastAsia"/>
          <w:sz w:val="32"/>
          <w:szCs w:val="32"/>
        </w:rPr>
        <w:t>格式7  投标人情况介绍</w:t>
      </w:r>
    </w:p>
    <w:p>
      <w:pPr>
        <w:rPr>
          <w:rFonts w:cs="仿宋" w:asciiTheme="minorEastAsia" w:hAnsiTheme="minorEastAsia" w:eastAsiaTheme="minorEastAsia"/>
        </w:rPr>
      </w:pPr>
    </w:p>
    <w:p>
      <w:pPr>
        <w:adjustRightInd w:val="0"/>
        <w:snapToGrid w:val="0"/>
        <w:spacing w:line="360" w:lineRule="auto"/>
        <w:rPr>
          <w:rFonts w:ascii="宋体" w:hAnsi="宋体"/>
          <w:bCs/>
          <w:snapToGrid w:val="0"/>
          <w:kern w:val="0"/>
        </w:rPr>
      </w:pPr>
    </w:p>
    <w:p>
      <w:pPr>
        <w:adjustRightInd w:val="0"/>
        <w:snapToGrid w:val="0"/>
        <w:spacing w:line="360" w:lineRule="auto"/>
        <w:rPr>
          <w:rFonts w:ascii="宋体" w:hAnsi="宋体"/>
          <w:bCs/>
          <w:snapToGrid w:val="0"/>
          <w:kern w:val="0"/>
        </w:rPr>
      </w:pPr>
      <w:r>
        <w:rPr>
          <w:rFonts w:ascii="宋体" w:hAnsi="宋体"/>
          <w:bCs/>
          <w:snapToGrid w:val="0"/>
          <w:kern w:val="0"/>
        </w:rPr>
        <w:t>1、</w:t>
      </w:r>
      <w:r>
        <w:rPr>
          <w:rFonts w:hint="eastAsia" w:ascii="宋体" w:hAnsi="宋体"/>
          <w:bCs/>
          <w:snapToGrid w:val="0"/>
          <w:kern w:val="0"/>
        </w:rPr>
        <w:t>投标人基本情况简介，格式自拟，包括但不限于经营范围、依法纳税记录等；</w:t>
      </w:r>
    </w:p>
    <w:p>
      <w:pPr>
        <w:adjustRightInd w:val="0"/>
        <w:snapToGrid w:val="0"/>
        <w:spacing w:line="360" w:lineRule="auto"/>
        <w:rPr>
          <w:rFonts w:ascii="宋体" w:hAnsi="宋体"/>
          <w:bCs/>
          <w:snapToGrid w:val="0"/>
          <w:kern w:val="0"/>
          <w:szCs w:val="21"/>
        </w:rPr>
      </w:pPr>
    </w:p>
    <w:p>
      <w:pPr>
        <w:adjustRightInd w:val="0"/>
        <w:snapToGrid w:val="0"/>
        <w:spacing w:line="360" w:lineRule="auto"/>
        <w:rPr>
          <w:rFonts w:ascii="宋体" w:hAnsi="宋体"/>
          <w:snapToGrid w:val="0"/>
          <w:kern w:val="0"/>
          <w:szCs w:val="21"/>
        </w:rPr>
      </w:pPr>
      <w:r>
        <w:rPr>
          <w:rFonts w:hint="eastAsia" w:ascii="宋体" w:hAnsi="宋体"/>
          <w:bCs/>
          <w:snapToGrid w:val="0"/>
          <w:kern w:val="0"/>
          <w:szCs w:val="21"/>
        </w:rPr>
        <w:t>2、</w:t>
      </w:r>
      <w:r>
        <w:rPr>
          <w:rFonts w:hint="eastAsia" w:ascii="宋体" w:hAnsi="宋体"/>
          <w:bCs/>
          <w:snapToGrid w:val="0"/>
          <w:kern w:val="0"/>
        </w:rPr>
        <w:t>投标人认为有必要提供的其他文件。</w:t>
      </w:r>
    </w:p>
    <w:p>
      <w:pPr>
        <w:adjustRightInd w:val="0"/>
        <w:snapToGrid w:val="0"/>
        <w:spacing w:line="360" w:lineRule="auto"/>
        <w:rPr>
          <w:bCs/>
          <w:snapToGrid w:val="0"/>
          <w:kern w:val="0"/>
        </w:rPr>
      </w:pPr>
    </w:p>
    <w:p>
      <w:pPr>
        <w:adjustRightInd w:val="0"/>
        <w:snapToGrid w:val="0"/>
        <w:spacing w:line="360" w:lineRule="auto"/>
        <w:rPr>
          <w:rFonts w:eastAsia="楷体_GB2312"/>
          <w:b/>
          <w:bCs/>
          <w:snapToGrid w:val="0"/>
          <w:kern w:val="0"/>
        </w:rPr>
      </w:pPr>
      <w:r>
        <w:rPr>
          <w:rFonts w:hint="eastAsia" w:eastAsia="楷体_GB2312"/>
          <w:b/>
          <w:bCs/>
          <w:snapToGrid w:val="0"/>
          <w:kern w:val="0"/>
        </w:rPr>
        <w:t>注：投标人提供的以上资料若为复印件或扫描件需加盖投标人公章</w:t>
      </w:r>
    </w:p>
    <w:p>
      <w:pPr>
        <w:pStyle w:val="7"/>
        <w:spacing w:before="0"/>
        <w:rPr>
          <w:rFonts w:ascii="宋体" w:hAnsi="宋体"/>
          <w:sz w:val="28"/>
        </w:rPr>
      </w:pPr>
    </w:p>
    <w:p>
      <w:pPr>
        <w:pStyle w:val="7"/>
        <w:spacing w:before="0"/>
        <w:rPr>
          <w:rFonts w:ascii="宋体" w:hAnsi="宋体"/>
          <w:b w:val="0"/>
          <w:bCs w:val="0"/>
          <w:sz w:val="28"/>
        </w:rPr>
      </w:pPr>
    </w:p>
    <w:p>
      <w:pPr>
        <w:rPr>
          <w:rFonts w:cs="仿宋" w:asciiTheme="minorEastAsia" w:hAnsiTheme="minorEastAsia" w:eastAsiaTheme="minorEastAsia"/>
          <w:sz w:val="28"/>
          <w:szCs w:val="32"/>
        </w:rPr>
      </w:pPr>
      <w:r>
        <w:rPr>
          <w:rFonts w:hint="eastAsia" w:cs="仿宋" w:asciiTheme="minorEastAsia" w:hAnsiTheme="minorEastAsia" w:eastAsiaTheme="minorEastAsia"/>
          <w:sz w:val="28"/>
          <w:szCs w:val="32"/>
        </w:rPr>
        <w:br w:type="page"/>
      </w:r>
    </w:p>
    <w:p>
      <w:pPr>
        <w:tabs>
          <w:tab w:val="left" w:pos="170"/>
        </w:tabs>
        <w:autoSpaceDE w:val="0"/>
        <w:autoSpaceDN w:val="0"/>
        <w:adjustRightInd w:val="0"/>
        <w:spacing w:line="360" w:lineRule="auto"/>
        <w:ind w:firstLine="320" w:firstLineChars="100"/>
        <w:jc w:val="center"/>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格式8  偏离表</w:t>
      </w:r>
    </w:p>
    <w:p>
      <w:pPr>
        <w:adjustRightInd w:val="0"/>
        <w:snapToGrid w:val="0"/>
        <w:spacing w:line="360" w:lineRule="auto"/>
        <w:rPr>
          <w:rFonts w:ascii="宋体" w:hAnsi="宋体"/>
        </w:rPr>
      </w:pPr>
    </w:p>
    <w:p>
      <w:pPr>
        <w:snapToGrid w:val="0"/>
        <w:spacing w:line="360" w:lineRule="auto"/>
        <w:jc w:val="center"/>
        <w:rPr>
          <w:b/>
        </w:rPr>
      </w:pPr>
      <w:r>
        <w:rPr>
          <w:rFonts w:hint="eastAsia"/>
          <w:b/>
        </w:rPr>
        <w:t>服务条款偏离表</w:t>
      </w:r>
    </w:p>
    <w:tbl>
      <w:tblPr>
        <w:tblStyle w:val="2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2455"/>
        <w:gridCol w:w="1683"/>
        <w:gridCol w:w="1262"/>
        <w:gridCol w:w="2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93" w:type="pct"/>
            <w:vAlign w:val="center"/>
          </w:tcPr>
          <w:p>
            <w:pPr>
              <w:spacing w:line="360" w:lineRule="auto"/>
              <w:jc w:val="center"/>
              <w:rPr>
                <w:rFonts w:ascii="宋体" w:hAnsi="宋体"/>
                <w:szCs w:val="21"/>
              </w:rPr>
            </w:pPr>
            <w:r>
              <w:rPr>
                <w:rFonts w:hint="eastAsia" w:ascii="宋体" w:hAnsi="宋体"/>
                <w:szCs w:val="21"/>
              </w:rPr>
              <w:t>序号</w:t>
            </w:r>
          </w:p>
        </w:tc>
        <w:tc>
          <w:tcPr>
            <w:tcW w:w="1440" w:type="pct"/>
            <w:vAlign w:val="center"/>
          </w:tcPr>
          <w:p>
            <w:pPr>
              <w:spacing w:line="360" w:lineRule="auto"/>
              <w:jc w:val="center"/>
              <w:rPr>
                <w:rFonts w:ascii="宋体" w:hAnsi="宋体"/>
                <w:szCs w:val="21"/>
              </w:rPr>
            </w:pPr>
            <w:r>
              <w:rPr>
                <w:rFonts w:hint="eastAsia" w:ascii="宋体" w:hAnsi="宋体"/>
                <w:szCs w:val="21"/>
              </w:rPr>
              <w:t>招标技术要求</w:t>
            </w:r>
          </w:p>
        </w:tc>
        <w:tc>
          <w:tcPr>
            <w:tcW w:w="987" w:type="pct"/>
            <w:vAlign w:val="center"/>
          </w:tcPr>
          <w:p>
            <w:pPr>
              <w:spacing w:line="360" w:lineRule="auto"/>
              <w:jc w:val="center"/>
              <w:rPr>
                <w:rFonts w:ascii="宋体" w:hAnsi="宋体"/>
                <w:szCs w:val="21"/>
              </w:rPr>
            </w:pPr>
            <w:r>
              <w:rPr>
                <w:rFonts w:hint="eastAsia" w:ascii="宋体" w:hAnsi="宋体"/>
                <w:szCs w:val="21"/>
              </w:rPr>
              <w:t>投标技术响应</w:t>
            </w:r>
          </w:p>
        </w:tc>
        <w:tc>
          <w:tcPr>
            <w:tcW w:w="740" w:type="pct"/>
            <w:vAlign w:val="center"/>
          </w:tcPr>
          <w:p>
            <w:pPr>
              <w:spacing w:line="360" w:lineRule="auto"/>
              <w:jc w:val="center"/>
              <w:rPr>
                <w:rFonts w:ascii="宋体" w:hAnsi="宋体"/>
                <w:szCs w:val="21"/>
              </w:rPr>
            </w:pPr>
            <w:r>
              <w:rPr>
                <w:rFonts w:hint="eastAsia" w:ascii="宋体" w:hAnsi="宋体"/>
                <w:szCs w:val="21"/>
              </w:rPr>
              <w:t>偏离情况</w:t>
            </w:r>
          </w:p>
        </w:tc>
        <w:tc>
          <w:tcPr>
            <w:tcW w:w="1337" w:type="pct"/>
            <w:vAlign w:val="center"/>
          </w:tcPr>
          <w:p>
            <w:pPr>
              <w:spacing w:line="360" w:lineRule="auto"/>
              <w:jc w:val="center"/>
              <w:rPr>
                <w:rFonts w:ascii="宋体" w:hAnsi="宋体"/>
                <w:szCs w:val="21"/>
              </w:rPr>
            </w:pPr>
            <w:r>
              <w:rPr>
                <w:rFonts w:hint="eastAsia" w:ascii="宋体" w:hAnsi="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93" w:type="pct"/>
            <w:vAlign w:val="center"/>
          </w:tcPr>
          <w:p>
            <w:pPr>
              <w:spacing w:line="360" w:lineRule="auto"/>
              <w:jc w:val="center"/>
              <w:rPr>
                <w:rFonts w:ascii="宋体" w:hAnsi="宋体"/>
                <w:szCs w:val="21"/>
              </w:rPr>
            </w:pPr>
          </w:p>
        </w:tc>
        <w:tc>
          <w:tcPr>
            <w:tcW w:w="1440" w:type="pct"/>
            <w:vAlign w:val="center"/>
          </w:tcPr>
          <w:p>
            <w:pPr>
              <w:spacing w:line="360" w:lineRule="auto"/>
              <w:jc w:val="center"/>
              <w:rPr>
                <w:rFonts w:ascii="宋体" w:hAnsi="宋体"/>
                <w:szCs w:val="21"/>
              </w:rPr>
            </w:pPr>
          </w:p>
        </w:tc>
        <w:tc>
          <w:tcPr>
            <w:tcW w:w="987" w:type="pct"/>
            <w:vAlign w:val="center"/>
          </w:tcPr>
          <w:p>
            <w:pPr>
              <w:spacing w:line="360" w:lineRule="auto"/>
              <w:jc w:val="center"/>
              <w:rPr>
                <w:rFonts w:ascii="宋体" w:hAnsi="宋体"/>
                <w:szCs w:val="21"/>
              </w:rPr>
            </w:pPr>
          </w:p>
        </w:tc>
        <w:tc>
          <w:tcPr>
            <w:tcW w:w="740" w:type="pct"/>
            <w:vAlign w:val="center"/>
          </w:tcPr>
          <w:p>
            <w:pPr>
              <w:spacing w:line="360" w:lineRule="auto"/>
              <w:jc w:val="center"/>
              <w:rPr>
                <w:rFonts w:ascii="宋体" w:hAnsi="宋体"/>
                <w:szCs w:val="21"/>
              </w:rPr>
            </w:pPr>
          </w:p>
        </w:tc>
        <w:tc>
          <w:tcPr>
            <w:tcW w:w="1337" w:type="pct"/>
            <w:vAlign w:val="center"/>
          </w:tcPr>
          <w:p>
            <w:pPr>
              <w:jc w:val="center"/>
              <w:rPr>
                <w:rFonts w:ascii="宋体" w:hAnsi="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93" w:type="pct"/>
            <w:vAlign w:val="center"/>
          </w:tcPr>
          <w:p>
            <w:pPr>
              <w:spacing w:line="360" w:lineRule="auto"/>
              <w:jc w:val="center"/>
              <w:rPr>
                <w:rFonts w:ascii="宋体" w:hAnsi="宋体"/>
                <w:szCs w:val="21"/>
              </w:rPr>
            </w:pPr>
          </w:p>
        </w:tc>
        <w:tc>
          <w:tcPr>
            <w:tcW w:w="1440" w:type="pct"/>
            <w:vAlign w:val="center"/>
          </w:tcPr>
          <w:p>
            <w:pPr>
              <w:spacing w:line="360" w:lineRule="auto"/>
              <w:jc w:val="center"/>
              <w:rPr>
                <w:rFonts w:ascii="宋体" w:hAnsi="宋体"/>
                <w:szCs w:val="21"/>
              </w:rPr>
            </w:pPr>
          </w:p>
        </w:tc>
        <w:tc>
          <w:tcPr>
            <w:tcW w:w="987" w:type="pct"/>
            <w:vAlign w:val="center"/>
          </w:tcPr>
          <w:p>
            <w:pPr>
              <w:spacing w:line="360" w:lineRule="auto"/>
              <w:jc w:val="center"/>
              <w:rPr>
                <w:rFonts w:ascii="宋体" w:hAnsi="宋体"/>
                <w:szCs w:val="21"/>
              </w:rPr>
            </w:pPr>
          </w:p>
        </w:tc>
        <w:tc>
          <w:tcPr>
            <w:tcW w:w="740" w:type="pct"/>
            <w:vAlign w:val="center"/>
          </w:tcPr>
          <w:p>
            <w:pPr>
              <w:spacing w:line="360" w:lineRule="auto"/>
              <w:jc w:val="center"/>
              <w:rPr>
                <w:rFonts w:ascii="宋体" w:hAnsi="宋体"/>
                <w:szCs w:val="21"/>
              </w:rPr>
            </w:pPr>
          </w:p>
        </w:tc>
        <w:tc>
          <w:tcPr>
            <w:tcW w:w="1337" w:type="pct"/>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93" w:type="pct"/>
            <w:vAlign w:val="center"/>
          </w:tcPr>
          <w:p>
            <w:pPr>
              <w:spacing w:line="360" w:lineRule="auto"/>
              <w:jc w:val="center"/>
              <w:rPr>
                <w:rFonts w:ascii="宋体" w:hAnsi="宋体"/>
                <w:szCs w:val="21"/>
              </w:rPr>
            </w:pPr>
          </w:p>
        </w:tc>
        <w:tc>
          <w:tcPr>
            <w:tcW w:w="1440" w:type="pct"/>
            <w:vAlign w:val="center"/>
          </w:tcPr>
          <w:p>
            <w:pPr>
              <w:spacing w:line="360" w:lineRule="auto"/>
              <w:jc w:val="center"/>
              <w:rPr>
                <w:rFonts w:ascii="宋体" w:hAnsi="宋体"/>
                <w:szCs w:val="21"/>
              </w:rPr>
            </w:pPr>
          </w:p>
        </w:tc>
        <w:tc>
          <w:tcPr>
            <w:tcW w:w="987" w:type="pct"/>
            <w:vAlign w:val="center"/>
          </w:tcPr>
          <w:p>
            <w:pPr>
              <w:spacing w:line="360" w:lineRule="auto"/>
              <w:jc w:val="center"/>
              <w:rPr>
                <w:rFonts w:ascii="宋体" w:hAnsi="宋体"/>
                <w:szCs w:val="21"/>
              </w:rPr>
            </w:pPr>
          </w:p>
        </w:tc>
        <w:tc>
          <w:tcPr>
            <w:tcW w:w="740" w:type="pct"/>
            <w:vAlign w:val="center"/>
          </w:tcPr>
          <w:p>
            <w:pPr>
              <w:spacing w:line="360" w:lineRule="auto"/>
              <w:jc w:val="center"/>
              <w:rPr>
                <w:rFonts w:ascii="宋体" w:hAnsi="宋体"/>
                <w:szCs w:val="21"/>
              </w:rPr>
            </w:pPr>
          </w:p>
        </w:tc>
        <w:tc>
          <w:tcPr>
            <w:tcW w:w="1337" w:type="pct"/>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93" w:type="pct"/>
            <w:vAlign w:val="center"/>
          </w:tcPr>
          <w:p>
            <w:pPr>
              <w:spacing w:line="360" w:lineRule="auto"/>
              <w:jc w:val="center"/>
              <w:rPr>
                <w:rFonts w:ascii="宋体" w:hAnsi="宋体"/>
                <w:szCs w:val="21"/>
              </w:rPr>
            </w:pPr>
          </w:p>
        </w:tc>
        <w:tc>
          <w:tcPr>
            <w:tcW w:w="1440" w:type="pct"/>
            <w:vAlign w:val="center"/>
          </w:tcPr>
          <w:p>
            <w:pPr>
              <w:spacing w:line="360" w:lineRule="auto"/>
              <w:jc w:val="center"/>
              <w:rPr>
                <w:rFonts w:ascii="宋体" w:hAnsi="宋体"/>
                <w:szCs w:val="21"/>
              </w:rPr>
            </w:pPr>
          </w:p>
        </w:tc>
        <w:tc>
          <w:tcPr>
            <w:tcW w:w="987" w:type="pct"/>
            <w:vAlign w:val="center"/>
          </w:tcPr>
          <w:p>
            <w:pPr>
              <w:spacing w:line="360" w:lineRule="auto"/>
              <w:jc w:val="center"/>
              <w:rPr>
                <w:rFonts w:ascii="宋体" w:hAnsi="宋体"/>
                <w:szCs w:val="21"/>
              </w:rPr>
            </w:pPr>
          </w:p>
        </w:tc>
        <w:tc>
          <w:tcPr>
            <w:tcW w:w="740" w:type="pct"/>
            <w:vAlign w:val="center"/>
          </w:tcPr>
          <w:p>
            <w:pPr>
              <w:spacing w:line="360" w:lineRule="auto"/>
              <w:jc w:val="center"/>
              <w:rPr>
                <w:rFonts w:ascii="宋体" w:hAnsi="宋体"/>
                <w:szCs w:val="21"/>
              </w:rPr>
            </w:pPr>
          </w:p>
        </w:tc>
        <w:tc>
          <w:tcPr>
            <w:tcW w:w="1337" w:type="pct"/>
            <w:vAlign w:val="center"/>
          </w:tcPr>
          <w:p>
            <w:pPr>
              <w:spacing w:line="360" w:lineRule="auto"/>
              <w:jc w:val="center"/>
              <w:rPr>
                <w:rFonts w:ascii="宋体" w:hAnsi="宋体"/>
                <w:szCs w:val="21"/>
              </w:rPr>
            </w:pPr>
          </w:p>
        </w:tc>
      </w:tr>
    </w:tbl>
    <w:p>
      <w:pPr>
        <w:spacing w:line="400" w:lineRule="exact"/>
        <w:rPr>
          <w:rFonts w:ascii="宋体" w:hAnsi="宋体" w:cs="Arial"/>
          <w:b/>
          <w:bCs/>
          <w:szCs w:val="21"/>
        </w:rPr>
      </w:pPr>
      <w:r>
        <w:rPr>
          <w:rFonts w:hint="eastAsia" w:ascii="宋体" w:hAnsi="宋体" w:cs="Arial"/>
          <w:bCs/>
          <w:szCs w:val="21"/>
        </w:rPr>
        <w:t>备注：1、“</w:t>
      </w:r>
      <w:r>
        <w:rPr>
          <w:rFonts w:hint="eastAsia" w:ascii="宋体" w:hAnsi="宋体"/>
          <w:szCs w:val="21"/>
        </w:rPr>
        <w:t>招标技术要求</w:t>
      </w:r>
      <w:r>
        <w:rPr>
          <w:rFonts w:hint="eastAsia" w:ascii="宋体" w:hAnsi="宋体" w:cs="Arial"/>
          <w:bCs/>
          <w:szCs w:val="21"/>
        </w:rPr>
        <w:t>”一栏逐一列出招标文件“第二部分 采购项目需求”中“</w:t>
      </w:r>
      <w:r>
        <w:rPr>
          <w:rFonts w:hint="eastAsia" w:ascii="宋体" w:hAnsi="宋体" w:cs="Arial"/>
          <w:b/>
          <w:bCs/>
          <w:szCs w:val="21"/>
        </w:rPr>
        <w:t>二、项目服务</w:t>
      </w:r>
      <w:r>
        <w:rPr>
          <w:rFonts w:hint="eastAsia" w:ascii="宋体" w:hAnsi="宋体"/>
          <w:b/>
          <w:bCs/>
          <w:snapToGrid w:val="0"/>
          <w:szCs w:val="21"/>
        </w:rPr>
        <w:t>要求</w:t>
      </w:r>
      <w:r>
        <w:rPr>
          <w:rFonts w:hint="eastAsia" w:ascii="宋体" w:hAnsi="宋体" w:cs="Arial"/>
          <w:bCs/>
          <w:szCs w:val="21"/>
        </w:rPr>
        <w:t>”的内容；“</w:t>
      </w:r>
      <w:r>
        <w:rPr>
          <w:rFonts w:hint="eastAsia" w:ascii="宋体" w:hAnsi="宋体"/>
          <w:szCs w:val="21"/>
        </w:rPr>
        <w:t>投标技术响应</w:t>
      </w:r>
      <w:r>
        <w:rPr>
          <w:rFonts w:hint="eastAsia" w:ascii="宋体" w:hAnsi="宋体" w:cs="Arial"/>
          <w:bCs/>
          <w:szCs w:val="21"/>
        </w:rPr>
        <w:t>”一栏应详细填写服务条款的具体参数响应情况。</w:t>
      </w:r>
    </w:p>
    <w:p>
      <w:pPr>
        <w:spacing w:line="400" w:lineRule="exact"/>
        <w:ind w:firstLine="424" w:firstLineChars="202"/>
        <w:rPr>
          <w:rFonts w:ascii="宋体" w:hAnsi="宋体" w:cs="Arial"/>
          <w:bCs/>
          <w:szCs w:val="21"/>
        </w:rPr>
      </w:pPr>
      <w:r>
        <w:rPr>
          <w:rFonts w:hint="eastAsia" w:ascii="宋体" w:hAnsi="宋体" w:cs="Arial"/>
          <w:bCs/>
          <w:szCs w:val="21"/>
        </w:rPr>
        <w:t>2、“偏离情况”栏中应如实填写“正偏离”、“负偏离”或“无偏离”。</w:t>
      </w:r>
      <w:r>
        <w:rPr>
          <w:rFonts w:hint="eastAsia" w:ascii="宋体" w:hAnsi="宋体"/>
          <w:kern w:val="0"/>
          <w:szCs w:val="21"/>
        </w:rPr>
        <w:t>★</w:t>
      </w:r>
      <w:r>
        <w:rPr>
          <w:rFonts w:hint="eastAsia" w:asciiTheme="minorEastAsia" w:hAnsiTheme="minorEastAsia" w:eastAsiaTheme="minorEastAsia"/>
          <w:szCs w:val="21"/>
        </w:rPr>
        <w:t>条款为不可负偏离条款，投标文件响应为“负偏离”或未响应的，投标文件将按无效投标处理。</w:t>
      </w:r>
    </w:p>
    <w:p>
      <w:pPr>
        <w:spacing w:line="400" w:lineRule="exact"/>
        <w:ind w:firstLine="424" w:firstLineChars="202"/>
        <w:rPr>
          <w:rFonts w:asciiTheme="minorEastAsia" w:hAnsiTheme="minorEastAsia" w:eastAsiaTheme="minorEastAsia"/>
          <w:szCs w:val="21"/>
        </w:rPr>
      </w:pPr>
      <w:r>
        <w:rPr>
          <w:rFonts w:hint="eastAsia" w:ascii="宋体" w:hAnsi="宋体" w:cs="Arial"/>
          <w:bCs/>
          <w:szCs w:val="21"/>
        </w:rPr>
        <w:t>3、</w:t>
      </w:r>
      <w:r>
        <w:rPr>
          <w:rFonts w:hint="eastAsia" w:asciiTheme="minorEastAsia" w:hAnsiTheme="minorEastAsia" w:eastAsiaTheme="minorEastAsia"/>
          <w:b/>
          <w:szCs w:val="21"/>
        </w:rPr>
        <w:t>服务条款参数应按</w:t>
      </w:r>
      <w:r>
        <w:rPr>
          <w:rFonts w:hint="eastAsia" w:ascii="宋体" w:hAnsi="宋体" w:cs="Arial"/>
          <w:b/>
          <w:bCs/>
          <w:szCs w:val="21"/>
        </w:rPr>
        <w:t>招标文件“第二部分 采购项目需求”中“二、</w:t>
      </w:r>
      <w:r>
        <w:rPr>
          <w:rFonts w:hint="eastAsia" w:ascii="宋体" w:hAnsi="宋体"/>
          <w:b/>
          <w:bCs/>
          <w:snapToGrid w:val="0"/>
          <w:szCs w:val="21"/>
        </w:rPr>
        <w:t>项目服务要求</w:t>
      </w:r>
      <w:r>
        <w:rPr>
          <w:rFonts w:hint="eastAsia" w:ascii="宋体" w:hAnsi="宋体" w:cs="Arial"/>
          <w:b/>
          <w:bCs/>
          <w:szCs w:val="21"/>
        </w:rPr>
        <w:t>”</w:t>
      </w:r>
      <w:r>
        <w:rPr>
          <w:rFonts w:hint="eastAsia" w:asciiTheme="minorEastAsia" w:hAnsiTheme="minorEastAsia" w:eastAsiaTheme="minorEastAsia"/>
          <w:b/>
          <w:szCs w:val="21"/>
        </w:rPr>
        <w:t>中的要求提供相应的证明资料，以证明投标人响应的真实性。</w:t>
      </w:r>
      <w:r>
        <w:rPr>
          <w:rFonts w:hint="eastAsia" w:asciiTheme="minorEastAsia" w:hAnsiTheme="minorEastAsia" w:eastAsiaTheme="minorEastAsia"/>
          <w:szCs w:val="21"/>
        </w:rPr>
        <w:t>投标人应在“说明”一栏中列出服务条款参数的证明资料名称，并注明该证明资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pPr>
        <w:snapToGrid w:val="0"/>
        <w:spacing w:line="360" w:lineRule="auto"/>
        <w:jc w:val="center"/>
        <w:rPr>
          <w:b/>
        </w:rPr>
      </w:pPr>
    </w:p>
    <w:p>
      <w:pPr>
        <w:snapToGrid w:val="0"/>
        <w:spacing w:line="360" w:lineRule="auto"/>
        <w:jc w:val="center"/>
        <w:rPr>
          <w:b/>
        </w:rPr>
      </w:pPr>
    </w:p>
    <w:p>
      <w:pPr>
        <w:snapToGrid w:val="0"/>
        <w:spacing w:line="360" w:lineRule="auto"/>
        <w:jc w:val="center"/>
        <w:rPr>
          <w:b/>
        </w:rPr>
      </w:pPr>
      <w:r>
        <w:rPr>
          <w:rFonts w:hint="eastAsia"/>
          <w:b/>
        </w:rPr>
        <w:t>商务条款偏离表</w:t>
      </w:r>
    </w:p>
    <w:tbl>
      <w:tblPr>
        <w:tblStyle w:val="23"/>
        <w:tblW w:w="9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077"/>
        <w:gridCol w:w="2735"/>
        <w:gridCol w:w="1801"/>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vAlign w:val="center"/>
          </w:tcPr>
          <w:p>
            <w:pPr>
              <w:spacing w:line="360" w:lineRule="auto"/>
              <w:jc w:val="center"/>
              <w:rPr>
                <w:rFonts w:ascii="宋体" w:hAnsi="宋体"/>
                <w:szCs w:val="21"/>
              </w:rPr>
            </w:pPr>
            <w:r>
              <w:rPr>
                <w:rFonts w:hint="eastAsia" w:ascii="宋体" w:hAnsi="宋体"/>
                <w:szCs w:val="21"/>
              </w:rPr>
              <w:t>序号</w:t>
            </w:r>
          </w:p>
        </w:tc>
        <w:tc>
          <w:tcPr>
            <w:tcW w:w="3077" w:type="dxa"/>
            <w:vAlign w:val="center"/>
          </w:tcPr>
          <w:p>
            <w:pPr>
              <w:spacing w:line="360" w:lineRule="auto"/>
              <w:jc w:val="center"/>
              <w:rPr>
                <w:rFonts w:ascii="宋体" w:hAnsi="宋体"/>
                <w:szCs w:val="21"/>
              </w:rPr>
            </w:pPr>
            <w:r>
              <w:rPr>
                <w:rFonts w:hint="eastAsia" w:ascii="宋体" w:hAnsi="宋体"/>
                <w:szCs w:val="21"/>
              </w:rPr>
              <w:t>招标商务需求</w:t>
            </w:r>
          </w:p>
        </w:tc>
        <w:tc>
          <w:tcPr>
            <w:tcW w:w="2735" w:type="dxa"/>
            <w:vAlign w:val="center"/>
          </w:tcPr>
          <w:p>
            <w:pPr>
              <w:spacing w:line="360" w:lineRule="auto"/>
              <w:jc w:val="center"/>
              <w:rPr>
                <w:rFonts w:ascii="宋体" w:hAnsi="宋体"/>
                <w:szCs w:val="21"/>
              </w:rPr>
            </w:pPr>
            <w:r>
              <w:rPr>
                <w:rFonts w:hint="eastAsia" w:ascii="宋体" w:hAnsi="宋体"/>
                <w:szCs w:val="21"/>
              </w:rPr>
              <w:t>投标商务响应</w:t>
            </w:r>
          </w:p>
        </w:tc>
        <w:tc>
          <w:tcPr>
            <w:tcW w:w="1801" w:type="dxa"/>
            <w:vAlign w:val="center"/>
          </w:tcPr>
          <w:p>
            <w:pPr>
              <w:spacing w:line="360" w:lineRule="auto"/>
              <w:jc w:val="center"/>
              <w:rPr>
                <w:rFonts w:ascii="宋体" w:hAnsi="宋体"/>
                <w:szCs w:val="21"/>
              </w:rPr>
            </w:pPr>
            <w:r>
              <w:rPr>
                <w:rFonts w:hint="eastAsia" w:ascii="宋体" w:hAnsi="宋体"/>
                <w:szCs w:val="21"/>
              </w:rPr>
              <w:t>偏离情况</w:t>
            </w:r>
          </w:p>
        </w:tc>
        <w:tc>
          <w:tcPr>
            <w:tcW w:w="1515" w:type="dxa"/>
            <w:vAlign w:val="center"/>
          </w:tcPr>
          <w:p>
            <w:pPr>
              <w:spacing w:line="360" w:lineRule="auto"/>
              <w:jc w:val="center"/>
              <w:rPr>
                <w:rFonts w:ascii="宋体" w:hAnsi="宋体"/>
                <w:szCs w:val="21"/>
              </w:rPr>
            </w:pPr>
            <w:r>
              <w:rPr>
                <w:rFonts w:hint="eastAsia" w:ascii="宋体" w:hAnsi="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vAlign w:val="center"/>
          </w:tcPr>
          <w:p>
            <w:pPr>
              <w:spacing w:line="360" w:lineRule="auto"/>
              <w:jc w:val="center"/>
              <w:rPr>
                <w:rFonts w:ascii="宋体" w:hAnsi="宋体" w:cs="宋体"/>
                <w:bCs/>
                <w:szCs w:val="21"/>
              </w:rPr>
            </w:pPr>
          </w:p>
        </w:tc>
        <w:tc>
          <w:tcPr>
            <w:tcW w:w="3077" w:type="dxa"/>
          </w:tcPr>
          <w:p>
            <w:pPr>
              <w:spacing w:line="360" w:lineRule="auto"/>
              <w:rPr>
                <w:rFonts w:ascii="宋体" w:hAnsi="宋体"/>
                <w:bCs/>
                <w:szCs w:val="21"/>
              </w:rPr>
            </w:pPr>
          </w:p>
        </w:tc>
        <w:tc>
          <w:tcPr>
            <w:tcW w:w="2735" w:type="dxa"/>
          </w:tcPr>
          <w:p>
            <w:pPr>
              <w:spacing w:line="360" w:lineRule="auto"/>
              <w:rPr>
                <w:rFonts w:ascii="宋体" w:hAnsi="宋体" w:cs="宋体"/>
                <w:szCs w:val="21"/>
              </w:rPr>
            </w:pPr>
          </w:p>
        </w:tc>
        <w:tc>
          <w:tcPr>
            <w:tcW w:w="1801" w:type="dxa"/>
          </w:tcPr>
          <w:p>
            <w:pPr>
              <w:spacing w:line="360" w:lineRule="auto"/>
              <w:rPr>
                <w:rFonts w:ascii="宋体" w:hAnsi="宋体" w:cs="宋体"/>
                <w:szCs w:val="21"/>
              </w:rPr>
            </w:pPr>
          </w:p>
        </w:tc>
        <w:tc>
          <w:tcPr>
            <w:tcW w:w="1515" w:type="dxa"/>
          </w:tcPr>
          <w:p>
            <w:pPr>
              <w:rPr>
                <w:rFonts w:ascii="宋体" w:hAnsi="宋体" w:cs="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08" w:type="dxa"/>
            <w:vAlign w:val="center"/>
          </w:tcPr>
          <w:p>
            <w:pPr>
              <w:spacing w:line="360" w:lineRule="auto"/>
              <w:jc w:val="center"/>
              <w:rPr>
                <w:rFonts w:ascii="宋体" w:hAnsi="宋体" w:cs="宋体"/>
                <w:bCs/>
                <w:szCs w:val="21"/>
              </w:rPr>
            </w:pPr>
          </w:p>
        </w:tc>
        <w:tc>
          <w:tcPr>
            <w:tcW w:w="3077" w:type="dxa"/>
          </w:tcPr>
          <w:p>
            <w:pPr>
              <w:spacing w:line="360" w:lineRule="auto"/>
              <w:rPr>
                <w:rFonts w:ascii="宋体" w:hAnsi="宋体" w:cs="宋体"/>
                <w:b/>
                <w:szCs w:val="21"/>
              </w:rPr>
            </w:pPr>
          </w:p>
        </w:tc>
        <w:tc>
          <w:tcPr>
            <w:tcW w:w="2735" w:type="dxa"/>
          </w:tcPr>
          <w:p>
            <w:pPr>
              <w:spacing w:line="360" w:lineRule="auto"/>
              <w:rPr>
                <w:rFonts w:ascii="宋体" w:hAnsi="宋体" w:cs="宋体"/>
                <w:szCs w:val="21"/>
              </w:rPr>
            </w:pPr>
          </w:p>
        </w:tc>
        <w:tc>
          <w:tcPr>
            <w:tcW w:w="1801" w:type="dxa"/>
          </w:tcPr>
          <w:p>
            <w:pPr>
              <w:spacing w:line="360" w:lineRule="auto"/>
              <w:rPr>
                <w:rFonts w:ascii="宋体" w:hAnsi="宋体" w:cs="宋体"/>
                <w:szCs w:val="21"/>
              </w:rPr>
            </w:pPr>
          </w:p>
        </w:tc>
        <w:tc>
          <w:tcPr>
            <w:tcW w:w="1515"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3" w:hRule="atLeast"/>
          <w:jc w:val="center"/>
        </w:trPr>
        <w:tc>
          <w:tcPr>
            <w:tcW w:w="708" w:type="dxa"/>
            <w:vAlign w:val="center"/>
          </w:tcPr>
          <w:p>
            <w:pPr>
              <w:spacing w:line="360" w:lineRule="auto"/>
              <w:jc w:val="center"/>
              <w:rPr>
                <w:rFonts w:ascii="宋体" w:hAnsi="宋体" w:cs="宋体"/>
                <w:bCs/>
                <w:szCs w:val="21"/>
              </w:rPr>
            </w:pPr>
          </w:p>
        </w:tc>
        <w:tc>
          <w:tcPr>
            <w:tcW w:w="3077" w:type="dxa"/>
          </w:tcPr>
          <w:p>
            <w:pPr>
              <w:spacing w:line="360" w:lineRule="auto"/>
              <w:rPr>
                <w:rFonts w:ascii="宋体" w:hAnsi="宋体"/>
                <w:bCs/>
                <w:szCs w:val="21"/>
              </w:rPr>
            </w:pPr>
          </w:p>
        </w:tc>
        <w:tc>
          <w:tcPr>
            <w:tcW w:w="2735" w:type="dxa"/>
          </w:tcPr>
          <w:p>
            <w:pPr>
              <w:spacing w:line="360" w:lineRule="auto"/>
              <w:rPr>
                <w:rFonts w:ascii="宋体" w:hAnsi="宋体" w:cs="宋体"/>
                <w:szCs w:val="21"/>
              </w:rPr>
            </w:pPr>
          </w:p>
        </w:tc>
        <w:tc>
          <w:tcPr>
            <w:tcW w:w="1801" w:type="dxa"/>
          </w:tcPr>
          <w:p>
            <w:pPr>
              <w:spacing w:line="360" w:lineRule="auto"/>
              <w:rPr>
                <w:rFonts w:ascii="宋体" w:hAnsi="宋体" w:cs="宋体"/>
                <w:szCs w:val="21"/>
              </w:rPr>
            </w:pPr>
          </w:p>
        </w:tc>
        <w:tc>
          <w:tcPr>
            <w:tcW w:w="1515"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0" w:hRule="atLeast"/>
          <w:jc w:val="center"/>
        </w:trPr>
        <w:tc>
          <w:tcPr>
            <w:tcW w:w="708" w:type="dxa"/>
            <w:vAlign w:val="center"/>
          </w:tcPr>
          <w:p>
            <w:pPr>
              <w:spacing w:line="360" w:lineRule="auto"/>
              <w:jc w:val="center"/>
              <w:rPr>
                <w:rFonts w:ascii="宋体" w:hAnsi="宋体" w:cs="宋体"/>
                <w:bCs/>
                <w:szCs w:val="21"/>
              </w:rPr>
            </w:pPr>
          </w:p>
        </w:tc>
        <w:tc>
          <w:tcPr>
            <w:tcW w:w="3077" w:type="dxa"/>
          </w:tcPr>
          <w:p>
            <w:pPr>
              <w:spacing w:line="360" w:lineRule="auto"/>
              <w:rPr>
                <w:rFonts w:ascii="宋体" w:hAnsi="宋体" w:cs="宋体"/>
                <w:b/>
                <w:szCs w:val="21"/>
              </w:rPr>
            </w:pPr>
          </w:p>
        </w:tc>
        <w:tc>
          <w:tcPr>
            <w:tcW w:w="2735" w:type="dxa"/>
          </w:tcPr>
          <w:p>
            <w:pPr>
              <w:spacing w:line="360" w:lineRule="auto"/>
              <w:rPr>
                <w:rFonts w:ascii="宋体" w:hAnsi="宋体" w:cs="宋体"/>
                <w:szCs w:val="21"/>
              </w:rPr>
            </w:pPr>
          </w:p>
        </w:tc>
        <w:tc>
          <w:tcPr>
            <w:tcW w:w="1801" w:type="dxa"/>
          </w:tcPr>
          <w:p>
            <w:pPr>
              <w:spacing w:line="360" w:lineRule="auto"/>
              <w:rPr>
                <w:rFonts w:ascii="宋体" w:hAnsi="宋体" w:cs="宋体"/>
                <w:szCs w:val="21"/>
              </w:rPr>
            </w:pPr>
          </w:p>
        </w:tc>
        <w:tc>
          <w:tcPr>
            <w:tcW w:w="1515" w:type="dxa"/>
          </w:tcPr>
          <w:p>
            <w:pPr>
              <w:spacing w:line="360" w:lineRule="auto"/>
              <w:rPr>
                <w:rFonts w:ascii="宋体" w:hAnsi="宋体" w:cs="宋体"/>
                <w:szCs w:val="21"/>
              </w:rPr>
            </w:pPr>
          </w:p>
        </w:tc>
      </w:tr>
    </w:tbl>
    <w:p>
      <w:pPr>
        <w:spacing w:line="400" w:lineRule="exact"/>
        <w:rPr>
          <w:rFonts w:ascii="宋体" w:hAnsi="宋体" w:cs="Arial"/>
          <w:bCs/>
          <w:szCs w:val="21"/>
        </w:rPr>
      </w:pPr>
      <w:r>
        <w:rPr>
          <w:rFonts w:hint="eastAsia" w:ascii="宋体" w:hAnsi="宋体" w:cs="Arial"/>
          <w:bCs/>
          <w:szCs w:val="21"/>
        </w:rPr>
        <w:t>备注：1、“</w:t>
      </w:r>
      <w:r>
        <w:rPr>
          <w:rFonts w:hint="eastAsia" w:ascii="宋体" w:hAnsi="宋体"/>
          <w:szCs w:val="21"/>
        </w:rPr>
        <w:t>招标商务需求</w:t>
      </w:r>
      <w:r>
        <w:rPr>
          <w:rFonts w:hint="eastAsia" w:ascii="宋体" w:hAnsi="宋体" w:cs="Arial"/>
          <w:bCs/>
          <w:szCs w:val="21"/>
        </w:rPr>
        <w:t>”一栏逐一列出招标文件“第二部分 采购项目需求”中“</w:t>
      </w:r>
      <w:r>
        <w:rPr>
          <w:rFonts w:hint="eastAsia" w:ascii="宋体" w:hAnsi="宋体" w:cs="Arial"/>
          <w:b/>
          <w:bCs/>
          <w:szCs w:val="21"/>
        </w:rPr>
        <w:t>三、项目商务要求</w:t>
      </w:r>
      <w:r>
        <w:rPr>
          <w:rFonts w:hint="eastAsia" w:ascii="宋体" w:hAnsi="宋体" w:cs="Arial"/>
          <w:bCs/>
          <w:szCs w:val="21"/>
        </w:rPr>
        <w:t>”的内容；“</w:t>
      </w:r>
      <w:r>
        <w:rPr>
          <w:rFonts w:hint="eastAsia" w:ascii="宋体" w:hAnsi="宋体"/>
          <w:szCs w:val="21"/>
        </w:rPr>
        <w:t>投标商务响应</w:t>
      </w:r>
      <w:r>
        <w:rPr>
          <w:rFonts w:hint="eastAsia" w:ascii="宋体" w:hAnsi="宋体" w:cs="Arial"/>
          <w:bCs/>
          <w:szCs w:val="21"/>
        </w:rPr>
        <w:t>”一栏应详细填写投标商务条款的响应内容。</w:t>
      </w:r>
    </w:p>
    <w:p>
      <w:pPr>
        <w:spacing w:line="400" w:lineRule="exact"/>
        <w:ind w:firstLine="420" w:firstLineChars="200"/>
      </w:pPr>
      <w:r>
        <w:rPr>
          <w:rFonts w:hint="eastAsia" w:ascii="宋体" w:hAnsi="宋体" w:cs="Arial"/>
          <w:bCs/>
          <w:szCs w:val="21"/>
        </w:rPr>
        <w:t>2、“偏离情况”栏中应如实填写“正偏离”、“负偏离”或“无偏离”</w:t>
      </w:r>
      <w:r>
        <w:rPr>
          <w:rFonts w:hint="eastAsia"/>
        </w:rPr>
        <w:t>。</w:t>
      </w:r>
      <w:r>
        <w:rPr>
          <w:rFonts w:hint="eastAsia" w:ascii="宋体" w:hAnsi="宋体"/>
          <w:kern w:val="0"/>
          <w:szCs w:val="21"/>
        </w:rPr>
        <w:t>★</w:t>
      </w:r>
      <w:r>
        <w:rPr>
          <w:rFonts w:hint="eastAsia" w:asciiTheme="minorEastAsia" w:hAnsiTheme="minorEastAsia" w:eastAsiaTheme="minorEastAsia"/>
          <w:szCs w:val="21"/>
        </w:rPr>
        <w:t>条款为不可负偏离条款，投标文件响应为“负偏离”或未响应的，投标文件将按无效投标处理。</w:t>
      </w:r>
    </w:p>
    <w:p>
      <w:pPr>
        <w:spacing w:line="400" w:lineRule="exact"/>
        <w:ind w:firstLine="420" w:firstLineChars="200"/>
      </w:pPr>
      <w:r>
        <w:rPr>
          <w:rFonts w:hint="eastAsia" w:asciiTheme="minorEastAsia" w:hAnsiTheme="minorEastAsia" w:eastAsiaTheme="minorEastAsia"/>
          <w:szCs w:val="21"/>
        </w:rPr>
        <w:t>3、投标人应在“说明”一栏中列出商务条款的证明资料名称，并注明该证明资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pPr>
        <w:spacing w:line="400" w:lineRule="exact"/>
        <w:ind w:firstLine="420" w:firstLineChars="200"/>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授权代表或法定代表人：（签字）</w:t>
      </w:r>
    </w:p>
    <w:p>
      <w:pPr>
        <w:adjustRightInd w:val="0"/>
        <w:snapToGrid w:val="0"/>
        <w:spacing w:line="300" w:lineRule="auto"/>
        <w:rPr>
          <w:snapToGrid w:val="0"/>
          <w:kern w:val="0"/>
        </w:rPr>
      </w:pPr>
    </w:p>
    <w:p>
      <w:pPr>
        <w:pStyle w:val="9"/>
        <w:numPr>
          <w:ilvl w:val="0"/>
          <w:numId w:val="0"/>
        </w:numPr>
        <w:tabs>
          <w:tab w:val="clear" w:pos="2111"/>
        </w:tabs>
        <w:spacing w:before="120" w:after="120"/>
        <w:ind w:left="-1" w:leftChars="-1" w:hanging="1"/>
        <w:jc w:val="center"/>
        <w:rPr>
          <w:rFonts w:asciiTheme="minorEastAsia" w:hAnsiTheme="minorEastAsia" w:eastAsiaTheme="minorEastAsia"/>
          <w:sz w:val="24"/>
        </w:rPr>
      </w:pPr>
      <w:r>
        <w:rPr>
          <w:rFonts w:hint="eastAsia"/>
          <w:snapToGrid w:val="0"/>
          <w:kern w:val="0"/>
        </w:rPr>
        <w:t xml:space="preserve">                                             </w:t>
      </w:r>
      <w:r>
        <w:rPr>
          <w:rFonts w:hint="eastAsia"/>
          <w:snapToGrid w:val="0"/>
          <w:kern w:val="0"/>
          <w:sz w:val="21"/>
          <w:szCs w:val="20"/>
        </w:rPr>
        <w:t xml:space="preserve">   年    月    日</w:t>
      </w:r>
      <w:r>
        <w:rPr>
          <w:rFonts w:asciiTheme="minorEastAsia" w:hAnsiTheme="minorEastAsia" w:eastAsiaTheme="minorEastAsia"/>
          <w:sz w:val="24"/>
        </w:rPr>
        <w:tab/>
      </w:r>
    </w:p>
    <w:p>
      <w:pPr>
        <w:rPr>
          <w:rFonts w:cs="仿宋" w:asciiTheme="minorEastAsia" w:hAnsiTheme="minorEastAsia" w:eastAsiaTheme="minorEastAsia"/>
          <w:sz w:val="28"/>
          <w:szCs w:val="32"/>
        </w:rPr>
      </w:pPr>
      <w:r>
        <w:rPr>
          <w:rFonts w:hint="eastAsia" w:cs="仿宋" w:asciiTheme="minorEastAsia" w:hAnsiTheme="minorEastAsia" w:eastAsiaTheme="minorEastAsia"/>
          <w:sz w:val="28"/>
          <w:szCs w:val="32"/>
        </w:rPr>
        <w:br w:type="page"/>
      </w:r>
    </w:p>
    <w:p>
      <w:pPr>
        <w:rPr>
          <w:rFonts w:cs="仿宋" w:asciiTheme="minorEastAsia" w:hAnsiTheme="minorEastAsia" w:eastAsiaTheme="minorEastAsia"/>
          <w:sz w:val="28"/>
          <w:szCs w:val="32"/>
        </w:rPr>
      </w:pPr>
      <w:r>
        <w:rPr>
          <w:rFonts w:hint="eastAsia" w:cs="仿宋" w:asciiTheme="minorEastAsia" w:hAnsiTheme="minorEastAsia" w:eastAsiaTheme="minorEastAsia"/>
          <w:sz w:val="28"/>
          <w:szCs w:val="32"/>
        </w:rPr>
        <w:t>格式9  其他招标文件要求的资料或投标人认为需要补充的资料</w:t>
      </w:r>
    </w:p>
    <w:p>
      <w:pPr>
        <w:rPr>
          <w:rFonts w:cs="仿宋" w:asciiTheme="minorEastAsia" w:hAnsiTheme="minorEastAsia" w:eastAsiaTheme="minorEastAsia"/>
        </w:rPr>
      </w:pPr>
    </w:p>
    <w:p>
      <w:pPr>
        <w:widowControl/>
        <w:snapToGrid w:val="0"/>
        <w:spacing w:line="360" w:lineRule="auto"/>
        <w:jc w:val="left"/>
        <w:outlineLvl w:val="4"/>
        <w:rPr>
          <w:rFonts w:ascii="仿宋" w:hAnsi="仿宋" w:eastAsia="仿宋"/>
          <w:b/>
          <w:bCs/>
          <w:color w:val="FF0000"/>
          <w:kern w:val="0"/>
          <w:sz w:val="25"/>
          <w:szCs w:val="25"/>
        </w:rPr>
      </w:pPr>
      <w:r>
        <w:rPr>
          <w:rFonts w:hint="eastAsia" w:ascii="仿宋" w:hAnsi="仿宋" w:eastAsia="仿宋"/>
          <w:b/>
          <w:bCs/>
          <w:color w:val="FF0000"/>
          <w:kern w:val="0"/>
          <w:sz w:val="25"/>
          <w:szCs w:val="25"/>
        </w:rPr>
        <w:t>特别提醒：</w:t>
      </w:r>
    </w:p>
    <w:p>
      <w:pPr>
        <w:widowControl/>
        <w:snapToGrid w:val="0"/>
        <w:spacing w:line="360" w:lineRule="auto"/>
        <w:jc w:val="left"/>
        <w:rPr>
          <w:rFonts w:ascii="宋体" w:hAnsi="宋体"/>
          <w:color w:val="FF0000"/>
          <w:szCs w:val="21"/>
        </w:rPr>
      </w:pPr>
      <w:r>
        <w:rPr>
          <w:rFonts w:hint="eastAsia" w:ascii="仿宋" w:hAnsi="仿宋" w:eastAsia="仿宋"/>
          <w:color w:val="FF0000"/>
          <w:kern w:val="0"/>
          <w:sz w:val="25"/>
          <w:szCs w:val="25"/>
        </w:rPr>
        <w:t xml:space="preserve">  </w:t>
      </w:r>
      <w:r>
        <w:rPr>
          <w:rFonts w:hint="eastAsia" w:asciiTheme="minorEastAsia" w:hAnsiTheme="minorEastAsia" w:eastAsiaTheme="minorEastAsia"/>
          <w:color w:val="FF0000"/>
          <w:kern w:val="0"/>
          <w:szCs w:val="21"/>
        </w:rPr>
        <w:t xml:space="preserve">  《深圳经济特区政府采购条例实施细则》</w:t>
      </w:r>
      <w:r>
        <w:rPr>
          <w:rFonts w:hint="eastAsia" w:ascii="宋体" w:hAnsi="宋体"/>
          <w:color w:val="FF0000"/>
          <w:szCs w:val="21"/>
        </w:rPr>
        <w:t>第七十九条规定：供应商有下列情形的，属于采购条例所称的串通投标行为。</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（一）投标供应商之间相互约定给予未中标的供应商利益补偿；</w:t>
      </w:r>
    </w:p>
    <w:p>
      <w:pPr>
        <w:widowControl/>
        <w:snapToGrid w:val="0"/>
        <w:spacing w:line="360" w:lineRule="auto"/>
        <w:ind w:firstLine="426" w:firstLineChars="202"/>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（二）不同投标供应商的法定代表人、主要经营负责人、项目投标授权代表人、项目负责人、主要技术人员为同一人、属同一单位或者在同一单位缴纳社会保险；</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（三）不同投标供应商的投标文件由同一单位或者同一人编制，或者由同一人分阶段参与编制的；</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（四）不同投标供应商的投标文件或部分投标文件相互混装；</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（五）不同投标供应商的投标文件内容存在非正常一致；</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（六）由同一单位工作人员为两家以上（含两家）供应商进行同一项投标活动的；</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（七）主管部门依照法律、法规认定的其他情形。</w:t>
      </w:r>
    </w:p>
    <w:p>
      <w:pPr>
        <w:widowControl/>
        <w:snapToGrid w:val="0"/>
        <w:spacing w:line="360" w:lineRule="auto"/>
        <w:jc w:val="left"/>
        <w:rPr>
          <w:rFonts w:asciiTheme="minorEastAsia" w:hAnsiTheme="minorEastAsia" w:eastAsiaTheme="minorEastAsia"/>
          <w:color w:val="FF0000"/>
          <w:kern w:val="0"/>
          <w:szCs w:val="21"/>
        </w:rPr>
      </w:pPr>
    </w:p>
    <w:p>
      <w:pPr>
        <w:widowControl/>
        <w:snapToGrid w:val="0"/>
        <w:spacing w:line="360" w:lineRule="auto"/>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投标供应商提供以下资料（格式自拟）：</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1、投标单位法定代表人、主要经营负责人、项目投标授权代表人、项目负责人及主要技术人员近一年社保缴纳查询记录（包含在投标单位及其他缴纳社保单位的记录）；社保缴纳不满一年的按实际缴纳情况提供（因社保部门原因暂时无法提供社保证明的，需提供加盖公章的情况说明或者证明材料。）</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2、其他招标文件要求的资料或投标供应商认为需要补充的资料。</w:t>
      </w:r>
    </w:p>
    <w:p>
      <w:pPr>
        <w:widowControl/>
        <w:jc w:val="left"/>
        <w:rPr>
          <w:rFonts w:cs="仿宋" w:asciiTheme="minorEastAsia" w:hAnsiTheme="minorEastAsia" w:eastAsiaTheme="minorEastAsia"/>
        </w:rPr>
      </w:pPr>
      <w:r>
        <w:rPr>
          <w:rFonts w:hint="eastAsia" w:cs="仿宋" w:asciiTheme="minorEastAsia" w:hAnsiTheme="minorEastAsia" w:eastAsiaTheme="minorEastAsia"/>
        </w:rPr>
        <w:br w:type="page"/>
      </w:r>
    </w:p>
    <w:p>
      <w:pPr>
        <w:widowControl/>
        <w:jc w:val="left"/>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adjustRightInd w:val="0"/>
        <w:snapToGrid w:val="0"/>
        <w:spacing w:line="300" w:lineRule="auto"/>
        <w:jc w:val="center"/>
        <w:rPr>
          <w:rFonts w:cs="仿宋" w:asciiTheme="minorEastAsia" w:hAnsiTheme="minorEastAsia" w:eastAsiaTheme="minorEastAsia"/>
          <w:snapToGrid w:val="0"/>
          <w:kern w:val="0"/>
          <w:sz w:val="56"/>
          <w:szCs w:val="96"/>
        </w:rPr>
      </w:pPr>
      <w:r>
        <w:rPr>
          <w:rFonts w:hint="eastAsia" w:cs="仿宋" w:asciiTheme="minorEastAsia" w:hAnsiTheme="minorEastAsia" w:eastAsiaTheme="minorEastAsia"/>
          <w:snapToGrid w:val="0"/>
          <w:kern w:val="0"/>
          <w:sz w:val="56"/>
          <w:szCs w:val="96"/>
        </w:rPr>
        <w:t>第四部分</w:t>
      </w:r>
    </w:p>
    <w:p>
      <w:pPr>
        <w:jc w:val="center"/>
        <w:rPr>
          <w:rFonts w:cs="仿宋" w:asciiTheme="minorEastAsia" w:hAnsiTheme="minorEastAsia" w:eastAsiaTheme="minorEastAsia"/>
          <w:snapToGrid w:val="0"/>
          <w:kern w:val="0"/>
          <w:sz w:val="56"/>
          <w:szCs w:val="96"/>
        </w:rPr>
      </w:pPr>
      <w:r>
        <w:rPr>
          <w:rFonts w:hint="eastAsia" w:cs="仿宋" w:asciiTheme="minorEastAsia" w:hAnsiTheme="minorEastAsia" w:eastAsiaTheme="minorEastAsia"/>
          <w:snapToGrid w:val="0"/>
          <w:kern w:val="0"/>
          <w:sz w:val="56"/>
          <w:szCs w:val="96"/>
        </w:rPr>
        <w:t>合同条款</w:t>
      </w:r>
    </w:p>
    <w:p>
      <w:pPr>
        <w:widowControl/>
        <w:jc w:val="left"/>
        <w:rPr>
          <w:rFonts w:cs="仿宋" w:asciiTheme="minorEastAsia" w:hAnsiTheme="minorEastAsia" w:eastAsiaTheme="minorEastAsia"/>
        </w:rPr>
      </w:pPr>
      <w:r>
        <w:rPr>
          <w:rFonts w:hint="eastAsia" w:cs="仿宋" w:asciiTheme="minorEastAsia" w:hAnsiTheme="minorEastAsia" w:eastAsiaTheme="minorEastAsia"/>
        </w:rPr>
        <w:br w:type="page"/>
      </w:r>
    </w:p>
    <w:p>
      <w:pPr>
        <w:adjustRightInd w:val="0"/>
        <w:snapToGrid w:val="0"/>
        <w:spacing w:line="300" w:lineRule="auto"/>
        <w:ind w:left="2"/>
        <w:jc w:val="center"/>
        <w:rPr>
          <w:rFonts w:cs="仿宋" w:asciiTheme="minorEastAsia" w:hAnsiTheme="minorEastAsia" w:eastAsiaTheme="minorEastAsia"/>
          <w:snapToGrid w:val="0"/>
          <w:kern w:val="0"/>
          <w:sz w:val="32"/>
          <w:szCs w:val="32"/>
        </w:rPr>
      </w:pPr>
      <w:r>
        <w:rPr>
          <w:rFonts w:hint="eastAsia" w:cs="仿宋" w:asciiTheme="minorEastAsia" w:hAnsiTheme="minorEastAsia" w:eastAsiaTheme="minorEastAsia"/>
          <w:snapToGrid w:val="0"/>
          <w:kern w:val="0"/>
          <w:sz w:val="32"/>
          <w:szCs w:val="32"/>
        </w:rPr>
        <w:t>合同条款</w:t>
      </w:r>
    </w:p>
    <w:p>
      <w:pPr>
        <w:pStyle w:val="42"/>
        <w:widowControl w:val="0"/>
        <w:pBdr>
          <w:bottom w:val="none" w:color="auto" w:sz="0" w:space="0"/>
        </w:pBdr>
        <w:adjustRightInd w:val="0"/>
        <w:snapToGrid w:val="0"/>
        <w:spacing w:before="0" w:beforeAutospacing="0" w:after="0" w:afterAutospacing="0" w:line="360" w:lineRule="auto"/>
        <w:textAlignment w:val="auto"/>
        <w:rPr>
          <w:rFonts w:cs="仿宋" w:asciiTheme="minorEastAsia" w:hAnsiTheme="minorEastAsia" w:eastAsiaTheme="minorEastAsia"/>
          <w:snapToGrid w:val="0"/>
          <w:sz w:val="32"/>
          <w:szCs w:val="32"/>
        </w:rPr>
      </w:pPr>
      <w:r>
        <w:rPr>
          <w:rFonts w:hint="eastAsia" w:cs="仿宋" w:asciiTheme="minorEastAsia" w:hAnsiTheme="minorEastAsia" w:eastAsiaTheme="minorEastAsia"/>
          <w:snapToGrid w:val="0"/>
          <w:sz w:val="32"/>
          <w:szCs w:val="32"/>
        </w:rPr>
        <w:t>（仅供参考）</w:t>
      </w:r>
    </w:p>
    <w:p>
      <w:pPr>
        <w:jc w:val="center"/>
        <w:rPr>
          <w:szCs w:val="21"/>
        </w:rPr>
      </w:pPr>
    </w:p>
    <w:p>
      <w:pPr>
        <w:pStyle w:val="15"/>
        <w:spacing w:line="360" w:lineRule="auto"/>
        <w:ind w:firstLine="480" w:firstLineChars="200"/>
        <w:rPr>
          <w:rFonts w:ascii="Times New Roman" w:hAnsi="Times New Roman"/>
          <w:sz w:val="24"/>
        </w:rPr>
      </w:pPr>
      <w:r>
        <w:rPr>
          <w:rFonts w:hint="eastAsia" w:ascii="Times New Roman" w:hAnsi="Times New Roman"/>
          <w:sz w:val="24"/>
        </w:rPr>
        <w:t>重要说明：采购人在签订合同前有权依据招标文件要求和项目实际情况对以下合同内容进行删改或补充。</w:t>
      </w:r>
    </w:p>
    <w:p>
      <w:pPr>
        <w:adjustRightInd w:val="0"/>
        <w:snapToGrid w:val="0"/>
        <w:spacing w:line="360" w:lineRule="auto"/>
        <w:jc w:val="center"/>
        <w:rPr>
          <w:snapToGrid w:val="0"/>
          <w:kern w:val="0"/>
          <w:sz w:val="28"/>
        </w:rPr>
      </w:pPr>
    </w:p>
    <w:p>
      <w:pPr>
        <w:spacing w:line="360" w:lineRule="auto"/>
        <w:rPr>
          <w:rFonts w:asciiTheme="minorEastAsia" w:hAnsiTheme="minorEastAsia"/>
          <w:szCs w:val="21"/>
        </w:rPr>
      </w:pPr>
      <w:r>
        <w:rPr>
          <w:rFonts w:hint="eastAsia" w:asciiTheme="minorEastAsia" w:hAnsiTheme="minorEastAsia"/>
          <w:szCs w:val="21"/>
        </w:rPr>
        <w:t>甲方（采购人）：</w:t>
      </w:r>
    </w:p>
    <w:p>
      <w:pPr>
        <w:spacing w:line="360" w:lineRule="auto"/>
        <w:rPr>
          <w:rFonts w:asciiTheme="minorEastAsia" w:hAnsiTheme="minorEastAsia"/>
          <w:szCs w:val="21"/>
        </w:rPr>
      </w:pPr>
      <w:r>
        <w:rPr>
          <w:rFonts w:hint="eastAsia" w:asciiTheme="minorEastAsia" w:hAnsiTheme="minorEastAsia"/>
          <w:szCs w:val="21"/>
        </w:rPr>
        <w:t>乙方（中标人）：</w:t>
      </w:r>
    </w:p>
    <w:p>
      <w:pPr>
        <w:snapToGrid w:val="0"/>
        <w:spacing w:line="360" w:lineRule="auto"/>
        <w:ind w:firstLine="420" w:firstLineChars="200"/>
        <w:rPr>
          <w:rFonts w:ascii="宋体" w:hAnsi="宋体"/>
          <w:szCs w:val="21"/>
        </w:rPr>
      </w:pPr>
    </w:p>
    <w:p>
      <w:pPr>
        <w:snapToGrid w:val="0"/>
        <w:spacing w:line="360" w:lineRule="auto"/>
        <w:ind w:firstLine="420" w:firstLineChars="200"/>
        <w:rPr>
          <w:rFonts w:ascii="宋体" w:hAnsi="宋体"/>
          <w:szCs w:val="21"/>
        </w:rPr>
      </w:pPr>
      <w:r>
        <w:rPr>
          <w:rFonts w:hint="eastAsia" w:ascii="宋体" w:hAnsi="宋体"/>
          <w:szCs w:val="21"/>
        </w:rPr>
        <w:t>根据</w:t>
      </w:r>
      <w:r>
        <w:rPr>
          <w:rFonts w:hint="eastAsia" w:ascii="宋体" w:hAnsi="宋体"/>
          <w:szCs w:val="21"/>
          <w:u w:val="single"/>
        </w:rPr>
        <w:t xml:space="preserve">                </w:t>
      </w:r>
      <w:r>
        <w:rPr>
          <w:rFonts w:hint="eastAsia" w:ascii="宋体" w:hAnsi="宋体"/>
          <w:szCs w:val="21"/>
        </w:rPr>
        <w:t>征集项目（项目编号__________________）的成交结果，由_______________________单位为中标人。</w:t>
      </w:r>
      <w:r>
        <w:rPr>
          <w:rFonts w:hint="eastAsia" w:asciiTheme="minorEastAsia" w:hAnsiTheme="minorEastAsia"/>
          <w:szCs w:val="21"/>
        </w:rPr>
        <w:t>根据《中华人民共和国政府采购法》、《深圳经济特区政府采购条例》、《中华人民共和国民法典》之规定</w:t>
      </w:r>
      <w:r>
        <w:rPr>
          <w:rFonts w:hint="eastAsia" w:ascii="宋体" w:hAnsi="宋体"/>
          <w:szCs w:val="21"/>
        </w:rPr>
        <w:t>，经_______________________（以下简称采购人）和_______________________（以下简称中标人）协商，就_______________________</w:t>
      </w:r>
      <w:r>
        <w:rPr>
          <w:rFonts w:hint="eastAsia" w:ascii="宋体" w:hAnsi="宋体"/>
          <w:snapToGrid w:val="0"/>
          <w:kern w:val="0"/>
          <w:szCs w:val="21"/>
          <w:lang w:val="zh-CN"/>
        </w:rPr>
        <w:t>项目</w:t>
      </w:r>
      <w:r>
        <w:rPr>
          <w:rFonts w:hint="eastAsia" w:ascii="宋体" w:hAnsi="宋体"/>
          <w:szCs w:val="21"/>
        </w:rPr>
        <w:t>，达成以下合同条款：</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第一条</w:t>
      </w:r>
      <w:r>
        <w:rPr>
          <w:rFonts w:asciiTheme="minorEastAsia" w:hAnsiTheme="minorEastAsia"/>
          <w:szCs w:val="21"/>
        </w:rPr>
        <w:t xml:space="preserve">  </w:t>
      </w:r>
      <w:r>
        <w:rPr>
          <w:rFonts w:hint="eastAsia" w:asciiTheme="minorEastAsia" w:hAnsiTheme="minorEastAsia"/>
          <w:szCs w:val="21"/>
        </w:rPr>
        <w:t>合同标的</w:t>
      </w:r>
    </w:p>
    <w:p>
      <w:pPr>
        <w:spacing w:line="360" w:lineRule="auto"/>
        <w:ind w:firstLine="420" w:firstLineChars="200"/>
        <w:rPr>
          <w:rFonts w:asciiTheme="minorEastAsia" w:hAnsiTheme="minorEastAsia"/>
          <w:szCs w:val="21"/>
        </w:rPr>
      </w:pPr>
      <w:r>
        <w:rPr>
          <w:rFonts w:hint="eastAsia" w:asciiTheme="minorEastAsia" w:hAnsiTheme="minorEastAsia"/>
          <w:szCs w:val="21"/>
        </w:rPr>
        <w:t>货物名称、规格型号、制造商、产地、单位、数量、单价、合同价，详见</w:t>
      </w:r>
      <w:r>
        <w:rPr>
          <w:rFonts w:asciiTheme="minorEastAsia" w:hAnsiTheme="minorEastAsia"/>
          <w:szCs w:val="21"/>
          <w:u w:val="single"/>
        </w:rPr>
        <w:t xml:space="preserve">                  </w:t>
      </w:r>
      <w:r>
        <w:rPr>
          <w:rFonts w:hint="eastAsia" w:asciiTheme="minorEastAsia" w:hAnsiTheme="minorEastAsia"/>
          <w:szCs w:val="21"/>
        </w:rPr>
        <w:t>。</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第二条</w:t>
      </w:r>
      <w:r>
        <w:rPr>
          <w:rFonts w:asciiTheme="minorEastAsia" w:hAnsiTheme="minorEastAsia"/>
          <w:szCs w:val="21"/>
        </w:rPr>
        <w:t xml:space="preserve">  </w:t>
      </w:r>
      <w:r>
        <w:rPr>
          <w:rFonts w:hint="eastAsia" w:asciiTheme="minorEastAsia" w:hAnsiTheme="minorEastAsia"/>
          <w:szCs w:val="21"/>
        </w:rPr>
        <w:t>合同价款</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本合同项下总价款为</w:t>
      </w:r>
      <w:r>
        <w:rPr>
          <w:rFonts w:asciiTheme="minorEastAsia" w:hAnsiTheme="minorEastAsia"/>
          <w:szCs w:val="21"/>
          <w:u w:val="single"/>
        </w:rPr>
        <w:t xml:space="preserve">              </w:t>
      </w:r>
      <w:r>
        <w:rPr>
          <w:rFonts w:hint="eastAsia" w:asciiTheme="minorEastAsia" w:hAnsiTheme="minorEastAsia"/>
          <w:szCs w:val="21"/>
        </w:rPr>
        <w:t>（大写）人民币，分项价款详见</w:t>
      </w:r>
      <w:r>
        <w:rPr>
          <w:rFonts w:asciiTheme="minorEastAsia" w:hAnsiTheme="minorEastAsia"/>
          <w:szCs w:val="21"/>
          <w:u w:val="single"/>
        </w:rPr>
        <w:t xml:space="preserve">          </w:t>
      </w:r>
      <w:r>
        <w:rPr>
          <w:rFonts w:hint="eastAsia" w:asciiTheme="minorEastAsia" w:hAnsiTheme="minorEastAsia"/>
          <w:szCs w:val="21"/>
        </w:rPr>
        <w:t>。本合同总价款已包括乙方为履行本合同义务所发生的一切费用，系固定不变价格，且不随通货膨胀的影响而波动。</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第三条</w:t>
      </w:r>
      <w:r>
        <w:rPr>
          <w:rFonts w:asciiTheme="minorEastAsia" w:hAnsiTheme="minorEastAsia"/>
          <w:szCs w:val="21"/>
        </w:rPr>
        <w:t xml:space="preserve">  </w:t>
      </w:r>
      <w:r>
        <w:rPr>
          <w:rFonts w:hint="eastAsia" w:asciiTheme="minorEastAsia" w:hAnsiTheme="minorEastAsia"/>
          <w:szCs w:val="21"/>
        </w:rPr>
        <w:t>交货时间、地点和交货状态</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3.1交货时间：</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3.2交货地点：</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3.3交货状态：</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第四条</w:t>
      </w:r>
      <w:r>
        <w:rPr>
          <w:rFonts w:asciiTheme="minorEastAsia" w:hAnsiTheme="minorEastAsia"/>
          <w:szCs w:val="21"/>
        </w:rPr>
        <w:t xml:space="preserve">  </w:t>
      </w:r>
      <w:r>
        <w:rPr>
          <w:rFonts w:hint="eastAsia" w:asciiTheme="minorEastAsia" w:hAnsiTheme="minorEastAsia"/>
          <w:szCs w:val="21"/>
        </w:rPr>
        <w:t>质量标准和要求</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4.1乙方所提供的货物质量标准按照国家标准或者行业标准或者企业标准明确。没有国家标准、行业标准或企业标准的，按照通常标准或者符合合同目的的特定标准确定。</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4.2乙方应保证货物是全新、未使用过的原装合格正品（包括零部件），并完全符合甲方要求的质量、规格和性能的要求。如货物安装或配置了软件的，乙方保证相关软件均为正版软件。</w:t>
      </w:r>
    </w:p>
    <w:p>
      <w:pPr>
        <w:spacing w:line="360" w:lineRule="auto"/>
        <w:ind w:firstLine="420" w:firstLineChars="200"/>
        <w:jc w:val="left"/>
        <w:rPr>
          <w:rFonts w:asciiTheme="minorEastAsia" w:hAnsiTheme="minorEastAsia"/>
          <w:szCs w:val="21"/>
        </w:rPr>
      </w:pPr>
      <w:r>
        <w:rPr>
          <w:rFonts w:asciiTheme="minorEastAsia" w:hAnsiTheme="minorEastAsia"/>
          <w:szCs w:val="21"/>
        </w:rPr>
        <w:t>4.3乙方保证交货时一并提供货物的质量合格凭证或文件。</w:t>
      </w:r>
    </w:p>
    <w:p>
      <w:pPr>
        <w:spacing w:line="360" w:lineRule="auto"/>
        <w:ind w:firstLine="420" w:firstLineChars="200"/>
        <w:jc w:val="left"/>
        <w:rPr>
          <w:rFonts w:asciiTheme="minorEastAsia" w:hAnsiTheme="minorEastAsia"/>
          <w:szCs w:val="21"/>
        </w:rPr>
      </w:pPr>
      <w:r>
        <w:rPr>
          <w:rFonts w:asciiTheme="minorEastAsia" w:hAnsiTheme="minorEastAsia"/>
          <w:szCs w:val="21"/>
        </w:rPr>
        <w:t>4.4乙方所提供的全部货物均应按照标准保护措施进行包装，包装应适用于远距离运输、防潮、防震、防锈、防野蛮装卸等要求，以确保货物安全无损抵运指定交货地点。</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第五条</w:t>
      </w:r>
      <w:r>
        <w:rPr>
          <w:rFonts w:asciiTheme="minorEastAsia" w:hAnsiTheme="minorEastAsia"/>
          <w:szCs w:val="21"/>
        </w:rPr>
        <w:t xml:space="preserve">  </w:t>
      </w:r>
      <w:r>
        <w:rPr>
          <w:rFonts w:hint="eastAsia" w:asciiTheme="minorEastAsia" w:hAnsiTheme="minorEastAsia"/>
          <w:szCs w:val="21"/>
        </w:rPr>
        <w:t>权利保证</w:t>
      </w:r>
    </w:p>
    <w:p>
      <w:pPr>
        <w:spacing w:line="360" w:lineRule="auto"/>
        <w:ind w:firstLine="420" w:firstLineChars="200"/>
        <w:jc w:val="left"/>
        <w:rPr>
          <w:rFonts w:asciiTheme="minorEastAsia" w:hAnsiTheme="minorEastAsia"/>
          <w:szCs w:val="21"/>
        </w:rPr>
      </w:pPr>
      <w:r>
        <w:rPr>
          <w:rFonts w:asciiTheme="minorEastAsia" w:hAnsiTheme="minorEastAsia"/>
          <w:szCs w:val="21"/>
        </w:rPr>
        <w:t>5.1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pPr>
        <w:spacing w:line="360" w:lineRule="auto"/>
        <w:ind w:firstLine="420" w:firstLineChars="200"/>
        <w:jc w:val="left"/>
        <w:rPr>
          <w:rFonts w:asciiTheme="minorEastAsia" w:hAnsiTheme="minorEastAsia"/>
          <w:szCs w:val="21"/>
        </w:rPr>
      </w:pPr>
      <w:r>
        <w:rPr>
          <w:rFonts w:asciiTheme="minorEastAsia" w:hAnsiTheme="minorEastAsia"/>
          <w:szCs w:val="21"/>
        </w:rPr>
        <w:t>5.2乙方应保证其提供的货物不存在任何未曾向甲方透漏的担保物权，如抵押权、质押权、留置权等。</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第六条</w:t>
      </w:r>
      <w:r>
        <w:rPr>
          <w:rFonts w:asciiTheme="minorEastAsia" w:hAnsiTheme="minorEastAsia"/>
          <w:szCs w:val="21"/>
        </w:rPr>
        <w:t xml:space="preserve">  </w:t>
      </w:r>
      <w:r>
        <w:rPr>
          <w:rFonts w:hint="eastAsia" w:asciiTheme="minorEastAsia" w:hAnsiTheme="minorEastAsia"/>
          <w:szCs w:val="21"/>
        </w:rPr>
        <w:t>质量保障</w:t>
      </w:r>
    </w:p>
    <w:p>
      <w:pPr>
        <w:spacing w:line="360" w:lineRule="auto"/>
        <w:ind w:firstLine="420" w:firstLineChars="200"/>
        <w:jc w:val="left"/>
        <w:rPr>
          <w:rFonts w:asciiTheme="minorEastAsia" w:hAnsiTheme="minorEastAsia"/>
          <w:szCs w:val="21"/>
        </w:rPr>
      </w:pPr>
      <w:r>
        <w:rPr>
          <w:rFonts w:asciiTheme="minorEastAsia" w:hAnsiTheme="minorEastAsia"/>
          <w:szCs w:val="21"/>
        </w:rPr>
        <w:t>6.1乙方应保证其提供的货物是全新的，未使用过的，并且完全符合合同规定的质量、规格和性能要求。乙方应保证其提供的货物在正确安装、正常使用和保养条件下，在其使用寿命期限内应具有很满意的性能。在货物最终交付验收后的质量保证期限内，乙方应对由于设计、工艺或材料的缺陷而产生的故障承担责任。</w:t>
      </w:r>
    </w:p>
    <w:p>
      <w:pPr>
        <w:spacing w:line="360" w:lineRule="auto"/>
        <w:ind w:firstLine="420" w:firstLineChars="200"/>
        <w:jc w:val="left"/>
        <w:rPr>
          <w:rFonts w:asciiTheme="minorEastAsia" w:hAnsiTheme="minorEastAsia"/>
          <w:szCs w:val="21"/>
        </w:rPr>
      </w:pPr>
      <w:r>
        <w:rPr>
          <w:rFonts w:asciiTheme="minorEastAsia" w:hAnsiTheme="minorEastAsia"/>
          <w:szCs w:val="21"/>
        </w:rPr>
        <w:t>6.2在质量保证期限内，如果货物的质量或规格与合同不符，或者证实货物存在缺陷的，包括潜在的缺陷或者使用不符合要求的材料等，甲方可根据本合同追究乙方相应违约责任。</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第七条</w:t>
      </w:r>
      <w:r>
        <w:rPr>
          <w:rFonts w:asciiTheme="minorEastAsia" w:hAnsiTheme="minorEastAsia"/>
          <w:szCs w:val="21"/>
        </w:rPr>
        <w:t xml:space="preserve">  </w:t>
      </w:r>
      <w:r>
        <w:rPr>
          <w:rFonts w:hint="eastAsia" w:asciiTheme="minorEastAsia" w:hAnsiTheme="minorEastAsia"/>
          <w:szCs w:val="21"/>
        </w:rPr>
        <w:t>交货和验收</w:t>
      </w:r>
    </w:p>
    <w:p>
      <w:pPr>
        <w:spacing w:line="360" w:lineRule="auto"/>
        <w:ind w:firstLine="420" w:firstLineChars="200"/>
        <w:jc w:val="left"/>
        <w:rPr>
          <w:rFonts w:asciiTheme="minorEastAsia" w:hAnsiTheme="minorEastAsia"/>
          <w:szCs w:val="21"/>
        </w:rPr>
      </w:pPr>
      <w:r>
        <w:rPr>
          <w:rFonts w:asciiTheme="minorEastAsia" w:hAnsiTheme="minorEastAsia"/>
          <w:szCs w:val="21"/>
        </w:rPr>
        <w:t>7.1乙方应按照本合同或招投标文件规定的时间和方式向甲方交付货物，交货地点由甲方指定。因交货产生的费用由乙方自行承担。</w:t>
      </w:r>
    </w:p>
    <w:p>
      <w:pPr>
        <w:spacing w:line="360" w:lineRule="auto"/>
        <w:ind w:firstLine="420" w:firstLineChars="200"/>
        <w:jc w:val="left"/>
        <w:rPr>
          <w:rFonts w:asciiTheme="minorEastAsia" w:hAnsiTheme="minorEastAsia"/>
          <w:szCs w:val="21"/>
        </w:rPr>
      </w:pPr>
      <w:r>
        <w:rPr>
          <w:rFonts w:asciiTheme="minorEastAsia" w:hAnsiTheme="minorEastAsia"/>
          <w:szCs w:val="21"/>
        </w:rPr>
        <w:t>7.2乙方交付的货物应当完全符合招投标文件所规定的货物、数量、质量和规格要求。乙方提供的货物不符合招投标文件和合同规定的，甲方有权拒收货物，由此引起的风险，由乙方承担。</w:t>
      </w:r>
    </w:p>
    <w:p>
      <w:pPr>
        <w:spacing w:line="360" w:lineRule="auto"/>
        <w:ind w:firstLine="420" w:firstLineChars="200"/>
        <w:jc w:val="left"/>
        <w:rPr>
          <w:rFonts w:asciiTheme="minorEastAsia" w:hAnsiTheme="minorEastAsia"/>
          <w:szCs w:val="21"/>
        </w:rPr>
      </w:pPr>
      <w:r>
        <w:rPr>
          <w:rFonts w:asciiTheme="minorEastAsia" w:hAnsiTheme="minorEastAsia"/>
          <w:szCs w:val="21"/>
        </w:rPr>
        <w:t>7.3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pPr>
        <w:spacing w:line="360" w:lineRule="auto"/>
        <w:ind w:firstLine="420" w:firstLineChars="200"/>
        <w:jc w:val="left"/>
        <w:rPr>
          <w:rFonts w:asciiTheme="minorEastAsia" w:hAnsiTheme="minorEastAsia"/>
          <w:szCs w:val="21"/>
        </w:rPr>
      </w:pPr>
      <w:r>
        <w:rPr>
          <w:rFonts w:asciiTheme="minorEastAsia" w:hAnsiTheme="minorEastAsia"/>
          <w:szCs w:val="21"/>
        </w:rPr>
        <w:t>7.4甲方应当在到货后的</w:t>
      </w:r>
      <w:r>
        <w:rPr>
          <w:rFonts w:asciiTheme="minorEastAsia" w:hAnsiTheme="minorEastAsia"/>
          <w:szCs w:val="21"/>
          <w:u w:val="single"/>
        </w:rPr>
        <w:t xml:space="preserve">       </w:t>
      </w:r>
      <w:r>
        <w:rPr>
          <w:rFonts w:hint="eastAsia" w:asciiTheme="minorEastAsia" w:hAnsiTheme="minorEastAsia"/>
          <w:szCs w:val="21"/>
        </w:rPr>
        <w:t>个工作日内对货物进行验收；需要乙方对货物或系统进行安装调试的，甲方应在货物安装调试完毕后的</w:t>
      </w:r>
      <w:r>
        <w:rPr>
          <w:rFonts w:asciiTheme="minorEastAsia" w:hAnsiTheme="minorEastAsia"/>
          <w:szCs w:val="21"/>
          <w:u w:val="single"/>
        </w:rPr>
        <w:t xml:space="preserve">       </w:t>
      </w:r>
      <w:r>
        <w:rPr>
          <w:rFonts w:hint="eastAsia" w:asciiTheme="minorEastAsia" w:hAnsiTheme="minorEastAsia"/>
          <w:szCs w:val="21"/>
        </w:rPr>
        <w:t>个工作日内进行质量验收。</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第八条</w:t>
      </w:r>
      <w:r>
        <w:rPr>
          <w:rFonts w:asciiTheme="minorEastAsia" w:hAnsiTheme="minorEastAsia"/>
          <w:szCs w:val="21"/>
        </w:rPr>
        <w:t xml:space="preserve">  </w:t>
      </w:r>
      <w:r>
        <w:rPr>
          <w:rFonts w:hint="eastAsia" w:asciiTheme="minorEastAsia" w:hAnsiTheme="minorEastAsia"/>
          <w:szCs w:val="21"/>
        </w:rPr>
        <w:t>保修及其他服务</w:t>
      </w:r>
    </w:p>
    <w:p>
      <w:pPr>
        <w:spacing w:line="360" w:lineRule="auto"/>
        <w:ind w:firstLine="420" w:firstLineChars="200"/>
        <w:jc w:val="left"/>
        <w:rPr>
          <w:rFonts w:asciiTheme="minorEastAsia" w:hAnsiTheme="minorEastAsia"/>
          <w:szCs w:val="21"/>
        </w:rPr>
      </w:pPr>
      <w:r>
        <w:rPr>
          <w:rFonts w:asciiTheme="minorEastAsia" w:hAnsiTheme="minorEastAsia"/>
          <w:szCs w:val="21"/>
        </w:rPr>
        <w:t>8.1乙方应按照国家有关法律法规规章和“三包”规定和招标文件的要求及乙方在投标文件的相关承诺提供保修及其他服务。</w:t>
      </w:r>
    </w:p>
    <w:p>
      <w:pPr>
        <w:spacing w:line="360" w:lineRule="auto"/>
        <w:ind w:firstLine="420" w:firstLineChars="200"/>
        <w:jc w:val="left"/>
        <w:rPr>
          <w:rFonts w:asciiTheme="minorEastAsia" w:hAnsiTheme="minorEastAsia"/>
          <w:szCs w:val="21"/>
        </w:rPr>
      </w:pPr>
      <w:r>
        <w:rPr>
          <w:rFonts w:asciiTheme="minorEastAsia" w:hAnsiTheme="minorEastAsia"/>
          <w:szCs w:val="21"/>
        </w:rPr>
        <w:t>8.2保修期内，乙方负责对其提供的货物进行维修和系统维护，不再收取任何费用。</w:t>
      </w:r>
      <w:r>
        <w:rPr>
          <w:rFonts w:hint="eastAsia" w:asciiTheme="minorEastAsia" w:hAnsiTheme="minorEastAsia"/>
          <w:szCs w:val="21"/>
        </w:rPr>
        <w:t>所有货物保修服务方式均为乙方上门保修，即由乙方派员到货物使用现场维修，由此产生的一切费用均由乙方承担。保修期后的货物维护另行协商。</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第九条</w:t>
      </w:r>
      <w:r>
        <w:rPr>
          <w:rFonts w:asciiTheme="minorEastAsia" w:hAnsiTheme="minorEastAsia"/>
          <w:szCs w:val="21"/>
        </w:rPr>
        <w:t xml:space="preserve">  </w:t>
      </w:r>
      <w:r>
        <w:rPr>
          <w:rFonts w:hint="eastAsia" w:asciiTheme="minorEastAsia" w:hAnsiTheme="minorEastAsia"/>
          <w:szCs w:val="21"/>
        </w:rPr>
        <w:t>履约保证金</w:t>
      </w:r>
    </w:p>
    <w:p>
      <w:pPr>
        <w:spacing w:line="360" w:lineRule="auto"/>
        <w:ind w:firstLine="420" w:firstLineChars="200"/>
        <w:jc w:val="left"/>
        <w:rPr>
          <w:rFonts w:asciiTheme="minorEastAsia" w:hAnsiTheme="minorEastAsia"/>
          <w:szCs w:val="21"/>
        </w:rPr>
      </w:pPr>
      <w:r>
        <w:rPr>
          <w:rFonts w:asciiTheme="minorEastAsia" w:hAnsiTheme="minorEastAsia"/>
          <w:szCs w:val="21"/>
        </w:rPr>
        <w:t>9.1乙方应在签订本合同之日，向甲方或甲方指定的机构提交履约保证金_________元。</w:t>
      </w:r>
    </w:p>
    <w:p>
      <w:pPr>
        <w:spacing w:line="360" w:lineRule="auto"/>
        <w:ind w:firstLine="420" w:firstLineChars="200"/>
        <w:jc w:val="left"/>
        <w:rPr>
          <w:rFonts w:asciiTheme="minorEastAsia" w:hAnsiTheme="minorEastAsia"/>
          <w:szCs w:val="21"/>
        </w:rPr>
      </w:pPr>
      <w:r>
        <w:rPr>
          <w:rFonts w:asciiTheme="minorEastAsia" w:hAnsiTheme="minorEastAsia"/>
          <w:szCs w:val="21"/>
        </w:rPr>
        <w:t>9.2如乙方未能履行合同规定的义务，甲方有权从履约保证金中取得补偿。</w:t>
      </w:r>
    </w:p>
    <w:p>
      <w:pPr>
        <w:spacing w:line="360" w:lineRule="auto"/>
        <w:ind w:firstLine="420" w:firstLineChars="200"/>
        <w:jc w:val="left"/>
        <w:rPr>
          <w:rFonts w:asciiTheme="minorEastAsia" w:hAnsiTheme="minorEastAsia"/>
          <w:szCs w:val="21"/>
        </w:rPr>
      </w:pPr>
      <w:r>
        <w:rPr>
          <w:rFonts w:asciiTheme="minorEastAsia" w:hAnsiTheme="minorEastAsia"/>
          <w:szCs w:val="21"/>
        </w:rPr>
        <w:t>9.3甲方在乙方履行完毕本合同项下全部义务后______天内无息退还乙方。</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第十条</w:t>
      </w:r>
      <w:r>
        <w:rPr>
          <w:rFonts w:asciiTheme="minorEastAsia" w:hAnsiTheme="minorEastAsia"/>
          <w:szCs w:val="21"/>
        </w:rPr>
        <w:t xml:space="preserve">  </w:t>
      </w:r>
      <w:r>
        <w:rPr>
          <w:rFonts w:hint="eastAsia" w:asciiTheme="minorEastAsia" w:hAnsiTheme="minorEastAsia"/>
          <w:szCs w:val="21"/>
        </w:rPr>
        <w:t>货款支付</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10.1本合同以人民币付款。</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10.2付款条件：</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10.3付款方式和时间：</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第十一条</w:t>
      </w:r>
      <w:r>
        <w:rPr>
          <w:rFonts w:asciiTheme="minorEastAsia" w:hAnsiTheme="minorEastAsia"/>
          <w:szCs w:val="21"/>
        </w:rPr>
        <w:t xml:space="preserve">  </w:t>
      </w:r>
      <w:r>
        <w:rPr>
          <w:rFonts w:hint="eastAsia" w:asciiTheme="minorEastAsia" w:hAnsiTheme="minorEastAsia"/>
          <w:szCs w:val="21"/>
        </w:rPr>
        <w:t>违约责任</w:t>
      </w:r>
    </w:p>
    <w:p>
      <w:pPr>
        <w:spacing w:line="360" w:lineRule="auto"/>
        <w:ind w:firstLine="420" w:firstLineChars="200"/>
        <w:jc w:val="left"/>
        <w:rPr>
          <w:rFonts w:asciiTheme="minorEastAsia" w:hAnsiTheme="minorEastAsia"/>
          <w:szCs w:val="21"/>
        </w:rPr>
      </w:pPr>
      <w:r>
        <w:rPr>
          <w:rFonts w:asciiTheme="minorEastAsia" w:hAnsiTheme="minorEastAsia"/>
          <w:szCs w:val="21"/>
        </w:rPr>
        <w:t>11.1甲方无正当理由拒收货物、拒付货物款的，由甲方向乙方偿付合同总价的【】%违约金。</w:t>
      </w:r>
    </w:p>
    <w:p>
      <w:pPr>
        <w:spacing w:line="360" w:lineRule="auto"/>
        <w:ind w:firstLine="420" w:firstLineChars="200"/>
        <w:jc w:val="left"/>
        <w:rPr>
          <w:rFonts w:asciiTheme="minorEastAsia" w:hAnsiTheme="minorEastAsia"/>
          <w:szCs w:val="21"/>
        </w:rPr>
      </w:pPr>
      <w:r>
        <w:rPr>
          <w:rFonts w:asciiTheme="minorEastAsia" w:hAnsiTheme="minorEastAsia"/>
          <w:szCs w:val="21"/>
        </w:rPr>
        <w:t>11.2甲方未按合同规定的期限向乙方支付货款的，每逾期1天甲方向乙方偿付欠款总额的【】‰滞纳金，但累计滞纳金总额不超过欠款总额的【】%。</w:t>
      </w:r>
    </w:p>
    <w:p>
      <w:pPr>
        <w:spacing w:line="360" w:lineRule="auto"/>
        <w:ind w:firstLine="420" w:firstLineChars="200"/>
        <w:jc w:val="left"/>
        <w:rPr>
          <w:rFonts w:asciiTheme="minorEastAsia" w:hAnsiTheme="minorEastAsia"/>
          <w:szCs w:val="21"/>
        </w:rPr>
      </w:pPr>
      <w:r>
        <w:rPr>
          <w:rFonts w:asciiTheme="minorEastAsia" w:hAnsiTheme="minorEastAsia"/>
          <w:szCs w:val="21"/>
        </w:rPr>
        <w:t>11.3乙方逾期交付货物的</w:t>
      </w:r>
      <w:r>
        <w:rPr>
          <w:rFonts w:hint="eastAsia" w:asciiTheme="minorEastAsia" w:hAnsiTheme="minorEastAsia"/>
          <w:szCs w:val="21"/>
        </w:rPr>
        <w:t>，</w:t>
      </w:r>
      <w:r>
        <w:rPr>
          <w:rFonts w:asciiTheme="minorEastAsia" w:hAnsiTheme="minorEastAsia"/>
          <w:szCs w:val="21"/>
        </w:rPr>
        <w:t>每逾期1天，乙方向甲方偿付逾期交货部分货款总额的</w:t>
      </w:r>
      <w:r>
        <w:rPr>
          <w:rFonts w:hint="eastAsia" w:asciiTheme="minorEastAsia" w:hAnsiTheme="minorEastAsia"/>
          <w:szCs w:val="21"/>
        </w:rPr>
        <w:t>【】</w:t>
      </w:r>
      <w:r>
        <w:rPr>
          <w:rFonts w:asciiTheme="minorEastAsia" w:hAnsiTheme="minorEastAsia"/>
          <w:szCs w:val="21"/>
        </w:rPr>
        <w:t>‰的滞纳金</w:t>
      </w:r>
      <w:r>
        <w:rPr>
          <w:rFonts w:hint="eastAsia" w:asciiTheme="minorEastAsia" w:hAnsiTheme="minorEastAsia"/>
          <w:szCs w:val="21"/>
        </w:rPr>
        <w:t>。如乙方逾期交货达</w:t>
      </w:r>
      <w:r>
        <w:rPr>
          <w:rFonts w:asciiTheme="minorEastAsia" w:hAnsiTheme="minorEastAsia"/>
          <w:szCs w:val="21"/>
          <w:u w:val="single"/>
        </w:rPr>
        <w:t xml:space="preserve">    </w:t>
      </w:r>
      <w:r>
        <w:rPr>
          <w:rFonts w:hint="eastAsia" w:asciiTheme="minorEastAsia" w:hAnsiTheme="minorEastAsia"/>
          <w:szCs w:val="21"/>
        </w:rPr>
        <w:t>天，甲方有权解除合同，履约保证金不予退回，同时乙方应向甲方支付合同总价【】％的违约金。</w:t>
      </w:r>
    </w:p>
    <w:p>
      <w:pPr>
        <w:spacing w:line="360" w:lineRule="auto"/>
        <w:ind w:firstLine="420" w:firstLineChars="200"/>
        <w:jc w:val="left"/>
        <w:rPr>
          <w:rFonts w:asciiTheme="minorEastAsia" w:hAnsiTheme="minorEastAsia"/>
          <w:szCs w:val="21"/>
        </w:rPr>
      </w:pPr>
      <w:r>
        <w:rPr>
          <w:rFonts w:asciiTheme="minorEastAsia" w:hAnsiTheme="minorEastAsia"/>
          <w:szCs w:val="21"/>
        </w:rPr>
        <w:t>11.4乙方所交付的货物品种、型号、规格不符合合同规定的，甲方有权拒收。甲方拒收的，乙方应向甲方支付货款总额【】%的违约金。</w:t>
      </w:r>
    </w:p>
    <w:p>
      <w:pPr>
        <w:spacing w:line="360" w:lineRule="auto"/>
        <w:ind w:firstLine="420" w:firstLineChars="200"/>
        <w:jc w:val="left"/>
        <w:rPr>
          <w:rFonts w:asciiTheme="minorEastAsia" w:hAnsiTheme="minorEastAsia"/>
          <w:szCs w:val="21"/>
        </w:rPr>
      </w:pPr>
      <w:r>
        <w:rPr>
          <w:rFonts w:asciiTheme="minorEastAsia" w:hAnsiTheme="minorEastAsia"/>
          <w:szCs w:val="21"/>
        </w:rPr>
        <w:t>11.5在乙方承诺的或国家规定的质量保证期内（取两者中最长的期限），如经乙方两次维修</w:t>
      </w:r>
      <w:r>
        <w:rPr>
          <w:rFonts w:hint="eastAsia" w:asciiTheme="minorEastAsia" w:hAnsiTheme="minorEastAsia"/>
          <w:szCs w:val="21"/>
        </w:rPr>
        <w:t>或更换</w:t>
      </w:r>
      <w:r>
        <w:rPr>
          <w:rFonts w:asciiTheme="minorEastAsia" w:hAnsiTheme="minorEastAsia"/>
          <w:szCs w:val="21"/>
        </w:rPr>
        <w:t>，货物仍不能达到合同约定</w:t>
      </w:r>
      <w:r>
        <w:rPr>
          <w:rFonts w:hint="eastAsia" w:asciiTheme="minorEastAsia" w:hAnsiTheme="minorEastAsia"/>
          <w:szCs w:val="21"/>
        </w:rPr>
        <w:t>的</w:t>
      </w:r>
      <w:r>
        <w:rPr>
          <w:rFonts w:asciiTheme="minorEastAsia" w:hAnsiTheme="minorEastAsia"/>
          <w:szCs w:val="21"/>
        </w:rPr>
        <w:t>质量标准，甲方有权退货，乙方</w:t>
      </w:r>
      <w:r>
        <w:rPr>
          <w:rFonts w:hint="eastAsia" w:asciiTheme="minorEastAsia" w:hAnsiTheme="minorEastAsia"/>
          <w:szCs w:val="21"/>
        </w:rPr>
        <w:t>应</w:t>
      </w:r>
      <w:r>
        <w:rPr>
          <w:rFonts w:asciiTheme="minorEastAsia" w:hAnsiTheme="minorEastAsia"/>
          <w:szCs w:val="21"/>
        </w:rPr>
        <w:t>退回全部货款</w:t>
      </w:r>
      <w:r>
        <w:rPr>
          <w:rFonts w:hint="eastAsia" w:asciiTheme="minorEastAsia" w:hAnsiTheme="minorEastAsia"/>
          <w:szCs w:val="21"/>
        </w:rPr>
        <w:t>并</w:t>
      </w:r>
      <w:r>
        <w:rPr>
          <w:rFonts w:asciiTheme="minorEastAsia" w:hAnsiTheme="minorEastAsia"/>
          <w:szCs w:val="21"/>
        </w:rPr>
        <w:t>赔偿甲方因此遭受的损失。</w:t>
      </w:r>
    </w:p>
    <w:p>
      <w:pPr>
        <w:spacing w:line="360" w:lineRule="auto"/>
        <w:ind w:firstLine="420" w:firstLineChars="200"/>
        <w:jc w:val="left"/>
        <w:rPr>
          <w:rFonts w:asciiTheme="minorEastAsia" w:hAnsiTheme="minorEastAsia"/>
          <w:szCs w:val="21"/>
        </w:rPr>
      </w:pPr>
      <w:r>
        <w:rPr>
          <w:rFonts w:asciiTheme="minorEastAsia" w:hAnsiTheme="minorEastAsia"/>
          <w:szCs w:val="21"/>
        </w:rPr>
        <w:t>11.6乙方未履行本合同项下的其他义务或违反其在投标文件中的相关承诺的，应按合同总价款的【】%向甲方承担违约责任。</w:t>
      </w:r>
    </w:p>
    <w:p>
      <w:pPr>
        <w:spacing w:line="360" w:lineRule="auto"/>
        <w:ind w:firstLine="420" w:firstLineChars="200"/>
        <w:jc w:val="left"/>
        <w:rPr>
          <w:rFonts w:asciiTheme="minorEastAsia" w:hAnsiTheme="minorEastAsia"/>
          <w:szCs w:val="21"/>
        </w:rPr>
      </w:pPr>
      <w:r>
        <w:rPr>
          <w:rFonts w:asciiTheme="minorEastAsia" w:hAnsiTheme="minorEastAsia"/>
          <w:szCs w:val="21"/>
        </w:rPr>
        <w:t>11.7乙方在承担上述一项或多项违约责任后，仍应继续履行合同规定的义务（甲方解除合同的除外）。甲方未能及时追究乙方的任何一项违约责任并不表明甲方放弃追究乙方该项或其他违约责任。</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第十二条</w:t>
      </w:r>
      <w:r>
        <w:rPr>
          <w:rFonts w:asciiTheme="minorEastAsia" w:hAnsiTheme="minorEastAsia"/>
          <w:szCs w:val="21"/>
        </w:rPr>
        <w:t xml:space="preserve">  </w:t>
      </w:r>
      <w:r>
        <w:rPr>
          <w:rFonts w:hint="eastAsia" w:asciiTheme="minorEastAsia" w:hAnsiTheme="minorEastAsia"/>
          <w:szCs w:val="21"/>
        </w:rPr>
        <w:t>合同的变更、解除或终止</w:t>
      </w:r>
    </w:p>
    <w:p>
      <w:pPr>
        <w:spacing w:line="360" w:lineRule="auto"/>
        <w:ind w:firstLine="420" w:firstLineChars="200"/>
        <w:jc w:val="left"/>
        <w:rPr>
          <w:rFonts w:asciiTheme="minorEastAsia" w:hAnsiTheme="minorEastAsia"/>
          <w:szCs w:val="21"/>
        </w:rPr>
      </w:pPr>
      <w:r>
        <w:rPr>
          <w:rFonts w:asciiTheme="minorEastAsia" w:hAnsiTheme="minorEastAsia"/>
          <w:szCs w:val="21"/>
        </w:rPr>
        <w:t>12.1在合同履行中，甲方需追加与合同标的项目的货物、工程或者服务的，应按照《深圳经济特区政府采购条例》第四十条、第四十八条规定办理相关手续。</w:t>
      </w:r>
    </w:p>
    <w:p>
      <w:pPr>
        <w:spacing w:line="360" w:lineRule="auto"/>
        <w:ind w:firstLine="420" w:firstLineChars="200"/>
        <w:jc w:val="left"/>
        <w:rPr>
          <w:rFonts w:asciiTheme="minorEastAsia" w:hAnsiTheme="minorEastAsia"/>
          <w:szCs w:val="21"/>
        </w:rPr>
      </w:pPr>
      <w:r>
        <w:rPr>
          <w:rFonts w:asciiTheme="minorEastAsia" w:hAnsiTheme="minorEastAsia"/>
          <w:szCs w:val="21"/>
        </w:rPr>
        <w:t>12.</w:t>
      </w:r>
      <w:r>
        <w:rPr>
          <w:rFonts w:hint="eastAsia" w:asciiTheme="minorEastAsia" w:hAnsiTheme="minorEastAsia"/>
          <w:szCs w:val="21"/>
        </w:rPr>
        <w:t>2</w:t>
      </w:r>
      <w:r>
        <w:rPr>
          <w:rFonts w:asciiTheme="minorEastAsia" w:hAnsiTheme="minorEastAsia"/>
          <w:szCs w:val="21"/>
        </w:rPr>
        <w:t>除《中华人民共和国政府采购法》第49条、第50条第二款规定的情形外，本合同一经签订，甲乙双方不得擅自变更、中止或终止合同。</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第十三条</w:t>
      </w:r>
      <w:r>
        <w:rPr>
          <w:rFonts w:asciiTheme="minorEastAsia" w:hAnsiTheme="minorEastAsia"/>
          <w:szCs w:val="21"/>
        </w:rPr>
        <w:t xml:space="preserve">  </w:t>
      </w:r>
      <w:r>
        <w:rPr>
          <w:rFonts w:hint="eastAsia" w:asciiTheme="minorEastAsia" w:hAnsiTheme="minorEastAsia"/>
          <w:szCs w:val="21"/>
        </w:rPr>
        <w:t>争议的解决</w:t>
      </w:r>
    </w:p>
    <w:p>
      <w:pPr>
        <w:spacing w:line="360" w:lineRule="auto"/>
        <w:ind w:firstLine="420" w:firstLineChars="200"/>
        <w:jc w:val="left"/>
        <w:rPr>
          <w:rFonts w:asciiTheme="minorEastAsia" w:hAnsiTheme="minorEastAsia"/>
          <w:szCs w:val="21"/>
        </w:rPr>
      </w:pPr>
      <w:r>
        <w:rPr>
          <w:rFonts w:asciiTheme="minorEastAsia" w:hAnsiTheme="minorEastAsia"/>
          <w:szCs w:val="21"/>
        </w:rPr>
        <w:t>13.1因货物的质量问题发生争议的，应当邀请国家认可的质量检测机构对货物质量进行鉴定。货物符合标准的，鉴定费由甲方承担；货物不符合质量标准的，鉴定费由乙方承担。</w:t>
      </w:r>
    </w:p>
    <w:p>
      <w:pPr>
        <w:spacing w:line="360" w:lineRule="auto"/>
        <w:ind w:firstLine="420" w:firstLineChars="200"/>
        <w:jc w:val="left"/>
        <w:rPr>
          <w:rFonts w:asciiTheme="minorEastAsia" w:hAnsiTheme="minorEastAsia"/>
          <w:szCs w:val="21"/>
        </w:rPr>
      </w:pPr>
      <w:r>
        <w:rPr>
          <w:rFonts w:asciiTheme="minorEastAsia" w:hAnsiTheme="minorEastAsia"/>
          <w:szCs w:val="21"/>
        </w:rPr>
        <w:t>13.2因履行本合同引起的或与本合同有关的争议，甲、乙双方应首先通过友好协商解决，如果协商不能解决争议，则向甲方所在地有管辖权的人民法院提起诉讼。</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第十四条</w:t>
      </w:r>
      <w:r>
        <w:rPr>
          <w:rFonts w:asciiTheme="minorEastAsia" w:hAnsiTheme="minorEastAsia"/>
          <w:szCs w:val="21"/>
        </w:rPr>
        <w:t xml:space="preserve">  </w:t>
      </w:r>
      <w:r>
        <w:rPr>
          <w:rFonts w:hint="eastAsia" w:asciiTheme="minorEastAsia" w:hAnsiTheme="minorEastAsia"/>
          <w:szCs w:val="21"/>
        </w:rPr>
        <w:t>合同生效及其他</w:t>
      </w:r>
    </w:p>
    <w:p>
      <w:pPr>
        <w:spacing w:line="360" w:lineRule="auto"/>
        <w:ind w:firstLine="420" w:firstLineChars="200"/>
        <w:jc w:val="left"/>
        <w:rPr>
          <w:rFonts w:asciiTheme="minorEastAsia" w:hAnsiTheme="minorEastAsia"/>
          <w:szCs w:val="21"/>
        </w:rPr>
      </w:pPr>
      <w:r>
        <w:rPr>
          <w:rFonts w:asciiTheme="minorEastAsia" w:hAnsiTheme="minorEastAsia"/>
          <w:szCs w:val="21"/>
        </w:rPr>
        <w:t>14.1下列文件均为本合同的组成部分：</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w:t>
      </w:r>
      <w:r>
        <w:rPr>
          <w:rFonts w:asciiTheme="minorEastAsia" w:hAnsiTheme="minorEastAsia"/>
          <w:szCs w:val="21"/>
        </w:rPr>
        <w:t>1）</w:t>
      </w:r>
      <w:r>
        <w:rPr>
          <w:rFonts w:hint="eastAsia" w:asciiTheme="minorEastAsia" w:hAnsiTheme="minorEastAsia"/>
          <w:szCs w:val="21"/>
        </w:rPr>
        <w:t>招标文件、答疑及补充通知；</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w:t>
      </w:r>
      <w:r>
        <w:rPr>
          <w:rFonts w:asciiTheme="minorEastAsia" w:hAnsiTheme="minorEastAsia"/>
          <w:szCs w:val="21"/>
        </w:rPr>
        <w:t>2）乙方的投标文件；</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w:t>
      </w:r>
      <w:r>
        <w:rPr>
          <w:rFonts w:asciiTheme="minorEastAsia" w:hAnsiTheme="minorEastAsia"/>
          <w:szCs w:val="21"/>
        </w:rPr>
        <w:t>3）本合同执行中甲乙双方共同签署的补充与修正文件。</w:t>
      </w:r>
    </w:p>
    <w:p>
      <w:pPr>
        <w:spacing w:line="360" w:lineRule="auto"/>
        <w:ind w:firstLine="420" w:firstLineChars="200"/>
        <w:jc w:val="left"/>
        <w:rPr>
          <w:rFonts w:asciiTheme="minorEastAsia" w:hAnsiTheme="minorEastAsia"/>
          <w:szCs w:val="21"/>
        </w:rPr>
      </w:pPr>
      <w:r>
        <w:rPr>
          <w:rFonts w:asciiTheme="minorEastAsia" w:hAnsiTheme="minorEastAsia"/>
          <w:szCs w:val="21"/>
        </w:rPr>
        <w:t>14.2本合同一式</w:t>
      </w:r>
      <w:r>
        <w:rPr>
          <w:rFonts w:asciiTheme="minorEastAsia" w:hAnsiTheme="minorEastAsia"/>
          <w:szCs w:val="21"/>
          <w:u w:val="single"/>
        </w:rPr>
        <w:t xml:space="preserve">     </w:t>
      </w:r>
      <w:r>
        <w:rPr>
          <w:rFonts w:hint="eastAsia" w:asciiTheme="minorEastAsia" w:hAnsiTheme="minorEastAsia"/>
          <w:szCs w:val="21"/>
        </w:rPr>
        <w:t>份，甲、乙方双方各执</w:t>
      </w:r>
      <w:r>
        <w:rPr>
          <w:rFonts w:asciiTheme="minorEastAsia" w:hAnsiTheme="minorEastAsia"/>
          <w:szCs w:val="21"/>
          <w:u w:val="single"/>
        </w:rPr>
        <w:t xml:space="preserve">     </w:t>
      </w:r>
      <w:r>
        <w:rPr>
          <w:rFonts w:hint="eastAsia" w:asciiTheme="minorEastAsia" w:hAnsiTheme="minorEastAsia"/>
          <w:szCs w:val="21"/>
        </w:rPr>
        <w:t>份，具有同等法律效力。本合同自双方签字并盖章之日起生效。</w:t>
      </w:r>
    </w:p>
    <w:p>
      <w:pPr>
        <w:snapToGrid w:val="0"/>
        <w:spacing w:line="360" w:lineRule="auto"/>
        <w:ind w:firstLine="420" w:firstLineChars="200"/>
        <w:rPr>
          <w:rFonts w:ascii="宋体" w:hAnsi="宋体"/>
          <w:szCs w:val="21"/>
        </w:rPr>
      </w:pPr>
      <w:r>
        <w:rPr>
          <w:rFonts w:asciiTheme="minorEastAsia" w:hAnsiTheme="minorEastAsia"/>
          <w:szCs w:val="21"/>
        </w:rPr>
        <w:t>14.</w:t>
      </w:r>
      <w:r>
        <w:rPr>
          <w:rFonts w:hint="eastAsia" w:asciiTheme="minorEastAsia" w:hAnsiTheme="minorEastAsia"/>
          <w:szCs w:val="21"/>
        </w:rPr>
        <w:t>3</w:t>
      </w:r>
      <w:r>
        <w:rPr>
          <w:rFonts w:hint="eastAsia" w:ascii="宋体" w:hAnsi="宋体"/>
          <w:szCs w:val="21"/>
        </w:rPr>
        <w:t>本合同未尽事宜，双方友好协商，达成解决方案，经双方签字后，可作为本合同的有效附件。</w:t>
      </w:r>
    </w:p>
    <w:p>
      <w:pPr>
        <w:spacing w:line="360" w:lineRule="auto"/>
        <w:ind w:firstLine="420" w:firstLineChars="200"/>
        <w:jc w:val="left"/>
        <w:rPr>
          <w:rFonts w:asciiTheme="minorEastAsia" w:hAnsiTheme="minorEastAsia"/>
          <w:szCs w:val="21"/>
        </w:rPr>
      </w:pPr>
    </w:p>
    <w:p>
      <w:pPr>
        <w:pStyle w:val="15"/>
        <w:snapToGrid w:val="0"/>
        <w:spacing w:line="360" w:lineRule="auto"/>
        <w:ind w:firstLine="420" w:firstLineChars="200"/>
        <w:rPr>
          <w:rFonts w:hAnsi="宋体"/>
          <w:szCs w:val="21"/>
        </w:rPr>
      </w:pPr>
      <w:r>
        <w:rPr>
          <w:rFonts w:hint="eastAsia" w:hAnsi="宋体"/>
          <w:szCs w:val="21"/>
        </w:rPr>
        <w:t>附件：</w:t>
      </w:r>
    </w:p>
    <w:p>
      <w:pPr>
        <w:snapToGrid w:val="0"/>
        <w:spacing w:line="360" w:lineRule="auto"/>
        <w:ind w:firstLine="420" w:firstLineChars="200"/>
        <w:rPr>
          <w:rFonts w:ascii="宋体" w:hAnsi="宋体"/>
          <w:szCs w:val="21"/>
        </w:rPr>
      </w:pPr>
      <w:r>
        <w:rPr>
          <w:rFonts w:hint="eastAsia" w:ascii="宋体" w:hAnsi="宋体"/>
          <w:szCs w:val="21"/>
        </w:rPr>
        <w:t>1、《成交结果通知书》</w:t>
      </w:r>
    </w:p>
    <w:p>
      <w:pPr>
        <w:snapToGrid w:val="0"/>
        <w:spacing w:line="360" w:lineRule="auto"/>
        <w:ind w:firstLine="420" w:firstLineChars="200"/>
        <w:rPr>
          <w:rFonts w:ascii="宋体" w:hAnsi="宋体"/>
          <w:szCs w:val="21"/>
        </w:rPr>
      </w:pPr>
      <w:r>
        <w:rPr>
          <w:rFonts w:hint="eastAsia" w:ascii="宋体" w:hAnsi="宋体"/>
          <w:szCs w:val="21"/>
        </w:rPr>
        <w:t>2、《投标文件》</w:t>
      </w:r>
    </w:p>
    <w:p>
      <w:pPr>
        <w:snapToGrid w:val="0"/>
        <w:spacing w:line="360" w:lineRule="auto"/>
        <w:ind w:firstLine="420" w:firstLineChars="200"/>
        <w:rPr>
          <w:rFonts w:ascii="宋体" w:hAnsi="宋体"/>
          <w:szCs w:val="21"/>
        </w:rPr>
      </w:pPr>
      <w:r>
        <w:rPr>
          <w:rFonts w:hint="eastAsia" w:ascii="宋体" w:hAnsi="宋体"/>
          <w:szCs w:val="21"/>
        </w:rPr>
        <w:t>3、《招标文件》</w:t>
      </w:r>
    </w:p>
    <w:p>
      <w:pPr>
        <w:spacing w:line="360" w:lineRule="auto"/>
        <w:ind w:firstLine="420" w:firstLineChars="200"/>
        <w:jc w:val="left"/>
        <w:rPr>
          <w:rFonts w:asciiTheme="minorEastAsia" w:hAnsiTheme="minorEastAsia"/>
          <w:szCs w:val="21"/>
        </w:rPr>
      </w:pPr>
    </w:p>
    <w:p>
      <w:pPr>
        <w:spacing w:line="360" w:lineRule="auto"/>
        <w:ind w:firstLine="424" w:firstLineChars="202"/>
        <w:jc w:val="left"/>
        <w:rPr>
          <w:rFonts w:asciiTheme="minorEastAsia" w:hAnsiTheme="minorEastAsia"/>
          <w:szCs w:val="21"/>
        </w:rPr>
      </w:pPr>
      <w:r>
        <w:rPr>
          <w:rFonts w:hint="eastAsia" w:asciiTheme="minorEastAsia" w:hAnsiTheme="minorEastAsia"/>
          <w:szCs w:val="21"/>
        </w:rPr>
        <w:t>甲方（采购人）：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 xml:space="preserve">章）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乙方（</w:t>
      </w:r>
      <w:r>
        <w:rPr>
          <w:rFonts w:hint="eastAsia" w:asciiTheme="minorEastAsia" w:hAnsiTheme="minorEastAsia"/>
          <w:szCs w:val="21"/>
        </w:rPr>
        <w:t>中标人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章）</w:t>
      </w:r>
    </w:p>
    <w:p>
      <w:pPr>
        <w:spacing w:line="360" w:lineRule="auto"/>
        <w:ind w:firstLine="424" w:firstLineChars="202"/>
        <w:jc w:val="left"/>
        <w:rPr>
          <w:rFonts w:asciiTheme="minorEastAsia" w:hAnsiTheme="minorEastAsia"/>
          <w:szCs w:val="21"/>
        </w:rPr>
      </w:pPr>
      <w:r>
        <w:rPr>
          <w:rFonts w:hint="eastAsia" w:asciiTheme="minorEastAsia" w:hAnsiTheme="minorEastAsia"/>
          <w:szCs w:val="21"/>
        </w:rPr>
        <w:t>法定代表人（签字或盖私章）：</w:t>
      </w:r>
      <w:r>
        <w:rPr>
          <w:rFonts w:asciiTheme="minorEastAsia" w:hAnsiTheme="minorEastAsia"/>
          <w:szCs w:val="21"/>
        </w:rPr>
        <w:t xml:space="preserve">              法定代表人</w:t>
      </w:r>
      <w:r>
        <w:rPr>
          <w:rFonts w:hint="eastAsia" w:asciiTheme="minorEastAsia" w:hAnsiTheme="minorEastAsia"/>
          <w:szCs w:val="21"/>
        </w:rPr>
        <w:t>（签字或盖私章）</w:t>
      </w:r>
      <w:r>
        <w:rPr>
          <w:rFonts w:asciiTheme="minorEastAsia" w:hAnsiTheme="minorEastAsia"/>
          <w:szCs w:val="21"/>
        </w:rPr>
        <w:t xml:space="preserve">： </w:t>
      </w:r>
    </w:p>
    <w:p>
      <w:pPr>
        <w:spacing w:line="360" w:lineRule="auto"/>
        <w:ind w:firstLine="424" w:firstLineChars="202"/>
        <w:jc w:val="left"/>
        <w:rPr>
          <w:rFonts w:asciiTheme="minorEastAsia" w:hAnsiTheme="minorEastAsia"/>
          <w:szCs w:val="21"/>
        </w:rPr>
      </w:pPr>
      <w:r>
        <w:rPr>
          <w:rFonts w:hint="eastAsia" w:asciiTheme="minorEastAsia" w:hAnsiTheme="minorEastAsia"/>
          <w:szCs w:val="21"/>
        </w:rPr>
        <w:t>委托代理人：</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委托代理人：</w:t>
      </w:r>
    </w:p>
    <w:p>
      <w:pPr>
        <w:ind w:firstLine="424" w:firstLineChars="202"/>
        <w:rPr>
          <w:rFonts w:asciiTheme="minorEastAsia" w:hAnsiTheme="minorEastAsia"/>
          <w:szCs w:val="21"/>
        </w:rPr>
      </w:pPr>
      <w:r>
        <w:rPr>
          <w:rFonts w:hint="eastAsia" w:asciiTheme="minorEastAsia" w:hAnsiTheme="minorEastAsia"/>
          <w:szCs w:val="21"/>
        </w:rPr>
        <w:t>日期：</w:t>
      </w:r>
      <w:r>
        <w:rPr>
          <w:rFonts w:asciiTheme="minorEastAsia" w:hAnsiTheme="minorEastAsia"/>
          <w:szCs w:val="21"/>
        </w:rPr>
        <w:t xml:space="preserve">   年     月    日    </w:t>
      </w:r>
      <w:r>
        <w:rPr>
          <w:rFonts w:hint="eastAsia" w:asciiTheme="minorEastAsia" w:hAnsiTheme="minorEastAsia"/>
          <w:szCs w:val="21"/>
        </w:rPr>
        <w:t xml:space="preserve">              </w:t>
      </w:r>
      <w:r>
        <w:rPr>
          <w:rFonts w:asciiTheme="minorEastAsia" w:hAnsiTheme="minorEastAsia"/>
          <w:szCs w:val="21"/>
        </w:rPr>
        <w:t>日期：   年     月    日</w:t>
      </w:r>
    </w:p>
    <w:p>
      <w:pPr>
        <w:jc w:val="center"/>
        <w:rPr>
          <w:sz w:val="52"/>
          <w:szCs w:val="52"/>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adjustRightInd w:val="0"/>
        <w:snapToGrid w:val="0"/>
        <w:spacing w:line="300" w:lineRule="auto"/>
        <w:jc w:val="center"/>
        <w:rPr>
          <w:rFonts w:cs="仿宋" w:asciiTheme="minorEastAsia" w:hAnsiTheme="minorEastAsia" w:eastAsiaTheme="minorEastAsia"/>
          <w:snapToGrid w:val="0"/>
          <w:kern w:val="0"/>
          <w:sz w:val="56"/>
          <w:szCs w:val="96"/>
        </w:rPr>
      </w:pPr>
      <w:r>
        <w:rPr>
          <w:rFonts w:hint="eastAsia" w:cs="仿宋" w:asciiTheme="minorEastAsia" w:hAnsiTheme="minorEastAsia" w:eastAsiaTheme="minorEastAsia"/>
          <w:snapToGrid w:val="0"/>
          <w:kern w:val="0"/>
          <w:sz w:val="56"/>
          <w:szCs w:val="96"/>
        </w:rPr>
        <w:t>第五部分</w:t>
      </w:r>
    </w:p>
    <w:p>
      <w:pPr>
        <w:jc w:val="center"/>
        <w:rPr>
          <w:rFonts w:cs="仿宋" w:asciiTheme="minorEastAsia" w:hAnsiTheme="minorEastAsia" w:eastAsiaTheme="minorEastAsia"/>
          <w:snapToGrid w:val="0"/>
          <w:kern w:val="0"/>
          <w:sz w:val="56"/>
          <w:szCs w:val="96"/>
        </w:rPr>
      </w:pPr>
      <w:r>
        <w:rPr>
          <w:rFonts w:hint="eastAsia" w:cs="仿宋" w:asciiTheme="minorEastAsia" w:hAnsiTheme="minorEastAsia" w:eastAsiaTheme="minorEastAsia"/>
          <w:snapToGrid w:val="0"/>
          <w:kern w:val="0"/>
          <w:sz w:val="56"/>
          <w:szCs w:val="96"/>
        </w:rPr>
        <w:t>通用条款（投标须知）</w:t>
      </w:r>
    </w:p>
    <w:p>
      <w:pPr>
        <w:widowControl/>
        <w:jc w:val="left"/>
        <w:rPr>
          <w:rFonts w:cs="仿宋" w:asciiTheme="minorEastAsia" w:hAnsiTheme="minorEastAsia" w:eastAsiaTheme="minorEastAsia"/>
        </w:rPr>
      </w:pPr>
      <w:r>
        <w:rPr>
          <w:rFonts w:hint="eastAsia" w:cs="仿宋" w:asciiTheme="minorEastAsia" w:hAnsiTheme="minorEastAsia" w:eastAsiaTheme="minorEastAsia"/>
        </w:rPr>
        <w:br w:type="page"/>
      </w:r>
    </w:p>
    <w:p>
      <w:pPr>
        <w:jc w:val="center"/>
        <w:rPr>
          <w:rFonts w:cs="仿宋" w:asciiTheme="minorEastAsia" w:hAnsiTheme="minorEastAsia" w:eastAsiaTheme="minorEastAsia"/>
          <w:snapToGrid w:val="0"/>
          <w:kern w:val="0"/>
          <w:sz w:val="32"/>
          <w:szCs w:val="32"/>
        </w:rPr>
      </w:pPr>
      <w:r>
        <w:rPr>
          <w:rFonts w:hint="eastAsia" w:cs="仿宋" w:asciiTheme="minorEastAsia" w:hAnsiTheme="minorEastAsia" w:eastAsiaTheme="minorEastAsia"/>
          <w:snapToGrid w:val="0"/>
          <w:kern w:val="0"/>
          <w:sz w:val="32"/>
          <w:szCs w:val="32"/>
        </w:rPr>
        <w:t>通用条款（投标须知）</w:t>
      </w:r>
    </w:p>
    <w:p>
      <w:pPr>
        <w:adjustRightInd w:val="0"/>
        <w:spacing w:line="360" w:lineRule="auto"/>
        <w:jc w:val="center"/>
        <w:rPr>
          <w:rFonts w:cs="仿宋" w:asciiTheme="minorEastAsia" w:hAnsiTheme="minorEastAsia" w:eastAsiaTheme="minorEastAsia"/>
          <w:snapToGrid w:val="0"/>
          <w:kern w:val="0"/>
          <w:sz w:val="32"/>
          <w:szCs w:val="32"/>
        </w:rPr>
      </w:pPr>
      <w:r>
        <w:rPr>
          <w:rFonts w:hint="eastAsia" w:cs="仿宋" w:asciiTheme="minorEastAsia" w:hAnsiTheme="minorEastAsia" w:eastAsiaTheme="minorEastAsia"/>
          <w:snapToGrid w:val="0"/>
          <w:kern w:val="0"/>
          <w:sz w:val="32"/>
          <w:szCs w:val="32"/>
        </w:rPr>
        <w:t>Ａ  说  明</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 适用范围</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1.1  本招标文件仅适用于投标须知前附表（以下简称“前附表”）第1项所叙述项目的货物、工程及服务采购。</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1.2  上述采购按照采购单位内部管控制度，参考《中华人民共和国政府采购法》和《深圳经济特区政府采购条例》及有关招投标法规、规章、规定，择优选定投标人。</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 定义</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2.1  “采购人”系指前附表第2项所述。</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2.2  “采购代理机构”系前附表第3项所述。</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2.3  “投标人”系指向采购代理机构提交投标文件的投标人。</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2.4  “货物”系指投标人按招标文件规定，须向采购人提供的设备及材料。</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2.5  “工程”系指投标人按招标文件规定，须向采购人提供的设备及材料的安装。</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2.6  “服务”系指招标文件规定卖方须承担设计和其它类似的义务。</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3. 资金来源</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3.1  采购资金通过前附表第4 项的方式获得，并用于采购合同下的合格支付。</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4. 合格的投标人</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4.1  具有独立承担民事责任的能力。</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4.2  具有良好的商业信誉和健全的财务会计制度。</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4.3  具有履行合同所必需的设备和专业技术能力。</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4.4  有依法缴纳税收和社会保障资金的良好记录。</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4.5  参加政府采购活动近三年内，在经营活动中没有重大违法记录。</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4.6  法律、行政法规规定的其他条件。</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4.7  符合前附表第5项规定的条件。</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4.8  联合体投标</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4.8.1　以下有关联合体投标的条款仅适用于允许投标人组成联合体投标的项目。是否允许联合体投标以“前附表”中的规定或说明为准。</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4.8.2  由两个或两个以上的自然人、法人或者其他组织可以组成一个联合体，以一个投标人的身份共同投标时，应符合以下原则：</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 xml:space="preserve">（1）投标联合体各方参加政府采购活动应当具备下列条件： </w:t>
      </w:r>
    </w:p>
    <w:p>
      <w:pPr>
        <w:adjustRightInd w:val="0"/>
        <w:spacing w:line="360" w:lineRule="auto"/>
        <w:ind w:firstLine="567" w:firstLineChars="27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 xml:space="preserve">1、具有独立承担民事责任的能力； </w:t>
      </w:r>
    </w:p>
    <w:p>
      <w:pPr>
        <w:adjustRightInd w:val="0"/>
        <w:spacing w:line="360" w:lineRule="auto"/>
        <w:ind w:firstLine="567" w:firstLineChars="27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 xml:space="preserve">2、具有良好的商业信誉和健全的财务会计制度； </w:t>
      </w:r>
    </w:p>
    <w:p>
      <w:pPr>
        <w:adjustRightInd w:val="0"/>
        <w:spacing w:line="360" w:lineRule="auto"/>
        <w:ind w:firstLine="567" w:firstLineChars="27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 xml:space="preserve">3、具有履行合同所必需的设备和专业技术能力； </w:t>
      </w:r>
    </w:p>
    <w:p>
      <w:pPr>
        <w:adjustRightInd w:val="0"/>
        <w:spacing w:line="360" w:lineRule="auto"/>
        <w:ind w:firstLine="567" w:firstLineChars="27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 xml:space="preserve">4、有依法缴纳税收和社会保障资金的良好记录； </w:t>
      </w:r>
    </w:p>
    <w:p>
      <w:pPr>
        <w:adjustRightInd w:val="0"/>
        <w:spacing w:line="360" w:lineRule="auto"/>
        <w:ind w:firstLine="567" w:firstLineChars="27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 xml:space="preserve">5、参加政府采购活动前三年内，在经营活动中没有重大违法记录； </w:t>
      </w:r>
    </w:p>
    <w:p>
      <w:pPr>
        <w:adjustRightInd w:val="0"/>
        <w:spacing w:line="360" w:lineRule="auto"/>
        <w:ind w:firstLine="567" w:firstLineChars="27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 xml:space="preserve">6、法律、行政法规规定的其他条件。 </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（2）投标联合体各方必须有一方先行注册成深圳公共资源交易中心投标人；</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（3）联合体中有同类资质的投标人按照联合体分工承担相同工作的，应当按照资质等级较低的投标人确定资质等级。</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（4）是否允许联合体参加投标，应当由采购人和采购代理机构根据项目的实际情况和潜在投标人的数量自主决定，如果决定接受联合体投标则应当在采购公告中明示。</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5）采购人根据采购项目的特殊要求规定投标人特定条件的，联合体各方中至少应当有一方符合采购人规定的特定条件。对于采购公告对投标人某一资格有要求的，按照联合体各方中最低资质等级确定联合体的资质等级；联合体各方的不同资质可优势互补。</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（6）投标人的投标文件及中标后签署的合同协议对联合体各方均具法律约束力；</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（7）联合体各方应当签订共同投标协议，明确约定各方拟承担的工作和责任，该共同投标协议应作为投标文件不可缺的组成部分；</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（8）联合体中标后，联合体各方应当共同与采购人签订合同，就中标项目向采购人承担连带责任；</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（9）联合体的各方应当共同推荐一联合体投标授权代表，由联合体各方提交一份授权书，证明其有资格代表联合体各方签署投标文件，该授权书应作为投标文件不可缺的组成部分；</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10）以联合体形式参加政府采购活动的，联合体各方不得再单独参加或者与其他投标人另外组成联合体参加同一合同项下的政府采购活动，出现上述情况者，其投标和与此有关的联合体、总包单位的投标将被拒绝；</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（11）本次采购中“投标人”一词亦指联合体各方，“前附表”另有规定或说明的除外。</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5. 采购活动费用的承担</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5.1  无论采购过程中的做法和结果如何，投标人自行承担所有与参加采购活动有关的全部费用。</w:t>
      </w:r>
    </w:p>
    <w:p>
      <w:pPr>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6.  踏勘现场</w:t>
      </w:r>
    </w:p>
    <w:p>
      <w:pPr>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 xml:space="preserve">6.1  </w:t>
      </w:r>
      <w:r>
        <w:rPr>
          <w:rFonts w:hint="eastAsia" w:cs="仿宋" w:asciiTheme="minorEastAsia" w:hAnsiTheme="minorEastAsia" w:eastAsiaTheme="minorEastAsia"/>
          <w:snapToGrid w:val="0"/>
          <w:kern w:val="0"/>
          <w:szCs w:val="21"/>
        </w:rPr>
        <w:t>采购代理机构</w:t>
      </w:r>
      <w:r>
        <w:rPr>
          <w:rFonts w:hint="eastAsia" w:cs="仿宋" w:asciiTheme="minorEastAsia" w:hAnsiTheme="minorEastAsia" w:eastAsiaTheme="minorEastAsia"/>
          <w:szCs w:val="21"/>
        </w:rPr>
        <w:t>将按前附表第6项的规定，组织投标人对现场及周围环境进行踏勘，以便投标人获取须自己负责的有关编制投标文件和签署合同所需的所有资料。踏勘现场所发生的费用由投标人自己承担。</w:t>
      </w:r>
    </w:p>
    <w:p>
      <w:pPr>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6.2  采购人和</w:t>
      </w:r>
      <w:r>
        <w:rPr>
          <w:rFonts w:hint="eastAsia" w:cs="仿宋" w:asciiTheme="minorEastAsia" w:hAnsiTheme="minorEastAsia" w:eastAsiaTheme="minorEastAsia"/>
          <w:snapToGrid w:val="0"/>
          <w:kern w:val="0"/>
          <w:szCs w:val="21"/>
        </w:rPr>
        <w:t>采购代理机构</w:t>
      </w:r>
      <w:r>
        <w:rPr>
          <w:rFonts w:hint="eastAsia" w:cs="仿宋" w:asciiTheme="minorEastAsia" w:hAnsiTheme="minorEastAsia" w:eastAsiaTheme="minorEastAsia"/>
          <w:szCs w:val="21"/>
        </w:rPr>
        <w:t>向投标人提供的有关现场的资料和数据，是采购人和</w:t>
      </w:r>
      <w:r>
        <w:rPr>
          <w:rFonts w:hint="eastAsia" w:cs="仿宋" w:asciiTheme="minorEastAsia" w:hAnsiTheme="minorEastAsia" w:eastAsiaTheme="minorEastAsia"/>
          <w:snapToGrid w:val="0"/>
          <w:kern w:val="0"/>
          <w:szCs w:val="21"/>
        </w:rPr>
        <w:t>采购代理机构</w:t>
      </w:r>
      <w:r>
        <w:rPr>
          <w:rFonts w:hint="eastAsia" w:cs="仿宋" w:asciiTheme="minorEastAsia" w:hAnsiTheme="minorEastAsia" w:eastAsiaTheme="minorEastAsia"/>
          <w:szCs w:val="21"/>
        </w:rPr>
        <w:t>现有的能使投标人利用的资料。采购人和</w:t>
      </w:r>
      <w:r>
        <w:rPr>
          <w:rFonts w:hint="eastAsia" w:cs="仿宋" w:asciiTheme="minorEastAsia" w:hAnsiTheme="minorEastAsia" w:eastAsiaTheme="minorEastAsia"/>
          <w:snapToGrid w:val="0"/>
          <w:kern w:val="0"/>
          <w:szCs w:val="21"/>
        </w:rPr>
        <w:t>采购代理机构</w:t>
      </w:r>
      <w:r>
        <w:rPr>
          <w:rFonts w:hint="eastAsia" w:cs="仿宋" w:asciiTheme="minorEastAsia" w:hAnsiTheme="minorEastAsia" w:eastAsiaTheme="minorEastAsia"/>
          <w:szCs w:val="21"/>
        </w:rPr>
        <w:t>对投标人由此而做出的推论、理解和结论概不负责。</w:t>
      </w:r>
    </w:p>
    <w:p>
      <w:pPr>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6.3  投标人及其人员经过采购人和</w:t>
      </w:r>
      <w:r>
        <w:rPr>
          <w:rFonts w:hint="eastAsia" w:cs="仿宋" w:asciiTheme="minorEastAsia" w:hAnsiTheme="minorEastAsia" w:eastAsiaTheme="minorEastAsia"/>
          <w:snapToGrid w:val="0"/>
          <w:kern w:val="0"/>
          <w:szCs w:val="21"/>
        </w:rPr>
        <w:t>采购代理机构</w:t>
      </w:r>
      <w:r>
        <w:rPr>
          <w:rFonts w:hint="eastAsia" w:cs="仿宋" w:asciiTheme="minorEastAsia" w:hAnsiTheme="minorEastAsia" w:eastAsiaTheme="minorEastAsia"/>
          <w:szCs w:val="21"/>
        </w:rPr>
        <w:t>的允许，可为踏勘目的进入</w:t>
      </w:r>
      <w:r>
        <w:rPr>
          <w:rFonts w:hint="eastAsia" w:cs="仿宋" w:asciiTheme="minorEastAsia" w:hAnsiTheme="minorEastAsia" w:eastAsiaTheme="minorEastAsia"/>
          <w:snapToGrid w:val="0"/>
          <w:kern w:val="0"/>
          <w:szCs w:val="21"/>
        </w:rPr>
        <w:t>采购人</w:t>
      </w:r>
      <w:r>
        <w:rPr>
          <w:rFonts w:hint="eastAsia" w:cs="仿宋" w:asciiTheme="minorEastAsia" w:hAnsiTheme="minorEastAsia" w:eastAsiaTheme="minorEastAsia"/>
          <w:szCs w:val="21"/>
        </w:rPr>
        <w:t>的现场，但投标人及其人员不得因此使采购人及其人员承担有关的责任和蒙受损失。投标人并应对由此次踏勘现场面造成的死亡、人身伤害、财产损失、损害以及任何其它损失、损害和引起的费用和开支承担责任。</w:t>
      </w:r>
    </w:p>
    <w:p>
      <w:pPr>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6.4   如果投标人认为需要再次进行现场踏勘，采购人将予以支持，费用自理。</w:t>
      </w:r>
    </w:p>
    <w:p>
      <w:pPr>
        <w:rPr>
          <w:rFonts w:cs="仿宋" w:asciiTheme="minorEastAsia" w:hAnsiTheme="minorEastAsia" w:eastAsiaTheme="minorEastAsia"/>
        </w:rPr>
      </w:pPr>
      <w:bookmarkStart w:id="3" w:name="q5"/>
      <w:bookmarkEnd w:id="3"/>
    </w:p>
    <w:p>
      <w:pPr>
        <w:adjustRightInd w:val="0"/>
        <w:spacing w:line="360" w:lineRule="auto"/>
        <w:jc w:val="center"/>
        <w:rPr>
          <w:rFonts w:cs="仿宋" w:asciiTheme="minorEastAsia" w:hAnsiTheme="minorEastAsia" w:eastAsiaTheme="minorEastAsia"/>
          <w:snapToGrid w:val="0"/>
          <w:kern w:val="0"/>
          <w:sz w:val="32"/>
          <w:szCs w:val="32"/>
        </w:rPr>
      </w:pPr>
      <w:r>
        <w:rPr>
          <w:rFonts w:hint="eastAsia" w:cs="仿宋" w:asciiTheme="minorEastAsia" w:hAnsiTheme="minorEastAsia" w:eastAsiaTheme="minorEastAsia"/>
          <w:snapToGrid w:val="0"/>
          <w:kern w:val="0"/>
          <w:sz w:val="32"/>
          <w:szCs w:val="32"/>
        </w:rPr>
        <w:t>Ｂ　招标文件说明</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7. 招标文件的构成</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7.1  招标文件是用以阐明所需设备及服务的情况，以及采购、投标程序和相应的合同条款。招标文件由下述部份组成：</w:t>
      </w:r>
    </w:p>
    <w:p>
      <w:pPr>
        <w:adjustRightInd w:val="0"/>
        <w:spacing w:line="360" w:lineRule="auto"/>
        <w:ind w:firstLine="359" w:firstLineChars="171"/>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（1）采购公告</w:t>
      </w:r>
    </w:p>
    <w:p>
      <w:pPr>
        <w:adjustRightInd w:val="0"/>
        <w:spacing w:line="360" w:lineRule="auto"/>
        <w:ind w:firstLine="359" w:firstLineChars="171"/>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（2）投标须知前附表及评审信息</w:t>
      </w:r>
    </w:p>
    <w:p>
      <w:pPr>
        <w:adjustRightInd w:val="0"/>
        <w:spacing w:line="360" w:lineRule="auto"/>
        <w:ind w:firstLine="359" w:firstLineChars="171"/>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（3）采购项目需求</w:t>
      </w:r>
    </w:p>
    <w:p>
      <w:pPr>
        <w:adjustRightInd w:val="0"/>
        <w:spacing w:line="360" w:lineRule="auto"/>
        <w:ind w:firstLine="359" w:firstLineChars="171"/>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（4）投标文件格式</w:t>
      </w:r>
    </w:p>
    <w:p>
      <w:pPr>
        <w:adjustRightInd w:val="0"/>
        <w:spacing w:line="360" w:lineRule="auto"/>
        <w:ind w:firstLine="359" w:firstLineChars="171"/>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（5）合同条款</w:t>
      </w:r>
    </w:p>
    <w:p>
      <w:pPr>
        <w:adjustRightInd w:val="0"/>
        <w:spacing w:line="360" w:lineRule="auto"/>
        <w:ind w:firstLine="359" w:firstLineChars="171"/>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（6）通用条款（投标须知）</w:t>
      </w:r>
    </w:p>
    <w:p>
      <w:pPr>
        <w:adjustRightInd w:val="0"/>
        <w:spacing w:line="360" w:lineRule="auto"/>
        <w:ind w:firstLine="359" w:firstLineChars="171"/>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（7）附件</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8.  招标文件的澄清及修改</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8.1  投标人对招标文件如有疑点，可要求澄清，应在投标截止日5日前按采购公告中载明的地址以书面形式（包括信函、传真，下同）通知到采购代理机构。采购代理机构将视情况确定采用适当方式予以澄清或以书面形式予以答复，并在其认为必要时，将不标明查询来源的书面答复发给已购买招标文件的每一投标人。</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8.2  在投标截止日3日前，采购代理机构可依据投标人要求澄清的问题修改招标文件，并以书面形式通知所有购买招标文件的每一投标人，对方在收到该通知后应立即以书面的形式予以确认。</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8.3  为了使投标人在准备投标文件时有合理的时间考虑招标文件的修改，采购代理机构可酌情推迟投标截止时间和开标时间，并以书面形式通知已购买招标文件的每一投标人。</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8.4  招标文件的修改将构成招标文件的一部分，对投标人有约束力。</w:t>
      </w:r>
    </w:p>
    <w:p>
      <w:pPr>
        <w:adjustRightInd w:val="0"/>
        <w:spacing w:line="360" w:lineRule="auto"/>
        <w:rPr>
          <w:rFonts w:cs="仿宋" w:asciiTheme="minorEastAsia" w:hAnsiTheme="minorEastAsia" w:eastAsiaTheme="minorEastAsia"/>
          <w:snapToGrid w:val="0"/>
          <w:kern w:val="0"/>
          <w:szCs w:val="21"/>
        </w:rPr>
      </w:pPr>
    </w:p>
    <w:p>
      <w:pPr>
        <w:adjustRightInd w:val="0"/>
        <w:spacing w:line="360" w:lineRule="auto"/>
        <w:ind w:firstLine="600"/>
        <w:jc w:val="center"/>
        <w:rPr>
          <w:rFonts w:cs="仿宋" w:asciiTheme="minorEastAsia" w:hAnsiTheme="minorEastAsia" w:eastAsiaTheme="minorEastAsia"/>
          <w:snapToGrid w:val="0"/>
          <w:kern w:val="0"/>
          <w:sz w:val="32"/>
          <w:szCs w:val="32"/>
        </w:rPr>
      </w:pPr>
      <w:bookmarkStart w:id="4" w:name="q6"/>
      <w:bookmarkEnd w:id="4"/>
      <w:r>
        <w:rPr>
          <w:rFonts w:hint="eastAsia" w:cs="仿宋" w:asciiTheme="minorEastAsia" w:hAnsiTheme="minorEastAsia" w:eastAsiaTheme="minorEastAsia"/>
          <w:snapToGrid w:val="0"/>
          <w:kern w:val="0"/>
          <w:sz w:val="32"/>
          <w:szCs w:val="32"/>
        </w:rPr>
        <w:t>Ｃ  投标文件的编写</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9. 投标语言及计量单位</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9.1  投标文件及投标人和采购代理机构就投标交换的文件和往来的信件，应以中文书写。</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9.2  除在招标文件的设计思路和方案中另有规定外，计量单位应使用中华人民共和国法定计量单位（国际单位制和国家选定的其他计量单位）。</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10. 投标文件的组成</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10.1  投标文件应包括下列部份：</w:t>
      </w:r>
    </w:p>
    <w:p>
      <w:pPr>
        <w:adjustRightInd w:val="0"/>
        <w:spacing w:line="360" w:lineRule="auto"/>
        <w:ind w:left="945" w:leftChars="100" w:hanging="735" w:hangingChars="35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10.1.1 开标信封：装有“法定代表人（负责人）证明书、法定代表人（负责人）授权委托书”和“开标一览表”单独密封的信封。</w:t>
      </w:r>
    </w:p>
    <w:p>
      <w:pPr>
        <w:adjustRightInd w:val="0"/>
        <w:spacing w:line="360" w:lineRule="auto"/>
        <w:ind w:firstLine="210" w:firstLineChars="10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10.1.2 投标文件：</w:t>
      </w:r>
    </w:p>
    <w:p>
      <w:pPr>
        <w:adjustRightInd w:val="0"/>
        <w:spacing w:line="360" w:lineRule="auto"/>
        <w:ind w:firstLine="315" w:firstLineChars="15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（1）目录</w:t>
      </w:r>
    </w:p>
    <w:p>
      <w:pPr>
        <w:adjustRightInd w:val="0"/>
        <w:spacing w:line="360" w:lineRule="auto"/>
        <w:ind w:firstLine="315" w:firstLineChars="15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（2）政府采购违法行为风险知悉确认书</w:t>
      </w:r>
    </w:p>
    <w:p>
      <w:pPr>
        <w:adjustRightInd w:val="0"/>
        <w:spacing w:line="360" w:lineRule="auto"/>
        <w:ind w:firstLine="315" w:firstLineChars="15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（3）评审指引表</w:t>
      </w:r>
    </w:p>
    <w:p>
      <w:pPr>
        <w:adjustRightInd w:val="0"/>
        <w:spacing w:line="360" w:lineRule="auto"/>
        <w:ind w:firstLine="315" w:firstLineChars="15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（4）声明函（格式1）</w:t>
      </w:r>
    </w:p>
    <w:p>
      <w:pPr>
        <w:adjustRightInd w:val="0"/>
        <w:spacing w:line="360" w:lineRule="auto"/>
        <w:ind w:firstLine="315" w:firstLineChars="15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（5）投标人资格证明文件（格式2）</w:t>
      </w:r>
    </w:p>
    <w:p>
      <w:pPr>
        <w:adjustRightInd w:val="0"/>
        <w:spacing w:line="360" w:lineRule="auto"/>
        <w:ind w:firstLine="315" w:firstLineChars="15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（6）评分中涉及的承诺及声明函（格式3）</w:t>
      </w:r>
    </w:p>
    <w:p>
      <w:pPr>
        <w:adjustRightInd w:val="0"/>
        <w:spacing w:line="360" w:lineRule="auto"/>
        <w:ind w:firstLine="315" w:firstLineChars="15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（7）</w:t>
      </w:r>
      <w:r>
        <w:fldChar w:fldCharType="begin"/>
      </w:r>
      <w:r>
        <w:instrText xml:space="preserve"> HYPERLINK \l "q24" </w:instrText>
      </w:r>
      <w:r>
        <w:fldChar w:fldCharType="separate"/>
      </w:r>
      <w:r>
        <w:rPr>
          <w:rFonts w:hint="eastAsia" w:cs="仿宋" w:asciiTheme="minorEastAsia" w:hAnsiTheme="minorEastAsia" w:eastAsiaTheme="minorEastAsia"/>
          <w:szCs w:val="21"/>
        </w:rPr>
        <w:t>开标一览表</w:t>
      </w:r>
      <w:r>
        <w:rPr>
          <w:rFonts w:hint="eastAsia" w:cs="仿宋" w:asciiTheme="minorEastAsia" w:hAnsiTheme="minorEastAsia" w:eastAsiaTheme="minorEastAsia"/>
          <w:szCs w:val="21"/>
        </w:rPr>
        <w:fldChar w:fldCharType="end"/>
      </w:r>
      <w:r>
        <w:rPr>
          <w:rFonts w:hint="eastAsia" w:cs="仿宋" w:asciiTheme="minorEastAsia" w:hAnsiTheme="minorEastAsia" w:eastAsiaTheme="minorEastAsia"/>
          <w:snapToGrid w:val="0"/>
          <w:kern w:val="0"/>
          <w:szCs w:val="21"/>
        </w:rPr>
        <w:t>（格式4）</w:t>
      </w:r>
    </w:p>
    <w:p>
      <w:pPr>
        <w:adjustRightInd w:val="0"/>
        <w:spacing w:line="360" w:lineRule="auto"/>
        <w:ind w:firstLine="315" w:firstLineChars="15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（8）报价表（格式5）</w:t>
      </w:r>
    </w:p>
    <w:p>
      <w:pPr>
        <w:adjustRightInd w:val="0"/>
        <w:spacing w:line="360" w:lineRule="auto"/>
        <w:ind w:firstLine="315" w:firstLineChars="15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（9）技术规格（格式6）</w:t>
      </w:r>
    </w:p>
    <w:p>
      <w:pPr>
        <w:adjustRightInd w:val="0"/>
        <w:spacing w:line="360" w:lineRule="auto"/>
        <w:ind w:firstLine="315" w:firstLineChars="150"/>
      </w:pPr>
      <w:r>
        <w:rPr>
          <w:rFonts w:hint="eastAsia" w:cs="仿宋" w:asciiTheme="minorEastAsia" w:hAnsiTheme="minorEastAsia" w:eastAsiaTheme="minorEastAsia"/>
          <w:snapToGrid w:val="0"/>
          <w:kern w:val="0"/>
          <w:szCs w:val="21"/>
        </w:rPr>
        <w:t>（10）</w:t>
      </w:r>
      <w:r>
        <w:rPr>
          <w:rFonts w:hint="eastAsia"/>
        </w:rPr>
        <w:t>交付进度</w:t>
      </w:r>
      <w:r>
        <w:rPr>
          <w:rFonts w:hint="eastAsia" w:cs="仿宋" w:asciiTheme="minorEastAsia" w:hAnsiTheme="minorEastAsia" w:eastAsiaTheme="minorEastAsia"/>
          <w:snapToGrid w:val="0"/>
          <w:kern w:val="0"/>
          <w:szCs w:val="21"/>
        </w:rPr>
        <w:t>（格式7）</w:t>
      </w:r>
    </w:p>
    <w:p>
      <w:pPr>
        <w:adjustRightInd w:val="0"/>
        <w:spacing w:line="360" w:lineRule="auto"/>
        <w:ind w:firstLine="315" w:firstLineChars="15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（11）</w:t>
      </w:r>
      <w:r>
        <w:rPr>
          <w:rFonts w:hint="eastAsia"/>
        </w:rPr>
        <w:t>售后服务和质量承诺</w:t>
      </w:r>
      <w:r>
        <w:rPr>
          <w:rFonts w:hint="eastAsia" w:cs="仿宋" w:asciiTheme="minorEastAsia" w:hAnsiTheme="minorEastAsia" w:eastAsiaTheme="minorEastAsia"/>
          <w:snapToGrid w:val="0"/>
          <w:kern w:val="0"/>
          <w:szCs w:val="21"/>
        </w:rPr>
        <w:t>（格式8）</w:t>
      </w:r>
    </w:p>
    <w:p>
      <w:pPr>
        <w:adjustRightInd w:val="0"/>
        <w:spacing w:line="360" w:lineRule="auto"/>
        <w:ind w:firstLine="315" w:firstLineChars="15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（12）偏离表（格式9）</w:t>
      </w:r>
    </w:p>
    <w:p>
      <w:pPr>
        <w:adjustRightInd w:val="0"/>
        <w:spacing w:line="360" w:lineRule="auto"/>
        <w:ind w:firstLine="315" w:firstLineChars="15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（13）其他招标文件要求的资料或投标人认为需要补充的资料（格式10）</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11. 投标文件格式</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11.1  投标文件必须毫无遗漏地包括本须知第10条规定的内容，投标人提交的投标文件必须毫无例外地使用招标文件所提供投标文件格式（表格可以按同样格式扩展）。</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color w:val="FF0000"/>
          <w:kern w:val="0"/>
          <w:szCs w:val="21"/>
          <w:highlight w:val="yellow"/>
        </w:rPr>
        <w:t>注：如招标文件第三部分投标格式与本须知第10条规定的内容不一致，以投标文件第三部分投标格式为准。</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12. 投标报价</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12.1  投标报价应以人民币为结算单位。</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12.2  投标人应在招标文件所附的“开标一览表”（格式3）和“报价表”（格式4）上写明投标货物的单价和投标总价。投标人对每种项目只允许有一个报价，采购代理机构不接受有任何选择的报价。</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12.3  此报价作为评审委员会评审标准，但不能限制采购人以其它方式签订合同的权力。</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13. 投标人资格的证明文件</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13.1  投标人必须提交证明其有资格进行投标，和中标后有能力履行合同的证明文件（格式1与格式2），作为投标文件的一部份。</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14. 投标有效期</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14.1  投标文件的有效期按前附表第7项规定。</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14.2  特殊情况下，采购代理机构可于投标有效期期满之前，要求投标人同意延长投标有效期。投标人可以拒绝或同意上述要求，但要求与答复均须是书面文件。对于同意该要求的投标人，采购代理机构既不要求也不允许其修改投标文件。</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15. 项目保证金</w:t>
      </w:r>
    </w:p>
    <w:p>
      <w:pPr>
        <w:adjustRightInd w:val="0"/>
        <w:spacing w:line="288"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15.1  以下有关项目保证金的条款仅适用于需要缴纳项目保证金的项目。是否需要缴纳项目保证金以《投标须知前附表》中的规定或说明为准。</w:t>
      </w:r>
    </w:p>
    <w:p>
      <w:pPr>
        <w:adjustRightInd w:val="0"/>
        <w:spacing w:line="288"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15.2  投标人应向采购代理机构提交一笔不少于前附表第8项所规定的项目保证金，以到账为准。</w:t>
      </w:r>
    </w:p>
    <w:p>
      <w:pPr>
        <w:adjustRightInd w:val="0"/>
        <w:spacing w:line="288"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15.3  项目保证金用于保护本次采购免受投标人的行为而引起的风险。</w:t>
      </w:r>
    </w:p>
    <w:p>
      <w:pPr>
        <w:adjustRightInd w:val="0"/>
        <w:spacing w:line="288" w:lineRule="auto"/>
        <w:ind w:left="630" w:hanging="630" w:hangingChars="30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15.4  项目保证金应以支票、汇票、本票或采购机构能够接受的银行保函等其它非现金形式提交。（注：必须从投标人基本账户转出，否则其投标无效。）</w:t>
      </w:r>
    </w:p>
    <w:p>
      <w:pPr>
        <w:adjustRightInd w:val="0"/>
        <w:spacing w:line="288"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15.5  未按规定提交项目保证金的投标，将被视为无效投标。</w:t>
      </w:r>
    </w:p>
    <w:p>
      <w:pPr>
        <w:adjustRightInd w:val="0"/>
        <w:spacing w:line="288"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15.6  未中标的投标人的项目保证金，采购代理机构将在中标通知书发出且收到投标人的《项目保证金退还申请表》后5个工作日内退还。</w:t>
      </w:r>
    </w:p>
    <w:p>
      <w:pPr>
        <w:adjustRightInd w:val="0"/>
        <w:spacing w:line="288"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15.7  中标方的项目保证金，采购代理机构将在中标方签订合同并支付采购代理服务费后5个工作日内退还。</w:t>
      </w:r>
    </w:p>
    <w:p>
      <w:pPr>
        <w:adjustRightInd w:val="0"/>
        <w:spacing w:line="288"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15.8  发生以下情况项目保证金将被没收：</w:t>
      </w:r>
    </w:p>
    <w:p>
      <w:pPr>
        <w:adjustRightInd w:val="0"/>
        <w:spacing w:line="288" w:lineRule="auto"/>
        <w:ind w:left="630" w:hanging="630" w:hangingChars="30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（1）投标人在投标有效期内撤销投标文件；</w:t>
      </w:r>
    </w:p>
    <w:p>
      <w:pPr>
        <w:adjustRightInd w:val="0"/>
        <w:spacing w:line="288"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（3）投标人串通投标或者以其他弄虚作假方式投标；</w:t>
      </w:r>
    </w:p>
    <w:p>
      <w:pPr>
        <w:adjustRightInd w:val="0"/>
        <w:spacing w:line="288"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（4）如果中标方未能做到：</w:t>
      </w:r>
    </w:p>
    <w:p>
      <w:pPr>
        <w:adjustRightInd w:val="0"/>
        <w:spacing w:line="288" w:lineRule="auto"/>
        <w:ind w:firstLine="630" w:firstLineChars="30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按本须知第32条规定签订合同；或</w:t>
      </w:r>
    </w:p>
    <w:p>
      <w:pPr>
        <w:adjustRightInd w:val="0"/>
        <w:spacing w:line="288" w:lineRule="auto"/>
        <w:ind w:firstLine="630" w:firstLineChars="30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按本须知第33条规定提供履约保证金；或</w:t>
      </w:r>
    </w:p>
    <w:p>
      <w:pPr>
        <w:adjustRightInd w:val="0"/>
        <w:spacing w:line="288" w:lineRule="auto"/>
        <w:ind w:firstLine="630" w:firstLineChars="30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按本须知第34条规定缴纳采购代理服务费。</w:t>
      </w:r>
    </w:p>
    <w:p>
      <w:pPr>
        <w:pStyle w:val="13"/>
        <w:rPr>
          <w:rFonts w:cs="仿宋" w:asciiTheme="minorEastAsia" w:hAnsiTheme="minorEastAsia" w:eastAsiaTheme="minorEastAsia"/>
          <w:szCs w:val="21"/>
        </w:rPr>
      </w:pPr>
      <w:r>
        <w:rPr>
          <w:rFonts w:hint="eastAsia" w:cs="仿宋" w:asciiTheme="minorEastAsia" w:hAnsiTheme="minorEastAsia" w:eastAsiaTheme="minorEastAsia"/>
          <w:snapToGrid w:val="0"/>
          <w:kern w:val="0"/>
          <w:szCs w:val="21"/>
        </w:rPr>
        <w:t>（5） 法律法规规定的其它情况。</w:t>
      </w:r>
    </w:p>
    <w:p>
      <w:pPr>
        <w:tabs>
          <w:tab w:val="left" w:pos="330"/>
        </w:tabs>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16. 投标预备会（</w:t>
      </w:r>
      <w:r>
        <w:rPr>
          <w:rFonts w:hint="eastAsia" w:cs="仿宋" w:asciiTheme="minorEastAsia" w:hAnsiTheme="minorEastAsia" w:eastAsiaTheme="minorEastAsia"/>
          <w:snapToGrid w:val="0"/>
          <w:kern w:val="0"/>
          <w:szCs w:val="21"/>
        </w:rPr>
        <w:t>答疑会）</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16.1  投标预备会（答疑会），如采购代理机构认为有必要召开投标预备会，投标人应按照前附表第9项规定的或采购代理机构另行书面通知的时间和地点，派出代表出席采购代理机构主持的投标预备会。</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 xml:space="preserve">16.2  投标预备会的目的是澄清、解答投标人在查阅招标文件后和现场踏勘中可能提出的任何方面的问题。 </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16.3  投标人提出的与投标有关的任何采购问题须以书面形式给采购代理机构。在投标预备会上，采购代理机构将做出澄清和解答。</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16.4  采购代理机构在投标预备会上所做出的澄清和解答，以书面答复为准，投标人在收到投标答疑纪要时应以书面形式予以确认。答疑纪要的有效性规定按照本须知第8.2、8.4款规定执行。</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16.5  未出席投标预备会不作为否定投标人资格的理由。</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17. 投标文件的份数和签署</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17.1  投标文件数量按前附表第10项所述，须在每一份投标文件上明确注明“正本”或“副本”字样。一旦正本和副本有差异，以正本为准。</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17.2  为了便于投标文件保存，需提交一份投标文件正文盖章扫描件（.pdf）电子档一份。</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17.3  投标文件正本及开标一览表须打印，并经法定代表人或其授权代表签字和盖章，投标文件的副本可采用正本复印件。</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17.4  除投标人对错处做必要修改外，投标文件中不许有加行、涂抹或改写，如有修改遗漏处，必须由投标人法定代表人或其授权代表签字和盖章。</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17.5  电报、电话、传真形式的投标概不接受。</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17.6  投标文件不符合上述规定，为无效投标。</w:t>
      </w:r>
    </w:p>
    <w:p>
      <w:pPr>
        <w:pStyle w:val="2"/>
      </w:pPr>
    </w:p>
    <w:p>
      <w:pPr>
        <w:adjustRightInd w:val="0"/>
        <w:spacing w:line="360" w:lineRule="auto"/>
        <w:jc w:val="center"/>
        <w:rPr>
          <w:rFonts w:cs="仿宋" w:asciiTheme="minorEastAsia" w:hAnsiTheme="minorEastAsia" w:eastAsiaTheme="minorEastAsia"/>
          <w:snapToGrid w:val="0"/>
          <w:kern w:val="0"/>
          <w:sz w:val="32"/>
          <w:szCs w:val="32"/>
        </w:rPr>
      </w:pPr>
      <w:bookmarkStart w:id="5" w:name="q7"/>
      <w:bookmarkEnd w:id="5"/>
      <w:r>
        <w:rPr>
          <w:rFonts w:hint="eastAsia" w:cs="仿宋" w:asciiTheme="minorEastAsia" w:hAnsiTheme="minorEastAsia" w:eastAsiaTheme="minorEastAsia"/>
          <w:snapToGrid w:val="0"/>
          <w:kern w:val="0"/>
          <w:sz w:val="32"/>
          <w:szCs w:val="32"/>
        </w:rPr>
        <w:t>Ｄ   投标文件的递交</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18. 投标文件的密封和标记</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18.1须在每一份投标文件封面上明确注明“正本”或“副本”字样。一旦正本和副本有差异，以正本为准。</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18.2投标文件完整密封（包含两份正本和四份副本）。</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18.3投标人应将投标文件正文扫描件电子档单独密封于一信封，在信封上注明“备份电子档”。</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18.4 将按本须知第18.2、18.3款密封好的“投标文件”和“备份电子档”一起封装在一个外层包封中，同时还应：</w:t>
      </w:r>
    </w:p>
    <w:p>
      <w:pPr>
        <w:adjustRightInd w:val="0"/>
        <w:spacing w:line="360" w:lineRule="auto"/>
        <w:ind w:firstLine="359" w:firstLineChars="171"/>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 写明采购代理机构名称；</w:t>
      </w:r>
    </w:p>
    <w:p>
      <w:pPr>
        <w:adjustRightInd w:val="0"/>
        <w:spacing w:line="360" w:lineRule="auto"/>
        <w:ind w:firstLine="359" w:firstLineChars="171"/>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 注明下列识别标志：</w:t>
      </w:r>
    </w:p>
    <w:p>
      <w:pPr>
        <w:adjustRightInd w:val="0"/>
        <w:spacing w:line="360" w:lineRule="auto"/>
        <w:ind w:firstLine="539" w:firstLineChars="257"/>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A、项目编号；</w:t>
      </w:r>
    </w:p>
    <w:p>
      <w:pPr>
        <w:adjustRightInd w:val="0"/>
        <w:spacing w:line="360" w:lineRule="auto"/>
        <w:ind w:firstLine="539" w:firstLineChars="257"/>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B、项目名称；</w:t>
      </w:r>
    </w:p>
    <w:p>
      <w:pPr>
        <w:adjustRightInd w:val="0"/>
        <w:spacing w:line="360" w:lineRule="auto"/>
        <w:ind w:firstLine="539" w:firstLineChars="257"/>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C、投标人名称；</w:t>
      </w:r>
    </w:p>
    <w:p>
      <w:pPr>
        <w:adjustRightInd w:val="0"/>
        <w:spacing w:line="360" w:lineRule="auto"/>
        <w:ind w:firstLine="539" w:firstLineChars="257"/>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D、</w:t>
      </w:r>
      <w:r>
        <w:rPr>
          <w:rFonts w:hint="eastAsia" w:cs="仿宋" w:asciiTheme="minorEastAsia" w:hAnsiTheme="minorEastAsia" w:eastAsiaTheme="minorEastAsia"/>
          <w:snapToGrid w:val="0"/>
          <w:kern w:val="0"/>
          <w:szCs w:val="21"/>
          <w:u w:val="single"/>
        </w:rPr>
        <w:t xml:space="preserve">      </w:t>
      </w:r>
      <w:r>
        <w:rPr>
          <w:rFonts w:hint="eastAsia" w:cs="仿宋" w:asciiTheme="minorEastAsia" w:hAnsiTheme="minorEastAsia" w:eastAsiaTheme="minorEastAsia"/>
          <w:snapToGrid w:val="0"/>
          <w:kern w:val="0"/>
          <w:szCs w:val="21"/>
        </w:rPr>
        <w:t>年</w:t>
      </w:r>
      <w:r>
        <w:rPr>
          <w:rFonts w:hint="eastAsia" w:cs="仿宋" w:asciiTheme="minorEastAsia" w:hAnsiTheme="minorEastAsia" w:eastAsiaTheme="minorEastAsia"/>
          <w:snapToGrid w:val="0"/>
          <w:kern w:val="0"/>
          <w:szCs w:val="21"/>
          <w:u w:val="single"/>
        </w:rPr>
        <w:t xml:space="preserve">      </w:t>
      </w:r>
      <w:r>
        <w:rPr>
          <w:rFonts w:hint="eastAsia" w:cs="仿宋" w:asciiTheme="minorEastAsia" w:hAnsiTheme="minorEastAsia" w:eastAsiaTheme="minorEastAsia"/>
          <w:snapToGrid w:val="0"/>
          <w:kern w:val="0"/>
          <w:szCs w:val="21"/>
        </w:rPr>
        <w:t>月</w:t>
      </w:r>
      <w:r>
        <w:rPr>
          <w:rFonts w:hint="eastAsia" w:cs="仿宋" w:asciiTheme="minorEastAsia" w:hAnsiTheme="minorEastAsia" w:eastAsiaTheme="minorEastAsia"/>
          <w:snapToGrid w:val="0"/>
          <w:kern w:val="0"/>
          <w:szCs w:val="21"/>
          <w:u w:val="single"/>
        </w:rPr>
        <w:t xml:space="preserve">      </w:t>
      </w:r>
      <w:r>
        <w:rPr>
          <w:rFonts w:hint="eastAsia" w:cs="仿宋" w:asciiTheme="minorEastAsia" w:hAnsiTheme="minorEastAsia" w:eastAsiaTheme="minorEastAsia"/>
          <w:snapToGrid w:val="0"/>
          <w:kern w:val="0"/>
          <w:szCs w:val="21"/>
        </w:rPr>
        <w:t>日</w:t>
      </w:r>
      <w:r>
        <w:rPr>
          <w:rFonts w:hint="eastAsia" w:cs="仿宋" w:asciiTheme="minorEastAsia" w:hAnsiTheme="minorEastAsia" w:eastAsiaTheme="minorEastAsia"/>
          <w:snapToGrid w:val="0"/>
          <w:kern w:val="0"/>
          <w:szCs w:val="21"/>
          <w:u w:val="single"/>
        </w:rPr>
        <w:t xml:space="preserve">      </w:t>
      </w:r>
      <w:r>
        <w:rPr>
          <w:rFonts w:hint="eastAsia" w:cs="仿宋" w:asciiTheme="minorEastAsia" w:hAnsiTheme="minorEastAsia" w:eastAsiaTheme="minorEastAsia"/>
          <w:snapToGrid w:val="0"/>
          <w:kern w:val="0"/>
          <w:szCs w:val="21"/>
        </w:rPr>
        <w:t>时</w:t>
      </w:r>
      <w:r>
        <w:rPr>
          <w:rFonts w:hint="eastAsia" w:cs="仿宋" w:asciiTheme="minorEastAsia" w:hAnsiTheme="minorEastAsia" w:eastAsiaTheme="minorEastAsia"/>
          <w:snapToGrid w:val="0"/>
          <w:kern w:val="0"/>
          <w:szCs w:val="21"/>
          <w:u w:val="single"/>
        </w:rPr>
        <w:t xml:space="preserve">      </w:t>
      </w:r>
      <w:r>
        <w:rPr>
          <w:rFonts w:hint="eastAsia" w:cs="仿宋" w:asciiTheme="minorEastAsia" w:hAnsiTheme="minorEastAsia" w:eastAsiaTheme="minorEastAsia"/>
          <w:snapToGrid w:val="0"/>
          <w:kern w:val="0"/>
          <w:szCs w:val="21"/>
        </w:rPr>
        <w:t>分（开标时间）前不得开封。</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18.5  投标人应将“法定代表人（负责人）证明书、法定代表人（负责人）授权委托书”和“开标一览表”密封于一信封，在递交投标文件时单独交与采购代理机构，在信封上应：</w:t>
      </w:r>
    </w:p>
    <w:p>
      <w:pPr>
        <w:tabs>
          <w:tab w:val="left" w:pos="1470"/>
        </w:tabs>
        <w:adjustRightInd w:val="0"/>
        <w:spacing w:line="360" w:lineRule="auto"/>
        <w:ind w:left="629" w:leftChars="172" w:hanging="268" w:hangingChars="128"/>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  写明采购代理机构名称；</w:t>
      </w:r>
    </w:p>
    <w:p>
      <w:pPr>
        <w:tabs>
          <w:tab w:val="left" w:pos="1470"/>
        </w:tabs>
        <w:adjustRightInd w:val="0"/>
        <w:spacing w:line="360" w:lineRule="auto"/>
        <w:ind w:left="629" w:leftChars="172" w:hanging="268" w:hangingChars="128"/>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  注明下列识别标志：</w:t>
      </w:r>
    </w:p>
    <w:p>
      <w:pPr>
        <w:adjustRightInd w:val="0"/>
        <w:spacing w:line="360" w:lineRule="auto"/>
        <w:ind w:firstLine="539" w:firstLineChars="257"/>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A、项目编号；</w:t>
      </w:r>
    </w:p>
    <w:p>
      <w:pPr>
        <w:adjustRightInd w:val="0"/>
        <w:spacing w:line="360" w:lineRule="auto"/>
        <w:ind w:firstLine="539" w:firstLineChars="257"/>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B、项目名称；</w:t>
      </w:r>
    </w:p>
    <w:p>
      <w:pPr>
        <w:adjustRightInd w:val="0"/>
        <w:spacing w:line="360" w:lineRule="auto"/>
        <w:ind w:firstLine="539" w:firstLineChars="257"/>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C、投标人名称；</w:t>
      </w:r>
    </w:p>
    <w:p>
      <w:pPr>
        <w:adjustRightInd w:val="0"/>
        <w:spacing w:line="360" w:lineRule="auto"/>
        <w:ind w:firstLine="539" w:firstLineChars="257"/>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D、注明：“开标一览表”和“法定代表人（负责人）证明书、法定代表人（负责人）授权委托书”</w:t>
      </w:r>
    </w:p>
    <w:p>
      <w:pPr>
        <w:adjustRightInd w:val="0"/>
        <w:spacing w:line="360" w:lineRule="auto"/>
        <w:ind w:firstLine="525" w:firstLineChars="25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E、</w:t>
      </w:r>
      <w:r>
        <w:rPr>
          <w:rFonts w:hint="eastAsia" w:cs="仿宋" w:asciiTheme="minorEastAsia" w:hAnsiTheme="minorEastAsia" w:eastAsiaTheme="minorEastAsia"/>
          <w:snapToGrid w:val="0"/>
          <w:kern w:val="0"/>
          <w:szCs w:val="21"/>
          <w:u w:val="single"/>
        </w:rPr>
        <w:t xml:space="preserve">      </w:t>
      </w:r>
      <w:r>
        <w:rPr>
          <w:rFonts w:hint="eastAsia" w:cs="仿宋" w:asciiTheme="minorEastAsia" w:hAnsiTheme="minorEastAsia" w:eastAsiaTheme="minorEastAsia"/>
          <w:snapToGrid w:val="0"/>
          <w:kern w:val="0"/>
          <w:szCs w:val="21"/>
        </w:rPr>
        <w:t>年</w:t>
      </w:r>
      <w:r>
        <w:rPr>
          <w:rFonts w:hint="eastAsia" w:cs="仿宋" w:asciiTheme="minorEastAsia" w:hAnsiTheme="minorEastAsia" w:eastAsiaTheme="minorEastAsia"/>
          <w:snapToGrid w:val="0"/>
          <w:kern w:val="0"/>
          <w:szCs w:val="21"/>
          <w:u w:val="single"/>
        </w:rPr>
        <w:t xml:space="preserve">      </w:t>
      </w:r>
      <w:r>
        <w:rPr>
          <w:rFonts w:hint="eastAsia" w:cs="仿宋" w:asciiTheme="minorEastAsia" w:hAnsiTheme="minorEastAsia" w:eastAsiaTheme="minorEastAsia"/>
          <w:snapToGrid w:val="0"/>
          <w:kern w:val="0"/>
          <w:szCs w:val="21"/>
        </w:rPr>
        <w:t>月</w:t>
      </w:r>
      <w:r>
        <w:rPr>
          <w:rFonts w:hint="eastAsia" w:cs="仿宋" w:asciiTheme="minorEastAsia" w:hAnsiTheme="minorEastAsia" w:eastAsiaTheme="minorEastAsia"/>
          <w:snapToGrid w:val="0"/>
          <w:kern w:val="0"/>
          <w:szCs w:val="21"/>
          <w:u w:val="single"/>
        </w:rPr>
        <w:t xml:space="preserve">      </w:t>
      </w:r>
      <w:r>
        <w:rPr>
          <w:rFonts w:hint="eastAsia" w:cs="仿宋" w:asciiTheme="minorEastAsia" w:hAnsiTheme="minorEastAsia" w:eastAsiaTheme="minorEastAsia"/>
          <w:snapToGrid w:val="0"/>
          <w:kern w:val="0"/>
          <w:szCs w:val="21"/>
        </w:rPr>
        <w:t>日</w:t>
      </w:r>
      <w:r>
        <w:rPr>
          <w:rFonts w:hint="eastAsia" w:cs="仿宋" w:asciiTheme="minorEastAsia" w:hAnsiTheme="minorEastAsia" w:eastAsiaTheme="minorEastAsia"/>
          <w:snapToGrid w:val="0"/>
          <w:kern w:val="0"/>
          <w:szCs w:val="21"/>
          <w:u w:val="single"/>
        </w:rPr>
        <w:t xml:space="preserve">      </w:t>
      </w:r>
      <w:r>
        <w:rPr>
          <w:rFonts w:hint="eastAsia" w:cs="仿宋" w:asciiTheme="minorEastAsia" w:hAnsiTheme="minorEastAsia" w:eastAsiaTheme="minorEastAsia"/>
          <w:snapToGrid w:val="0"/>
          <w:kern w:val="0"/>
          <w:szCs w:val="21"/>
        </w:rPr>
        <w:t>时</w:t>
      </w:r>
      <w:r>
        <w:rPr>
          <w:rFonts w:hint="eastAsia" w:cs="仿宋" w:asciiTheme="minorEastAsia" w:hAnsiTheme="minorEastAsia" w:eastAsiaTheme="minorEastAsia"/>
          <w:snapToGrid w:val="0"/>
          <w:kern w:val="0"/>
          <w:szCs w:val="21"/>
          <w:u w:val="single"/>
        </w:rPr>
        <w:t xml:space="preserve">      </w:t>
      </w:r>
      <w:r>
        <w:rPr>
          <w:rFonts w:hint="eastAsia" w:cs="仿宋" w:asciiTheme="minorEastAsia" w:hAnsiTheme="minorEastAsia" w:eastAsiaTheme="minorEastAsia"/>
          <w:snapToGrid w:val="0"/>
          <w:kern w:val="0"/>
          <w:szCs w:val="21"/>
        </w:rPr>
        <w:t>分（开标时间）前不得开封。</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18.6  除了按本须知第18.4、18.5款所要求的识别字样外，在所有投标文件密封袋上还应写明投标人的名称与地址、邮政编码，以便投标按本须知第20条宣布“迟到”时，投标文件可以原封退回；</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18.7  如果投标文件没有按本投标须知第18.1至18.6款规定加写标记和密封，采购代理机构将拒收或者告知投标人，采购代理机构将不承担投标文件错放或提前开封的责任。对由此造成的提前开封的投标文件将予以拒绝，并退还给投标人；</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18.8  所有投标文件的密封袋的封口处应加盖投标人印章。</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18.9  投标文件需由专人送交。投标人应按本投标须知第18.1至18.8款中的规定进行密封和标记后，将投标文件按照前附表第11项中注明的地址送至采购代理机构。</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18.10  投标人按招标文件要求如需提供实物，应随投标文件一起递交。</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19. 递交投标文件的时间、地点以及截止时间</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19.1  递交投标文件的地点与开标仪式的地点相同。</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19.2  所有投标文件都必须按采购代理机构在前附表第</w:t>
      </w:r>
      <w:bookmarkStart w:id="6" w:name="_Hlt35050056"/>
      <w:bookmarkEnd w:id="6"/>
      <w:r>
        <w:rPr>
          <w:rFonts w:hint="eastAsia" w:cs="仿宋" w:asciiTheme="minorEastAsia" w:hAnsiTheme="minorEastAsia" w:eastAsiaTheme="minorEastAsia"/>
          <w:snapToGrid w:val="0"/>
          <w:kern w:val="0"/>
          <w:szCs w:val="21"/>
        </w:rPr>
        <w:t>12项中规定的投标截止时间之前送至采购代理机构。</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19.3  出现第8.3款因招标文件修改或其他原因推迟投标截止时，则按采购代理机构修改通知规定的时间递交。</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19.4  采购代理机构</w:t>
      </w:r>
      <w:r>
        <w:rPr>
          <w:rFonts w:hint="eastAsia" w:cs="仿宋" w:asciiTheme="minorEastAsia" w:hAnsiTheme="minorEastAsia" w:eastAsiaTheme="minorEastAsia"/>
          <w:szCs w:val="21"/>
        </w:rPr>
        <w:t>在投标截止时间前30分钟开始接收投标文件。</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20. 迟交的投标文件</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20.1  采购代理机构将拒绝接收在投标截止时间后递交的投标文件。</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21. 投标文件的修改和撤回</w:t>
      </w:r>
    </w:p>
    <w:p>
      <w:pPr>
        <w:tabs>
          <w:tab w:val="left" w:pos="0"/>
        </w:tabs>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21.1  投标人在提交投标文件后可对其投标文件进行修改或撤回，但采购代理机构须在投标截止时间之前收到该修改或撤回的书面通知，该通知须有经正式授权的投标人代表签字。</w:t>
      </w:r>
    </w:p>
    <w:p>
      <w:pPr>
        <w:tabs>
          <w:tab w:val="left" w:pos="0"/>
        </w:tabs>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21.2  投标人对投标文件修改的书面材料或撤回的通知应按本须知第17条和第18条规定进行编写、密封、标注和递交，并注明“修改投标文件”或“撤回投标”字样。</w:t>
      </w:r>
    </w:p>
    <w:p>
      <w:pPr>
        <w:tabs>
          <w:tab w:val="left" w:pos="0"/>
        </w:tabs>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21.3  投标截止时间以后不得修改投标文件。</w:t>
      </w:r>
    </w:p>
    <w:p>
      <w:pPr>
        <w:tabs>
          <w:tab w:val="left" w:pos="0"/>
        </w:tabs>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21.4  投标人不得在开标时间起到投标文件有效期满前撤销投标文件。</w:t>
      </w:r>
    </w:p>
    <w:p>
      <w:pPr>
        <w:rPr>
          <w:rFonts w:cs="仿宋" w:asciiTheme="minorEastAsia" w:hAnsiTheme="minorEastAsia" w:eastAsiaTheme="minorEastAsia"/>
        </w:rPr>
      </w:pPr>
      <w:bookmarkStart w:id="7" w:name="q8"/>
      <w:bookmarkEnd w:id="7"/>
    </w:p>
    <w:p>
      <w:pPr>
        <w:adjustRightInd w:val="0"/>
        <w:spacing w:line="360" w:lineRule="auto"/>
        <w:jc w:val="center"/>
        <w:rPr>
          <w:rFonts w:cs="仿宋" w:asciiTheme="minorEastAsia" w:hAnsiTheme="minorEastAsia" w:eastAsiaTheme="minorEastAsia"/>
          <w:snapToGrid w:val="0"/>
          <w:kern w:val="0"/>
          <w:sz w:val="32"/>
          <w:szCs w:val="32"/>
        </w:rPr>
      </w:pPr>
      <w:r>
        <w:rPr>
          <w:rFonts w:hint="eastAsia" w:cs="仿宋" w:asciiTheme="minorEastAsia" w:hAnsiTheme="minorEastAsia" w:eastAsiaTheme="minorEastAsia"/>
          <w:snapToGrid w:val="0"/>
          <w:kern w:val="0"/>
          <w:sz w:val="32"/>
          <w:szCs w:val="32"/>
        </w:rPr>
        <w:t>Ｅ   开标和评审</w:t>
      </w:r>
    </w:p>
    <w:p>
      <w:pPr>
        <w:tabs>
          <w:tab w:val="left" w:pos="0"/>
        </w:tabs>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22. 开标</w:t>
      </w:r>
    </w:p>
    <w:p>
      <w:pPr>
        <w:tabs>
          <w:tab w:val="left" w:pos="0"/>
        </w:tabs>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22.1  采购代理机构在前附表第11项规定的时间和地点公开开标。</w:t>
      </w:r>
    </w:p>
    <w:p>
      <w:pPr>
        <w:tabs>
          <w:tab w:val="left" w:pos="0"/>
        </w:tabs>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22.2  所有投标人法定代表人（负责人）或授权代表都须按时参加开标会，否则不接受其投标。【</w:t>
      </w:r>
      <w:r>
        <w:rPr>
          <w:rFonts w:hint="eastAsia" w:cs="仿宋" w:asciiTheme="minorEastAsia" w:hAnsiTheme="minorEastAsia" w:eastAsiaTheme="minorEastAsia"/>
          <w:snapToGrid w:val="0"/>
          <w:color w:val="FF0000"/>
          <w:kern w:val="0"/>
          <w:szCs w:val="21"/>
          <w:highlight w:val="yellow"/>
        </w:rPr>
        <w:t>如是邮寄标书，可以不用到现场参与</w:t>
      </w:r>
      <w:r>
        <w:rPr>
          <w:rFonts w:hint="eastAsia" w:cs="仿宋" w:asciiTheme="minorEastAsia" w:hAnsiTheme="minorEastAsia" w:eastAsiaTheme="minorEastAsia"/>
          <w:snapToGrid w:val="0"/>
          <w:kern w:val="0"/>
          <w:szCs w:val="21"/>
        </w:rPr>
        <w:t>】</w:t>
      </w:r>
    </w:p>
    <w:p>
      <w:pPr>
        <w:tabs>
          <w:tab w:val="left" w:pos="0"/>
        </w:tabs>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22.3  开标时，采购代理机构将检查投标文件的密封情况，在确认无误后拆封唱标。唱标主要内容为下面几点并做好唱标记录。</w:t>
      </w:r>
    </w:p>
    <w:p>
      <w:pPr>
        <w:tabs>
          <w:tab w:val="left" w:pos="0"/>
        </w:tabs>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 xml:space="preserve">22.3.1  核对法定代表人（负责人）或其授权代表身份证明，若不能提供相应的身份证明或不相符，则视为无效投标。 </w:t>
      </w:r>
    </w:p>
    <w:p>
      <w:pPr>
        <w:tabs>
          <w:tab w:val="left" w:pos="0"/>
        </w:tabs>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22.3.2  投标文件中“开标一览表”的内容。</w:t>
      </w:r>
    </w:p>
    <w:p>
      <w:pPr>
        <w:tabs>
          <w:tab w:val="left" w:pos="0"/>
        </w:tabs>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22.3.3  采购代理机构认为合适的其他内容。</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23. 评审委员会</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23.1采购代理机构将根据采购货物的特点组建评审委员会，其成员由采购人代表和有关技术、经济等方面的专家组成。评审委员会对投标文件进行审查、质疑、评估和比较。</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23.2 评审期间，投标人应由法定代表人或其授权代表参加询标。</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23.3评审委员会成员对需要共同认定的事项存在争议的，应当按照少数服从多数的原则作出结论。持不同意见的评审委员会成员应当在评审报告上签署不同意见及理由，否则视为同意评审报告。</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24. 对投标文件的审查和投标性的确定</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24.1  采购机构就投标文件中的资格证明文件内容对投标人进行资格核查：</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24.1.1采购机构就投标文件中的资格证明等内容对投标人进行资格核查，核查不合格的，认定其投标无效。</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24.2  评审委员会将投标文件进行符合性审查：</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24.2.1  评审委员会将审查投标文件是否完整、总体编排是否有序、文件签署是否合格、有无计算上的错误等。</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24.2.2  算术错误将按以下方法更正（次序排先者优先）：</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 xml:space="preserve"> （1）开标一览表内容与投标文件中相应内容不一致的，以开标一览表为准；</w:t>
      </w:r>
    </w:p>
    <w:p>
      <w:pPr>
        <w:adjustRightInd w:val="0"/>
        <w:spacing w:line="360" w:lineRule="auto"/>
        <w:ind w:firstLine="105" w:firstLineChars="50"/>
        <w:rPr>
          <w:rFonts w:cs="仿宋" w:asciiTheme="minorEastAsia" w:hAnsiTheme="minorEastAsia" w:eastAsiaTheme="minorEastAsia"/>
          <w:szCs w:val="21"/>
        </w:rPr>
      </w:pPr>
      <w:r>
        <w:rPr>
          <w:rFonts w:hint="eastAsia" w:cs="仿宋" w:asciiTheme="minorEastAsia" w:hAnsiTheme="minorEastAsia" w:eastAsiaTheme="minorEastAsia"/>
          <w:snapToGrid w:val="0"/>
          <w:kern w:val="0"/>
          <w:szCs w:val="21"/>
        </w:rPr>
        <w:t>（2）</w:t>
      </w:r>
      <w:r>
        <w:rPr>
          <w:rFonts w:hint="eastAsia" w:cs="仿宋" w:asciiTheme="minorEastAsia" w:hAnsiTheme="minorEastAsia" w:eastAsiaTheme="minorEastAsia"/>
          <w:szCs w:val="21"/>
        </w:rPr>
        <w:t>大写金额和小写金额不一致的，以大写金额为准；</w:t>
      </w:r>
    </w:p>
    <w:p>
      <w:pPr>
        <w:adjustRightInd w:val="0"/>
        <w:spacing w:line="360" w:lineRule="auto"/>
        <w:ind w:firstLine="105" w:firstLineChars="50"/>
        <w:rPr>
          <w:rFonts w:cs="仿宋" w:asciiTheme="minorEastAsia" w:hAnsiTheme="minorEastAsia" w:eastAsiaTheme="minorEastAsia"/>
          <w:szCs w:val="21"/>
        </w:rPr>
      </w:pPr>
      <w:r>
        <w:rPr>
          <w:rFonts w:hint="eastAsia" w:cs="仿宋" w:asciiTheme="minorEastAsia" w:hAnsiTheme="minorEastAsia" w:eastAsiaTheme="minorEastAsia"/>
          <w:snapToGrid w:val="0"/>
          <w:kern w:val="0"/>
          <w:szCs w:val="21"/>
        </w:rPr>
        <w:t>（3）</w:t>
      </w:r>
      <w:r>
        <w:rPr>
          <w:rFonts w:hint="eastAsia" w:cs="仿宋" w:asciiTheme="minorEastAsia" w:hAnsiTheme="minorEastAsia" w:eastAsiaTheme="minorEastAsia"/>
          <w:szCs w:val="21"/>
        </w:rPr>
        <w:t>单价金额小数点或者百分比有明显错位的，以开标一览表的总价为准，并修改单价；</w:t>
      </w:r>
    </w:p>
    <w:p>
      <w:pPr>
        <w:adjustRightInd w:val="0"/>
        <w:spacing w:line="360" w:lineRule="auto"/>
        <w:ind w:firstLine="105" w:firstLineChars="5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（4）</w:t>
      </w:r>
      <w:r>
        <w:rPr>
          <w:rFonts w:hint="eastAsia" w:cs="仿宋" w:asciiTheme="minorEastAsia" w:hAnsiTheme="minorEastAsia" w:eastAsiaTheme="minorEastAsia"/>
          <w:szCs w:val="21"/>
        </w:rPr>
        <w:t>总价金额与按单价汇总金额不一致的，以单价金额计算结果为准。</w:t>
      </w:r>
    </w:p>
    <w:p>
      <w:pPr>
        <w:adjustRightInd w:val="0"/>
        <w:spacing w:line="360" w:lineRule="auto"/>
        <w:ind w:left="210" w:hanging="210" w:hangingChars="100"/>
        <w:rPr>
          <w:rFonts w:cs="仿宋" w:asciiTheme="minorEastAsia" w:hAnsiTheme="minorEastAsia" w:eastAsiaTheme="minorEastAsia"/>
          <w:snapToGrid w:val="0"/>
          <w:kern w:val="0"/>
          <w:szCs w:val="21"/>
        </w:rPr>
      </w:pPr>
      <w:r>
        <w:rPr>
          <w:rFonts w:hint="eastAsia" w:cs="仿宋" w:asciiTheme="minorEastAsia" w:hAnsiTheme="minorEastAsia" w:eastAsiaTheme="minorEastAsia"/>
          <w:szCs w:val="21"/>
        </w:rPr>
        <w:t xml:space="preserve">     同时出现两种以上不一致的，按照前款规定的顺序修正。修正后的报价按照本须知25.2条的规定，经投标人确认后产生约束力，投标人不确认的，其投标无效。</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24.2.3  在对投标文件进行详细评估之前，评审委员会将依据投标人提供的“资格证明或声明文件”审查投标人的财务、技术和生产能力。如果确定投标人无资格履行合同，其投标将被拒绝。</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24.2.4  评审委员会将确定每份投标是否对招标文件的要求，作出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将影响到其它提交实质性响应的投标人的公平竞争地位。</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24.2.5  评审委员会判断投标文件的投标性，仅基于招标文件和投标文件本身而不靠外部证据。</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24.2.6  评审委员会将拒绝被确定为非实质性投标的投标人。投标人不能通过修正或撤销不符之处，而使其投标成为实质性投标的投标。</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24.2.7  评审委员会允许修改投标中不构成重大偏离的、微小的、非正规、不一致或不规则的地方。</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24.2.8  评审委员会认为投标人的报价明显低于其他通过符合性审查投标人的报价，有可能影响产品质量或者不能诚信履约的，应当要求其在评审现场合理的时间内提供书面说明，必要时提交相关证明材料；投标人不能证明其报价合理性的，评审委员会应当将其作为无效投标处理。若评审委员会成员对是否须由投标人作出报价合理性说明，以及书面说明是否采纳等判断不一致的，按照“少数服从多数”的原则确定评审委员会的意见。</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25. 投标文件的澄清</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25.1  为了有助于对投标文件进行审查、评估和比较，评审委员会有权向投标人提出质疑，并请投标人澄清其投标内容。投标人有责任，按照采购代理机构通知的时间、地点，指派专人进行答疑和澄清。</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25.2  澄清、答复应是书面的，但不得对投标内容进行实质性修改。</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26. 评审方法和详细评审</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26.1 评委会将按照本须知第24条规定只对确定为实质上投标的投标文件进行评价和比较。</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26.2 评审的基础应是本须知第12条规定的投标报价。</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26.3 评审委员会将对低于成本价格的投标作无效投标处理。</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26.4 评委会在评审时，应按照评审信息量化的评审因素，对各投标文件进行分析和评审。</w:t>
      </w:r>
    </w:p>
    <w:p>
      <w:pPr>
        <w:adjustRightInd w:val="0"/>
        <w:spacing w:line="360" w:lineRule="auto"/>
        <w:rPr>
          <w:rFonts w:cs="仿宋" w:asciiTheme="minorEastAsia" w:hAnsiTheme="minorEastAsia" w:eastAsiaTheme="minorEastAsia"/>
          <w:snapToGrid w:val="0"/>
          <w:kern w:val="0"/>
          <w:szCs w:val="21"/>
        </w:rPr>
      </w:pPr>
      <w:bookmarkStart w:id="8" w:name="q9"/>
      <w:bookmarkEnd w:id="8"/>
      <w:r>
        <w:rPr>
          <w:rFonts w:hint="eastAsia" w:cs="仿宋" w:asciiTheme="minorEastAsia" w:hAnsiTheme="minorEastAsia" w:eastAsiaTheme="minorEastAsia"/>
          <w:snapToGrid w:val="0"/>
          <w:kern w:val="0"/>
          <w:szCs w:val="21"/>
        </w:rPr>
        <w:t>26.5评委会按照招标文件规定的各项因素对各投标文件进行量化打分并加权汇总，对各评委的总评分取算术平均值确定该投标人的评审总得分(精确至小数点后二位)，评审总得分最高者将被推荐为中标人，并作出评审结论。若得分相同的，按投标报价由低到高顺序排列；得分且投标报价相同的，按技术服务优劣顺序（即技术分由高到低排序）排列。</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26.6评审报告是评审委员会根据全体评审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在案。</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27. 保密及其它注意事项</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27.1  评审是采购工作的重要环节，评审工作在评委会内独立进行。评委会将遵照评审原则，公正、平等地对待所有投标人。</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27.2  评审期间，评委会将对投标文件中有关问题分别向投标人进行询问。各投标人应予以认真答复。重要或复杂问题的答复需以书面形式，并经法定代表人或授权人签署。澄清文件将作为投标文件的组成部份。</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27.3  在开标、投标期间，投标人不得向评委询问评审情况，不得进行旨在影响评审结果的活动。</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27.4  为保证定标的公正性，在评审过程中，评委不得与投标人私下交换意见。在采购工作结束后，凡与评审情况有接触的任何人，不得也不应将评审情况扩散出评委人员之外。</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27.5  评委会不向落标方解释落标原因，不退还投标文件。</w:t>
      </w:r>
    </w:p>
    <w:p>
      <w:pPr>
        <w:rPr>
          <w:rFonts w:cs="仿宋" w:asciiTheme="minorEastAsia" w:hAnsiTheme="minorEastAsia" w:eastAsiaTheme="minorEastAsia"/>
        </w:rPr>
      </w:pPr>
    </w:p>
    <w:p>
      <w:pPr>
        <w:adjustRightInd w:val="0"/>
        <w:spacing w:line="360" w:lineRule="auto"/>
        <w:jc w:val="center"/>
        <w:rPr>
          <w:rFonts w:cs="仿宋" w:asciiTheme="minorEastAsia" w:hAnsiTheme="minorEastAsia" w:eastAsiaTheme="minorEastAsia"/>
          <w:snapToGrid w:val="0"/>
          <w:kern w:val="0"/>
          <w:sz w:val="32"/>
          <w:szCs w:val="32"/>
        </w:rPr>
      </w:pPr>
      <w:r>
        <w:rPr>
          <w:rFonts w:hint="eastAsia" w:cs="仿宋" w:asciiTheme="minorEastAsia" w:hAnsiTheme="minorEastAsia" w:eastAsiaTheme="minorEastAsia"/>
          <w:snapToGrid w:val="0"/>
          <w:kern w:val="0"/>
          <w:sz w:val="32"/>
          <w:szCs w:val="32"/>
        </w:rPr>
        <w:t>Ｆ　　授予合同</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28．合同授予标准</w:t>
      </w:r>
    </w:p>
    <w:p>
      <w:pPr>
        <w:tabs>
          <w:tab w:val="left" w:pos="5688"/>
        </w:tabs>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 xml:space="preserve">    本项目采购合同授予本须知26.5款所确定的中标人。</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29. 中标通知</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 xml:space="preserve">29.1  采购机构在发出《中标通知书》之前，将中标结果通过政府采购指定网站进行公示。中标结果公示期满无异议或者异议不成立的，采购机构将发出《中标通知书》。《中标通知书》一经发出即发生法律效力。 </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29.2 《中标通知书》将作为签订合同的重要依据。</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29.3  中标方向采购代理机构支付采购代理服务费后，采购代理机构发出《中标通知书》。</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30. 授予合同时变更数量的权力</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30.1  采购人在签订合同时，有权对招标文件中列明的货物或服务的数量，在法定范围内，依法定程序予以增加或减少。</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31. 签订合同</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31.1  中标方应按《中标通知书》或按采购人指定的时间、地点与采购人签订合同。</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31.2  招标文件、中标方的投标文件及其澄清文件等，均为签订合同的依据。</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32.  履约保证金</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32.1  中标人须按招标文件的规定或根据合同的规定向采购人提交履约保证金。</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33. 采购代理服务费</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33.1  采购代理服务费按前附表第14项所述，最低收取人民币6000元。</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33.2  采购代理服务费金额按下列方法计算：</w:t>
      </w:r>
    </w:p>
    <w:tbl>
      <w:tblPr>
        <w:tblStyle w:val="23"/>
        <w:tblW w:w="7115" w:type="dxa"/>
        <w:tblInd w:w="64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31"/>
        <w:gridCol w:w="1661"/>
        <w:gridCol w:w="1661"/>
        <w:gridCol w:w="166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75" w:hRule="atLeast"/>
        </w:trPr>
        <w:tc>
          <w:tcPr>
            <w:tcW w:w="2131" w:type="dxa"/>
          </w:tcPr>
          <w:p>
            <w:pPr>
              <w:spacing w:line="360" w:lineRule="auto"/>
              <w:ind w:firstLine="420" w:firstLineChars="200"/>
              <w:rPr>
                <w:rFonts w:cs="仿宋" w:asciiTheme="minorEastAsia" w:hAnsiTheme="minorEastAsia" w:eastAsiaTheme="minorEastAsia"/>
                <w:szCs w:val="21"/>
              </w:rPr>
            </w:pPr>
            <w:r>
              <w:rPr>
                <w:rFonts w:cs="仿宋" w:asciiTheme="minorEastAsia" w:hAnsiTheme="minorEastAsia" w:eastAsiaTheme="minorEastAsia"/>
                <w:szCs w:val="21"/>
              </w:rPr>
              <mc:AlternateContent>
                <mc:Choice Requires="wps">
                  <w:drawing>
                    <wp:anchor distT="0" distB="0" distL="114300" distR="114300" simplePos="0" relativeHeight="251678720" behindDoc="0" locked="0" layoutInCell="1" allowOverlap="1">
                      <wp:simplePos x="0" y="0"/>
                      <wp:positionH relativeFrom="column">
                        <wp:posOffset>716280</wp:posOffset>
                      </wp:positionH>
                      <wp:positionV relativeFrom="paragraph">
                        <wp:posOffset>552450</wp:posOffset>
                      </wp:positionV>
                      <wp:extent cx="54610" cy="119380"/>
                      <wp:effectExtent l="0" t="0" r="0" b="0"/>
                      <wp:wrapNone/>
                      <wp:docPr id="33" name="__TH_B3733"/>
                      <wp:cNvGraphicFramePr/>
                      <a:graphic xmlns:a="http://schemas.openxmlformats.org/drawingml/2006/main">
                        <a:graphicData uri="http://schemas.microsoft.com/office/word/2010/wordprocessingShape">
                          <wps:wsp>
                            <wps:cNvSpPr txBox="1"/>
                            <wps:spPr>
                              <a:xfrm>
                                <a:off x="0" y="0"/>
                                <a:ext cx="54610" cy="119380"/>
                              </a:xfrm>
                              <a:prstGeom prst="rect">
                                <a:avLst/>
                              </a:prstGeom>
                              <a:noFill/>
                              <a:ln>
                                <a:noFill/>
                              </a:ln>
                              <a:effectLst/>
                            </wps:spPr>
                            <wps:txbx>
                              <w:txbxContent>
                                <w:p>
                                  <w:pPr>
                                    <w:snapToGrid w:val="0"/>
                                    <w:rPr>
                                      <w:sz w:val="15"/>
                                    </w:rPr>
                                  </w:pPr>
                                  <w:r>
                                    <w:rPr>
                                      <w:rFonts w:hint="eastAsia"/>
                                      <w:sz w:val="15"/>
                                    </w:rPr>
                                    <w:t>元</w:t>
                                  </w:r>
                                </w:p>
                              </w:txbxContent>
                            </wps:txbx>
                            <wps:bodyPr lIns="0" tIns="0" rIns="0" bIns="0" upright="1"/>
                          </wps:wsp>
                        </a:graphicData>
                      </a:graphic>
                    </wp:anchor>
                  </w:drawing>
                </mc:Choice>
                <mc:Fallback>
                  <w:pict>
                    <v:shape id="__TH_B3733" o:spid="_x0000_s1026" o:spt="202" type="#_x0000_t202" style="position:absolute;left:0pt;margin-left:56.4pt;margin-top:43.5pt;height:9.4pt;width:4.3pt;z-index:251678720;mso-width-relative:page;mso-height-relative:page;" filled="f" stroked="f" coordsize="21600,21600" o:gfxdata="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8wITS9gAAAAKAQAADwAAAAAAAAABACAAAAAiAAAAZHJzL2Rvd25yZXYueG1sUEsBAhQAFAAAAAgA&#10;h07iQPIBj5WzAQAAfgMAAA4AAAAAAAAAAQAgAAAAJwEAAGRycy9lMm9Eb2MueG1sUEsFBgAAAAAG&#10;AAYAWQEAAEwFAAAAAA==&#10;">
                      <v:fill on="f" focussize="0,0"/>
                      <v:stroke on="f"/>
                      <v:imagedata o:title=""/>
                      <o:lock v:ext="edit" aspectratio="f"/>
                      <v:textbox inset="0mm,0mm,0mm,0mm">
                        <w:txbxContent>
                          <w:p>
                            <w:pPr>
                              <w:snapToGrid w:val="0"/>
                              <w:rPr>
                                <w:sz w:val="15"/>
                              </w:rPr>
                            </w:pPr>
                            <w:r>
                              <w:rPr>
                                <w:rFonts w:hint="eastAsia"/>
                                <w:sz w:val="15"/>
                              </w:rPr>
                              <w:t>元</w:t>
                            </w:r>
                          </w:p>
                        </w:txbxContent>
                      </v:textbox>
                    </v:shape>
                  </w:pict>
                </mc:Fallback>
              </mc:AlternateContent>
            </w:r>
            <w:r>
              <w:rPr>
                <w:rFonts w:cs="仿宋" w:asciiTheme="minorEastAsia" w:hAnsiTheme="minorEastAsia" w:eastAsiaTheme="minorEastAsia"/>
                <w:szCs w:val="21"/>
              </w:rPr>
              <mc:AlternateContent>
                <mc:Choice Requires="wps">
                  <w:drawing>
                    <wp:anchor distT="0" distB="0" distL="114300" distR="114300" simplePos="0" relativeHeight="251677696" behindDoc="0" locked="0" layoutInCell="1" allowOverlap="1">
                      <wp:simplePos x="0" y="0"/>
                      <wp:positionH relativeFrom="column">
                        <wp:posOffset>565785</wp:posOffset>
                      </wp:positionH>
                      <wp:positionV relativeFrom="paragraph">
                        <wp:posOffset>537845</wp:posOffset>
                      </wp:positionV>
                      <wp:extent cx="125095" cy="119380"/>
                      <wp:effectExtent l="0" t="0" r="0" b="0"/>
                      <wp:wrapNone/>
                      <wp:docPr id="32" name="__TH_B3632"/>
                      <wp:cNvGraphicFramePr/>
                      <a:graphic xmlns:a="http://schemas.openxmlformats.org/drawingml/2006/main">
                        <a:graphicData uri="http://schemas.microsoft.com/office/word/2010/wordprocessingShape">
                          <wps:wsp>
                            <wps:cNvSpPr txBox="1"/>
                            <wps:spPr>
                              <a:xfrm>
                                <a:off x="0" y="0"/>
                                <a:ext cx="125095" cy="119380"/>
                              </a:xfrm>
                              <a:prstGeom prst="rect">
                                <a:avLst/>
                              </a:prstGeom>
                              <a:noFill/>
                              <a:ln>
                                <a:noFill/>
                              </a:ln>
                              <a:effectLst/>
                            </wps:spPr>
                            <wps:txbx>
                              <w:txbxContent>
                                <w:p>
                                  <w:pPr>
                                    <w:snapToGrid w:val="0"/>
                                    <w:rPr>
                                      <w:sz w:val="15"/>
                                    </w:rPr>
                                  </w:pPr>
                                  <w:r>
                                    <w:rPr>
                                      <w:rFonts w:hint="eastAsia"/>
                                      <w:sz w:val="15"/>
                                    </w:rPr>
                                    <w:t>万</w:t>
                                  </w:r>
                                </w:p>
                              </w:txbxContent>
                            </wps:txbx>
                            <wps:bodyPr lIns="0" tIns="0" rIns="0" bIns="0" upright="1"/>
                          </wps:wsp>
                        </a:graphicData>
                      </a:graphic>
                    </wp:anchor>
                  </w:drawing>
                </mc:Choice>
                <mc:Fallback>
                  <w:pict>
                    <v:shape id="__TH_B3632" o:spid="_x0000_s1026" o:spt="202" type="#_x0000_t202" style="position:absolute;left:0pt;margin-left:44.55pt;margin-top:42.35pt;height:9.4pt;width:9.85pt;z-index:251677696;mso-width-relative:page;mso-height-relative:page;" filled="f" stroked="f" coordsize="21600,21600" o:gfxdata="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YaAzudcAAAAJAQAADwAAAAAAAAABACAAAAAiAAAAZHJzL2Rvd25yZXYueG1sUEsBAhQAFAAAAAgA&#10;h07iQAxTngK0AQAAfwMAAA4AAAAAAAAAAQAgAAAAJgEAAGRycy9lMm9Eb2MueG1sUEsFBgAAAAAG&#10;AAYAWQEAAEwFAAAAAA==&#10;">
                      <v:fill on="f" focussize="0,0"/>
                      <v:stroke on="f"/>
                      <v:imagedata o:title=""/>
                      <o:lock v:ext="edit" aspectratio="f"/>
                      <v:textbox inset="0mm,0mm,0mm,0mm">
                        <w:txbxContent>
                          <w:p>
                            <w:pPr>
                              <w:snapToGrid w:val="0"/>
                              <w:rPr>
                                <w:sz w:val="15"/>
                              </w:rPr>
                            </w:pPr>
                            <w:r>
                              <w:rPr>
                                <w:rFonts w:hint="eastAsia"/>
                                <w:sz w:val="15"/>
                              </w:rPr>
                              <w:t>万</w:t>
                            </w:r>
                          </w:p>
                        </w:txbxContent>
                      </v:textbox>
                    </v:shape>
                  </w:pict>
                </mc:Fallback>
              </mc:AlternateContent>
            </w:r>
            <w:r>
              <w:rPr>
                <w:rFonts w:cs="仿宋" w:asciiTheme="minorEastAsia" w:hAnsiTheme="minorEastAsia" w:eastAsiaTheme="minorEastAsia"/>
                <w:szCs w:val="21"/>
              </w:rPr>
              <mc:AlternateContent>
                <mc:Choice Requires="wps">
                  <w:drawing>
                    <wp:anchor distT="0" distB="0" distL="114300" distR="114300" simplePos="0" relativeHeight="251676672" behindDoc="0" locked="0" layoutInCell="1" allowOverlap="1">
                      <wp:simplePos x="0" y="0"/>
                      <wp:positionH relativeFrom="column">
                        <wp:posOffset>488315</wp:posOffset>
                      </wp:positionH>
                      <wp:positionV relativeFrom="paragraph">
                        <wp:posOffset>523240</wp:posOffset>
                      </wp:positionV>
                      <wp:extent cx="49530" cy="119380"/>
                      <wp:effectExtent l="0" t="0" r="0" b="0"/>
                      <wp:wrapNone/>
                      <wp:docPr id="31" name="__TH_B3531"/>
                      <wp:cNvGraphicFramePr/>
                      <a:graphic xmlns:a="http://schemas.openxmlformats.org/drawingml/2006/main">
                        <a:graphicData uri="http://schemas.microsoft.com/office/word/2010/wordprocessingShape">
                          <wps:wsp>
                            <wps:cNvSpPr txBox="1"/>
                            <wps:spPr>
                              <a:xfrm>
                                <a:off x="0" y="0"/>
                                <a:ext cx="49530" cy="119380"/>
                              </a:xfrm>
                              <a:prstGeom prst="rect">
                                <a:avLst/>
                              </a:prstGeom>
                              <a:noFill/>
                              <a:ln>
                                <a:noFill/>
                              </a:ln>
                              <a:effectLst/>
                            </wps:spPr>
                            <wps:txbx>
                              <w:txbxContent>
                                <w:p>
                                  <w:pPr>
                                    <w:snapToGrid w:val="0"/>
                                    <w:rPr>
                                      <w:sz w:val="15"/>
                                    </w:rPr>
                                  </w:pPr>
                                  <w:r>
                                    <w:rPr>
                                      <w:sz w:val="15"/>
                                    </w:rPr>
                                    <w:t>(</w:t>
                                  </w:r>
                                </w:p>
                              </w:txbxContent>
                            </wps:txbx>
                            <wps:bodyPr lIns="0" tIns="0" rIns="0" bIns="0" upright="1"/>
                          </wps:wsp>
                        </a:graphicData>
                      </a:graphic>
                    </wp:anchor>
                  </w:drawing>
                </mc:Choice>
                <mc:Fallback>
                  <w:pict>
                    <v:shape id="__TH_B3531" o:spid="_x0000_s1026" o:spt="202" type="#_x0000_t202" style="position:absolute;left:0pt;margin-left:38.45pt;margin-top:41.2pt;height:9.4pt;width:3.9pt;z-index:251676672;mso-width-relative:page;mso-height-relative:page;" filled="f" stroked="f" coordsize="21600,21600" o:gfxdata="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u5ldetgAAAAIAQAADwAAAAAAAAABACAAAAAiAAAAZHJzL2Rvd25yZXYueG1sUEsBAhQAFAAAAAgA&#10;h07iQC5w/OuzAQAAfgMAAA4AAAAAAAAAAQAgAAAAJwEAAGRycy9lMm9Eb2MueG1sUEsFBgAAAAAG&#10;AAYAWQEAAEwFAAAAAA==&#10;">
                      <v:fill on="f" focussize="0,0"/>
                      <v:stroke on="f"/>
                      <v:imagedata o:title=""/>
                      <o:lock v:ext="edit" aspectratio="f"/>
                      <v:textbox inset="0mm,0mm,0mm,0mm">
                        <w:txbxContent>
                          <w:p>
                            <w:pPr>
                              <w:snapToGrid w:val="0"/>
                              <w:rPr>
                                <w:sz w:val="15"/>
                              </w:rPr>
                            </w:pPr>
                            <w:r>
                              <w:rPr>
                                <w:sz w:val="15"/>
                              </w:rPr>
                              <w:t>(</w:t>
                            </w:r>
                          </w:p>
                        </w:txbxContent>
                      </v:textbox>
                    </v:shape>
                  </w:pict>
                </mc:Fallback>
              </mc:AlternateContent>
            </w:r>
            <w:r>
              <w:rPr>
                <w:rFonts w:cs="仿宋" w:asciiTheme="minorEastAsia" w:hAnsiTheme="minorEastAsia" w:eastAsiaTheme="minorEastAsia"/>
                <w:szCs w:val="21"/>
              </w:rPr>
              <mc:AlternateContent>
                <mc:Choice Requires="wps">
                  <w:drawing>
                    <wp:anchor distT="0" distB="0" distL="114300" distR="114300" simplePos="0" relativeHeight="251675648" behindDoc="0" locked="0" layoutInCell="1" allowOverlap="1">
                      <wp:simplePos x="0" y="0"/>
                      <wp:positionH relativeFrom="column">
                        <wp:posOffset>334645</wp:posOffset>
                      </wp:positionH>
                      <wp:positionV relativeFrom="paragraph">
                        <wp:posOffset>508635</wp:posOffset>
                      </wp:positionV>
                      <wp:extent cx="125730" cy="119380"/>
                      <wp:effectExtent l="0" t="0" r="0" b="0"/>
                      <wp:wrapNone/>
                      <wp:docPr id="30" name="__TH_B3430"/>
                      <wp:cNvGraphicFramePr/>
                      <a:graphic xmlns:a="http://schemas.openxmlformats.org/drawingml/2006/main">
                        <a:graphicData uri="http://schemas.microsoft.com/office/word/2010/wordprocessingShape">
                          <wps:wsp>
                            <wps:cNvSpPr txBox="1"/>
                            <wps:spPr>
                              <a:xfrm>
                                <a:off x="0" y="0"/>
                                <a:ext cx="125730" cy="119380"/>
                              </a:xfrm>
                              <a:prstGeom prst="rect">
                                <a:avLst/>
                              </a:prstGeom>
                              <a:noFill/>
                              <a:ln>
                                <a:noFill/>
                              </a:ln>
                              <a:effectLst/>
                            </wps:spPr>
                            <wps:txbx>
                              <w:txbxContent>
                                <w:p>
                                  <w:pPr>
                                    <w:snapToGrid w:val="0"/>
                                    <w:rPr>
                                      <w:sz w:val="15"/>
                                    </w:rPr>
                                  </w:pPr>
                                  <w:r>
                                    <w:rPr>
                                      <w:rFonts w:hint="eastAsia"/>
                                      <w:sz w:val="15"/>
                                    </w:rPr>
                                    <w:t>额</w:t>
                                  </w:r>
                                </w:p>
                              </w:txbxContent>
                            </wps:txbx>
                            <wps:bodyPr lIns="0" tIns="0" rIns="0" bIns="0" upright="1"/>
                          </wps:wsp>
                        </a:graphicData>
                      </a:graphic>
                    </wp:anchor>
                  </w:drawing>
                </mc:Choice>
                <mc:Fallback>
                  <w:pict>
                    <v:shape id="__TH_B3430" o:spid="_x0000_s1026" o:spt="202" type="#_x0000_t202" style="position:absolute;left:0pt;margin-left:26.35pt;margin-top:40.05pt;height:9.4pt;width:9.9pt;z-index:251675648;mso-width-relative:page;mso-height-relative:page;" filled="f" stroked="f" coordsize="21600,21600" o:gfxdata="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1q&#10;SHHXAAAABwEAAA8AAAAAAAAAAQAgAAAAIgAAAGRycy9kb3ducmV2LnhtbFBLAQIUABQAAAAIAIdO&#10;4kCme4A8sgEAAH8DAAAOAAAAAAAAAAEAIAAAACYBAABkcnMvZTJvRG9jLnhtbFBLBQYAAAAABgAG&#10;AFkBAABKBQAAAAA=&#10;">
                      <v:fill on="f" focussize="0,0"/>
                      <v:stroke on="f"/>
                      <v:imagedata o:title=""/>
                      <o:lock v:ext="edit" aspectratio="f"/>
                      <v:textbox inset="0mm,0mm,0mm,0mm">
                        <w:txbxContent>
                          <w:p>
                            <w:pPr>
                              <w:snapToGrid w:val="0"/>
                              <w:rPr>
                                <w:sz w:val="15"/>
                              </w:rPr>
                            </w:pPr>
                            <w:r>
                              <w:rPr>
                                <w:rFonts w:hint="eastAsia"/>
                                <w:sz w:val="15"/>
                              </w:rPr>
                              <w:t>额</w:t>
                            </w:r>
                          </w:p>
                        </w:txbxContent>
                      </v:textbox>
                    </v:shape>
                  </w:pict>
                </mc:Fallback>
              </mc:AlternateContent>
            </w:r>
            <w:r>
              <w:rPr>
                <w:rFonts w:cs="仿宋" w:asciiTheme="minorEastAsia" w:hAnsiTheme="minorEastAsia" w:eastAsiaTheme="minorEastAsia"/>
                <w:szCs w:val="21"/>
              </w:rPr>
              <mc:AlternateContent>
                <mc:Choice Requires="wps">
                  <w:drawing>
                    <wp:anchor distT="0" distB="0" distL="114300" distR="114300" simplePos="0" relativeHeight="251674624" behindDoc="0" locked="0" layoutInCell="1" allowOverlap="1">
                      <wp:simplePos x="0" y="0"/>
                      <wp:positionH relativeFrom="column">
                        <wp:posOffset>219710</wp:posOffset>
                      </wp:positionH>
                      <wp:positionV relativeFrom="paragraph">
                        <wp:posOffset>494030</wp:posOffset>
                      </wp:positionV>
                      <wp:extent cx="125095" cy="119380"/>
                      <wp:effectExtent l="0" t="0" r="0" b="0"/>
                      <wp:wrapNone/>
                      <wp:docPr id="29" name="__TH_B3329"/>
                      <wp:cNvGraphicFramePr/>
                      <a:graphic xmlns:a="http://schemas.openxmlformats.org/drawingml/2006/main">
                        <a:graphicData uri="http://schemas.microsoft.com/office/word/2010/wordprocessingShape">
                          <wps:wsp>
                            <wps:cNvSpPr txBox="1"/>
                            <wps:spPr>
                              <a:xfrm>
                                <a:off x="0" y="0"/>
                                <a:ext cx="125095" cy="119380"/>
                              </a:xfrm>
                              <a:prstGeom prst="rect">
                                <a:avLst/>
                              </a:prstGeom>
                              <a:noFill/>
                              <a:ln>
                                <a:noFill/>
                              </a:ln>
                              <a:effectLst/>
                            </wps:spPr>
                            <wps:txbx>
                              <w:txbxContent>
                                <w:p>
                                  <w:pPr>
                                    <w:snapToGrid w:val="0"/>
                                    <w:rPr>
                                      <w:sz w:val="15"/>
                                    </w:rPr>
                                  </w:pPr>
                                  <w:r>
                                    <w:rPr>
                                      <w:rFonts w:hint="eastAsia"/>
                                      <w:sz w:val="15"/>
                                    </w:rPr>
                                    <w:t>金</w:t>
                                  </w:r>
                                </w:p>
                              </w:txbxContent>
                            </wps:txbx>
                            <wps:bodyPr lIns="0" tIns="0" rIns="0" bIns="0" upright="1"/>
                          </wps:wsp>
                        </a:graphicData>
                      </a:graphic>
                    </wp:anchor>
                  </w:drawing>
                </mc:Choice>
                <mc:Fallback>
                  <w:pict>
                    <v:shape id="__TH_B3329" o:spid="_x0000_s1026" o:spt="202" type="#_x0000_t202" style="position:absolute;left:0pt;margin-left:17.3pt;margin-top:38.9pt;height:9.4pt;width:9.85pt;z-index:251674624;mso-width-relative:page;mso-height-relative:page;" filled="f" stroked="f" coordsize="21600,21600" o:gfxdata="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rZ1PIdcAAAAHAQAADwAAAAAAAAABACAAAAAiAAAAZHJzL2Rvd25yZXYueG1sUEsBAhQAFAAAAAgA&#10;h07iQFT4tB20AQAAfwMAAA4AAAAAAAAAAQAgAAAAJgEAAGRycy9lMm9Eb2MueG1sUEsFBgAAAAAG&#10;AAYAWQEAAEwFAAAAAA==&#10;">
                      <v:fill on="f" focussize="0,0"/>
                      <v:stroke on="f"/>
                      <v:imagedata o:title=""/>
                      <o:lock v:ext="edit" aspectratio="f"/>
                      <v:textbox inset="0mm,0mm,0mm,0mm">
                        <w:txbxContent>
                          <w:p>
                            <w:pPr>
                              <w:snapToGrid w:val="0"/>
                              <w:rPr>
                                <w:sz w:val="15"/>
                              </w:rPr>
                            </w:pPr>
                            <w:r>
                              <w:rPr>
                                <w:rFonts w:hint="eastAsia"/>
                                <w:sz w:val="15"/>
                              </w:rPr>
                              <w:t>金</w:t>
                            </w:r>
                          </w:p>
                        </w:txbxContent>
                      </v:textbox>
                    </v:shape>
                  </w:pict>
                </mc:Fallback>
              </mc:AlternateContent>
            </w:r>
            <w:r>
              <w:rPr>
                <w:rFonts w:cs="仿宋" w:asciiTheme="minorEastAsia" w:hAnsiTheme="minorEastAsia" w:eastAsiaTheme="minorEastAsia"/>
                <w:szCs w:val="21"/>
              </w:rPr>
              <mc:AlternateContent>
                <mc:Choice Requires="wps">
                  <w:drawing>
                    <wp:anchor distT="0" distB="0" distL="114300" distR="114300" simplePos="0" relativeHeight="251673600" behindDoc="0" locked="0" layoutInCell="1" allowOverlap="1">
                      <wp:simplePos x="0" y="0"/>
                      <wp:positionH relativeFrom="column">
                        <wp:posOffset>104140</wp:posOffset>
                      </wp:positionH>
                      <wp:positionV relativeFrom="paragraph">
                        <wp:posOffset>479425</wp:posOffset>
                      </wp:positionV>
                      <wp:extent cx="125730" cy="119380"/>
                      <wp:effectExtent l="0" t="0" r="0" b="0"/>
                      <wp:wrapNone/>
                      <wp:docPr id="28" name="__TH_B3228"/>
                      <wp:cNvGraphicFramePr/>
                      <a:graphic xmlns:a="http://schemas.openxmlformats.org/drawingml/2006/main">
                        <a:graphicData uri="http://schemas.microsoft.com/office/word/2010/wordprocessingShape">
                          <wps:wsp>
                            <wps:cNvSpPr txBox="1"/>
                            <wps:spPr>
                              <a:xfrm>
                                <a:off x="0" y="0"/>
                                <a:ext cx="125730" cy="119380"/>
                              </a:xfrm>
                              <a:prstGeom prst="rect">
                                <a:avLst/>
                              </a:prstGeom>
                              <a:noFill/>
                              <a:ln>
                                <a:noFill/>
                              </a:ln>
                              <a:effectLst/>
                            </wps:spPr>
                            <wps:txbx>
                              <w:txbxContent>
                                <w:p>
                                  <w:pPr>
                                    <w:snapToGrid w:val="0"/>
                                    <w:rPr>
                                      <w:sz w:val="15"/>
                                    </w:rPr>
                                  </w:pPr>
                                  <w:r>
                                    <w:rPr>
                                      <w:rFonts w:hint="eastAsia"/>
                                      <w:sz w:val="15"/>
                                    </w:rPr>
                                    <w:t>标</w:t>
                                  </w:r>
                                </w:p>
                              </w:txbxContent>
                            </wps:txbx>
                            <wps:bodyPr lIns="0" tIns="0" rIns="0" bIns="0" upright="1"/>
                          </wps:wsp>
                        </a:graphicData>
                      </a:graphic>
                    </wp:anchor>
                  </w:drawing>
                </mc:Choice>
                <mc:Fallback>
                  <w:pict>
                    <v:shape id="__TH_B3228" o:spid="_x0000_s1026" o:spt="202" type="#_x0000_t202" style="position:absolute;left:0pt;margin-left:8.2pt;margin-top:37.75pt;height:9.4pt;width:9.9pt;z-index:251673600;mso-width-relative:page;mso-height-relative:page;" filled="f" stroked="f" coordsize="21600,21600" o:gfxdata="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JbW&#10;dhPWAAAABwEAAA8AAAAAAAAAAQAgAAAAIgAAAGRycy9kb3ducmV2LnhtbFBLAQIUABQAAAAIAIdO&#10;4kARRirDswEAAH8DAAAOAAAAAAAAAAEAIAAAACUBAABkcnMvZTJvRG9jLnhtbFBLBQYAAAAABgAG&#10;AFkBAABKBQAAAAA=&#10;">
                      <v:fill on="f" focussize="0,0"/>
                      <v:stroke on="f"/>
                      <v:imagedata o:title=""/>
                      <o:lock v:ext="edit" aspectratio="f"/>
                      <v:textbox inset="0mm,0mm,0mm,0mm">
                        <w:txbxContent>
                          <w:p>
                            <w:pPr>
                              <w:snapToGrid w:val="0"/>
                              <w:rPr>
                                <w:sz w:val="15"/>
                              </w:rPr>
                            </w:pPr>
                            <w:r>
                              <w:rPr>
                                <w:rFonts w:hint="eastAsia"/>
                                <w:sz w:val="15"/>
                              </w:rPr>
                              <w:t>标</w:t>
                            </w:r>
                          </w:p>
                        </w:txbxContent>
                      </v:textbox>
                    </v:shape>
                  </w:pict>
                </mc:Fallback>
              </mc:AlternateContent>
            </w:r>
            <w:r>
              <w:rPr>
                <w:rFonts w:cs="仿宋" w:asciiTheme="minorEastAsia" w:hAnsiTheme="minorEastAsia" w:eastAsiaTheme="minorEastAsia"/>
                <w:szCs w:val="21"/>
              </w:rPr>
              <mc:AlternateContent>
                <mc:Choice Requires="wps">
                  <w:drawing>
                    <wp:anchor distT="0" distB="0" distL="114300" distR="114300" simplePos="0" relativeHeight="251672576" behindDoc="0" locked="0" layoutInCell="1" allowOverlap="1">
                      <wp:simplePos x="0" y="0"/>
                      <wp:positionH relativeFrom="column">
                        <wp:posOffset>-10795</wp:posOffset>
                      </wp:positionH>
                      <wp:positionV relativeFrom="paragraph">
                        <wp:posOffset>464820</wp:posOffset>
                      </wp:positionV>
                      <wp:extent cx="125095" cy="119380"/>
                      <wp:effectExtent l="0" t="0" r="0" b="0"/>
                      <wp:wrapNone/>
                      <wp:docPr id="27" name="__TH_B3127"/>
                      <wp:cNvGraphicFramePr/>
                      <a:graphic xmlns:a="http://schemas.openxmlformats.org/drawingml/2006/main">
                        <a:graphicData uri="http://schemas.microsoft.com/office/word/2010/wordprocessingShape">
                          <wps:wsp>
                            <wps:cNvSpPr txBox="1"/>
                            <wps:spPr>
                              <a:xfrm>
                                <a:off x="0" y="0"/>
                                <a:ext cx="125095" cy="119380"/>
                              </a:xfrm>
                              <a:prstGeom prst="rect">
                                <a:avLst/>
                              </a:prstGeom>
                              <a:noFill/>
                              <a:ln>
                                <a:noFill/>
                              </a:ln>
                              <a:effectLst/>
                            </wps:spPr>
                            <wps:txbx>
                              <w:txbxContent>
                                <w:p>
                                  <w:pPr>
                                    <w:snapToGrid w:val="0"/>
                                    <w:rPr>
                                      <w:sz w:val="15"/>
                                    </w:rPr>
                                  </w:pPr>
                                  <w:r>
                                    <w:rPr>
                                      <w:rFonts w:hint="eastAsia"/>
                                      <w:sz w:val="15"/>
                                    </w:rPr>
                                    <w:t>中</w:t>
                                  </w:r>
                                </w:p>
                              </w:txbxContent>
                            </wps:txbx>
                            <wps:bodyPr lIns="0" tIns="0" rIns="0" bIns="0" upright="1"/>
                          </wps:wsp>
                        </a:graphicData>
                      </a:graphic>
                    </wp:anchor>
                  </w:drawing>
                </mc:Choice>
                <mc:Fallback>
                  <w:pict>
                    <v:shape id="__TH_B3127" o:spid="_x0000_s1026" o:spt="202" type="#_x0000_t202" style="position:absolute;left:0pt;margin-left:-0.85pt;margin-top:36.6pt;height:9.4pt;width:9.85pt;z-index:251672576;mso-width-relative:page;mso-height-relative:page;" filled="f" stroked="f" coordsize="21600,21600" o:gfxdata="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4&#10;3oM01gAAAAcBAAAPAAAAAAAAAAEAIAAAACIAAABkcnMvZG93bnJldi54bWxQSwECFAAUAAAACACH&#10;TuJAHWibGLQBAAB/AwAADgAAAAAAAAABACAAAAAlAQAAZHJzL2Uyb0RvYy54bWxQSwUGAAAAAAYA&#10;BgBZAQAASwUAAAAA&#10;">
                      <v:fill on="f" focussize="0,0"/>
                      <v:stroke on="f"/>
                      <v:imagedata o:title=""/>
                      <o:lock v:ext="edit" aspectratio="f"/>
                      <v:textbox inset="0mm,0mm,0mm,0mm">
                        <w:txbxContent>
                          <w:p>
                            <w:pPr>
                              <w:snapToGrid w:val="0"/>
                              <w:rPr>
                                <w:sz w:val="15"/>
                              </w:rPr>
                            </w:pPr>
                            <w:r>
                              <w:rPr>
                                <w:rFonts w:hint="eastAsia"/>
                                <w:sz w:val="15"/>
                              </w:rPr>
                              <w:t>中</w:t>
                            </w:r>
                          </w:p>
                        </w:txbxContent>
                      </v:textbox>
                    </v:shape>
                  </w:pict>
                </mc:Fallback>
              </mc:AlternateContent>
            </w:r>
            <w:r>
              <w:rPr>
                <w:rFonts w:cs="仿宋" w:asciiTheme="minorEastAsia" w:hAnsiTheme="minorEastAsia" w:eastAsiaTheme="minorEastAsia"/>
                <w:szCs w:val="21"/>
              </w:rPr>
              <mc:AlternateContent>
                <mc:Choice Requires="wps">
                  <w:drawing>
                    <wp:anchor distT="0" distB="0" distL="114300" distR="114300" simplePos="0" relativeHeight="251671552" behindDoc="0" locked="0" layoutInCell="1" allowOverlap="1">
                      <wp:simplePos x="0" y="0"/>
                      <wp:positionH relativeFrom="column">
                        <wp:posOffset>805180</wp:posOffset>
                      </wp:positionH>
                      <wp:positionV relativeFrom="paragraph">
                        <wp:posOffset>407035</wp:posOffset>
                      </wp:positionV>
                      <wp:extent cx="125095" cy="118745"/>
                      <wp:effectExtent l="0" t="0" r="0" b="0"/>
                      <wp:wrapNone/>
                      <wp:docPr id="26" name="__TH_B2226"/>
                      <wp:cNvGraphicFramePr/>
                      <a:graphic xmlns:a="http://schemas.openxmlformats.org/drawingml/2006/main">
                        <a:graphicData uri="http://schemas.microsoft.com/office/word/2010/wordprocessingShape">
                          <wps:wsp>
                            <wps:cNvSpPr txBox="1"/>
                            <wps:spPr>
                              <a:xfrm>
                                <a:off x="0" y="0"/>
                                <a:ext cx="125095" cy="118745"/>
                              </a:xfrm>
                              <a:prstGeom prst="rect">
                                <a:avLst/>
                              </a:prstGeom>
                              <a:noFill/>
                              <a:ln>
                                <a:noFill/>
                              </a:ln>
                              <a:effectLst/>
                            </wps:spPr>
                            <wps:txbx>
                              <w:txbxContent>
                                <w:p>
                                  <w:pPr>
                                    <w:snapToGrid w:val="0"/>
                                    <w:rPr>
                                      <w:sz w:val="15"/>
                                    </w:rPr>
                                  </w:pPr>
                                  <w:r>
                                    <w:rPr>
                                      <w:rFonts w:hint="eastAsia"/>
                                      <w:sz w:val="15"/>
                                    </w:rPr>
                                    <w:t>率</w:t>
                                  </w:r>
                                </w:p>
                              </w:txbxContent>
                            </wps:txbx>
                            <wps:bodyPr lIns="0" tIns="0" rIns="0" bIns="0" upright="1"/>
                          </wps:wsp>
                        </a:graphicData>
                      </a:graphic>
                    </wp:anchor>
                  </w:drawing>
                </mc:Choice>
                <mc:Fallback>
                  <w:pict>
                    <v:shape id="__TH_B2226" o:spid="_x0000_s1026" o:spt="202" type="#_x0000_t202" style="position:absolute;left:0pt;margin-left:63.4pt;margin-top:32.05pt;height:9.35pt;width:9.85pt;z-index:251671552;mso-width-relative:page;mso-height-relative:page;" filled="f" stroked="f" coordsize="21600,21600" o:gfxdata="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F&#10;rSrU1wAAAAkBAAAPAAAAAAAAAAEAIAAAACIAAABkcnMvZG93bnJldi54bWxQSwECFAAUAAAACACH&#10;TuJAPeX7n7MBAAB/AwAADgAAAAAAAAABACAAAAAmAQAAZHJzL2Uyb0RvYy54bWxQSwUGAAAAAAYA&#10;BgBZAQAASwUAAAAA&#10;">
                      <v:fill on="f" focussize="0,0"/>
                      <v:stroke on="f"/>
                      <v:imagedata o:title=""/>
                      <o:lock v:ext="edit" aspectratio="f"/>
                      <v:textbox inset="0mm,0mm,0mm,0mm">
                        <w:txbxContent>
                          <w:p>
                            <w:pPr>
                              <w:snapToGrid w:val="0"/>
                              <w:rPr>
                                <w:sz w:val="15"/>
                              </w:rPr>
                            </w:pPr>
                            <w:r>
                              <w:rPr>
                                <w:rFonts w:hint="eastAsia"/>
                                <w:sz w:val="15"/>
                              </w:rPr>
                              <w:t>率</w:t>
                            </w:r>
                          </w:p>
                        </w:txbxContent>
                      </v:textbox>
                    </v:shape>
                  </w:pict>
                </mc:Fallback>
              </mc:AlternateContent>
            </w:r>
            <w:r>
              <w:rPr>
                <w:rFonts w:cs="仿宋" w:asciiTheme="minorEastAsia" w:hAnsiTheme="minorEastAsia" w:eastAsiaTheme="minorEastAsia"/>
                <w:szCs w:val="21"/>
              </w:rPr>
              <mc:AlternateContent>
                <mc:Choice Requires="wps">
                  <w:drawing>
                    <wp:anchor distT="0" distB="0" distL="114300" distR="114300" simplePos="0" relativeHeight="251670528" behindDoc="0" locked="0" layoutInCell="1" allowOverlap="1">
                      <wp:simplePos x="0" y="0"/>
                      <wp:positionH relativeFrom="column">
                        <wp:posOffset>253365</wp:posOffset>
                      </wp:positionH>
                      <wp:positionV relativeFrom="paragraph">
                        <wp:posOffset>127635</wp:posOffset>
                      </wp:positionV>
                      <wp:extent cx="125730" cy="119380"/>
                      <wp:effectExtent l="0" t="0" r="0" b="0"/>
                      <wp:wrapNone/>
                      <wp:docPr id="15" name="__TH_B2125"/>
                      <wp:cNvGraphicFramePr/>
                      <a:graphic xmlns:a="http://schemas.openxmlformats.org/drawingml/2006/main">
                        <a:graphicData uri="http://schemas.microsoft.com/office/word/2010/wordprocessingShape">
                          <wps:wsp>
                            <wps:cNvSpPr txBox="1"/>
                            <wps:spPr>
                              <a:xfrm>
                                <a:off x="0" y="0"/>
                                <a:ext cx="125730" cy="119380"/>
                              </a:xfrm>
                              <a:prstGeom prst="rect">
                                <a:avLst/>
                              </a:prstGeom>
                              <a:noFill/>
                              <a:ln>
                                <a:noFill/>
                              </a:ln>
                              <a:effectLst/>
                            </wps:spPr>
                            <wps:txbx>
                              <w:txbxContent>
                                <w:p>
                                  <w:pPr>
                                    <w:snapToGrid w:val="0"/>
                                    <w:rPr>
                                      <w:sz w:val="15"/>
                                    </w:rPr>
                                  </w:pPr>
                                  <w:r>
                                    <w:rPr>
                                      <w:rFonts w:hint="eastAsia"/>
                                      <w:sz w:val="15"/>
                                    </w:rPr>
                                    <w:t>费</w:t>
                                  </w:r>
                                </w:p>
                              </w:txbxContent>
                            </wps:txbx>
                            <wps:bodyPr lIns="0" tIns="0" rIns="0" bIns="0" upright="1"/>
                          </wps:wsp>
                        </a:graphicData>
                      </a:graphic>
                    </wp:anchor>
                  </w:drawing>
                </mc:Choice>
                <mc:Fallback>
                  <w:pict>
                    <v:shape id="__TH_B2125" o:spid="_x0000_s1026" o:spt="202" type="#_x0000_t202" style="position:absolute;left:0pt;margin-left:19.95pt;margin-top:10.05pt;height:9.4pt;width:9.9pt;z-index:251670528;mso-width-relative:page;mso-height-relative:page;" filled="f" stroked="f" coordsize="21600,21600" o:gfxdata="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3Hk&#10;NdUAAAAHAQAADwAAAAAAAAABACAAAAAiAAAAZHJzL2Rvd25yZXYueG1sUEsBAhQAFAAAAAgAh07i&#10;QGg9XOyzAQAAfwMAAA4AAAAAAAAAAQAgAAAAJAEAAGRycy9lMm9Eb2MueG1sUEsFBgAAAAAGAAYA&#10;WQEAAEkFAAAAAA==&#10;">
                      <v:fill on="f" focussize="0,0"/>
                      <v:stroke on="f"/>
                      <v:imagedata o:title=""/>
                      <o:lock v:ext="edit" aspectratio="f"/>
                      <v:textbox inset="0mm,0mm,0mm,0mm">
                        <w:txbxContent>
                          <w:p>
                            <w:pPr>
                              <w:snapToGrid w:val="0"/>
                              <w:rPr>
                                <w:sz w:val="15"/>
                              </w:rPr>
                            </w:pPr>
                            <w:r>
                              <w:rPr>
                                <w:rFonts w:hint="eastAsia"/>
                                <w:sz w:val="15"/>
                              </w:rPr>
                              <w:t>费</w:t>
                            </w:r>
                          </w:p>
                        </w:txbxContent>
                      </v:textbox>
                    </v:shape>
                  </w:pict>
                </mc:Fallback>
              </mc:AlternateContent>
            </w:r>
            <w:r>
              <w:rPr>
                <w:rFonts w:cs="仿宋" w:asciiTheme="minorEastAsia" w:hAnsiTheme="minorEastAsia" w:eastAsiaTheme="minorEastAsia"/>
                <w:szCs w:val="21"/>
              </w:rPr>
              <mc:AlternateContent>
                <mc:Choice Requires="wps">
                  <w:drawing>
                    <wp:anchor distT="0" distB="0" distL="114300" distR="114300" simplePos="0" relativeHeight="251669504" behindDoc="0" locked="0" layoutInCell="1" allowOverlap="1">
                      <wp:simplePos x="0" y="0"/>
                      <wp:positionH relativeFrom="column">
                        <wp:posOffset>1125855</wp:posOffset>
                      </wp:positionH>
                      <wp:positionV relativeFrom="paragraph">
                        <wp:posOffset>410845</wp:posOffset>
                      </wp:positionV>
                      <wp:extent cx="125095" cy="118745"/>
                      <wp:effectExtent l="0" t="0" r="0" b="0"/>
                      <wp:wrapNone/>
                      <wp:docPr id="14" name="__TH_B1424"/>
                      <wp:cNvGraphicFramePr/>
                      <a:graphic xmlns:a="http://schemas.openxmlformats.org/drawingml/2006/main">
                        <a:graphicData uri="http://schemas.microsoft.com/office/word/2010/wordprocessingShape">
                          <wps:wsp>
                            <wps:cNvSpPr txBox="1"/>
                            <wps:spPr>
                              <a:xfrm>
                                <a:off x="0" y="0"/>
                                <a:ext cx="125095" cy="118745"/>
                              </a:xfrm>
                              <a:prstGeom prst="rect">
                                <a:avLst/>
                              </a:prstGeom>
                              <a:noFill/>
                              <a:ln>
                                <a:noFill/>
                              </a:ln>
                              <a:effectLst/>
                            </wps:spPr>
                            <wps:txbx>
                              <w:txbxContent>
                                <w:p>
                                  <w:pPr>
                                    <w:snapToGrid w:val="0"/>
                                    <w:rPr>
                                      <w:sz w:val="15"/>
                                    </w:rPr>
                                  </w:pPr>
                                  <w:r>
                                    <w:rPr>
                                      <w:rFonts w:hint="eastAsia"/>
                                      <w:sz w:val="15"/>
                                    </w:rPr>
                                    <w:t>型</w:t>
                                  </w:r>
                                </w:p>
                              </w:txbxContent>
                            </wps:txbx>
                            <wps:bodyPr lIns="0" tIns="0" rIns="0" bIns="0" upright="1"/>
                          </wps:wsp>
                        </a:graphicData>
                      </a:graphic>
                    </wp:anchor>
                  </w:drawing>
                </mc:Choice>
                <mc:Fallback>
                  <w:pict>
                    <v:shape id="__TH_B1424" o:spid="_x0000_s1026" o:spt="202" type="#_x0000_t202" style="position:absolute;left:0pt;margin-left:88.65pt;margin-top:32.35pt;height:9.35pt;width:9.85pt;z-index:251669504;mso-width-relative:page;mso-height-relative:page;" filled="f" stroked="f" coordsize="21600,21600" o:gfxdata="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c9TJANgAAAAJAQAADwAAAAAAAAABACAAAAAiAAAAZHJzL2Rvd25yZXYueG1sUEsBAhQAFAAAAAgA&#10;h07iQH6GJNuzAQAAfwMAAA4AAAAAAAAAAQAgAAAAJwEAAGRycy9lMm9Eb2MueG1sUEsFBgAAAAAG&#10;AAYAWQEAAEwFAAAAAA==&#10;">
                      <v:fill on="f" focussize="0,0"/>
                      <v:stroke on="f"/>
                      <v:imagedata o:title=""/>
                      <o:lock v:ext="edit" aspectratio="f"/>
                      <v:textbox inset="0mm,0mm,0mm,0mm">
                        <w:txbxContent>
                          <w:p>
                            <w:pPr>
                              <w:snapToGrid w:val="0"/>
                              <w:rPr>
                                <w:sz w:val="15"/>
                              </w:rPr>
                            </w:pPr>
                            <w:r>
                              <w:rPr>
                                <w:rFonts w:hint="eastAsia"/>
                                <w:sz w:val="15"/>
                              </w:rPr>
                              <w:t>型</w:t>
                            </w:r>
                          </w:p>
                        </w:txbxContent>
                      </v:textbox>
                    </v:shape>
                  </w:pict>
                </mc:Fallback>
              </mc:AlternateContent>
            </w:r>
            <w:r>
              <w:rPr>
                <w:rFonts w:cs="仿宋" w:asciiTheme="minorEastAsia" w:hAnsiTheme="minorEastAsia" w:eastAsiaTheme="minorEastAsia"/>
                <w:szCs w:val="21"/>
              </w:rPr>
              <mc:AlternateContent>
                <mc:Choice Requires="wps">
                  <w:drawing>
                    <wp:anchor distT="0" distB="0" distL="114300" distR="114300" simplePos="0" relativeHeight="251668480" behindDoc="0" locked="0" layoutInCell="1" allowOverlap="1">
                      <wp:simplePos x="0" y="0"/>
                      <wp:positionH relativeFrom="column">
                        <wp:posOffset>1066165</wp:posOffset>
                      </wp:positionH>
                      <wp:positionV relativeFrom="paragraph">
                        <wp:posOffset>289560</wp:posOffset>
                      </wp:positionV>
                      <wp:extent cx="125095" cy="119380"/>
                      <wp:effectExtent l="0" t="0" r="0" b="0"/>
                      <wp:wrapNone/>
                      <wp:docPr id="13" name="__TH_B1323"/>
                      <wp:cNvGraphicFramePr/>
                      <a:graphic xmlns:a="http://schemas.openxmlformats.org/drawingml/2006/main">
                        <a:graphicData uri="http://schemas.microsoft.com/office/word/2010/wordprocessingShape">
                          <wps:wsp>
                            <wps:cNvSpPr txBox="1"/>
                            <wps:spPr>
                              <a:xfrm>
                                <a:off x="0" y="0"/>
                                <a:ext cx="125095" cy="119380"/>
                              </a:xfrm>
                              <a:prstGeom prst="rect">
                                <a:avLst/>
                              </a:prstGeom>
                              <a:noFill/>
                              <a:ln>
                                <a:noFill/>
                              </a:ln>
                              <a:effectLst/>
                            </wps:spPr>
                            <wps:txbx>
                              <w:txbxContent>
                                <w:p>
                                  <w:pPr>
                                    <w:snapToGrid w:val="0"/>
                                    <w:rPr>
                                      <w:sz w:val="15"/>
                                    </w:rPr>
                                  </w:pPr>
                                  <w:r>
                                    <w:rPr>
                                      <w:rFonts w:hint="eastAsia"/>
                                      <w:sz w:val="15"/>
                                    </w:rPr>
                                    <w:t>类</w:t>
                                  </w:r>
                                </w:p>
                              </w:txbxContent>
                            </wps:txbx>
                            <wps:bodyPr lIns="0" tIns="0" rIns="0" bIns="0" upright="1"/>
                          </wps:wsp>
                        </a:graphicData>
                      </a:graphic>
                    </wp:anchor>
                  </w:drawing>
                </mc:Choice>
                <mc:Fallback>
                  <w:pict>
                    <v:shape id="__TH_B1323" o:spid="_x0000_s1026" o:spt="202" type="#_x0000_t202" style="position:absolute;left:0pt;margin-left:83.95pt;margin-top:22.8pt;height:9.4pt;width:9.85pt;z-index:251668480;mso-width-relative:page;mso-height-relative:page;" filled="f" stroked="f" coordsize="21600,21600" o:gfxdata="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uupVmdgAAAAJAQAADwAAAAAAAAABACAAAAAiAAAAZHJzL2Rvd25yZXYueG1sUEsBAhQAFAAAAAgA&#10;h07iQHWM8razAQAAfwMAAA4AAAAAAAAAAQAgAAAAJwEAAGRycy9lMm9Eb2MueG1sUEsFBgAAAAAG&#10;AAYAWQEAAEwFAAAAAA==&#10;">
                      <v:fill on="f" focussize="0,0"/>
                      <v:stroke on="f"/>
                      <v:imagedata o:title=""/>
                      <o:lock v:ext="edit" aspectratio="f"/>
                      <v:textbox inset="0mm,0mm,0mm,0mm">
                        <w:txbxContent>
                          <w:p>
                            <w:pPr>
                              <w:snapToGrid w:val="0"/>
                              <w:rPr>
                                <w:sz w:val="15"/>
                              </w:rPr>
                            </w:pPr>
                            <w:r>
                              <w:rPr>
                                <w:rFonts w:hint="eastAsia"/>
                                <w:sz w:val="15"/>
                              </w:rPr>
                              <w:t>类</w:t>
                            </w:r>
                          </w:p>
                        </w:txbxContent>
                      </v:textbox>
                    </v:shape>
                  </w:pict>
                </mc:Fallback>
              </mc:AlternateContent>
            </w:r>
            <w:r>
              <w:rPr>
                <w:rFonts w:cs="仿宋" w:asciiTheme="minorEastAsia" w:hAnsiTheme="minorEastAsia" w:eastAsiaTheme="minorEastAsia"/>
                <w:szCs w:val="21"/>
              </w:rPr>
              <mc:AlternateContent>
                <mc:Choice Requires="wps">
                  <w:drawing>
                    <wp:anchor distT="0" distB="0" distL="114300" distR="114300" simplePos="0" relativeHeight="251667456" behindDoc="0" locked="0" layoutInCell="1" allowOverlap="1">
                      <wp:simplePos x="0" y="0"/>
                      <wp:positionH relativeFrom="column">
                        <wp:posOffset>1006475</wp:posOffset>
                      </wp:positionH>
                      <wp:positionV relativeFrom="paragraph">
                        <wp:posOffset>168910</wp:posOffset>
                      </wp:positionV>
                      <wp:extent cx="125095" cy="119380"/>
                      <wp:effectExtent l="0" t="0" r="0" b="0"/>
                      <wp:wrapNone/>
                      <wp:docPr id="12" name="__TH_B1222"/>
                      <wp:cNvGraphicFramePr/>
                      <a:graphic xmlns:a="http://schemas.openxmlformats.org/drawingml/2006/main">
                        <a:graphicData uri="http://schemas.microsoft.com/office/word/2010/wordprocessingShape">
                          <wps:wsp>
                            <wps:cNvSpPr txBox="1"/>
                            <wps:spPr>
                              <a:xfrm>
                                <a:off x="0" y="0"/>
                                <a:ext cx="125095" cy="119380"/>
                              </a:xfrm>
                              <a:prstGeom prst="rect">
                                <a:avLst/>
                              </a:prstGeom>
                              <a:noFill/>
                              <a:ln>
                                <a:noFill/>
                              </a:ln>
                              <a:effectLst/>
                            </wps:spPr>
                            <wps:txbx>
                              <w:txbxContent>
                                <w:p>
                                  <w:pPr>
                                    <w:snapToGrid w:val="0"/>
                                    <w:rPr>
                                      <w:sz w:val="15"/>
                                    </w:rPr>
                                  </w:pPr>
                                  <w:r>
                                    <w:rPr>
                                      <w:rFonts w:hint="eastAsia"/>
                                      <w:sz w:val="15"/>
                                    </w:rPr>
                                    <w:t>务</w:t>
                                  </w:r>
                                </w:p>
                              </w:txbxContent>
                            </wps:txbx>
                            <wps:bodyPr lIns="0" tIns="0" rIns="0" bIns="0" upright="1"/>
                          </wps:wsp>
                        </a:graphicData>
                      </a:graphic>
                    </wp:anchor>
                  </w:drawing>
                </mc:Choice>
                <mc:Fallback>
                  <w:pict>
                    <v:shape id="__TH_B1222" o:spid="_x0000_s1026" o:spt="202" type="#_x0000_t202" style="position:absolute;left:0pt;margin-left:79.25pt;margin-top:13.3pt;height:9.4pt;width:9.85pt;z-index:251667456;mso-width-relative:page;mso-height-relative:page;" filled="f" stroked="f" coordsize="21600,21600" o:gfxdata="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Y182j9gAAAAJAQAADwAAAAAAAAABACAAAAAiAAAAZHJzL2Rvd25yZXYueG1sUEsBAhQAFAAAAAgA&#10;h07iQO8Dol+zAQAAfwMAAA4AAAAAAAAAAQAgAAAAJwEAAGRycy9lMm9Eb2MueG1sUEsFBgAAAAAG&#10;AAYAWQEAAEwFAAAAAA==&#10;">
                      <v:fill on="f" focussize="0,0"/>
                      <v:stroke on="f"/>
                      <v:imagedata o:title=""/>
                      <o:lock v:ext="edit" aspectratio="f"/>
                      <v:textbox inset="0mm,0mm,0mm,0mm">
                        <w:txbxContent>
                          <w:p>
                            <w:pPr>
                              <w:snapToGrid w:val="0"/>
                              <w:rPr>
                                <w:sz w:val="15"/>
                              </w:rPr>
                            </w:pPr>
                            <w:r>
                              <w:rPr>
                                <w:rFonts w:hint="eastAsia"/>
                                <w:sz w:val="15"/>
                              </w:rPr>
                              <w:t>务</w:t>
                            </w:r>
                          </w:p>
                        </w:txbxContent>
                      </v:textbox>
                    </v:shape>
                  </w:pict>
                </mc:Fallback>
              </mc:AlternateContent>
            </w:r>
            <w:r>
              <w:rPr>
                <w:rFonts w:cs="仿宋" w:asciiTheme="minorEastAsia" w:hAnsiTheme="minorEastAsia" w:eastAsiaTheme="minorEastAsia"/>
                <w:szCs w:val="21"/>
              </w:rPr>
              <mc:AlternateContent>
                <mc:Choice Requires="wps">
                  <w:drawing>
                    <wp:anchor distT="0" distB="0" distL="114300" distR="114300" simplePos="0" relativeHeight="251666432" behindDoc="0" locked="0" layoutInCell="1" allowOverlap="1">
                      <wp:simplePos x="0" y="0"/>
                      <wp:positionH relativeFrom="column">
                        <wp:posOffset>946785</wp:posOffset>
                      </wp:positionH>
                      <wp:positionV relativeFrom="paragraph">
                        <wp:posOffset>48260</wp:posOffset>
                      </wp:positionV>
                      <wp:extent cx="125095" cy="119380"/>
                      <wp:effectExtent l="0" t="0" r="0" b="0"/>
                      <wp:wrapNone/>
                      <wp:docPr id="11" name="__TH_B1121"/>
                      <wp:cNvGraphicFramePr/>
                      <a:graphic xmlns:a="http://schemas.openxmlformats.org/drawingml/2006/main">
                        <a:graphicData uri="http://schemas.microsoft.com/office/word/2010/wordprocessingShape">
                          <wps:wsp>
                            <wps:cNvSpPr txBox="1"/>
                            <wps:spPr>
                              <a:xfrm>
                                <a:off x="0" y="0"/>
                                <a:ext cx="125095" cy="119380"/>
                              </a:xfrm>
                              <a:prstGeom prst="rect">
                                <a:avLst/>
                              </a:prstGeom>
                              <a:noFill/>
                              <a:ln>
                                <a:noFill/>
                              </a:ln>
                              <a:effectLst/>
                            </wps:spPr>
                            <wps:txbx>
                              <w:txbxContent>
                                <w:p>
                                  <w:pPr>
                                    <w:snapToGrid w:val="0"/>
                                    <w:rPr>
                                      <w:sz w:val="15"/>
                                    </w:rPr>
                                  </w:pPr>
                                  <w:r>
                                    <w:rPr>
                                      <w:rFonts w:hint="eastAsia"/>
                                      <w:sz w:val="15"/>
                                    </w:rPr>
                                    <w:t>服</w:t>
                                  </w:r>
                                </w:p>
                              </w:txbxContent>
                            </wps:txbx>
                            <wps:bodyPr lIns="0" tIns="0" rIns="0" bIns="0" upright="1"/>
                          </wps:wsp>
                        </a:graphicData>
                      </a:graphic>
                    </wp:anchor>
                  </w:drawing>
                </mc:Choice>
                <mc:Fallback>
                  <w:pict>
                    <v:shape id="__TH_B1121" o:spid="_x0000_s1026" o:spt="202" type="#_x0000_t202" style="position:absolute;left:0pt;margin-left:74.55pt;margin-top:3.8pt;height:9.4pt;width:9.85pt;z-index:251666432;mso-width-relative:page;mso-height-relative:page;" filled="f" stroked="f" coordsize="21600,21600" o:gfxdata="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x&#10;2So/1wAAAAgBAAAPAAAAAAAAAAEAIAAAACIAAABkcnMvZG93bnJldi54bWxQSwECFAAUAAAACACH&#10;TuJAAJUiv7MBAAB/AwAADgAAAAAAAAABACAAAAAmAQAAZHJzL2Uyb0RvYy54bWxQSwUGAAAAAAYA&#10;BgBZAQAASwUAAAAA&#10;">
                      <v:fill on="f" focussize="0,0"/>
                      <v:stroke on="f"/>
                      <v:imagedata o:title=""/>
                      <o:lock v:ext="edit" aspectratio="f"/>
                      <v:textbox inset="0mm,0mm,0mm,0mm">
                        <w:txbxContent>
                          <w:p>
                            <w:pPr>
                              <w:snapToGrid w:val="0"/>
                              <w:rPr>
                                <w:sz w:val="15"/>
                              </w:rPr>
                            </w:pPr>
                            <w:r>
                              <w:rPr>
                                <w:rFonts w:hint="eastAsia"/>
                                <w:sz w:val="15"/>
                              </w:rPr>
                              <w:t>服</w:t>
                            </w:r>
                          </w:p>
                        </w:txbxContent>
                      </v:textbox>
                    </v:shape>
                  </w:pict>
                </mc:Fallback>
              </mc:AlternateContent>
            </w:r>
            <w:r>
              <w:rPr>
                <w:rFonts w:cs="仿宋" w:asciiTheme="minorEastAsia" w:hAnsiTheme="minorEastAsia" w:eastAsiaTheme="minorEastAsia"/>
                <w:szCs w:val="21"/>
              </w:rPr>
              <mc:AlternateContent>
                <mc:Choice Requires="wps">
                  <w:drawing>
                    <wp:anchor distT="0" distB="0" distL="114300" distR="114300" simplePos="0" relativeHeight="251665408" behindDoc="0" locked="0" layoutInCell="1" allowOverlap="1">
                      <wp:simplePos x="0" y="0"/>
                      <wp:positionH relativeFrom="column">
                        <wp:posOffset>-65405</wp:posOffset>
                      </wp:positionH>
                      <wp:positionV relativeFrom="paragraph">
                        <wp:posOffset>340995</wp:posOffset>
                      </wp:positionV>
                      <wp:extent cx="1346200" cy="340360"/>
                      <wp:effectExtent l="1270" t="4445" r="5080" b="17145"/>
                      <wp:wrapNone/>
                      <wp:docPr id="10" name="__TH_L20"/>
                      <wp:cNvGraphicFramePr/>
                      <a:graphic xmlns:a="http://schemas.openxmlformats.org/drawingml/2006/main">
                        <a:graphicData uri="http://schemas.microsoft.com/office/word/2010/wordprocessingShape">
                          <wps:wsp>
                            <wps:cNvCnPr/>
                            <wps:spPr>
                              <a:xfrm>
                                <a:off x="0" y="0"/>
                                <a:ext cx="1346200" cy="340360"/>
                              </a:xfrm>
                              <a:prstGeom prst="line">
                                <a:avLst/>
                              </a:prstGeom>
                              <a:ln w="6350" cap="flat" cmpd="sng">
                                <a:solidFill>
                                  <a:srgbClr val="000000"/>
                                </a:solidFill>
                                <a:prstDash val="solid"/>
                                <a:headEnd type="none" w="med" len="med"/>
                                <a:tailEnd type="none" w="med" len="med"/>
                              </a:ln>
                              <a:effectLst/>
                            </wps:spPr>
                            <wps:bodyPr/>
                          </wps:wsp>
                        </a:graphicData>
                      </a:graphic>
                    </wp:anchor>
                  </w:drawing>
                </mc:Choice>
                <mc:Fallback>
                  <w:pict>
                    <v:line id="__TH_L20" o:spid="_x0000_s1026" o:spt="20" style="position:absolute;left:0pt;margin-left:-5.15pt;margin-top:26.85pt;height:26.8pt;width:106pt;z-index:251665408;mso-width-relative:page;mso-height-relative:page;" filled="f" stroked="t" coordsize="21600,21600" o:gfxdata="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KbqAALWAAAACgEAAA8A&#10;AAAAAAAAAQAgAAAAIgAAAGRycy9kb3ducmV2LnhtbFBLAQIUABQAAAAIAIdO4kB7KHc/4AEAAOMD&#10;AAAOAAAAAAAAAAEAIAAAACUBAABkcnMvZTJvRG9jLnhtbFBLBQYAAAAABgAGAFkBAAB3BQAAAAA=&#10;">
                      <v:fill on="f" focussize="0,0"/>
                      <v:stroke weight="0.5pt" color="#000000" joinstyle="round"/>
                      <v:imagedata o:title=""/>
                      <o:lock v:ext="edit" aspectratio="f"/>
                    </v:line>
                  </w:pict>
                </mc:Fallback>
              </mc:AlternateContent>
            </w:r>
            <w:r>
              <w:rPr>
                <w:rFonts w:cs="仿宋" w:asciiTheme="minorEastAsia" w:hAnsiTheme="minorEastAsia" w:eastAsiaTheme="minorEastAsia"/>
                <w:szCs w:val="21"/>
              </w:rPr>
              <mc:AlternateContent>
                <mc:Choice Requires="wps">
                  <w:drawing>
                    <wp:anchor distT="0" distB="0" distL="114300" distR="114300" simplePos="0" relativeHeight="251664384" behindDoc="0" locked="0" layoutInCell="1" allowOverlap="1">
                      <wp:simplePos x="0" y="0"/>
                      <wp:positionH relativeFrom="column">
                        <wp:posOffset>607695</wp:posOffset>
                      </wp:positionH>
                      <wp:positionV relativeFrom="paragraph">
                        <wp:posOffset>0</wp:posOffset>
                      </wp:positionV>
                      <wp:extent cx="673100" cy="681355"/>
                      <wp:effectExtent l="3175" t="3175" r="9525" b="20320"/>
                      <wp:wrapNone/>
                      <wp:docPr id="9" name="__TH_L19"/>
                      <wp:cNvGraphicFramePr/>
                      <a:graphic xmlns:a="http://schemas.openxmlformats.org/drawingml/2006/main">
                        <a:graphicData uri="http://schemas.microsoft.com/office/word/2010/wordprocessingShape">
                          <wps:wsp>
                            <wps:cNvCnPr/>
                            <wps:spPr>
                              <a:xfrm>
                                <a:off x="0" y="0"/>
                                <a:ext cx="673100" cy="681355"/>
                              </a:xfrm>
                              <a:prstGeom prst="line">
                                <a:avLst/>
                              </a:prstGeom>
                              <a:ln w="6350" cap="flat" cmpd="sng">
                                <a:solidFill>
                                  <a:srgbClr val="000000"/>
                                </a:solidFill>
                                <a:prstDash val="solid"/>
                                <a:headEnd type="none" w="med" len="med"/>
                                <a:tailEnd type="none" w="med" len="med"/>
                              </a:ln>
                              <a:effectLst/>
                            </wps:spPr>
                            <wps:bodyPr/>
                          </wps:wsp>
                        </a:graphicData>
                      </a:graphic>
                    </wp:anchor>
                  </w:drawing>
                </mc:Choice>
                <mc:Fallback>
                  <w:pict>
                    <v:line id="__TH_L19" o:spid="_x0000_s1026" o:spt="20" style="position:absolute;left:0pt;margin-left:47.85pt;margin-top:0pt;height:53.65pt;width:53pt;z-index:251664384;mso-width-relative:page;mso-height-relative:page;" filled="f" stroked="t" coordsize="21600,21600" o:gfxdata="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3G1tN0wAAAAcBAAAPAAAAAAAA&#10;AAEAIAAAACIAAABkcnMvZG93bnJldi54bWxQSwECFAAUAAAACACHTuJAWqvbbt4BAADhAwAADgAA&#10;AAAAAAABACAAAAAiAQAAZHJzL2Uyb0RvYy54bWxQSwUGAAAAAAYABgBZAQAAcgUAAAAA&#10;">
                      <v:fill on="f" focussize="0,0"/>
                      <v:stroke weight="0.5pt" color="#000000" joinstyle="round"/>
                      <v:imagedata o:title=""/>
                      <o:lock v:ext="edit" aspectratio="f"/>
                    </v:line>
                  </w:pict>
                </mc:Fallback>
              </mc:AlternateContent>
            </w:r>
          </w:p>
        </w:tc>
        <w:tc>
          <w:tcPr>
            <w:tcW w:w="1661" w:type="dxa"/>
            <w:tcBorders>
              <w:right w:val="single" w:color="auto" w:sz="4" w:space="0"/>
            </w:tcBorders>
            <w:vAlign w:val="center"/>
          </w:tcPr>
          <w:p>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服务采购</w:t>
            </w:r>
          </w:p>
        </w:tc>
        <w:tc>
          <w:tcPr>
            <w:tcW w:w="1661" w:type="dxa"/>
            <w:tcBorders>
              <w:left w:val="single" w:color="auto" w:sz="4" w:space="0"/>
              <w:right w:val="single" w:color="auto" w:sz="4" w:space="0"/>
            </w:tcBorders>
            <w:vAlign w:val="center"/>
          </w:tcPr>
          <w:p>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货物采购</w:t>
            </w:r>
          </w:p>
        </w:tc>
        <w:tc>
          <w:tcPr>
            <w:tcW w:w="1662" w:type="dxa"/>
            <w:tcBorders>
              <w:left w:val="single" w:color="auto" w:sz="4" w:space="0"/>
            </w:tcBorders>
            <w:vAlign w:val="center"/>
          </w:tcPr>
          <w:p>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工程采购</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2131" w:type="dxa"/>
            <w:vAlign w:val="center"/>
          </w:tcPr>
          <w:p>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100</w:t>
            </w:r>
          </w:p>
        </w:tc>
        <w:tc>
          <w:tcPr>
            <w:tcW w:w="1661" w:type="dxa"/>
            <w:tcBorders>
              <w:right w:val="single" w:color="auto" w:sz="4" w:space="0"/>
            </w:tcBorders>
            <w:vAlign w:val="center"/>
          </w:tcPr>
          <w:p>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1.50%</w:t>
            </w:r>
          </w:p>
        </w:tc>
        <w:tc>
          <w:tcPr>
            <w:tcW w:w="1661" w:type="dxa"/>
            <w:tcBorders>
              <w:left w:val="single" w:color="auto" w:sz="4" w:space="0"/>
              <w:right w:val="single" w:color="auto" w:sz="4" w:space="0"/>
            </w:tcBorders>
            <w:vAlign w:val="center"/>
          </w:tcPr>
          <w:p>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1.50%</w:t>
            </w:r>
          </w:p>
        </w:tc>
        <w:tc>
          <w:tcPr>
            <w:tcW w:w="1662" w:type="dxa"/>
            <w:tcBorders>
              <w:left w:val="single" w:color="auto" w:sz="4" w:space="0"/>
            </w:tcBorders>
            <w:vAlign w:val="center"/>
          </w:tcPr>
          <w:p>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1.00%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2131" w:type="dxa"/>
            <w:vAlign w:val="center"/>
          </w:tcPr>
          <w:p>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100-500</w:t>
            </w:r>
          </w:p>
        </w:tc>
        <w:tc>
          <w:tcPr>
            <w:tcW w:w="1661" w:type="dxa"/>
            <w:tcBorders>
              <w:right w:val="single" w:color="auto" w:sz="4" w:space="0"/>
            </w:tcBorders>
            <w:vAlign w:val="center"/>
          </w:tcPr>
          <w:p>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0.80%</w:t>
            </w:r>
          </w:p>
        </w:tc>
        <w:tc>
          <w:tcPr>
            <w:tcW w:w="1661" w:type="dxa"/>
            <w:tcBorders>
              <w:left w:val="single" w:color="auto" w:sz="4" w:space="0"/>
              <w:right w:val="single" w:color="auto" w:sz="4" w:space="0"/>
            </w:tcBorders>
            <w:vAlign w:val="center"/>
          </w:tcPr>
          <w:p>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1.10%</w:t>
            </w:r>
          </w:p>
        </w:tc>
        <w:tc>
          <w:tcPr>
            <w:tcW w:w="1662" w:type="dxa"/>
            <w:tcBorders>
              <w:left w:val="single" w:color="auto" w:sz="4" w:space="0"/>
            </w:tcBorders>
            <w:vAlign w:val="center"/>
          </w:tcPr>
          <w:p>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0.70%</w:t>
            </w:r>
          </w:p>
        </w:tc>
      </w:tr>
    </w:tbl>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注：1、采购代理服务费按差额定率累进法计算。例如：某服务类项目中标金额为200万元，计算采购代理服务费额如下：</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100万元×1.5%=1.5万元</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（200-100）万元×0.8%=0.8万元</w:t>
      </w:r>
    </w:p>
    <w:p>
      <w:pPr>
        <w:rPr>
          <w:rFonts w:cs="仿宋" w:asciiTheme="minorEastAsia" w:hAnsiTheme="minorEastAsia" w:eastAsiaTheme="minorEastAsia"/>
          <w:szCs w:val="21"/>
        </w:rPr>
      </w:pPr>
      <w:r>
        <w:rPr>
          <w:rFonts w:hint="eastAsia" w:cs="仿宋" w:asciiTheme="minorEastAsia" w:hAnsiTheme="minorEastAsia" w:eastAsiaTheme="minorEastAsia"/>
          <w:szCs w:val="21"/>
        </w:rPr>
        <w:t xml:space="preserve">    合计收费=1.5+0.8＝2.3（万元）</w:t>
      </w:r>
    </w:p>
    <w:p>
      <w:pPr>
        <w:rPr>
          <w:rFonts w:cs="仿宋" w:asciiTheme="minorEastAsia" w:hAnsiTheme="minorEastAsia" w:eastAsiaTheme="minorEastAsia"/>
          <w:szCs w:val="21"/>
        </w:rPr>
      </w:pPr>
      <w:r>
        <w:rPr>
          <w:rFonts w:hint="eastAsia" w:cs="仿宋" w:asciiTheme="minorEastAsia" w:hAnsiTheme="minorEastAsia" w:eastAsiaTheme="minorEastAsia"/>
          <w:snapToGrid w:val="0"/>
          <w:kern w:val="0"/>
          <w:szCs w:val="21"/>
        </w:rPr>
        <w:br w:type="page"/>
      </w: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adjustRightInd w:val="0"/>
        <w:snapToGrid w:val="0"/>
        <w:spacing w:line="300" w:lineRule="auto"/>
        <w:jc w:val="center"/>
        <w:rPr>
          <w:rFonts w:cs="仿宋" w:asciiTheme="minorEastAsia" w:hAnsiTheme="minorEastAsia" w:eastAsiaTheme="minorEastAsia"/>
          <w:snapToGrid w:val="0"/>
          <w:kern w:val="0"/>
          <w:sz w:val="56"/>
          <w:szCs w:val="96"/>
        </w:rPr>
      </w:pPr>
      <w:r>
        <w:rPr>
          <w:rFonts w:hint="eastAsia" w:cs="仿宋" w:asciiTheme="minorEastAsia" w:hAnsiTheme="minorEastAsia" w:eastAsiaTheme="minorEastAsia"/>
          <w:snapToGrid w:val="0"/>
          <w:kern w:val="0"/>
          <w:sz w:val="56"/>
          <w:szCs w:val="96"/>
        </w:rPr>
        <w:t>第六部分</w:t>
      </w:r>
    </w:p>
    <w:p>
      <w:pPr>
        <w:jc w:val="center"/>
        <w:rPr>
          <w:rFonts w:cs="仿宋" w:asciiTheme="minorEastAsia" w:hAnsiTheme="minorEastAsia" w:eastAsiaTheme="minorEastAsia"/>
          <w:snapToGrid w:val="0"/>
          <w:kern w:val="0"/>
          <w:sz w:val="56"/>
          <w:szCs w:val="96"/>
        </w:rPr>
      </w:pPr>
      <w:r>
        <w:rPr>
          <w:rFonts w:hint="eastAsia" w:cs="仿宋" w:asciiTheme="minorEastAsia" w:hAnsiTheme="minorEastAsia" w:eastAsiaTheme="minorEastAsia"/>
          <w:snapToGrid w:val="0"/>
          <w:kern w:val="0"/>
          <w:sz w:val="56"/>
          <w:szCs w:val="96"/>
        </w:rPr>
        <w:t>附件</w:t>
      </w:r>
    </w:p>
    <w:p>
      <w:pPr>
        <w:widowControl/>
        <w:jc w:val="left"/>
        <w:rPr>
          <w:rFonts w:cs="仿宋" w:asciiTheme="minorEastAsia" w:hAnsiTheme="minorEastAsia" w:eastAsiaTheme="minorEastAsia"/>
        </w:rPr>
      </w:pPr>
      <w:r>
        <w:rPr>
          <w:rFonts w:hint="eastAsia" w:cs="仿宋" w:asciiTheme="minorEastAsia" w:hAnsiTheme="minorEastAsia" w:eastAsiaTheme="minorEastAsia"/>
        </w:rPr>
        <w:br w:type="page"/>
      </w:r>
    </w:p>
    <w:p>
      <w:pPr>
        <w:spacing w:line="360" w:lineRule="auto"/>
        <w:rPr>
          <w:rFonts w:cs="仿宋" w:asciiTheme="minorEastAsia" w:hAnsiTheme="minorEastAsia" w:eastAsiaTheme="minorEastAsia"/>
        </w:rPr>
      </w:pPr>
      <w:r>
        <w:rPr>
          <w:rFonts w:hint="eastAsia" w:cs="仿宋" w:asciiTheme="minorEastAsia" w:hAnsiTheme="minorEastAsia" w:eastAsiaTheme="minorEastAsia"/>
        </w:rPr>
        <w:t>附件1</w:t>
      </w:r>
    </w:p>
    <w:p>
      <w:pPr>
        <w:jc w:val="center"/>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履约保证金</w:t>
      </w:r>
    </w:p>
    <w:p>
      <w:pPr>
        <w:adjustRightInd w:val="0"/>
        <w:snapToGrid w:val="0"/>
        <w:spacing w:line="300" w:lineRule="auto"/>
        <w:rPr>
          <w:rFonts w:cs="仿宋" w:asciiTheme="minorEastAsia" w:hAnsiTheme="minorEastAsia" w:eastAsiaTheme="minorEastAsia"/>
          <w:snapToGrid w:val="0"/>
          <w:kern w:val="0"/>
        </w:rPr>
      </w:pPr>
    </w:p>
    <w:p>
      <w:pPr>
        <w:adjustRightInd w:val="0"/>
        <w:snapToGrid w:val="0"/>
        <w:spacing w:line="300" w:lineRule="auto"/>
        <w:rPr>
          <w:rFonts w:cs="仿宋" w:asciiTheme="minorEastAsia" w:hAnsiTheme="minorEastAsia" w:eastAsiaTheme="minorEastAsia"/>
          <w:snapToGrid w:val="0"/>
          <w:kern w:val="0"/>
        </w:rPr>
      </w:pPr>
    </w:p>
    <w:p>
      <w:pPr>
        <w:adjustRightInd w:val="0"/>
        <w:snapToGrid w:val="0"/>
        <w:spacing w:line="300" w:lineRule="auto"/>
        <w:jc w:val="center"/>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银行保函（格式）</w:t>
      </w:r>
    </w:p>
    <w:p>
      <w:pPr>
        <w:rPr>
          <w:rFonts w:cs="仿宋" w:asciiTheme="minorEastAsia" w:hAnsiTheme="minorEastAsia" w:eastAsiaTheme="minorEastAsia"/>
        </w:rPr>
      </w:pPr>
    </w:p>
    <w:p>
      <w:pPr>
        <w:pStyle w:val="44"/>
        <w:adjustRightInd w:val="0"/>
        <w:snapToGrid w:val="0"/>
        <w:spacing w:line="360" w:lineRule="auto"/>
        <w:rPr>
          <w:rFonts w:cs="仿宋" w:asciiTheme="minorEastAsia" w:hAnsiTheme="minorEastAsia" w:eastAsiaTheme="minorEastAsia"/>
          <w:sz w:val="22"/>
        </w:rPr>
      </w:pPr>
      <w:r>
        <w:rPr>
          <w:rFonts w:hint="eastAsia" w:cs="仿宋" w:asciiTheme="minorEastAsia" w:hAnsiTheme="minorEastAsia" w:eastAsiaTheme="minorEastAsia"/>
        </w:rPr>
        <w:t xml:space="preserve">  </w:t>
      </w:r>
      <w:r>
        <w:rPr>
          <w:rFonts w:hint="eastAsia" w:cs="仿宋" w:asciiTheme="minorEastAsia" w:hAnsiTheme="minorEastAsia" w:eastAsiaTheme="minorEastAsia"/>
          <w:sz w:val="22"/>
          <w:u w:val="single"/>
        </w:rPr>
        <w:t>(买方名称)</w:t>
      </w:r>
      <w:r>
        <w:rPr>
          <w:rFonts w:hint="eastAsia" w:cs="仿宋" w:asciiTheme="minorEastAsia" w:hAnsiTheme="minorEastAsia" w:eastAsiaTheme="minorEastAsia"/>
          <w:sz w:val="22"/>
        </w:rPr>
        <w:t>：</w:t>
      </w:r>
    </w:p>
    <w:p>
      <w:pPr>
        <w:pStyle w:val="44"/>
        <w:adjustRightInd w:val="0"/>
        <w:snapToGrid w:val="0"/>
        <w:spacing w:line="360" w:lineRule="auto"/>
        <w:rPr>
          <w:rFonts w:cs="仿宋" w:asciiTheme="minorEastAsia" w:hAnsiTheme="minorEastAsia" w:eastAsiaTheme="minorEastAsia"/>
          <w:sz w:val="22"/>
        </w:rPr>
      </w:pPr>
      <w:r>
        <w:rPr>
          <w:rFonts w:hint="eastAsia" w:cs="仿宋" w:asciiTheme="minorEastAsia" w:hAnsiTheme="minorEastAsia" w:eastAsiaTheme="minorEastAsia"/>
          <w:sz w:val="22"/>
        </w:rPr>
        <w:t xml:space="preserve">    本保函是为</w:t>
      </w:r>
      <w:r>
        <w:rPr>
          <w:rFonts w:hint="eastAsia" w:cs="仿宋" w:asciiTheme="minorEastAsia" w:hAnsiTheme="minorEastAsia" w:eastAsiaTheme="minorEastAsia"/>
          <w:sz w:val="22"/>
          <w:u w:val="single"/>
        </w:rPr>
        <w:t>(卖方名称)</w:t>
      </w:r>
      <w:r>
        <w:rPr>
          <w:rFonts w:hint="eastAsia" w:cs="仿宋" w:asciiTheme="minorEastAsia" w:hAnsiTheme="minorEastAsia" w:eastAsiaTheme="minorEastAsia"/>
          <w:sz w:val="22"/>
        </w:rPr>
        <w:t>(以下简称卖方)于</w:t>
      </w:r>
      <w:r>
        <w:rPr>
          <w:rFonts w:hint="eastAsia" w:cs="仿宋" w:asciiTheme="minorEastAsia" w:hAnsiTheme="minorEastAsia" w:eastAsiaTheme="minorEastAsia"/>
          <w:sz w:val="22"/>
          <w:u w:val="single"/>
        </w:rPr>
        <w:t xml:space="preserve">     </w:t>
      </w:r>
      <w:r>
        <w:rPr>
          <w:rFonts w:hint="eastAsia" w:cs="仿宋" w:asciiTheme="minorEastAsia" w:hAnsiTheme="minorEastAsia" w:eastAsiaTheme="minorEastAsia"/>
          <w:sz w:val="22"/>
        </w:rPr>
        <w:t>年</w:t>
      </w:r>
      <w:r>
        <w:rPr>
          <w:rFonts w:hint="eastAsia" w:cs="仿宋" w:asciiTheme="minorEastAsia" w:hAnsiTheme="minorEastAsia" w:eastAsiaTheme="minorEastAsia"/>
          <w:sz w:val="22"/>
          <w:u w:val="single"/>
        </w:rPr>
        <w:t xml:space="preserve">    </w:t>
      </w:r>
      <w:r>
        <w:rPr>
          <w:rFonts w:hint="eastAsia" w:cs="仿宋" w:asciiTheme="minorEastAsia" w:hAnsiTheme="minorEastAsia" w:eastAsiaTheme="minorEastAsia"/>
          <w:sz w:val="22"/>
        </w:rPr>
        <w:t>月</w:t>
      </w:r>
      <w:r>
        <w:rPr>
          <w:rFonts w:hint="eastAsia" w:cs="仿宋" w:asciiTheme="minorEastAsia" w:hAnsiTheme="minorEastAsia" w:eastAsiaTheme="minorEastAsia"/>
          <w:sz w:val="22"/>
          <w:u w:val="single"/>
        </w:rPr>
        <w:t xml:space="preserve">    </w:t>
      </w:r>
      <w:r>
        <w:rPr>
          <w:rFonts w:hint="eastAsia" w:cs="仿宋" w:asciiTheme="minorEastAsia" w:hAnsiTheme="minorEastAsia" w:eastAsiaTheme="minorEastAsia"/>
          <w:sz w:val="22"/>
        </w:rPr>
        <w:t>日与</w:t>
      </w:r>
      <w:r>
        <w:rPr>
          <w:rFonts w:hint="eastAsia" w:cs="仿宋" w:asciiTheme="minorEastAsia" w:hAnsiTheme="minorEastAsia" w:eastAsiaTheme="minorEastAsia"/>
          <w:sz w:val="22"/>
          <w:u w:val="single"/>
        </w:rPr>
        <w:t>(买方名称)</w:t>
      </w:r>
      <w:r>
        <w:rPr>
          <w:rFonts w:hint="eastAsia" w:cs="仿宋" w:asciiTheme="minorEastAsia" w:hAnsiTheme="minorEastAsia" w:eastAsiaTheme="minorEastAsia"/>
          <w:sz w:val="22"/>
        </w:rPr>
        <w:t>(以下简称买方)签订的第</w:t>
      </w:r>
      <w:r>
        <w:rPr>
          <w:rFonts w:hint="eastAsia" w:cs="仿宋" w:asciiTheme="minorEastAsia" w:hAnsiTheme="minorEastAsia" w:eastAsiaTheme="minorEastAsia"/>
          <w:sz w:val="22"/>
          <w:u w:val="single"/>
        </w:rPr>
        <w:t>(合同编号)</w:t>
      </w:r>
      <w:r>
        <w:rPr>
          <w:rFonts w:hint="eastAsia" w:cs="仿宋" w:asciiTheme="minorEastAsia" w:hAnsiTheme="minorEastAsia" w:eastAsiaTheme="minorEastAsia"/>
          <w:sz w:val="22"/>
        </w:rPr>
        <w:t>号供货合同而提供的履约担保。</w:t>
      </w:r>
    </w:p>
    <w:p>
      <w:pPr>
        <w:pStyle w:val="44"/>
        <w:adjustRightInd w:val="0"/>
        <w:snapToGrid w:val="0"/>
        <w:spacing w:line="360" w:lineRule="auto"/>
        <w:rPr>
          <w:rFonts w:cs="仿宋" w:asciiTheme="minorEastAsia" w:hAnsiTheme="minorEastAsia" w:eastAsiaTheme="minorEastAsia"/>
          <w:sz w:val="22"/>
        </w:rPr>
      </w:pPr>
      <w:r>
        <w:rPr>
          <w:rFonts w:hint="eastAsia" w:cs="仿宋" w:asciiTheme="minorEastAsia" w:hAnsiTheme="minorEastAsia" w:eastAsiaTheme="minorEastAsia"/>
          <w:sz w:val="22"/>
        </w:rPr>
        <w:t xml:space="preserve">    </w:t>
      </w:r>
      <w:r>
        <w:rPr>
          <w:rFonts w:hint="eastAsia" w:cs="仿宋" w:asciiTheme="minorEastAsia" w:hAnsiTheme="minorEastAsia" w:eastAsiaTheme="minorEastAsia"/>
          <w:sz w:val="22"/>
          <w:u w:val="single"/>
        </w:rPr>
        <w:t>(银行名称)</w:t>
      </w:r>
      <w:r>
        <w:rPr>
          <w:rFonts w:hint="eastAsia" w:cs="仿宋" w:asciiTheme="minorEastAsia" w:hAnsiTheme="minorEastAsia" w:eastAsiaTheme="minorEastAsia"/>
          <w:sz w:val="22"/>
        </w:rPr>
        <w:t>以及他的继承人和受让人无条件地、不可撤销地约束本行，一旦收到</w:t>
      </w:r>
      <w:r>
        <w:rPr>
          <w:rFonts w:hint="eastAsia" w:cs="仿宋" w:asciiTheme="minorEastAsia" w:hAnsiTheme="minorEastAsia" w:eastAsiaTheme="minorEastAsia"/>
          <w:sz w:val="22"/>
          <w:u w:val="single"/>
        </w:rPr>
        <w:t>(买方名称)</w:t>
      </w:r>
      <w:r>
        <w:rPr>
          <w:rFonts w:hint="eastAsia" w:cs="仿宋" w:asciiTheme="minorEastAsia" w:hAnsiTheme="minorEastAsia" w:eastAsiaTheme="minorEastAsia"/>
          <w:sz w:val="22"/>
        </w:rPr>
        <w:t>书面提出卖方不能履行合同约定，发生下列违约条件之一的通知时，我行保证付给</w:t>
      </w:r>
      <w:r>
        <w:rPr>
          <w:rFonts w:hint="eastAsia" w:cs="仿宋" w:asciiTheme="minorEastAsia" w:hAnsiTheme="minorEastAsia" w:eastAsiaTheme="minorEastAsia"/>
          <w:sz w:val="22"/>
          <w:u w:val="single"/>
        </w:rPr>
        <w:t>(买方名称)</w:t>
      </w:r>
      <w:r>
        <w:rPr>
          <w:rFonts w:hint="eastAsia" w:cs="仿宋" w:asciiTheme="minorEastAsia" w:hAnsiTheme="minorEastAsia" w:eastAsiaTheme="minorEastAsia"/>
          <w:sz w:val="22"/>
        </w:rPr>
        <w:t>金额为</w:t>
      </w:r>
      <w:r>
        <w:rPr>
          <w:rFonts w:hint="eastAsia" w:cs="仿宋" w:asciiTheme="minorEastAsia" w:hAnsiTheme="minorEastAsia" w:eastAsiaTheme="minorEastAsia"/>
          <w:sz w:val="22"/>
          <w:u w:val="single"/>
        </w:rPr>
        <w:t xml:space="preserve">          </w:t>
      </w:r>
      <w:r>
        <w:rPr>
          <w:rFonts w:hint="eastAsia" w:cs="仿宋" w:asciiTheme="minorEastAsia" w:hAnsiTheme="minorEastAsia" w:eastAsiaTheme="minorEastAsia"/>
          <w:sz w:val="22"/>
        </w:rPr>
        <w:t>万元人民币的保证金。</w:t>
      </w:r>
    </w:p>
    <w:p>
      <w:pPr>
        <w:pStyle w:val="44"/>
        <w:adjustRightInd w:val="0"/>
        <w:snapToGrid w:val="0"/>
        <w:spacing w:line="360" w:lineRule="auto"/>
        <w:rPr>
          <w:rFonts w:cs="仿宋" w:asciiTheme="minorEastAsia" w:hAnsiTheme="minorEastAsia" w:eastAsiaTheme="minorEastAsia"/>
          <w:sz w:val="22"/>
        </w:rPr>
      </w:pPr>
      <w:r>
        <w:rPr>
          <w:rFonts w:hint="eastAsia" w:cs="仿宋" w:asciiTheme="minorEastAsia" w:hAnsiTheme="minorEastAsia" w:eastAsiaTheme="minorEastAsia"/>
          <w:sz w:val="22"/>
        </w:rPr>
        <w:t xml:space="preserve">    </w:t>
      </w:r>
    </w:p>
    <w:p>
      <w:pPr>
        <w:pStyle w:val="44"/>
        <w:adjustRightInd w:val="0"/>
        <w:snapToGrid w:val="0"/>
        <w:spacing w:line="360" w:lineRule="auto"/>
        <w:rPr>
          <w:rFonts w:cs="仿宋" w:asciiTheme="minorEastAsia" w:hAnsiTheme="minorEastAsia" w:eastAsiaTheme="minorEastAsia"/>
          <w:sz w:val="22"/>
        </w:rPr>
      </w:pPr>
      <w:r>
        <w:rPr>
          <w:rFonts w:hint="eastAsia" w:cs="仿宋" w:asciiTheme="minorEastAsia" w:hAnsiTheme="minorEastAsia" w:eastAsiaTheme="minorEastAsia"/>
          <w:sz w:val="22"/>
        </w:rPr>
        <w:t xml:space="preserve">    (一)违约条件：</w:t>
      </w:r>
    </w:p>
    <w:p>
      <w:pPr>
        <w:pStyle w:val="44"/>
        <w:adjustRightInd w:val="0"/>
        <w:snapToGrid w:val="0"/>
        <w:spacing w:line="360" w:lineRule="auto"/>
        <w:rPr>
          <w:rFonts w:cs="仿宋" w:asciiTheme="minorEastAsia" w:hAnsiTheme="minorEastAsia" w:eastAsiaTheme="minorEastAsia"/>
          <w:sz w:val="22"/>
        </w:rPr>
      </w:pPr>
      <w:r>
        <w:rPr>
          <w:rFonts w:hint="eastAsia" w:cs="仿宋" w:asciiTheme="minorEastAsia" w:hAnsiTheme="minorEastAsia" w:eastAsiaTheme="minorEastAsia"/>
          <w:sz w:val="22"/>
        </w:rPr>
        <w:t xml:space="preserve">    ·在合同有效期内，卖方拒绝履行合同；</w:t>
      </w:r>
    </w:p>
    <w:p>
      <w:pPr>
        <w:pStyle w:val="44"/>
        <w:adjustRightInd w:val="0"/>
        <w:snapToGrid w:val="0"/>
        <w:spacing w:line="360" w:lineRule="auto"/>
        <w:rPr>
          <w:rFonts w:cs="仿宋" w:asciiTheme="minorEastAsia" w:hAnsiTheme="minorEastAsia" w:eastAsiaTheme="minorEastAsia"/>
          <w:sz w:val="22"/>
        </w:rPr>
      </w:pPr>
      <w:r>
        <w:rPr>
          <w:rFonts w:hint="eastAsia" w:cs="仿宋" w:asciiTheme="minorEastAsia" w:hAnsiTheme="minorEastAsia" w:eastAsiaTheme="minorEastAsia"/>
          <w:sz w:val="22"/>
        </w:rPr>
        <w:t xml:space="preserve">    ·在合同有效期内，卖方未经买方同意，变更供货合同的主要条款；</w:t>
      </w:r>
    </w:p>
    <w:p>
      <w:pPr>
        <w:pStyle w:val="44"/>
        <w:adjustRightInd w:val="0"/>
        <w:snapToGrid w:val="0"/>
        <w:spacing w:line="360" w:lineRule="auto"/>
        <w:rPr>
          <w:rFonts w:cs="仿宋" w:asciiTheme="minorEastAsia" w:hAnsiTheme="minorEastAsia" w:eastAsiaTheme="minorEastAsia"/>
          <w:sz w:val="22"/>
        </w:rPr>
      </w:pPr>
      <w:r>
        <w:rPr>
          <w:rFonts w:hint="eastAsia" w:cs="仿宋" w:asciiTheme="minorEastAsia" w:hAnsiTheme="minorEastAsia" w:eastAsiaTheme="minorEastAsia"/>
          <w:sz w:val="22"/>
        </w:rPr>
        <w:t xml:space="preserve">    ·产品质量在质保期内，经省级质量检验、监督机关鉴定产品质量发生问题；</w:t>
      </w:r>
    </w:p>
    <w:p>
      <w:pPr>
        <w:pStyle w:val="44"/>
        <w:adjustRightInd w:val="0"/>
        <w:snapToGrid w:val="0"/>
        <w:spacing w:line="360" w:lineRule="auto"/>
        <w:rPr>
          <w:rFonts w:cs="仿宋" w:asciiTheme="minorEastAsia" w:hAnsiTheme="minorEastAsia" w:eastAsiaTheme="minorEastAsia"/>
          <w:sz w:val="22"/>
        </w:rPr>
      </w:pPr>
      <w:r>
        <w:rPr>
          <w:rFonts w:hint="eastAsia" w:cs="仿宋" w:asciiTheme="minorEastAsia" w:hAnsiTheme="minorEastAsia" w:eastAsiaTheme="minorEastAsia"/>
          <w:sz w:val="22"/>
        </w:rPr>
        <w:t xml:space="preserve">    (二)在合同执行期间，供需双方发生了纠纷，履约保函有效期限可延长到纠纷得到最终解决完毕后。</w:t>
      </w:r>
    </w:p>
    <w:p>
      <w:pPr>
        <w:pStyle w:val="44"/>
        <w:adjustRightInd w:val="0"/>
        <w:snapToGrid w:val="0"/>
        <w:spacing w:line="360" w:lineRule="auto"/>
        <w:rPr>
          <w:rFonts w:cs="仿宋" w:asciiTheme="minorEastAsia" w:hAnsiTheme="minorEastAsia" w:eastAsiaTheme="minorEastAsia"/>
          <w:sz w:val="22"/>
        </w:rPr>
      </w:pPr>
      <w:r>
        <w:rPr>
          <w:rFonts w:hint="eastAsia" w:cs="仿宋" w:asciiTheme="minorEastAsia" w:hAnsiTheme="minorEastAsia" w:eastAsiaTheme="minorEastAsia"/>
          <w:sz w:val="22"/>
        </w:rPr>
        <w:t xml:space="preserve">    (三)本保函自开立之日起有效，在接到买方的《验收合格的通知》后7日内予以退还。</w:t>
      </w:r>
    </w:p>
    <w:p>
      <w:pPr>
        <w:pStyle w:val="44"/>
        <w:adjustRightInd w:val="0"/>
        <w:snapToGrid w:val="0"/>
        <w:spacing w:line="360" w:lineRule="auto"/>
        <w:rPr>
          <w:rFonts w:cs="仿宋" w:asciiTheme="minorEastAsia" w:hAnsiTheme="minorEastAsia" w:eastAsiaTheme="minorEastAsia"/>
          <w:sz w:val="22"/>
        </w:rPr>
      </w:pPr>
      <w:r>
        <w:rPr>
          <w:rFonts w:hint="eastAsia" w:cs="仿宋" w:asciiTheme="minorEastAsia" w:hAnsiTheme="minorEastAsia" w:eastAsiaTheme="minorEastAsia"/>
          <w:sz w:val="22"/>
        </w:rPr>
        <w:t xml:space="preserve">    </w:t>
      </w:r>
    </w:p>
    <w:p>
      <w:pPr>
        <w:pStyle w:val="44"/>
        <w:adjustRightInd w:val="0"/>
        <w:snapToGrid w:val="0"/>
        <w:spacing w:line="360" w:lineRule="auto"/>
        <w:rPr>
          <w:rFonts w:cs="仿宋" w:asciiTheme="minorEastAsia" w:hAnsiTheme="minorEastAsia" w:eastAsiaTheme="minorEastAsia"/>
          <w:sz w:val="22"/>
        </w:rPr>
      </w:pPr>
      <w:r>
        <w:rPr>
          <w:rFonts w:hint="eastAsia" w:cs="仿宋" w:asciiTheme="minorEastAsia" w:hAnsiTheme="minorEastAsia" w:eastAsiaTheme="minorEastAsia"/>
          <w:sz w:val="22"/>
        </w:rPr>
        <w:t xml:space="preserve">                                      (卖方银行名称)：</w:t>
      </w:r>
      <w:r>
        <w:rPr>
          <w:rFonts w:hint="eastAsia" w:cs="仿宋" w:asciiTheme="minorEastAsia" w:hAnsiTheme="minorEastAsia" w:eastAsiaTheme="minorEastAsia"/>
          <w:sz w:val="22"/>
          <w:u w:val="single"/>
        </w:rPr>
        <w:t xml:space="preserve">            </w:t>
      </w:r>
      <w:r>
        <w:rPr>
          <w:rFonts w:hint="eastAsia" w:cs="仿宋" w:asciiTheme="minorEastAsia" w:hAnsiTheme="minorEastAsia" w:eastAsiaTheme="minorEastAsia"/>
          <w:sz w:val="22"/>
        </w:rPr>
        <w:t>(公章)</w:t>
      </w:r>
    </w:p>
    <w:p>
      <w:pPr>
        <w:pStyle w:val="44"/>
        <w:adjustRightInd w:val="0"/>
        <w:snapToGrid w:val="0"/>
        <w:spacing w:line="360" w:lineRule="auto"/>
        <w:rPr>
          <w:rFonts w:cs="仿宋" w:asciiTheme="minorEastAsia" w:hAnsiTheme="minorEastAsia" w:eastAsiaTheme="minorEastAsia"/>
          <w:sz w:val="22"/>
        </w:rPr>
      </w:pPr>
      <w:r>
        <w:rPr>
          <w:rFonts w:hint="eastAsia" w:cs="仿宋" w:asciiTheme="minorEastAsia" w:hAnsiTheme="minorEastAsia" w:eastAsiaTheme="minorEastAsia"/>
          <w:sz w:val="22"/>
        </w:rPr>
        <w:t xml:space="preserve">    </w:t>
      </w:r>
    </w:p>
    <w:p>
      <w:pPr>
        <w:pStyle w:val="44"/>
        <w:adjustRightInd w:val="0"/>
        <w:snapToGrid w:val="0"/>
        <w:spacing w:line="360" w:lineRule="auto"/>
        <w:ind w:firstLine="420"/>
        <w:rPr>
          <w:rFonts w:cs="仿宋" w:asciiTheme="minorEastAsia" w:hAnsiTheme="minorEastAsia" w:eastAsiaTheme="minorEastAsia"/>
        </w:rPr>
      </w:pPr>
      <w:r>
        <w:rPr>
          <w:rFonts w:hint="eastAsia" w:cs="仿宋" w:asciiTheme="minorEastAsia" w:hAnsiTheme="minorEastAsia" w:eastAsiaTheme="minorEastAsia"/>
          <w:sz w:val="22"/>
        </w:rPr>
        <w:t xml:space="preserve">                                   签 发 人 签 字：</w:t>
      </w:r>
      <w:r>
        <w:rPr>
          <w:rFonts w:hint="eastAsia" w:cs="仿宋" w:asciiTheme="minorEastAsia" w:hAnsiTheme="minorEastAsia" w:eastAsiaTheme="minorEastAsia"/>
          <w:sz w:val="22"/>
          <w:u w:val="single"/>
        </w:rPr>
        <w:t xml:space="preserve">            </w:t>
      </w:r>
    </w:p>
    <w:p>
      <w:pPr>
        <w:pStyle w:val="45"/>
        <w:adjustRightInd w:val="0"/>
        <w:spacing w:line="360" w:lineRule="auto"/>
        <w:rPr>
          <w:rFonts w:cs="仿宋" w:asciiTheme="minorEastAsia" w:hAnsiTheme="minorEastAsia" w:eastAsiaTheme="minorEastAsia"/>
        </w:rPr>
      </w:pPr>
      <w:r>
        <w:rPr>
          <w:rFonts w:hint="eastAsia" w:cs="宋体" w:asciiTheme="minorEastAsia" w:hAnsiTheme="minorEastAsia" w:eastAsiaTheme="minorEastAsia"/>
        </w:rPr>
        <w:t> </w:t>
      </w:r>
    </w:p>
    <w:p>
      <w:pPr>
        <w:rPr>
          <w:rFonts w:cs="仿宋" w:asciiTheme="minorEastAsia" w:hAnsiTheme="minorEastAsia" w:eastAsiaTheme="minorEastAsia"/>
        </w:rPr>
      </w:pPr>
    </w:p>
    <w:p>
      <w:pPr>
        <w:pStyle w:val="10"/>
        <w:rPr>
          <w:rFonts w:cs="仿宋" w:asciiTheme="minorEastAsia" w:hAnsiTheme="minorEastAsia" w:eastAsiaTheme="minorEastAsia"/>
        </w:rPr>
      </w:pPr>
    </w:p>
    <w:p>
      <w:pPr>
        <w:pStyle w:val="14"/>
        <w:rPr>
          <w:rFonts w:cs="仿宋" w:asciiTheme="minorEastAsia" w:hAnsiTheme="minorEastAsia" w:eastAsiaTheme="minorEastAsia"/>
        </w:rPr>
      </w:pPr>
    </w:p>
    <w:p>
      <w:pPr>
        <w:rPr>
          <w:rFonts w:cs="仿宋" w:asciiTheme="minorEastAsia" w:hAnsiTheme="minorEastAsia" w:eastAsiaTheme="minorEastAsia"/>
        </w:rPr>
      </w:pPr>
    </w:p>
    <w:p>
      <w:pPr>
        <w:pStyle w:val="10"/>
        <w:rPr>
          <w:rFonts w:cs="仿宋" w:asciiTheme="minorEastAsia" w:hAnsiTheme="minorEastAsia" w:eastAsiaTheme="minorEastAsia"/>
        </w:rPr>
      </w:pPr>
    </w:p>
    <w:p>
      <w:pPr>
        <w:pStyle w:val="14"/>
        <w:rPr>
          <w:rFonts w:cs="仿宋" w:asciiTheme="minorEastAsia" w:hAnsiTheme="minorEastAsia" w:eastAsiaTheme="minorEastAsia"/>
        </w:rPr>
      </w:pPr>
    </w:p>
    <w:p>
      <w:pPr>
        <w:rPr>
          <w:rFonts w:cs="仿宋" w:asciiTheme="minorEastAsia" w:hAnsiTheme="minorEastAsia" w:eastAsiaTheme="minorEastAsia"/>
        </w:rPr>
      </w:pPr>
    </w:p>
    <w:p>
      <w:pPr>
        <w:pStyle w:val="2"/>
        <w:rPr>
          <w:rFonts w:cs="仿宋" w:asciiTheme="minorEastAsia" w:hAnsiTheme="minorEastAsia" w:eastAsiaTheme="minorEastAsia"/>
        </w:rPr>
      </w:pPr>
    </w:p>
    <w:p>
      <w:pPr>
        <w:spacing w:line="360" w:lineRule="auto"/>
        <w:rPr>
          <w:rFonts w:cs="仿宋" w:asciiTheme="minorEastAsia" w:hAnsiTheme="minorEastAsia" w:eastAsiaTheme="minorEastAsia"/>
        </w:rPr>
      </w:pPr>
      <w:r>
        <w:rPr>
          <w:rFonts w:hint="eastAsia" w:cs="仿宋" w:asciiTheme="minorEastAsia" w:hAnsiTheme="minorEastAsia" w:eastAsiaTheme="minorEastAsia"/>
        </w:rPr>
        <w:t>附件2</w:t>
      </w:r>
    </w:p>
    <w:p>
      <w:pPr>
        <w:spacing w:line="360" w:lineRule="auto"/>
        <w:jc w:val="center"/>
        <w:outlineLvl w:val="0"/>
        <w:rPr>
          <w:rFonts w:ascii="宋体" w:hAnsi="宋体" w:cs="宋体"/>
          <w:sz w:val="32"/>
          <w:szCs w:val="32"/>
        </w:rPr>
      </w:pPr>
      <w:r>
        <w:rPr>
          <w:rFonts w:hint="eastAsia" w:ascii="宋体" w:hAnsi="宋体" w:cs="宋体"/>
          <w:spacing w:val="10"/>
          <w:sz w:val="32"/>
          <w:szCs w:val="32"/>
        </w:rPr>
        <w:t>保险条款</w:t>
      </w:r>
    </w:p>
    <w:p>
      <w:pPr>
        <w:widowControl/>
        <w:tabs>
          <w:tab w:val="left" w:pos="0"/>
        </w:tabs>
        <w:adjustRightInd w:val="0"/>
        <w:spacing w:line="360" w:lineRule="auto"/>
        <w:jc w:val="center"/>
        <w:textAlignment w:val="baseline"/>
        <w:outlineLvl w:val="1"/>
        <w:rPr>
          <w:rFonts w:ascii="宋体" w:hAnsi="宋体" w:cs="宋体"/>
          <w:kern w:val="0"/>
          <w:szCs w:val="21"/>
        </w:rPr>
      </w:pPr>
      <w:bookmarkStart w:id="9" w:name="_Toc449012767"/>
      <w:bookmarkStart w:id="10" w:name="_Toc448944188"/>
      <w:r>
        <w:rPr>
          <w:rFonts w:hint="eastAsia" w:ascii="宋体" w:hAnsi="宋体" w:cs="宋体"/>
          <w:szCs w:val="21"/>
        </w:rPr>
        <w:t>（一）团体意外伤害保险条款</w:t>
      </w:r>
    </w:p>
    <w:p>
      <w:pPr>
        <w:widowControl/>
        <w:adjustRightInd w:val="0"/>
        <w:spacing w:line="360" w:lineRule="auto"/>
        <w:jc w:val="center"/>
        <w:rPr>
          <w:rFonts w:ascii="宋体" w:hAnsi="宋体" w:cs="宋体"/>
          <w:b/>
          <w:bCs/>
          <w:szCs w:val="21"/>
        </w:rPr>
      </w:pPr>
      <w:r>
        <w:rPr>
          <w:rFonts w:hint="eastAsia" w:ascii="宋体" w:hAnsi="宋体" w:cs="宋体"/>
          <w:b/>
          <w:bCs/>
          <w:kern w:val="0"/>
          <w:szCs w:val="21"/>
        </w:rPr>
        <w:t>总则</w:t>
      </w:r>
    </w:p>
    <w:p>
      <w:pPr>
        <w:widowControl/>
        <w:adjustRightInd w:val="0"/>
        <w:snapToGrid w:val="0"/>
        <w:spacing w:line="360" w:lineRule="auto"/>
        <w:ind w:firstLine="422" w:firstLineChars="200"/>
        <w:rPr>
          <w:rFonts w:ascii="宋体" w:hAnsi="宋体" w:cs="宋体"/>
          <w:szCs w:val="21"/>
        </w:rPr>
      </w:pPr>
      <w:r>
        <w:rPr>
          <w:rFonts w:hint="eastAsia" w:ascii="宋体" w:hAnsi="宋体" w:cs="宋体"/>
          <w:b/>
          <w:bCs/>
          <w:kern w:val="0"/>
          <w:szCs w:val="21"/>
        </w:rPr>
        <w:t>第一条</w:t>
      </w:r>
      <w:r>
        <w:rPr>
          <w:rFonts w:hint="eastAsia" w:ascii="宋体" w:hAnsi="宋体" w:cs="宋体"/>
          <w:kern w:val="0"/>
          <w:szCs w:val="21"/>
        </w:rPr>
        <w:t xml:space="preserve">  本保险合同（以下简称“本合同”）由保险条款、投保单、与本合同有关的其他投保文件、</w:t>
      </w:r>
      <w:r>
        <w:rPr>
          <w:rFonts w:hint="eastAsia" w:ascii="宋体" w:hAnsi="宋体" w:cs="宋体"/>
          <w:spacing w:val="5"/>
          <w:kern w:val="0"/>
          <w:szCs w:val="21"/>
        </w:rPr>
        <w:t>被保险人清单、</w:t>
      </w:r>
      <w:r>
        <w:rPr>
          <w:rFonts w:hint="eastAsia" w:ascii="宋体" w:hAnsi="宋体" w:cs="宋体"/>
          <w:kern w:val="0"/>
          <w:szCs w:val="21"/>
        </w:rPr>
        <w:t>保险单或者其他保险凭证、声明、批注、附贴批单以及其他有效文件构成。凡涉及本合同的约定，均应当采用书面形式。</w:t>
      </w:r>
    </w:p>
    <w:p>
      <w:pPr>
        <w:widowControl/>
        <w:adjustRightInd w:val="0"/>
        <w:snapToGrid w:val="0"/>
        <w:spacing w:line="360" w:lineRule="auto"/>
        <w:ind w:firstLine="422" w:firstLineChars="200"/>
        <w:rPr>
          <w:rFonts w:ascii="宋体" w:hAnsi="宋体" w:cs="宋体"/>
          <w:szCs w:val="21"/>
        </w:rPr>
      </w:pPr>
      <w:r>
        <w:rPr>
          <w:rFonts w:hint="eastAsia" w:ascii="宋体" w:hAnsi="宋体" w:cs="宋体"/>
          <w:b/>
          <w:bCs/>
          <w:kern w:val="0"/>
          <w:szCs w:val="21"/>
        </w:rPr>
        <w:t xml:space="preserve">第二条  </w:t>
      </w:r>
      <w:r>
        <w:rPr>
          <w:rFonts w:hint="eastAsia" w:ascii="宋体" w:hAnsi="宋体" w:cs="宋体"/>
          <w:kern w:val="0"/>
          <w:szCs w:val="21"/>
        </w:rPr>
        <w:t>投保时年龄在三周岁至七十周岁间（含）,身体健康，能正常工作或者正常生活的自然人，可作为本合同的被保险人。</w:t>
      </w:r>
    </w:p>
    <w:p>
      <w:pPr>
        <w:widowControl/>
        <w:adjustRightInd w:val="0"/>
        <w:snapToGrid w:val="0"/>
        <w:spacing w:line="360" w:lineRule="auto"/>
        <w:ind w:firstLine="422" w:firstLineChars="200"/>
        <w:rPr>
          <w:rFonts w:ascii="宋体" w:hAnsi="宋体" w:cs="宋体"/>
          <w:szCs w:val="21"/>
        </w:rPr>
      </w:pPr>
      <w:r>
        <w:rPr>
          <w:rFonts w:hint="eastAsia" w:ascii="宋体" w:hAnsi="宋体" w:cs="宋体"/>
          <w:b/>
          <w:bCs/>
          <w:kern w:val="0"/>
          <w:szCs w:val="21"/>
        </w:rPr>
        <w:t>第三条</w:t>
      </w:r>
      <w:r>
        <w:rPr>
          <w:rFonts w:hint="eastAsia" w:ascii="宋体" w:hAnsi="宋体" w:cs="宋体"/>
          <w:kern w:val="0"/>
          <w:szCs w:val="21"/>
        </w:rPr>
        <w:t xml:space="preserve">  对被保险人具有保险利益的机关、企业、事业单位和社会团体等组织，可作为本合同的投保人。</w:t>
      </w:r>
    </w:p>
    <w:p>
      <w:pPr>
        <w:widowControl/>
        <w:adjustRightInd w:val="0"/>
        <w:snapToGrid w:val="0"/>
        <w:spacing w:line="360" w:lineRule="auto"/>
        <w:ind w:firstLine="422" w:firstLineChars="200"/>
        <w:rPr>
          <w:rFonts w:ascii="宋体" w:hAnsi="宋体" w:cs="宋体"/>
          <w:szCs w:val="21"/>
        </w:rPr>
      </w:pPr>
      <w:r>
        <w:rPr>
          <w:rFonts w:hint="eastAsia" w:ascii="宋体" w:hAnsi="宋体" w:cs="宋体"/>
          <w:b/>
          <w:bCs/>
          <w:kern w:val="0"/>
          <w:szCs w:val="21"/>
        </w:rPr>
        <w:t xml:space="preserve">第四条  </w:t>
      </w:r>
      <w:r>
        <w:rPr>
          <w:rFonts w:hint="eastAsia" w:ascii="宋体" w:hAnsi="宋体" w:cs="宋体"/>
          <w:kern w:val="0"/>
          <w:szCs w:val="21"/>
        </w:rPr>
        <w:t>本合同的受益人包括：</w:t>
      </w:r>
    </w:p>
    <w:p>
      <w:pPr>
        <w:widowControl/>
        <w:adjustRightInd w:val="0"/>
        <w:snapToGrid w:val="0"/>
        <w:spacing w:line="360" w:lineRule="auto"/>
        <w:ind w:firstLine="420" w:firstLineChars="200"/>
        <w:rPr>
          <w:rFonts w:ascii="宋体" w:hAnsi="宋体" w:cs="宋体"/>
          <w:szCs w:val="21"/>
        </w:rPr>
      </w:pPr>
      <w:r>
        <w:rPr>
          <w:rFonts w:hint="eastAsia" w:ascii="宋体" w:hAnsi="宋体" w:cs="宋体"/>
          <w:kern w:val="0"/>
          <w:szCs w:val="21"/>
        </w:rPr>
        <w:t>（一）意外身故保险金受益人</w:t>
      </w:r>
    </w:p>
    <w:p>
      <w:pPr>
        <w:widowControl/>
        <w:adjustRightInd w:val="0"/>
        <w:snapToGrid w:val="0"/>
        <w:spacing w:line="360" w:lineRule="auto"/>
        <w:ind w:firstLine="420" w:firstLineChars="200"/>
        <w:rPr>
          <w:rFonts w:ascii="宋体" w:hAnsi="宋体" w:cs="宋体"/>
          <w:szCs w:val="21"/>
        </w:rPr>
      </w:pPr>
      <w:r>
        <w:rPr>
          <w:rFonts w:hint="eastAsia" w:ascii="宋体" w:hAnsi="宋体" w:cs="宋体"/>
          <w:kern w:val="0"/>
          <w:szCs w:val="21"/>
        </w:rPr>
        <w:t>订立本合同时，被保险人或者投保人可指定一人或者数人为意外身故保险金受益人，但投保人指定意外身故保险金受益人时须经被保险人同意。意外身故保险金受益人为数人的，应当确定受益顺序和受益份额；未确定受益份额的，各受益人按照相等份额享有受益权。</w:t>
      </w:r>
    </w:p>
    <w:p>
      <w:pPr>
        <w:widowControl/>
        <w:adjustRightInd w:val="0"/>
        <w:snapToGrid w:val="0"/>
        <w:spacing w:line="360" w:lineRule="auto"/>
        <w:ind w:firstLine="420" w:firstLineChars="200"/>
        <w:rPr>
          <w:rFonts w:ascii="宋体" w:hAnsi="宋体" w:cs="宋体"/>
          <w:szCs w:val="21"/>
        </w:rPr>
      </w:pPr>
      <w:r>
        <w:rPr>
          <w:rFonts w:hint="eastAsia" w:ascii="宋体" w:hAnsi="宋体" w:cs="宋体"/>
          <w:kern w:val="0"/>
          <w:szCs w:val="21"/>
        </w:rPr>
        <w:t>被保险人死亡后，有下列情形之一的，意外身故保险金作为被保险人的遗产，由保险人依照《中华人民共和国继承法》的规定履行给付保险金的义务：</w:t>
      </w:r>
    </w:p>
    <w:p>
      <w:pPr>
        <w:widowControl/>
        <w:adjustRightInd w:val="0"/>
        <w:snapToGrid w:val="0"/>
        <w:spacing w:line="360" w:lineRule="auto"/>
        <w:ind w:firstLine="420" w:firstLineChars="200"/>
        <w:rPr>
          <w:rFonts w:ascii="宋体" w:hAnsi="宋体" w:cs="宋体"/>
          <w:szCs w:val="21"/>
        </w:rPr>
      </w:pPr>
      <w:r>
        <w:rPr>
          <w:rFonts w:hint="eastAsia" w:ascii="宋体" w:hAnsi="宋体" w:cs="宋体"/>
          <w:kern w:val="0"/>
          <w:szCs w:val="21"/>
        </w:rPr>
        <w:t>1．没有指定受益人，或者受益人指定不明无法确定的；</w:t>
      </w:r>
    </w:p>
    <w:p>
      <w:pPr>
        <w:widowControl/>
        <w:adjustRightInd w:val="0"/>
        <w:snapToGrid w:val="0"/>
        <w:spacing w:line="360" w:lineRule="auto"/>
        <w:ind w:firstLine="420" w:firstLineChars="200"/>
        <w:rPr>
          <w:rFonts w:ascii="宋体" w:hAnsi="宋体" w:cs="宋体"/>
          <w:szCs w:val="21"/>
        </w:rPr>
      </w:pPr>
      <w:r>
        <w:rPr>
          <w:rFonts w:hint="eastAsia" w:ascii="宋体" w:hAnsi="宋体" w:cs="宋体"/>
          <w:kern w:val="0"/>
          <w:szCs w:val="21"/>
        </w:rPr>
        <w:t>2．受益人先于被保险人死亡，没有其他受益人的；</w:t>
      </w:r>
    </w:p>
    <w:p>
      <w:pPr>
        <w:widowControl/>
        <w:adjustRightInd w:val="0"/>
        <w:snapToGrid w:val="0"/>
        <w:spacing w:line="360" w:lineRule="auto"/>
        <w:ind w:firstLine="420" w:firstLineChars="200"/>
        <w:rPr>
          <w:rFonts w:ascii="宋体" w:hAnsi="宋体" w:cs="宋体"/>
          <w:szCs w:val="21"/>
        </w:rPr>
      </w:pPr>
      <w:r>
        <w:rPr>
          <w:rFonts w:hint="eastAsia" w:ascii="宋体" w:hAnsi="宋体" w:cs="宋体"/>
          <w:kern w:val="0"/>
          <w:szCs w:val="21"/>
        </w:rPr>
        <w:t>3．受益人依法丧失受益权或者放弃受益权，没有其他受益人的。</w:t>
      </w:r>
    </w:p>
    <w:p>
      <w:pPr>
        <w:widowControl/>
        <w:adjustRightInd w:val="0"/>
        <w:snapToGrid w:val="0"/>
        <w:spacing w:line="360" w:lineRule="auto"/>
        <w:ind w:firstLine="420" w:firstLineChars="200"/>
        <w:rPr>
          <w:rFonts w:ascii="宋体" w:hAnsi="宋体" w:cs="宋体"/>
          <w:szCs w:val="21"/>
        </w:rPr>
      </w:pPr>
      <w:r>
        <w:rPr>
          <w:rFonts w:hint="eastAsia" w:ascii="宋体" w:hAnsi="宋体" w:cs="宋体"/>
          <w:kern w:val="0"/>
          <w:szCs w:val="21"/>
        </w:rPr>
        <w:t>受益人与被保险人在同一事件中死亡，且不能确定死亡先后顺序的，推定受益人死亡在先。</w:t>
      </w:r>
    </w:p>
    <w:p>
      <w:pPr>
        <w:widowControl/>
        <w:adjustRightInd w:val="0"/>
        <w:snapToGrid w:val="0"/>
        <w:spacing w:line="360" w:lineRule="auto"/>
        <w:ind w:firstLine="420" w:firstLineChars="200"/>
        <w:rPr>
          <w:rFonts w:ascii="宋体" w:hAnsi="宋体" w:cs="宋体"/>
          <w:szCs w:val="21"/>
        </w:rPr>
      </w:pPr>
      <w:r>
        <w:rPr>
          <w:rFonts w:hint="eastAsia" w:ascii="宋体" w:hAnsi="宋体" w:cs="宋体"/>
          <w:kern w:val="0"/>
          <w:szCs w:val="21"/>
        </w:rPr>
        <w:t>投保人为与其有劳动关系的劳动者投保人身保险，不得指定被保险人及其近亲属以外的人为受益人。</w:t>
      </w:r>
    </w:p>
    <w:p>
      <w:pPr>
        <w:widowControl/>
        <w:adjustRightInd w:val="0"/>
        <w:snapToGrid w:val="0"/>
        <w:spacing w:line="360" w:lineRule="auto"/>
        <w:ind w:firstLine="420" w:firstLineChars="200"/>
        <w:rPr>
          <w:rFonts w:ascii="宋体" w:hAnsi="宋体" w:cs="宋体"/>
          <w:szCs w:val="21"/>
        </w:rPr>
      </w:pPr>
      <w:r>
        <w:rPr>
          <w:rFonts w:hint="eastAsia" w:ascii="宋体" w:hAnsi="宋体" w:cs="宋体"/>
          <w:kern w:val="0"/>
          <w:szCs w:val="21"/>
        </w:rPr>
        <w:t>被保险人或者投保人可以变更意外身故保险金受益人，但需书面通知保险人，由保险人在本合同上批注或者附贴批单。对因意外身故保险金受益人变更发生的法律纠纷，保险人不承担任何责任。</w:t>
      </w:r>
    </w:p>
    <w:p>
      <w:pPr>
        <w:widowControl/>
        <w:adjustRightInd w:val="0"/>
        <w:snapToGrid w:val="0"/>
        <w:spacing w:line="360" w:lineRule="auto"/>
        <w:ind w:firstLine="420" w:firstLineChars="200"/>
        <w:rPr>
          <w:rFonts w:ascii="宋体" w:hAnsi="宋体" w:cs="宋体"/>
          <w:szCs w:val="21"/>
        </w:rPr>
      </w:pPr>
      <w:r>
        <w:rPr>
          <w:rFonts w:hint="eastAsia" w:ascii="宋体" w:hAnsi="宋体" w:cs="宋体"/>
          <w:kern w:val="0"/>
          <w:szCs w:val="21"/>
        </w:rPr>
        <w:t>（二）意外伤残保险金受益人</w:t>
      </w:r>
    </w:p>
    <w:p>
      <w:pPr>
        <w:widowControl/>
        <w:adjustRightInd w:val="0"/>
        <w:snapToGrid w:val="0"/>
        <w:spacing w:line="360" w:lineRule="auto"/>
        <w:ind w:firstLine="420" w:firstLineChars="200"/>
        <w:rPr>
          <w:rFonts w:ascii="宋体" w:hAnsi="宋体" w:cs="宋体"/>
          <w:szCs w:val="21"/>
        </w:rPr>
      </w:pPr>
      <w:r>
        <w:rPr>
          <w:rFonts w:hint="eastAsia" w:ascii="宋体" w:hAnsi="宋体" w:cs="宋体"/>
          <w:kern w:val="0"/>
          <w:szCs w:val="21"/>
        </w:rPr>
        <w:t>除本合同另有约定外，本合同的意外伤残保险金的受益人为被保险人本人。</w:t>
      </w:r>
    </w:p>
    <w:p>
      <w:pPr>
        <w:widowControl/>
        <w:adjustRightInd w:val="0"/>
        <w:snapToGrid w:val="0"/>
        <w:spacing w:line="360" w:lineRule="auto"/>
        <w:ind w:firstLine="422" w:firstLineChars="200"/>
        <w:jc w:val="center"/>
        <w:rPr>
          <w:rFonts w:ascii="宋体" w:hAnsi="宋体" w:cs="宋体"/>
          <w:b/>
          <w:bCs/>
          <w:szCs w:val="21"/>
        </w:rPr>
      </w:pPr>
      <w:r>
        <w:rPr>
          <w:rFonts w:hint="eastAsia" w:ascii="宋体" w:hAnsi="宋体" w:cs="宋体"/>
          <w:b/>
          <w:bCs/>
          <w:kern w:val="0"/>
          <w:szCs w:val="21"/>
        </w:rPr>
        <w:t>保险责任</w:t>
      </w:r>
    </w:p>
    <w:p>
      <w:pPr>
        <w:widowControl/>
        <w:adjustRightInd w:val="0"/>
        <w:snapToGrid w:val="0"/>
        <w:spacing w:line="360" w:lineRule="auto"/>
        <w:ind w:firstLine="422" w:firstLineChars="200"/>
        <w:rPr>
          <w:rFonts w:ascii="宋体" w:hAnsi="宋体" w:cs="宋体"/>
          <w:szCs w:val="21"/>
        </w:rPr>
      </w:pPr>
      <w:r>
        <w:rPr>
          <w:rFonts w:hint="eastAsia" w:ascii="宋体" w:hAnsi="宋体" w:cs="宋体"/>
          <w:b/>
          <w:bCs/>
          <w:kern w:val="0"/>
          <w:szCs w:val="21"/>
        </w:rPr>
        <w:t xml:space="preserve">第五条  </w:t>
      </w:r>
      <w:r>
        <w:rPr>
          <w:rFonts w:hint="eastAsia" w:ascii="宋体" w:hAnsi="宋体" w:cs="宋体"/>
          <w:kern w:val="0"/>
          <w:szCs w:val="21"/>
        </w:rPr>
        <w:t>在保险期间内，被保险人因遭受意外而身故或者伤残的，保险人按下列约定承担保险责任：</w:t>
      </w:r>
    </w:p>
    <w:p>
      <w:pPr>
        <w:widowControl/>
        <w:adjustRightInd w:val="0"/>
        <w:snapToGrid w:val="0"/>
        <w:spacing w:line="360" w:lineRule="auto"/>
        <w:ind w:firstLine="420" w:firstLineChars="200"/>
        <w:rPr>
          <w:rFonts w:ascii="宋体" w:hAnsi="宋体" w:cs="宋体"/>
          <w:szCs w:val="21"/>
        </w:rPr>
      </w:pPr>
      <w:r>
        <w:rPr>
          <w:rFonts w:hint="eastAsia" w:ascii="宋体" w:hAnsi="宋体" w:cs="宋体"/>
          <w:kern w:val="0"/>
          <w:szCs w:val="21"/>
        </w:rPr>
        <w:t>（一）意外身故保险责任</w:t>
      </w:r>
    </w:p>
    <w:p>
      <w:pPr>
        <w:widowControl/>
        <w:adjustRightInd w:val="0"/>
        <w:snapToGrid w:val="0"/>
        <w:spacing w:line="360" w:lineRule="auto"/>
        <w:ind w:firstLine="420" w:firstLineChars="200"/>
        <w:rPr>
          <w:rFonts w:ascii="宋体" w:hAnsi="宋体" w:cs="宋体"/>
          <w:szCs w:val="21"/>
        </w:rPr>
      </w:pPr>
      <w:r>
        <w:rPr>
          <w:rFonts w:hint="eastAsia" w:ascii="宋体" w:hAnsi="宋体" w:cs="宋体"/>
          <w:kern w:val="0"/>
          <w:szCs w:val="21"/>
        </w:rPr>
        <w:t>被保险人自遭受该意外之日起一百八十日内以该意外为直接、完全原因而身故的，保险人按本合同载明的该被保险人的意外伤害保险金额给付意外身故保险金，同时本合同约定的对该被保险人的保险责任终止。</w:t>
      </w:r>
    </w:p>
    <w:p>
      <w:pPr>
        <w:widowControl/>
        <w:adjustRightInd w:val="0"/>
        <w:snapToGrid w:val="0"/>
        <w:spacing w:line="360" w:lineRule="auto"/>
        <w:ind w:firstLine="420" w:firstLineChars="200"/>
        <w:rPr>
          <w:rFonts w:ascii="宋体" w:hAnsi="宋体" w:cs="宋体"/>
          <w:szCs w:val="21"/>
        </w:rPr>
      </w:pPr>
      <w:r>
        <w:rPr>
          <w:rFonts w:hint="eastAsia" w:ascii="宋体" w:hAnsi="宋体" w:cs="宋体"/>
          <w:kern w:val="0"/>
          <w:szCs w:val="21"/>
        </w:rPr>
        <w:t>被保险人因遭受该意外而下落不明，后经法院宣告死亡的，保险人按本合同载明的该被保险人的意外伤害保险金额给付意外身故保险金，同时本合同约定的对该被保险人的保险责任终止。但若该被保险人生还，保险金申请人应当于知道或者应当知道被保险人生还后三十日内退还保险人已给付的意外身故保险金，然后本合同约定的对该被保险人的保险责任应当视为未因该次宣告死亡而终止；保险金申请人未在三十日内退还的，保险人有权追索。</w:t>
      </w:r>
    </w:p>
    <w:p>
      <w:pPr>
        <w:widowControl/>
        <w:adjustRightInd w:val="0"/>
        <w:snapToGrid w:val="0"/>
        <w:spacing w:line="360" w:lineRule="auto"/>
        <w:ind w:firstLine="420" w:firstLineChars="200"/>
        <w:rPr>
          <w:rFonts w:ascii="宋体" w:hAnsi="宋体" w:cs="宋体"/>
          <w:szCs w:val="21"/>
        </w:rPr>
      </w:pPr>
      <w:r>
        <w:rPr>
          <w:rFonts w:hint="eastAsia" w:ascii="宋体" w:hAnsi="宋体" w:cs="宋体"/>
          <w:kern w:val="0"/>
          <w:szCs w:val="21"/>
        </w:rPr>
        <w:t>被保险人身故或者被宣告死亡前，保险人根据本合同针对其已给付意外伤残保险金的，意外身故保险金应当扣除已给付金额。</w:t>
      </w:r>
    </w:p>
    <w:p>
      <w:pPr>
        <w:widowControl/>
        <w:adjustRightInd w:val="0"/>
        <w:snapToGrid w:val="0"/>
        <w:spacing w:line="360" w:lineRule="auto"/>
        <w:ind w:firstLine="420" w:firstLineChars="200"/>
        <w:rPr>
          <w:rFonts w:ascii="宋体" w:hAnsi="宋体" w:cs="宋体"/>
          <w:szCs w:val="21"/>
        </w:rPr>
      </w:pPr>
      <w:r>
        <w:rPr>
          <w:rFonts w:hint="eastAsia" w:ascii="宋体" w:hAnsi="宋体" w:cs="宋体"/>
          <w:kern w:val="0"/>
          <w:szCs w:val="21"/>
        </w:rPr>
        <w:t>（二）意外伤残保险责任</w:t>
      </w:r>
    </w:p>
    <w:p>
      <w:pPr>
        <w:widowControl/>
        <w:adjustRightInd w:val="0"/>
        <w:snapToGrid w:val="0"/>
        <w:spacing w:line="360" w:lineRule="auto"/>
        <w:ind w:firstLine="420" w:firstLineChars="200"/>
        <w:rPr>
          <w:rFonts w:ascii="宋体" w:hAnsi="宋体" w:cs="宋体"/>
          <w:szCs w:val="21"/>
        </w:rPr>
      </w:pPr>
      <w:r>
        <w:rPr>
          <w:rFonts w:hint="eastAsia" w:ascii="宋体" w:hAnsi="宋体" w:cs="宋体"/>
          <w:kern w:val="0"/>
          <w:szCs w:val="21"/>
        </w:rPr>
        <w:t>被保险人自遭受该意外之日起一百八十日内以该意外为直接、完全原因而导致《人身保险伤残评定标准及代码》中所列伤残之一的，保险人按《人身保险伤残评定标准及代码》中与该项伤残对应的给付比例和该被保险人的意外伤害保险金额的乘积给付意外伤残保险金。若至该意外发生之日起第一百八十日该被保险人的伤残程度仍未完全确定，保险人根据该意外发生之日起第一百八十日该被保险人的身体情况进行伤残鉴定，并据此给付意外伤残保险金。</w:t>
      </w:r>
    </w:p>
    <w:p>
      <w:pPr>
        <w:widowControl/>
        <w:adjustRightInd w:val="0"/>
        <w:snapToGrid w:val="0"/>
        <w:spacing w:line="360" w:lineRule="auto"/>
        <w:ind w:firstLine="420" w:firstLineChars="200"/>
        <w:rPr>
          <w:rFonts w:ascii="宋体" w:hAnsi="宋体" w:cs="宋体"/>
          <w:szCs w:val="21"/>
        </w:rPr>
      </w:pPr>
      <w:r>
        <w:rPr>
          <w:rFonts w:hint="eastAsia" w:ascii="宋体" w:hAnsi="宋体" w:cs="宋体"/>
          <w:kern w:val="0"/>
          <w:szCs w:val="21"/>
        </w:rPr>
        <w:t>人身保险伤残程度等级相对应的保险金给付比例分为十档，伤残程度第一级对应的保险金给付比例为100%，伤残程度第十级对应的保险金给付比例为10%，每级相差10%。</w:t>
      </w:r>
    </w:p>
    <w:p>
      <w:pPr>
        <w:widowControl/>
        <w:adjustRightInd w:val="0"/>
        <w:snapToGrid w:val="0"/>
        <w:spacing w:line="360" w:lineRule="auto"/>
        <w:ind w:firstLine="440" w:firstLineChars="200"/>
        <w:rPr>
          <w:rFonts w:ascii="宋体" w:hAnsi="宋体" w:cs="宋体"/>
          <w:spacing w:val="5"/>
          <w:szCs w:val="21"/>
        </w:rPr>
      </w:pPr>
      <w:r>
        <w:rPr>
          <w:rFonts w:hint="eastAsia" w:ascii="宋体" w:hAnsi="宋体" w:cs="宋体"/>
          <w:spacing w:val="5"/>
          <w:kern w:val="0"/>
          <w:szCs w:val="21"/>
        </w:rPr>
        <w:t>保险人根据本合同针对每一被保险人给付的意外身故保险金、意外伤残保险金累计以其意外伤害保险金额为上限，当达到该限额时，本合同约定的对该被保险人的意外伤害保险责任终止。</w:t>
      </w:r>
    </w:p>
    <w:p>
      <w:pPr>
        <w:widowControl/>
        <w:adjustRightInd w:val="0"/>
        <w:snapToGrid w:val="0"/>
        <w:spacing w:line="360" w:lineRule="auto"/>
        <w:ind w:firstLine="442" w:firstLineChars="200"/>
        <w:jc w:val="center"/>
        <w:rPr>
          <w:rFonts w:ascii="宋体" w:hAnsi="宋体" w:cs="宋体"/>
          <w:b/>
          <w:bCs/>
          <w:spacing w:val="5"/>
          <w:szCs w:val="21"/>
        </w:rPr>
      </w:pPr>
      <w:r>
        <w:rPr>
          <w:rFonts w:hint="eastAsia" w:ascii="宋体" w:hAnsi="宋体" w:cs="宋体"/>
          <w:b/>
          <w:bCs/>
          <w:spacing w:val="5"/>
          <w:kern w:val="0"/>
          <w:szCs w:val="21"/>
        </w:rPr>
        <w:t>责任免除</w:t>
      </w:r>
    </w:p>
    <w:p>
      <w:pPr>
        <w:widowControl/>
        <w:adjustRightInd w:val="0"/>
        <w:snapToGrid w:val="0"/>
        <w:spacing w:line="360" w:lineRule="auto"/>
        <w:ind w:firstLine="422" w:firstLineChars="200"/>
        <w:rPr>
          <w:rFonts w:ascii="宋体" w:hAnsi="宋体" w:cs="宋体"/>
          <w:b/>
          <w:bCs/>
          <w:szCs w:val="21"/>
        </w:rPr>
      </w:pPr>
      <w:r>
        <w:rPr>
          <w:rFonts w:hint="eastAsia" w:ascii="宋体" w:hAnsi="宋体" w:cs="宋体"/>
          <w:b/>
          <w:bCs/>
          <w:kern w:val="0"/>
          <w:szCs w:val="21"/>
        </w:rPr>
        <w:t>第六条  因下列任何原因造成被保险人身故或者伤残的，保险人不承担给付保险金的责任：</w:t>
      </w:r>
    </w:p>
    <w:p>
      <w:pPr>
        <w:widowControl/>
        <w:tabs>
          <w:tab w:val="left" w:pos="1620"/>
          <w:tab w:val="left" w:pos="1800"/>
        </w:tabs>
        <w:adjustRightInd w:val="0"/>
        <w:snapToGrid w:val="0"/>
        <w:spacing w:line="360" w:lineRule="auto"/>
        <w:ind w:firstLine="422" w:firstLineChars="200"/>
        <w:rPr>
          <w:rFonts w:ascii="宋体" w:hAnsi="宋体" w:cs="宋体"/>
          <w:b/>
          <w:bCs/>
          <w:szCs w:val="21"/>
        </w:rPr>
      </w:pPr>
      <w:r>
        <w:rPr>
          <w:rFonts w:hint="eastAsia" w:ascii="宋体" w:hAnsi="宋体" w:cs="宋体"/>
          <w:b/>
          <w:bCs/>
          <w:kern w:val="0"/>
          <w:szCs w:val="21"/>
        </w:rPr>
        <w:t>（一）投保前已有的伤害；</w:t>
      </w:r>
    </w:p>
    <w:p>
      <w:pPr>
        <w:widowControl/>
        <w:tabs>
          <w:tab w:val="left" w:pos="1620"/>
          <w:tab w:val="left" w:pos="1800"/>
        </w:tabs>
        <w:adjustRightInd w:val="0"/>
        <w:snapToGrid w:val="0"/>
        <w:spacing w:line="360" w:lineRule="auto"/>
        <w:ind w:firstLine="422" w:firstLineChars="200"/>
        <w:rPr>
          <w:rFonts w:ascii="宋体" w:hAnsi="宋体" w:cs="宋体"/>
          <w:b/>
          <w:bCs/>
          <w:szCs w:val="21"/>
        </w:rPr>
      </w:pPr>
      <w:r>
        <w:rPr>
          <w:rFonts w:hint="eastAsia" w:ascii="宋体" w:hAnsi="宋体" w:cs="宋体"/>
          <w:b/>
          <w:bCs/>
          <w:kern w:val="0"/>
          <w:szCs w:val="21"/>
        </w:rPr>
        <w:t xml:space="preserve">（二）投保人的故意行为，被保险人自致伤害或者自杀； </w:t>
      </w:r>
    </w:p>
    <w:p>
      <w:pPr>
        <w:widowControl/>
        <w:tabs>
          <w:tab w:val="left" w:pos="1620"/>
          <w:tab w:val="left" w:pos="1800"/>
        </w:tabs>
        <w:adjustRightInd w:val="0"/>
        <w:snapToGrid w:val="0"/>
        <w:spacing w:line="360" w:lineRule="auto"/>
        <w:ind w:firstLine="422" w:firstLineChars="200"/>
        <w:rPr>
          <w:rFonts w:ascii="宋体" w:hAnsi="宋体" w:cs="宋体"/>
          <w:b/>
          <w:bCs/>
          <w:szCs w:val="21"/>
        </w:rPr>
      </w:pPr>
      <w:r>
        <w:rPr>
          <w:rFonts w:hint="eastAsia" w:ascii="宋体" w:hAnsi="宋体" w:cs="宋体"/>
          <w:b/>
          <w:bCs/>
          <w:kern w:val="0"/>
          <w:szCs w:val="21"/>
        </w:rPr>
        <w:t>（三）被保险人猝死；</w:t>
      </w:r>
    </w:p>
    <w:p>
      <w:pPr>
        <w:widowControl/>
        <w:tabs>
          <w:tab w:val="left" w:pos="1800"/>
        </w:tabs>
        <w:adjustRightInd w:val="0"/>
        <w:snapToGrid w:val="0"/>
        <w:spacing w:line="360" w:lineRule="auto"/>
        <w:ind w:firstLine="422" w:firstLineChars="200"/>
        <w:rPr>
          <w:rFonts w:ascii="宋体" w:hAnsi="宋体" w:cs="宋体"/>
          <w:b/>
          <w:bCs/>
          <w:szCs w:val="21"/>
        </w:rPr>
      </w:pPr>
      <w:r>
        <w:rPr>
          <w:rFonts w:hint="eastAsia" w:ascii="宋体" w:hAnsi="宋体" w:cs="宋体"/>
          <w:b/>
          <w:bCs/>
          <w:kern w:val="0"/>
          <w:szCs w:val="21"/>
        </w:rPr>
        <w:t>（四）从事违法犯罪活动或者拒捕，因被保险人挑衅或者故意行为导致争执、打斗而引发意外或者因此被攻击、被伤害或者被杀害；</w:t>
      </w:r>
    </w:p>
    <w:p>
      <w:pPr>
        <w:widowControl/>
        <w:tabs>
          <w:tab w:val="left" w:pos="1620"/>
          <w:tab w:val="left" w:pos="1800"/>
        </w:tabs>
        <w:adjustRightInd w:val="0"/>
        <w:snapToGrid w:val="0"/>
        <w:spacing w:line="360" w:lineRule="auto"/>
        <w:ind w:firstLine="422" w:firstLineChars="200"/>
        <w:rPr>
          <w:rFonts w:ascii="宋体" w:hAnsi="宋体" w:cs="宋体"/>
          <w:b/>
          <w:bCs/>
          <w:szCs w:val="21"/>
        </w:rPr>
      </w:pPr>
      <w:r>
        <w:rPr>
          <w:rFonts w:hint="eastAsia" w:ascii="宋体" w:hAnsi="宋体" w:cs="宋体"/>
          <w:b/>
          <w:bCs/>
          <w:kern w:val="0"/>
          <w:szCs w:val="21"/>
        </w:rPr>
        <w:t>（五）未遵医嘱而私自服用、涂用或者注射药物，药物过敏，细菌或者病毒感染（意外导致的伤口感染不在此限），医疗事故；</w:t>
      </w:r>
    </w:p>
    <w:p>
      <w:pPr>
        <w:widowControl/>
        <w:tabs>
          <w:tab w:val="left" w:pos="1620"/>
          <w:tab w:val="left" w:pos="1800"/>
        </w:tabs>
        <w:adjustRightInd w:val="0"/>
        <w:snapToGrid w:val="0"/>
        <w:spacing w:line="360" w:lineRule="auto"/>
        <w:ind w:firstLine="422" w:firstLineChars="200"/>
        <w:rPr>
          <w:rFonts w:ascii="宋体" w:hAnsi="宋体" w:cs="宋体"/>
          <w:b/>
          <w:bCs/>
          <w:szCs w:val="21"/>
        </w:rPr>
      </w:pPr>
      <w:r>
        <w:rPr>
          <w:rFonts w:hint="eastAsia" w:ascii="宋体" w:hAnsi="宋体" w:cs="宋体"/>
          <w:b/>
          <w:bCs/>
          <w:kern w:val="0"/>
          <w:szCs w:val="21"/>
        </w:rPr>
        <w:t>（六）怀孕（含宫外孕）、流产、分娩（含剖腹产）、避孕、绝育手术、治疗不孕症、人工受孕以及由此导致的并发症，但意外所致的流产、分娩不在此限；</w:t>
      </w:r>
    </w:p>
    <w:p>
      <w:pPr>
        <w:widowControl/>
        <w:tabs>
          <w:tab w:val="left" w:pos="1620"/>
          <w:tab w:val="left" w:pos="1800"/>
        </w:tabs>
        <w:adjustRightInd w:val="0"/>
        <w:snapToGrid w:val="0"/>
        <w:spacing w:line="360" w:lineRule="auto"/>
        <w:ind w:firstLine="422" w:firstLineChars="200"/>
        <w:rPr>
          <w:rFonts w:ascii="宋体" w:hAnsi="宋体" w:cs="宋体"/>
          <w:b/>
          <w:bCs/>
          <w:szCs w:val="21"/>
        </w:rPr>
      </w:pPr>
      <w:r>
        <w:rPr>
          <w:rFonts w:hint="eastAsia" w:ascii="宋体" w:hAnsi="宋体" w:cs="宋体"/>
          <w:b/>
          <w:bCs/>
          <w:kern w:val="0"/>
          <w:szCs w:val="21"/>
        </w:rPr>
        <w:t>（七）从事潜水、跳伞、攀岩、探险、武术比赛、摔跤、特技、赛马、赛车或者蹦极以及其他风险程度类似的高风险活动，竞技性、职业性运动，但本合同另有约定的不在此限；</w:t>
      </w:r>
    </w:p>
    <w:p>
      <w:pPr>
        <w:widowControl/>
        <w:tabs>
          <w:tab w:val="left" w:pos="1620"/>
          <w:tab w:val="left" w:pos="1800"/>
        </w:tabs>
        <w:adjustRightInd w:val="0"/>
        <w:snapToGrid w:val="0"/>
        <w:spacing w:line="360" w:lineRule="auto"/>
        <w:ind w:firstLine="422" w:firstLineChars="200"/>
        <w:rPr>
          <w:rFonts w:ascii="宋体" w:hAnsi="宋体" w:cs="宋体"/>
          <w:b/>
          <w:bCs/>
          <w:szCs w:val="21"/>
        </w:rPr>
      </w:pPr>
      <w:r>
        <w:rPr>
          <w:rFonts w:hint="eastAsia" w:ascii="宋体" w:hAnsi="宋体" w:cs="宋体"/>
          <w:b/>
          <w:bCs/>
          <w:kern w:val="0"/>
          <w:szCs w:val="21"/>
        </w:rPr>
        <w:t>（八）非因意外而下落不明；</w:t>
      </w:r>
    </w:p>
    <w:p>
      <w:pPr>
        <w:widowControl/>
        <w:tabs>
          <w:tab w:val="left" w:pos="1260"/>
          <w:tab w:val="left" w:pos="1440"/>
          <w:tab w:val="left" w:pos="1620"/>
          <w:tab w:val="left" w:pos="1800"/>
          <w:tab w:val="left" w:pos="1980"/>
          <w:tab w:val="left" w:pos="2160"/>
        </w:tabs>
        <w:adjustRightInd w:val="0"/>
        <w:snapToGrid w:val="0"/>
        <w:spacing w:line="360" w:lineRule="auto"/>
        <w:ind w:firstLine="422" w:firstLineChars="200"/>
        <w:rPr>
          <w:rFonts w:ascii="宋体" w:hAnsi="宋体" w:cs="宋体"/>
          <w:b/>
          <w:bCs/>
          <w:szCs w:val="21"/>
        </w:rPr>
      </w:pPr>
      <w:r>
        <w:rPr>
          <w:rFonts w:hint="eastAsia" w:ascii="宋体" w:hAnsi="宋体" w:cs="宋体"/>
          <w:b/>
          <w:bCs/>
          <w:kern w:val="0"/>
          <w:szCs w:val="21"/>
        </w:rPr>
        <w:t>（九）任何生物、化学、核武器，核能装置造成的爆炸、灼伤、污染或者辐射，恐怖主义活动，邪教组织活动。</w:t>
      </w:r>
    </w:p>
    <w:p>
      <w:pPr>
        <w:widowControl/>
        <w:tabs>
          <w:tab w:val="left" w:pos="1260"/>
          <w:tab w:val="left" w:pos="1440"/>
          <w:tab w:val="left" w:pos="1620"/>
          <w:tab w:val="left" w:pos="1800"/>
          <w:tab w:val="left" w:pos="1980"/>
        </w:tabs>
        <w:adjustRightInd w:val="0"/>
        <w:snapToGrid w:val="0"/>
        <w:spacing w:line="360" w:lineRule="auto"/>
        <w:ind w:firstLine="422" w:firstLineChars="200"/>
        <w:rPr>
          <w:rFonts w:ascii="宋体" w:hAnsi="宋体" w:cs="宋体"/>
          <w:szCs w:val="21"/>
        </w:rPr>
      </w:pPr>
      <w:r>
        <w:rPr>
          <w:rFonts w:hint="eastAsia" w:ascii="宋体" w:hAnsi="宋体" w:cs="宋体"/>
          <w:b/>
          <w:bCs/>
          <w:kern w:val="0"/>
          <w:szCs w:val="21"/>
        </w:rPr>
        <w:t>第七条</w:t>
      </w:r>
      <w:r>
        <w:rPr>
          <w:rFonts w:hint="eastAsia" w:ascii="宋体" w:hAnsi="宋体" w:cs="宋体"/>
          <w:kern w:val="0"/>
          <w:szCs w:val="21"/>
        </w:rPr>
        <w:t xml:space="preserve">  被保险人在下列任何期间遭受意外而致身故或者伤残的，保险人不承担给付保险金的责任：</w:t>
      </w:r>
    </w:p>
    <w:p>
      <w:pPr>
        <w:widowControl/>
        <w:tabs>
          <w:tab w:val="left" w:pos="1260"/>
          <w:tab w:val="left" w:pos="1440"/>
          <w:tab w:val="left" w:pos="1620"/>
          <w:tab w:val="left" w:pos="1800"/>
          <w:tab w:val="left" w:pos="1980"/>
        </w:tabs>
        <w:adjustRightInd w:val="0"/>
        <w:snapToGrid w:val="0"/>
        <w:spacing w:line="360" w:lineRule="auto"/>
        <w:ind w:firstLine="420" w:firstLineChars="200"/>
        <w:rPr>
          <w:rFonts w:ascii="宋体" w:hAnsi="宋体" w:cs="宋体"/>
          <w:szCs w:val="21"/>
        </w:rPr>
      </w:pPr>
      <w:r>
        <w:rPr>
          <w:rFonts w:hint="eastAsia" w:ascii="宋体" w:hAnsi="宋体" w:cs="宋体"/>
          <w:kern w:val="0"/>
          <w:szCs w:val="21"/>
        </w:rPr>
        <w:t>（一）醉酒或者受酒精、毒品或者管制药品的影响期间；</w:t>
      </w:r>
    </w:p>
    <w:p>
      <w:pPr>
        <w:widowControl/>
        <w:tabs>
          <w:tab w:val="left" w:pos="1260"/>
          <w:tab w:val="left" w:pos="1440"/>
          <w:tab w:val="left" w:pos="1620"/>
          <w:tab w:val="left" w:pos="1800"/>
          <w:tab w:val="left" w:pos="1980"/>
        </w:tabs>
        <w:adjustRightInd w:val="0"/>
        <w:snapToGrid w:val="0"/>
        <w:spacing w:line="360" w:lineRule="auto"/>
        <w:ind w:firstLine="420" w:firstLineChars="200"/>
        <w:rPr>
          <w:rFonts w:ascii="宋体" w:hAnsi="宋体" w:cs="宋体"/>
          <w:szCs w:val="21"/>
        </w:rPr>
      </w:pPr>
      <w:r>
        <w:rPr>
          <w:rFonts w:hint="eastAsia" w:ascii="宋体" w:hAnsi="宋体" w:cs="宋体"/>
          <w:kern w:val="0"/>
          <w:szCs w:val="21"/>
        </w:rPr>
        <w:t>（二）被司法机关采取强制措施期间或者被判入狱期间；</w:t>
      </w:r>
    </w:p>
    <w:p>
      <w:pPr>
        <w:widowControl/>
        <w:tabs>
          <w:tab w:val="left" w:pos="1260"/>
          <w:tab w:val="left" w:pos="1440"/>
          <w:tab w:val="left" w:pos="1620"/>
          <w:tab w:val="left" w:pos="1800"/>
          <w:tab w:val="left" w:pos="1980"/>
        </w:tabs>
        <w:adjustRightInd w:val="0"/>
        <w:snapToGrid w:val="0"/>
        <w:spacing w:line="360" w:lineRule="auto"/>
        <w:ind w:firstLine="420" w:firstLineChars="200"/>
        <w:rPr>
          <w:rFonts w:ascii="宋体" w:hAnsi="宋体" w:cs="宋体"/>
          <w:szCs w:val="21"/>
        </w:rPr>
      </w:pPr>
      <w:r>
        <w:rPr>
          <w:rFonts w:hint="eastAsia" w:ascii="宋体" w:hAnsi="宋体" w:cs="宋体"/>
          <w:kern w:val="0"/>
          <w:szCs w:val="21"/>
        </w:rPr>
        <w:t>（三）精神和行为障碍(以世界卫生组织颁布的《疾病和有关健康问题的国际统计分类(ICD-10)》为准)或者癫痫发作期间，感染艾滋病（AIDS）或者感染艾滋病病毒（HIV阳性）期间；</w:t>
      </w:r>
    </w:p>
    <w:p>
      <w:pPr>
        <w:widowControl/>
        <w:tabs>
          <w:tab w:val="left" w:pos="1260"/>
          <w:tab w:val="left" w:pos="1440"/>
          <w:tab w:val="left" w:pos="1620"/>
          <w:tab w:val="left" w:pos="1800"/>
          <w:tab w:val="left" w:pos="1980"/>
        </w:tabs>
        <w:adjustRightInd w:val="0"/>
        <w:snapToGrid w:val="0"/>
        <w:spacing w:line="360" w:lineRule="auto"/>
        <w:ind w:firstLine="420" w:firstLineChars="200"/>
        <w:rPr>
          <w:rFonts w:ascii="宋体" w:hAnsi="宋体" w:cs="宋体"/>
          <w:szCs w:val="21"/>
        </w:rPr>
      </w:pPr>
      <w:r>
        <w:rPr>
          <w:rFonts w:hint="eastAsia" w:ascii="宋体" w:hAnsi="宋体" w:cs="宋体"/>
          <w:kern w:val="0"/>
          <w:szCs w:val="21"/>
        </w:rPr>
        <w:t>（四）酒后驾驶、无有效驾驶证驾驶或者驾驶无有效行驶证的机动交通工具期间；</w:t>
      </w:r>
    </w:p>
    <w:p>
      <w:pPr>
        <w:widowControl/>
        <w:adjustRightInd w:val="0"/>
        <w:snapToGrid w:val="0"/>
        <w:spacing w:line="360" w:lineRule="auto"/>
        <w:ind w:firstLine="420" w:firstLineChars="200"/>
        <w:rPr>
          <w:rFonts w:ascii="宋体" w:hAnsi="宋体" w:cs="宋体"/>
          <w:szCs w:val="21"/>
        </w:rPr>
      </w:pPr>
      <w:r>
        <w:rPr>
          <w:rFonts w:hint="eastAsia" w:ascii="宋体" w:hAnsi="宋体" w:cs="宋体"/>
          <w:kern w:val="0"/>
          <w:szCs w:val="21"/>
        </w:rPr>
        <w:t>（五）战争、军事行动、暴动或者武装叛乱期间。</w:t>
      </w:r>
    </w:p>
    <w:p>
      <w:pPr>
        <w:widowControl/>
        <w:adjustRightInd w:val="0"/>
        <w:snapToGrid w:val="0"/>
        <w:spacing w:line="360" w:lineRule="auto"/>
        <w:ind w:firstLine="422" w:firstLineChars="200"/>
        <w:rPr>
          <w:rFonts w:ascii="宋体" w:hAnsi="宋体" w:cs="宋体"/>
          <w:szCs w:val="21"/>
        </w:rPr>
      </w:pPr>
      <w:r>
        <w:rPr>
          <w:rFonts w:hint="eastAsia" w:ascii="宋体" w:hAnsi="宋体" w:cs="宋体"/>
          <w:b/>
          <w:bCs/>
          <w:kern w:val="0"/>
          <w:szCs w:val="21"/>
        </w:rPr>
        <w:t>第八条</w:t>
      </w:r>
      <w:r>
        <w:rPr>
          <w:rFonts w:hint="eastAsia" w:ascii="宋体" w:hAnsi="宋体" w:cs="宋体"/>
          <w:kern w:val="0"/>
          <w:szCs w:val="21"/>
        </w:rPr>
        <w:t xml:space="preserve">  若发生归于本保险条款“责任免除”部分的被保险人身故，本合同约定的对该被保险人的保险责任终止，除因“投保人的故意行为”造成被保险人身故外，保险人退还相应未满期保险费。</w:t>
      </w:r>
    </w:p>
    <w:p>
      <w:pPr>
        <w:widowControl/>
        <w:adjustRightInd w:val="0"/>
        <w:snapToGrid w:val="0"/>
        <w:spacing w:line="360" w:lineRule="auto"/>
        <w:ind w:firstLine="422" w:firstLineChars="200"/>
        <w:jc w:val="center"/>
        <w:rPr>
          <w:rFonts w:ascii="宋体" w:hAnsi="宋体" w:cs="宋体"/>
          <w:b/>
          <w:bCs/>
          <w:szCs w:val="21"/>
        </w:rPr>
      </w:pPr>
      <w:r>
        <w:rPr>
          <w:rFonts w:hint="eastAsia" w:ascii="宋体" w:hAnsi="宋体" w:cs="宋体"/>
          <w:b/>
          <w:bCs/>
          <w:kern w:val="0"/>
          <w:szCs w:val="21"/>
        </w:rPr>
        <w:t>保险金额和保险费</w:t>
      </w:r>
    </w:p>
    <w:p>
      <w:pPr>
        <w:widowControl/>
        <w:adjustRightInd w:val="0"/>
        <w:snapToGrid w:val="0"/>
        <w:spacing w:line="360" w:lineRule="auto"/>
        <w:ind w:firstLine="422" w:firstLineChars="200"/>
        <w:rPr>
          <w:rFonts w:ascii="宋体" w:hAnsi="宋体" w:cs="宋体"/>
          <w:szCs w:val="21"/>
        </w:rPr>
      </w:pPr>
      <w:r>
        <w:rPr>
          <w:rFonts w:hint="eastAsia" w:ascii="宋体" w:hAnsi="宋体" w:cs="宋体"/>
          <w:b/>
          <w:bCs/>
          <w:kern w:val="0"/>
          <w:szCs w:val="21"/>
        </w:rPr>
        <w:t xml:space="preserve">第九条  </w:t>
      </w:r>
      <w:r>
        <w:rPr>
          <w:rFonts w:hint="eastAsia" w:ascii="宋体" w:hAnsi="宋体" w:cs="宋体"/>
          <w:kern w:val="0"/>
          <w:szCs w:val="21"/>
        </w:rPr>
        <w:t>每一被保险人的意外伤害保险金额由投保人与保险人约定，并于本合同中载明。</w:t>
      </w:r>
    </w:p>
    <w:p>
      <w:pPr>
        <w:widowControl/>
        <w:adjustRightInd w:val="0"/>
        <w:snapToGrid w:val="0"/>
        <w:spacing w:line="360" w:lineRule="auto"/>
        <w:ind w:firstLine="422" w:firstLineChars="200"/>
        <w:rPr>
          <w:rFonts w:ascii="宋体" w:hAnsi="宋体" w:cs="宋体"/>
          <w:szCs w:val="21"/>
        </w:rPr>
      </w:pPr>
      <w:r>
        <w:rPr>
          <w:rFonts w:hint="eastAsia" w:ascii="宋体" w:hAnsi="宋体" w:cs="宋体"/>
          <w:b/>
          <w:bCs/>
          <w:kern w:val="0"/>
          <w:szCs w:val="21"/>
        </w:rPr>
        <w:t>第十条</w:t>
      </w:r>
      <w:r>
        <w:rPr>
          <w:rFonts w:hint="eastAsia" w:ascii="宋体" w:hAnsi="宋体" w:cs="宋体"/>
          <w:kern w:val="0"/>
          <w:szCs w:val="21"/>
        </w:rPr>
        <w:t xml:space="preserve">  保险费应当由投保人于订立本合同时一次交清。在投保人交清保险费前，保险人不承担保险责任。</w:t>
      </w:r>
    </w:p>
    <w:p>
      <w:pPr>
        <w:widowControl/>
        <w:adjustRightInd w:val="0"/>
        <w:snapToGrid w:val="0"/>
        <w:spacing w:line="360" w:lineRule="auto"/>
        <w:ind w:firstLine="422" w:firstLineChars="200"/>
        <w:jc w:val="center"/>
        <w:rPr>
          <w:rFonts w:ascii="宋体" w:hAnsi="宋体" w:cs="宋体"/>
          <w:b/>
          <w:bCs/>
          <w:szCs w:val="21"/>
        </w:rPr>
      </w:pPr>
      <w:r>
        <w:rPr>
          <w:rFonts w:hint="eastAsia" w:ascii="宋体" w:hAnsi="宋体" w:cs="宋体"/>
          <w:b/>
          <w:bCs/>
          <w:kern w:val="0"/>
          <w:szCs w:val="21"/>
        </w:rPr>
        <w:t>保险期间</w:t>
      </w:r>
    </w:p>
    <w:p>
      <w:pPr>
        <w:widowControl/>
        <w:adjustRightInd w:val="0"/>
        <w:snapToGrid w:val="0"/>
        <w:spacing w:line="360" w:lineRule="auto"/>
        <w:ind w:firstLine="422" w:firstLineChars="200"/>
        <w:rPr>
          <w:rFonts w:ascii="宋体" w:hAnsi="宋体" w:cs="宋体"/>
          <w:szCs w:val="21"/>
        </w:rPr>
      </w:pPr>
      <w:r>
        <w:rPr>
          <w:rFonts w:hint="eastAsia" w:ascii="宋体" w:hAnsi="宋体" w:cs="宋体"/>
          <w:b/>
          <w:bCs/>
          <w:kern w:val="0"/>
          <w:szCs w:val="21"/>
        </w:rPr>
        <w:t xml:space="preserve">第十一条 </w:t>
      </w:r>
      <w:r>
        <w:rPr>
          <w:rFonts w:hint="eastAsia" w:ascii="宋体" w:hAnsi="宋体" w:cs="宋体"/>
          <w:kern w:val="0"/>
          <w:szCs w:val="21"/>
        </w:rPr>
        <w:t>保险期间的起讫时间由投保人与保险人约定，并于本合同中载明。</w:t>
      </w:r>
    </w:p>
    <w:p>
      <w:pPr>
        <w:widowControl/>
        <w:adjustRightInd w:val="0"/>
        <w:snapToGrid w:val="0"/>
        <w:spacing w:line="360" w:lineRule="auto"/>
        <w:ind w:firstLine="422" w:firstLineChars="200"/>
        <w:rPr>
          <w:rFonts w:ascii="宋体" w:hAnsi="宋体" w:cs="宋体"/>
          <w:b/>
          <w:bCs/>
          <w:szCs w:val="21"/>
        </w:rPr>
      </w:pPr>
      <w:r>
        <w:rPr>
          <w:rFonts w:hint="eastAsia" w:ascii="宋体" w:hAnsi="宋体" w:cs="宋体"/>
          <w:b/>
          <w:bCs/>
          <w:kern w:val="0"/>
          <w:szCs w:val="21"/>
        </w:rPr>
        <w:t>保险人义务</w:t>
      </w:r>
    </w:p>
    <w:p>
      <w:pPr>
        <w:widowControl/>
        <w:adjustRightInd w:val="0"/>
        <w:snapToGrid w:val="0"/>
        <w:spacing w:line="360" w:lineRule="auto"/>
        <w:ind w:firstLine="422" w:firstLineChars="200"/>
        <w:rPr>
          <w:rFonts w:ascii="宋体" w:hAnsi="宋体" w:cs="宋体"/>
          <w:szCs w:val="21"/>
        </w:rPr>
      </w:pPr>
      <w:r>
        <w:rPr>
          <w:rFonts w:hint="eastAsia" w:ascii="宋体" w:hAnsi="宋体" w:cs="宋体"/>
          <w:b/>
          <w:bCs/>
          <w:kern w:val="0"/>
          <w:szCs w:val="21"/>
        </w:rPr>
        <w:t xml:space="preserve">第十二条 </w:t>
      </w:r>
      <w:r>
        <w:rPr>
          <w:rFonts w:hint="eastAsia" w:ascii="宋体" w:hAnsi="宋体" w:cs="宋体"/>
          <w:kern w:val="0"/>
          <w:szCs w:val="21"/>
        </w:rPr>
        <w:t>保险人同意承保的，应当及时向投保人签发保险单或者其他保险凭证。</w:t>
      </w:r>
    </w:p>
    <w:p>
      <w:pPr>
        <w:widowControl/>
        <w:adjustRightInd w:val="0"/>
        <w:snapToGrid w:val="0"/>
        <w:spacing w:line="360" w:lineRule="auto"/>
        <w:ind w:firstLine="422" w:firstLineChars="200"/>
        <w:rPr>
          <w:rFonts w:ascii="宋体" w:hAnsi="宋体" w:cs="宋体"/>
          <w:szCs w:val="21"/>
        </w:rPr>
      </w:pPr>
      <w:r>
        <w:rPr>
          <w:rFonts w:hint="eastAsia" w:ascii="宋体" w:hAnsi="宋体" w:cs="宋体"/>
          <w:b/>
          <w:bCs/>
          <w:kern w:val="0"/>
          <w:szCs w:val="21"/>
        </w:rPr>
        <w:t xml:space="preserve">第十三条 </w:t>
      </w:r>
      <w:r>
        <w:rPr>
          <w:rFonts w:hint="eastAsia" w:ascii="宋体" w:hAnsi="宋体" w:cs="宋体"/>
          <w:kern w:val="0"/>
          <w:szCs w:val="21"/>
        </w:rPr>
        <w:t>保险人认为保险金申请人提供的有关索赔的证明和资料不完整的，应当及时一次性通知保险金申请人补充提供。</w:t>
      </w:r>
    </w:p>
    <w:p>
      <w:pPr>
        <w:widowControl/>
        <w:adjustRightInd w:val="0"/>
        <w:snapToGrid w:val="0"/>
        <w:spacing w:line="360" w:lineRule="auto"/>
        <w:ind w:firstLine="422" w:firstLineChars="200"/>
        <w:rPr>
          <w:rFonts w:ascii="宋体" w:hAnsi="宋体" w:cs="宋体"/>
          <w:szCs w:val="21"/>
        </w:rPr>
      </w:pPr>
      <w:r>
        <w:rPr>
          <w:rFonts w:hint="eastAsia" w:ascii="宋体" w:hAnsi="宋体" w:cs="宋体"/>
          <w:b/>
          <w:bCs/>
          <w:kern w:val="0"/>
          <w:szCs w:val="21"/>
        </w:rPr>
        <w:t xml:space="preserve">第十四条 </w:t>
      </w:r>
      <w:r>
        <w:rPr>
          <w:rFonts w:hint="eastAsia" w:ascii="宋体" w:hAnsi="宋体" w:cs="宋体"/>
          <w:kern w:val="0"/>
          <w:szCs w:val="21"/>
        </w:rPr>
        <w:t>保险人收到保险金申请人提供的本保险条款“保险金申请与给付”部分约定的保险金申请证明和资料后，应当及时作出是否属于保险责任的核定；情形复杂的，应当在六十日内作出核定。</w:t>
      </w:r>
    </w:p>
    <w:p>
      <w:pPr>
        <w:widowControl/>
        <w:adjustRightInd w:val="0"/>
        <w:snapToGrid w:val="0"/>
        <w:spacing w:line="360" w:lineRule="auto"/>
        <w:ind w:firstLine="420" w:firstLineChars="200"/>
        <w:rPr>
          <w:rFonts w:ascii="宋体" w:hAnsi="宋体" w:cs="宋体"/>
          <w:szCs w:val="21"/>
        </w:rPr>
      </w:pPr>
      <w:r>
        <w:rPr>
          <w:rFonts w:hint="eastAsia" w:ascii="宋体" w:hAnsi="宋体" w:cs="宋体"/>
          <w:kern w:val="0"/>
          <w:szCs w:val="21"/>
        </w:rPr>
        <w:t>保险人应当将核定结果通知保险金申请人。对属于保险责任的，在与保险金申请人达成给付保险金的协议后十日内，履行给付保险金的义务；对不属于保险责任的，应当自作出核定之日起三日内向保险金申请人发出拒绝给付保险金通知书，并说明理由。</w:t>
      </w:r>
    </w:p>
    <w:p>
      <w:pPr>
        <w:widowControl/>
        <w:adjustRightInd w:val="0"/>
        <w:snapToGrid w:val="0"/>
        <w:spacing w:line="360" w:lineRule="auto"/>
        <w:ind w:firstLine="422" w:firstLineChars="200"/>
        <w:rPr>
          <w:rFonts w:ascii="宋体" w:hAnsi="宋体" w:cs="宋体"/>
          <w:szCs w:val="21"/>
        </w:rPr>
      </w:pPr>
      <w:r>
        <w:rPr>
          <w:rFonts w:hint="eastAsia" w:ascii="宋体" w:hAnsi="宋体" w:cs="宋体"/>
          <w:b/>
          <w:bCs/>
          <w:kern w:val="0"/>
          <w:szCs w:val="21"/>
        </w:rPr>
        <w:t xml:space="preserve">第十五条 </w:t>
      </w:r>
      <w:r>
        <w:rPr>
          <w:rFonts w:hint="eastAsia" w:ascii="宋体" w:hAnsi="宋体" w:cs="宋体"/>
          <w:kern w:val="0"/>
          <w:szCs w:val="21"/>
        </w:rPr>
        <w:t>保险人自收到保险金申请人提供的本保险条款“保险金申请与给付”部分约定的保险金申请证明和资料之日起六十日内，对其给付保险金的数额不能确定的，应当按根据已有证明和资料可以确定的数额先予支付；保险人最终确定给付保险金的数额后，支付相应的差额。</w:t>
      </w:r>
    </w:p>
    <w:p>
      <w:pPr>
        <w:widowControl/>
        <w:adjustRightInd w:val="0"/>
        <w:snapToGrid w:val="0"/>
        <w:spacing w:line="360" w:lineRule="auto"/>
        <w:ind w:firstLine="422" w:firstLineChars="200"/>
        <w:jc w:val="center"/>
        <w:rPr>
          <w:rFonts w:ascii="宋体" w:hAnsi="宋体" w:cs="宋体"/>
          <w:b/>
          <w:bCs/>
          <w:szCs w:val="21"/>
        </w:rPr>
      </w:pPr>
      <w:r>
        <w:rPr>
          <w:rFonts w:hint="eastAsia" w:ascii="宋体" w:hAnsi="宋体" w:cs="宋体"/>
          <w:b/>
          <w:bCs/>
          <w:kern w:val="0"/>
          <w:szCs w:val="21"/>
        </w:rPr>
        <w:t>投保人、被保险人义务</w:t>
      </w:r>
    </w:p>
    <w:p>
      <w:pPr>
        <w:widowControl/>
        <w:adjustRightInd w:val="0"/>
        <w:snapToGrid w:val="0"/>
        <w:spacing w:line="360" w:lineRule="auto"/>
        <w:ind w:firstLine="422" w:firstLineChars="200"/>
        <w:rPr>
          <w:rFonts w:ascii="宋体" w:hAnsi="宋体" w:cs="宋体"/>
          <w:szCs w:val="21"/>
        </w:rPr>
      </w:pPr>
      <w:r>
        <w:rPr>
          <w:rFonts w:hint="eastAsia" w:ascii="宋体" w:hAnsi="宋体" w:cs="宋体"/>
          <w:b/>
          <w:bCs/>
          <w:kern w:val="0"/>
          <w:szCs w:val="21"/>
        </w:rPr>
        <w:t xml:space="preserve">第十六条 </w:t>
      </w:r>
      <w:r>
        <w:rPr>
          <w:rFonts w:hint="eastAsia" w:ascii="宋体" w:hAnsi="宋体" w:cs="宋体"/>
          <w:kern w:val="0"/>
          <w:szCs w:val="21"/>
        </w:rPr>
        <w:t>投保人应当在订立本合同时交清保险费。</w:t>
      </w:r>
    </w:p>
    <w:p>
      <w:pPr>
        <w:widowControl/>
        <w:adjustRightInd w:val="0"/>
        <w:snapToGrid w:val="0"/>
        <w:spacing w:line="360" w:lineRule="auto"/>
        <w:ind w:firstLine="422" w:firstLineChars="200"/>
        <w:rPr>
          <w:rFonts w:ascii="宋体" w:hAnsi="宋体" w:cs="宋体"/>
          <w:szCs w:val="21"/>
        </w:rPr>
      </w:pPr>
      <w:r>
        <w:rPr>
          <w:rFonts w:hint="eastAsia" w:ascii="宋体" w:hAnsi="宋体" w:cs="宋体"/>
          <w:b/>
          <w:bCs/>
          <w:kern w:val="0"/>
          <w:szCs w:val="21"/>
        </w:rPr>
        <w:t xml:space="preserve">第十七条 </w:t>
      </w:r>
      <w:r>
        <w:rPr>
          <w:rFonts w:hint="eastAsia" w:ascii="宋体" w:hAnsi="宋体" w:cs="宋体"/>
          <w:kern w:val="0"/>
          <w:szCs w:val="21"/>
        </w:rPr>
        <w:t>订立本合同时，保险人就被保险人的有关情况提出询问的，投保人、被保险人应当如实告知。</w:t>
      </w:r>
    </w:p>
    <w:p>
      <w:pPr>
        <w:widowControl/>
        <w:adjustRightInd w:val="0"/>
        <w:snapToGrid w:val="0"/>
        <w:spacing w:line="360" w:lineRule="auto"/>
        <w:ind w:firstLine="422" w:firstLineChars="200"/>
        <w:rPr>
          <w:rFonts w:ascii="宋体" w:hAnsi="宋体" w:cs="宋体"/>
          <w:b/>
          <w:bCs/>
          <w:szCs w:val="21"/>
        </w:rPr>
      </w:pPr>
      <w:r>
        <w:rPr>
          <w:rFonts w:hint="eastAsia" w:ascii="宋体" w:hAnsi="宋体" w:cs="宋体"/>
          <w:b/>
          <w:bCs/>
          <w:kern w:val="0"/>
          <w:szCs w:val="21"/>
        </w:rPr>
        <w:t>投保人、被保险人故意或者因重大过失未履行前款规定的义务，足以影响保险人决定是否同意承保或者提高保险费率的，保险人有权解除本合同。</w:t>
      </w:r>
    </w:p>
    <w:p>
      <w:pPr>
        <w:widowControl/>
        <w:adjustRightInd w:val="0"/>
        <w:snapToGrid w:val="0"/>
        <w:spacing w:line="360" w:lineRule="auto"/>
        <w:ind w:firstLine="420" w:firstLineChars="200"/>
        <w:rPr>
          <w:rFonts w:ascii="宋体" w:hAnsi="宋体" w:cs="宋体"/>
          <w:szCs w:val="21"/>
        </w:rPr>
      </w:pPr>
      <w:r>
        <w:rPr>
          <w:rFonts w:hint="eastAsia" w:ascii="宋体" w:hAnsi="宋体" w:cs="宋体"/>
          <w:kern w:val="0"/>
          <w:szCs w:val="21"/>
        </w:rPr>
        <w:t>前款规定的合同解除权，自保险人知道有解除事由之日起，超过三十日不行使而消灭。自本合同成立之日起超过二年的，保险人不得解除合同；发生保险事故的，保险人应当承担给付保险金的责任。</w:t>
      </w:r>
    </w:p>
    <w:p>
      <w:pPr>
        <w:widowControl/>
        <w:adjustRightInd w:val="0"/>
        <w:snapToGrid w:val="0"/>
        <w:spacing w:line="360" w:lineRule="auto"/>
        <w:ind w:firstLine="422" w:firstLineChars="200"/>
        <w:rPr>
          <w:rFonts w:ascii="宋体" w:hAnsi="宋体" w:cs="宋体"/>
          <w:b/>
          <w:bCs/>
          <w:color w:val="000000"/>
          <w:szCs w:val="21"/>
        </w:rPr>
      </w:pPr>
      <w:r>
        <w:rPr>
          <w:rFonts w:hint="eastAsia" w:ascii="宋体" w:hAnsi="宋体" w:cs="宋体"/>
          <w:b/>
          <w:bCs/>
          <w:kern w:val="0"/>
          <w:szCs w:val="21"/>
        </w:rPr>
        <w:t>投保人、被保险人故意不履行如实告知义务的，保险人对于本合同解除前发生的保险事故，不承担给付保险金的责任，并不退还保险费。</w:t>
      </w:r>
    </w:p>
    <w:p>
      <w:pPr>
        <w:widowControl/>
        <w:adjustRightInd w:val="0"/>
        <w:snapToGrid w:val="0"/>
        <w:spacing w:line="360" w:lineRule="auto"/>
        <w:ind w:firstLine="422" w:firstLineChars="200"/>
        <w:rPr>
          <w:rFonts w:ascii="宋体" w:hAnsi="宋体" w:cs="宋体"/>
          <w:b/>
          <w:bCs/>
          <w:color w:val="000000"/>
          <w:szCs w:val="21"/>
        </w:rPr>
      </w:pPr>
      <w:r>
        <w:rPr>
          <w:rFonts w:hint="eastAsia" w:ascii="宋体" w:hAnsi="宋体" w:cs="宋体"/>
          <w:b/>
          <w:bCs/>
          <w:color w:val="000000"/>
          <w:kern w:val="0"/>
          <w:szCs w:val="21"/>
        </w:rPr>
        <w:t>投保人、被保险人因重大过失未履行如实告知义务，对保险事故的发生有严重影响的，保险人对于本合同解除前发生的保险事故，不承担给付保险金的责任，但退还保险费。</w:t>
      </w:r>
    </w:p>
    <w:p>
      <w:pPr>
        <w:widowControl/>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kern w:val="0"/>
          <w:szCs w:val="21"/>
        </w:rPr>
        <w:t>保险人在本合同订立时已经知道投保人、被保险人未如实告知的情况的，保险人不得解除本合同；发生保险事故的，保险人承担给付保险金的责任。</w:t>
      </w:r>
    </w:p>
    <w:p>
      <w:pPr>
        <w:widowControl/>
        <w:adjustRightInd w:val="0"/>
        <w:snapToGrid w:val="0"/>
        <w:spacing w:line="360" w:lineRule="auto"/>
        <w:ind w:firstLine="422" w:firstLineChars="200"/>
        <w:rPr>
          <w:rFonts w:ascii="宋体" w:hAnsi="宋体" w:cs="宋体"/>
          <w:color w:val="000000"/>
          <w:szCs w:val="21"/>
        </w:rPr>
      </w:pPr>
      <w:r>
        <w:rPr>
          <w:rFonts w:hint="eastAsia" w:ascii="宋体" w:hAnsi="宋体" w:cs="宋体"/>
          <w:b/>
          <w:bCs/>
          <w:color w:val="000000"/>
          <w:kern w:val="0"/>
          <w:szCs w:val="21"/>
        </w:rPr>
        <w:t xml:space="preserve">第十八条 </w:t>
      </w:r>
      <w:r>
        <w:rPr>
          <w:rFonts w:hint="eastAsia" w:ascii="宋体" w:hAnsi="宋体" w:cs="宋体"/>
          <w:color w:val="000000"/>
          <w:kern w:val="0"/>
          <w:szCs w:val="21"/>
        </w:rPr>
        <w:t>被保险人变更职业或者工种时，投保人或者被保险人应当在变更之日起十日内以书面形式通知保险人。</w:t>
      </w:r>
    </w:p>
    <w:p>
      <w:pPr>
        <w:widowControl/>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kern w:val="0"/>
          <w:szCs w:val="21"/>
        </w:rPr>
        <w:t>被保险人变更后的职业或者工种经保险人审核不可继续承保的，保险人在接到通知后追溯自变更之日起终止对相应被保险人的保险责任并退还未满期保险费。被保险人变更后的职业或者工种经保险人审核可继续承保的，保险人按照变更之日退还未满期保险费，并按日比例收取与变更后的职业或者工种所对应的保险费。</w:t>
      </w:r>
    </w:p>
    <w:p>
      <w:pPr>
        <w:widowControl/>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kern w:val="0"/>
          <w:szCs w:val="21"/>
        </w:rPr>
        <w:t>被保险人变更后的职业或者工种危险性增加且未依前款约定通知保险人，发生保险事故的，保险人按其原交保险费与变更后的职业或者工种所对应保险费的比例给付保险金，</w:t>
      </w:r>
      <w:r>
        <w:rPr>
          <w:rFonts w:hint="eastAsia" w:ascii="宋体" w:hAnsi="宋体" w:cs="宋体"/>
          <w:b/>
          <w:bCs/>
          <w:color w:val="000000"/>
          <w:kern w:val="0"/>
          <w:szCs w:val="21"/>
        </w:rPr>
        <w:t>但被保险人变更后的职业或者工种经保险人审核不可继续承保的，保险人不承担给付保险金的责任</w:t>
      </w:r>
      <w:r>
        <w:rPr>
          <w:rFonts w:hint="eastAsia" w:ascii="宋体" w:hAnsi="宋体" w:cs="宋体"/>
          <w:color w:val="000000"/>
          <w:kern w:val="0"/>
          <w:szCs w:val="21"/>
        </w:rPr>
        <w:t>。</w:t>
      </w:r>
    </w:p>
    <w:p>
      <w:pPr>
        <w:widowControl/>
        <w:adjustRightInd w:val="0"/>
        <w:snapToGrid w:val="0"/>
        <w:spacing w:line="360" w:lineRule="auto"/>
        <w:ind w:firstLine="422" w:firstLineChars="200"/>
        <w:rPr>
          <w:rFonts w:ascii="宋体" w:hAnsi="宋体" w:cs="宋体"/>
          <w:color w:val="000000"/>
          <w:szCs w:val="21"/>
        </w:rPr>
      </w:pPr>
      <w:r>
        <w:rPr>
          <w:rFonts w:hint="eastAsia" w:ascii="宋体" w:hAnsi="宋体" w:cs="宋体"/>
          <w:b/>
          <w:bCs/>
          <w:color w:val="000000"/>
          <w:kern w:val="0"/>
          <w:szCs w:val="21"/>
        </w:rPr>
        <w:t xml:space="preserve">第十九条 </w:t>
      </w:r>
      <w:r>
        <w:rPr>
          <w:rFonts w:hint="eastAsia" w:ascii="宋体" w:hAnsi="宋体" w:cs="宋体"/>
          <w:color w:val="000000"/>
          <w:kern w:val="0"/>
          <w:szCs w:val="21"/>
        </w:rPr>
        <w:t>在保险期间内，投保人因其人员变动，需增加、减少被保险人时，应当以书面形式向保险人提出申请。保险人同意后出具批单，并在本合同中批注。</w:t>
      </w:r>
    </w:p>
    <w:p>
      <w:pPr>
        <w:widowControl/>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kern w:val="0"/>
          <w:szCs w:val="21"/>
        </w:rPr>
        <w:t>被保险人人数增加的，经保险人书面审核同意并按日加收保险费后，保险人自收到保险费后次日零时或者通知书载明的起始日期（以较晚者为准）开始对其承担保险责任。</w:t>
      </w:r>
    </w:p>
    <w:p>
      <w:pPr>
        <w:widowControl/>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kern w:val="0"/>
          <w:szCs w:val="21"/>
        </w:rPr>
        <w:t>被保险人人数减少的，保险人在审核同意后，于收到书面通知次日零时或者通知书载明的终止日期次日零时（以较晚者为准）起，对减少的被保险人终止保险责任，并相应退还未满期保险费，但保险人已根据本合同约定给付保险金的不退还未满期保险费。</w:t>
      </w:r>
    </w:p>
    <w:p>
      <w:pPr>
        <w:widowControl/>
        <w:adjustRightInd w:val="0"/>
        <w:snapToGrid w:val="0"/>
        <w:spacing w:line="360" w:lineRule="auto"/>
        <w:ind w:firstLine="422" w:firstLineChars="200"/>
        <w:rPr>
          <w:rFonts w:ascii="宋体" w:hAnsi="宋体" w:cs="宋体"/>
          <w:color w:val="000000"/>
          <w:szCs w:val="21"/>
        </w:rPr>
      </w:pPr>
      <w:r>
        <w:rPr>
          <w:rFonts w:hint="eastAsia" w:ascii="宋体" w:hAnsi="宋体" w:cs="宋体"/>
          <w:b/>
          <w:bCs/>
          <w:color w:val="000000"/>
          <w:kern w:val="0"/>
          <w:szCs w:val="21"/>
        </w:rPr>
        <w:t xml:space="preserve">第二十条 </w:t>
      </w:r>
      <w:r>
        <w:rPr>
          <w:rFonts w:hint="eastAsia" w:ascii="宋体" w:hAnsi="宋体" w:cs="宋体"/>
          <w:color w:val="000000"/>
          <w:kern w:val="0"/>
          <w:szCs w:val="21"/>
        </w:rPr>
        <w:t>投保人、被保险人或者保险金申请人知道保险事故发生后，应当及时通知保险人。</w:t>
      </w:r>
      <w:r>
        <w:rPr>
          <w:rFonts w:hint="eastAsia" w:ascii="宋体" w:hAnsi="宋体" w:cs="宋体"/>
          <w:b/>
          <w:bCs/>
          <w:color w:val="000000"/>
          <w:kern w:val="0"/>
          <w:szCs w:val="21"/>
        </w:rPr>
        <w:t>故意或者因重大过失未及时通知，致使保险事故的性质、原因、损失程度等难以确定的，保险人对无法确定的部分，不承担给付保险金的责任</w:t>
      </w:r>
      <w:r>
        <w:rPr>
          <w:rFonts w:hint="eastAsia" w:ascii="宋体" w:hAnsi="宋体" w:cs="宋体"/>
          <w:color w:val="000000"/>
          <w:kern w:val="0"/>
          <w:szCs w:val="21"/>
        </w:rPr>
        <w:t>，但保险人通过其他途径已经及时知道或者应当及时知道保险事故发生的不在此限。</w:t>
      </w:r>
    </w:p>
    <w:p>
      <w:pPr>
        <w:widowControl/>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kern w:val="0"/>
          <w:szCs w:val="21"/>
        </w:rPr>
        <w:t>上述约定，不包括因不可抗力而导致的迟延。</w:t>
      </w:r>
    </w:p>
    <w:p>
      <w:pPr>
        <w:widowControl/>
        <w:adjustRightInd w:val="0"/>
        <w:snapToGrid w:val="0"/>
        <w:spacing w:line="360" w:lineRule="auto"/>
        <w:ind w:firstLine="422" w:firstLineChars="200"/>
        <w:rPr>
          <w:rFonts w:ascii="宋体" w:hAnsi="宋体" w:cs="宋体"/>
          <w:color w:val="000000"/>
          <w:szCs w:val="21"/>
        </w:rPr>
      </w:pPr>
      <w:r>
        <w:rPr>
          <w:rFonts w:hint="eastAsia" w:ascii="宋体" w:hAnsi="宋体" w:cs="宋体"/>
          <w:b/>
          <w:bCs/>
          <w:color w:val="000000"/>
          <w:kern w:val="0"/>
          <w:szCs w:val="21"/>
        </w:rPr>
        <w:t xml:space="preserve">第二十一条 </w:t>
      </w:r>
      <w:r>
        <w:rPr>
          <w:rFonts w:hint="eastAsia" w:ascii="宋体" w:hAnsi="宋体" w:cs="宋体"/>
          <w:color w:val="000000"/>
          <w:kern w:val="0"/>
          <w:szCs w:val="21"/>
        </w:rPr>
        <w:t>投保人住所或者通讯地址变更时，应当及时以书面形式通知保险人。投保人未及时通知的，保险人按本合同所载的最后住所或者通讯地址发送的有关通知，均视为已发送给投保人。</w:t>
      </w:r>
    </w:p>
    <w:p>
      <w:pPr>
        <w:widowControl/>
        <w:adjustRightInd w:val="0"/>
        <w:snapToGrid w:val="0"/>
        <w:spacing w:line="360" w:lineRule="auto"/>
        <w:ind w:firstLine="422" w:firstLineChars="200"/>
        <w:jc w:val="center"/>
        <w:rPr>
          <w:rFonts w:ascii="宋体" w:hAnsi="宋体" w:cs="宋体"/>
          <w:b/>
          <w:bCs/>
          <w:color w:val="000000"/>
          <w:szCs w:val="21"/>
        </w:rPr>
      </w:pPr>
      <w:r>
        <w:rPr>
          <w:rFonts w:hint="eastAsia" w:ascii="宋体" w:hAnsi="宋体" w:cs="宋体"/>
          <w:b/>
          <w:bCs/>
          <w:color w:val="000000"/>
          <w:kern w:val="0"/>
          <w:szCs w:val="21"/>
        </w:rPr>
        <w:t>保险金申请与给付</w:t>
      </w:r>
    </w:p>
    <w:p>
      <w:pPr>
        <w:widowControl/>
        <w:adjustRightInd w:val="0"/>
        <w:snapToGrid w:val="0"/>
        <w:spacing w:line="360" w:lineRule="auto"/>
        <w:ind w:firstLine="422" w:firstLineChars="200"/>
        <w:rPr>
          <w:rFonts w:ascii="宋体" w:hAnsi="宋体" w:cs="宋体"/>
          <w:b/>
          <w:bCs/>
          <w:color w:val="000000"/>
          <w:szCs w:val="21"/>
        </w:rPr>
      </w:pPr>
      <w:r>
        <w:rPr>
          <w:rFonts w:hint="eastAsia" w:ascii="宋体" w:hAnsi="宋体" w:cs="宋体"/>
          <w:b/>
          <w:bCs/>
          <w:color w:val="000000"/>
          <w:kern w:val="0"/>
          <w:szCs w:val="21"/>
        </w:rPr>
        <w:t xml:space="preserve">第二十二条 </w:t>
      </w:r>
      <w:r>
        <w:rPr>
          <w:rFonts w:hint="eastAsia" w:ascii="宋体" w:hAnsi="宋体" w:cs="宋体"/>
          <w:color w:val="000000"/>
          <w:kern w:val="0"/>
          <w:szCs w:val="21"/>
        </w:rPr>
        <w:t>保险金申请人向保险人申请给付保险金时，应当以书面形式提交下列证明和资料。保险金申请人因特殊原因不能提供下列证明和资料的，应当提供其他合法、有效的证明和资料。</w:t>
      </w:r>
      <w:r>
        <w:rPr>
          <w:rFonts w:hint="eastAsia" w:ascii="宋体" w:hAnsi="宋体" w:cs="宋体"/>
          <w:b/>
          <w:bCs/>
          <w:color w:val="000000"/>
          <w:kern w:val="0"/>
          <w:szCs w:val="21"/>
        </w:rPr>
        <w:t>保险金申请人未能提供有关证明和资料，导致保险人无法核实该申请的真实性的，保险人对无法核实部分不承担给付保险金的责任</w:t>
      </w:r>
      <w:r>
        <w:rPr>
          <w:rFonts w:hint="eastAsia" w:ascii="宋体" w:hAnsi="宋体" w:cs="宋体"/>
          <w:color w:val="000000"/>
          <w:kern w:val="0"/>
          <w:szCs w:val="21"/>
        </w:rPr>
        <w:t>。</w:t>
      </w:r>
    </w:p>
    <w:p>
      <w:pPr>
        <w:widowControl/>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kern w:val="0"/>
          <w:szCs w:val="21"/>
        </w:rPr>
        <w:t>1．保险金给付申请书；</w:t>
      </w:r>
    </w:p>
    <w:p>
      <w:pPr>
        <w:widowControl/>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kern w:val="0"/>
          <w:szCs w:val="21"/>
        </w:rPr>
        <w:t>2．保险合同原件；</w:t>
      </w:r>
    </w:p>
    <w:p>
      <w:pPr>
        <w:widowControl/>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kern w:val="0"/>
          <w:szCs w:val="21"/>
        </w:rPr>
        <w:t>3．保险金申请人的身份证明、户籍证明，若保险金申请人委托他人申请，还须提供受托人身份证明、授权委托书；</w:t>
      </w:r>
    </w:p>
    <w:p>
      <w:pPr>
        <w:widowControl/>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kern w:val="0"/>
          <w:szCs w:val="21"/>
        </w:rPr>
        <w:t>4．保险人认可的机构（包括公安部门）出具的意外事故证明；</w:t>
      </w:r>
    </w:p>
    <w:p>
      <w:pPr>
        <w:widowControl/>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kern w:val="0"/>
          <w:szCs w:val="21"/>
        </w:rPr>
        <w:t>5．申请意外身故保险金的，除第1至4项约定的证明和资料外，还须提供保险人认可的机构（包括公安部门）出具的被保险人身故证明、被保险人火化证明或者丧葬证明、户籍注销证明。若被保险人为宣告死亡，申请人还须提供法院出具的宣告死亡证明文件；</w:t>
      </w:r>
    </w:p>
    <w:p>
      <w:pPr>
        <w:widowControl/>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kern w:val="0"/>
          <w:szCs w:val="21"/>
        </w:rPr>
        <w:t>6．申请意外伤残保险金的，除第1至4项约定的证明和资料外，还须提供</w:t>
      </w:r>
      <w:r>
        <w:rPr>
          <w:rFonts w:hint="eastAsia" w:ascii="宋体" w:hAnsi="宋体" w:cs="宋体"/>
          <w:kern w:val="0"/>
          <w:szCs w:val="21"/>
        </w:rPr>
        <w:t>二级以上（含）医疗机构或者司法鉴定机构根据《人身保险伤残评定标准及代码》</w:t>
      </w:r>
      <w:r>
        <w:rPr>
          <w:rFonts w:hint="eastAsia" w:ascii="宋体" w:hAnsi="宋体" w:cs="宋体"/>
          <w:color w:val="000000"/>
          <w:kern w:val="0"/>
          <w:szCs w:val="21"/>
        </w:rPr>
        <w:t>出具的伤残程度鉴定诊断书；</w:t>
      </w:r>
    </w:p>
    <w:p>
      <w:pPr>
        <w:widowControl/>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kern w:val="0"/>
          <w:szCs w:val="21"/>
        </w:rPr>
        <w:t>7．投保人、被保险人、保险金申请人所能提供的其他与确认事故的性质、原因、伤害程度等有关的证明和资料。</w:t>
      </w:r>
    </w:p>
    <w:p>
      <w:pPr>
        <w:widowControl/>
        <w:adjustRightInd w:val="0"/>
        <w:snapToGrid w:val="0"/>
        <w:spacing w:line="360" w:lineRule="auto"/>
        <w:ind w:firstLine="422" w:firstLineChars="200"/>
        <w:rPr>
          <w:rFonts w:ascii="宋体" w:hAnsi="宋体" w:cs="宋体"/>
          <w:color w:val="000000"/>
          <w:szCs w:val="21"/>
        </w:rPr>
      </w:pPr>
      <w:r>
        <w:rPr>
          <w:rFonts w:hint="eastAsia" w:ascii="宋体" w:hAnsi="宋体" w:cs="宋体"/>
          <w:b/>
          <w:bCs/>
          <w:color w:val="000000"/>
          <w:kern w:val="0"/>
          <w:szCs w:val="21"/>
        </w:rPr>
        <w:t>第二十三条</w:t>
      </w:r>
      <w:r>
        <w:rPr>
          <w:rFonts w:hint="eastAsia" w:ascii="宋体" w:hAnsi="宋体" w:cs="宋体"/>
          <w:color w:val="000000"/>
          <w:kern w:val="0"/>
          <w:szCs w:val="21"/>
        </w:rPr>
        <w:t xml:space="preserve"> 被保险人遭受保险事故的，保险人有权对投保人、被保险人、保险金申请人等进行调查和检查（包括提请作必要、合理的解剖检验），投保人、被保险人、保险金申请人等应当予以充分配合。</w:t>
      </w:r>
    </w:p>
    <w:p>
      <w:pPr>
        <w:widowControl/>
        <w:adjustRightInd w:val="0"/>
        <w:snapToGrid w:val="0"/>
        <w:spacing w:line="360" w:lineRule="auto"/>
        <w:ind w:firstLine="422" w:firstLineChars="200"/>
        <w:rPr>
          <w:rFonts w:ascii="宋体" w:hAnsi="宋体" w:cs="宋体"/>
          <w:color w:val="000000"/>
          <w:szCs w:val="21"/>
        </w:rPr>
      </w:pPr>
      <w:r>
        <w:rPr>
          <w:rFonts w:hint="eastAsia" w:ascii="宋体" w:hAnsi="宋体" w:cs="宋体"/>
          <w:b/>
          <w:bCs/>
          <w:color w:val="000000"/>
          <w:kern w:val="0"/>
          <w:szCs w:val="21"/>
        </w:rPr>
        <w:t xml:space="preserve">第二十四条 </w:t>
      </w:r>
      <w:r>
        <w:rPr>
          <w:rFonts w:hint="eastAsia" w:ascii="宋体" w:hAnsi="宋体" w:cs="宋体"/>
          <w:color w:val="000000"/>
          <w:kern w:val="0"/>
          <w:szCs w:val="21"/>
        </w:rPr>
        <w:t>保险金申请人向保险人请求给付保险金的诉讼时效期间为二年，自其知道或者应当知道保险事故发生之日起计算。</w:t>
      </w:r>
    </w:p>
    <w:p>
      <w:pPr>
        <w:widowControl/>
        <w:adjustRightInd w:val="0"/>
        <w:snapToGrid w:val="0"/>
        <w:spacing w:line="360" w:lineRule="auto"/>
        <w:ind w:firstLine="422" w:firstLineChars="200"/>
        <w:jc w:val="center"/>
        <w:rPr>
          <w:rFonts w:ascii="宋体" w:hAnsi="宋体" w:cs="宋体"/>
          <w:b/>
          <w:bCs/>
          <w:color w:val="000000"/>
          <w:szCs w:val="21"/>
        </w:rPr>
      </w:pPr>
      <w:r>
        <w:rPr>
          <w:rFonts w:hint="eastAsia" w:ascii="宋体" w:hAnsi="宋体" w:cs="宋体"/>
          <w:b/>
          <w:bCs/>
          <w:color w:val="000000"/>
          <w:kern w:val="0"/>
          <w:szCs w:val="21"/>
        </w:rPr>
        <w:t>保险合同的变更与解除</w:t>
      </w:r>
    </w:p>
    <w:p>
      <w:pPr>
        <w:widowControl/>
        <w:adjustRightInd w:val="0"/>
        <w:snapToGrid w:val="0"/>
        <w:spacing w:line="360" w:lineRule="auto"/>
        <w:ind w:firstLine="422" w:firstLineChars="200"/>
        <w:rPr>
          <w:rFonts w:ascii="宋体" w:hAnsi="宋体" w:cs="宋体"/>
          <w:b/>
          <w:bCs/>
          <w:color w:val="000000"/>
          <w:szCs w:val="21"/>
        </w:rPr>
      </w:pPr>
      <w:r>
        <w:rPr>
          <w:rFonts w:hint="eastAsia" w:ascii="宋体" w:hAnsi="宋体" w:cs="宋体"/>
          <w:b/>
          <w:bCs/>
          <w:color w:val="000000"/>
          <w:kern w:val="0"/>
          <w:szCs w:val="21"/>
        </w:rPr>
        <w:t xml:space="preserve">第二十五条 </w:t>
      </w:r>
      <w:r>
        <w:rPr>
          <w:rFonts w:hint="eastAsia" w:ascii="宋体" w:hAnsi="宋体" w:cs="宋体"/>
          <w:color w:val="000000"/>
          <w:kern w:val="0"/>
          <w:szCs w:val="21"/>
        </w:rPr>
        <w:t>除本合同另有约定外，经投保人、保险人双方协商同意后，可变更本合同的有关内容，在本合同保险单或者其他保险凭证上加以批注或者附贴批单后生效，或者由投保人和保险人订立合同变更书面协议后生效。</w:t>
      </w:r>
    </w:p>
    <w:p>
      <w:pPr>
        <w:widowControl/>
        <w:adjustRightInd w:val="0"/>
        <w:snapToGrid w:val="0"/>
        <w:spacing w:line="360" w:lineRule="auto"/>
        <w:ind w:firstLine="422" w:firstLineChars="200"/>
        <w:rPr>
          <w:rFonts w:ascii="宋体" w:hAnsi="宋体" w:cs="宋体"/>
          <w:color w:val="000000"/>
          <w:szCs w:val="21"/>
        </w:rPr>
      </w:pPr>
      <w:r>
        <w:rPr>
          <w:rFonts w:hint="eastAsia" w:ascii="宋体" w:hAnsi="宋体" w:cs="宋体"/>
          <w:b/>
          <w:bCs/>
          <w:color w:val="000000"/>
          <w:kern w:val="0"/>
          <w:szCs w:val="21"/>
        </w:rPr>
        <w:t>第二十六条</w:t>
      </w:r>
      <w:r>
        <w:rPr>
          <w:rFonts w:hint="eastAsia" w:ascii="宋体" w:hAnsi="宋体" w:cs="宋体"/>
          <w:color w:val="000000"/>
          <w:kern w:val="0"/>
          <w:szCs w:val="21"/>
        </w:rPr>
        <w:t xml:space="preserve"> 发生以下任何情形的，保险人有权解除本合同或者终止对相应被保险人的保险责任，并不退还保险费：</w:t>
      </w:r>
    </w:p>
    <w:p>
      <w:pPr>
        <w:widowControl/>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kern w:val="0"/>
          <w:szCs w:val="21"/>
        </w:rPr>
        <w:t>1．未发生保险事故，保险金申请人谎称发生了保险事故，向保险人提出给付保险金请求；</w:t>
      </w:r>
    </w:p>
    <w:p>
      <w:pPr>
        <w:widowControl/>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kern w:val="0"/>
          <w:szCs w:val="21"/>
        </w:rPr>
        <w:t>2．投保人、被保险人故意制造保险事故。</w:t>
      </w:r>
    </w:p>
    <w:p>
      <w:pPr>
        <w:widowControl/>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kern w:val="0"/>
          <w:szCs w:val="21"/>
        </w:rPr>
        <w:t>前款约定的任何情形致使保险人给付保险金或者支出费用的，投保人、被保险人或者保险金申请人应当退回或者赔偿。</w:t>
      </w:r>
    </w:p>
    <w:p>
      <w:pPr>
        <w:widowControl/>
        <w:adjustRightInd w:val="0"/>
        <w:snapToGrid w:val="0"/>
        <w:spacing w:line="360" w:lineRule="auto"/>
        <w:ind w:firstLine="422" w:firstLineChars="200"/>
        <w:rPr>
          <w:rFonts w:ascii="宋体" w:hAnsi="宋体" w:cs="宋体"/>
          <w:color w:val="000000"/>
          <w:szCs w:val="21"/>
        </w:rPr>
      </w:pPr>
      <w:r>
        <w:rPr>
          <w:rFonts w:hint="eastAsia" w:ascii="宋体" w:hAnsi="宋体" w:cs="宋体"/>
          <w:b/>
          <w:bCs/>
          <w:color w:val="000000"/>
          <w:kern w:val="0"/>
          <w:szCs w:val="21"/>
        </w:rPr>
        <w:t xml:space="preserve">第二十七条 </w:t>
      </w:r>
      <w:r>
        <w:rPr>
          <w:rFonts w:hint="eastAsia" w:ascii="宋体" w:hAnsi="宋体" w:cs="宋体"/>
          <w:color w:val="000000"/>
          <w:kern w:val="0"/>
          <w:szCs w:val="21"/>
        </w:rPr>
        <w:t>在本合同成立后，投保人可以书面形式通知保险人解除本合同，但保险人根据本合同约定已给付保险金的除外。</w:t>
      </w:r>
    </w:p>
    <w:p>
      <w:pPr>
        <w:widowControl/>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kern w:val="0"/>
          <w:szCs w:val="21"/>
        </w:rPr>
        <w:t>投保人解除本保险合同时，应当提供下列证明和资料：</w:t>
      </w:r>
    </w:p>
    <w:p>
      <w:pPr>
        <w:widowControl/>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kern w:val="0"/>
          <w:szCs w:val="21"/>
        </w:rPr>
        <w:t>1．解除合同通知书；</w:t>
      </w:r>
    </w:p>
    <w:p>
      <w:pPr>
        <w:widowControl/>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kern w:val="0"/>
          <w:szCs w:val="21"/>
        </w:rPr>
        <w:t>2．保险合同原件；</w:t>
      </w:r>
    </w:p>
    <w:p>
      <w:pPr>
        <w:widowControl/>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kern w:val="0"/>
          <w:szCs w:val="21"/>
        </w:rPr>
        <w:t>3．投保人身份证明；</w:t>
      </w:r>
    </w:p>
    <w:p>
      <w:pPr>
        <w:widowControl/>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kern w:val="0"/>
          <w:szCs w:val="21"/>
        </w:rPr>
        <w:t>4．保险费发票或者收据；</w:t>
      </w:r>
    </w:p>
    <w:p>
      <w:pPr>
        <w:widowControl/>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kern w:val="0"/>
          <w:szCs w:val="21"/>
        </w:rPr>
        <w:t>5．保险人要求的其他有关证明和资料。</w:t>
      </w:r>
    </w:p>
    <w:p>
      <w:pPr>
        <w:widowControl/>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kern w:val="0"/>
          <w:szCs w:val="21"/>
        </w:rPr>
        <w:t>本合同的效力至保险人接到解除合同通知书之日二十四时或者通知书上载明的合同终止时间（以较晚者为准）终止。自收到前款约定的证明和资料之日起三十日内，保险人退还相应未满期净保险费。</w:t>
      </w:r>
    </w:p>
    <w:p>
      <w:pPr>
        <w:widowControl/>
        <w:adjustRightInd w:val="0"/>
        <w:snapToGrid w:val="0"/>
        <w:spacing w:line="360" w:lineRule="auto"/>
        <w:ind w:firstLine="422" w:firstLineChars="200"/>
        <w:jc w:val="center"/>
        <w:rPr>
          <w:rFonts w:ascii="宋体" w:hAnsi="宋体" w:cs="宋体"/>
          <w:b/>
          <w:bCs/>
          <w:color w:val="000000"/>
          <w:szCs w:val="21"/>
        </w:rPr>
      </w:pPr>
      <w:r>
        <w:rPr>
          <w:rFonts w:hint="eastAsia" w:ascii="宋体" w:hAnsi="宋体" w:cs="宋体"/>
          <w:b/>
          <w:bCs/>
          <w:color w:val="000000"/>
          <w:kern w:val="0"/>
          <w:szCs w:val="21"/>
        </w:rPr>
        <w:t>争议处理与法律适用</w:t>
      </w:r>
    </w:p>
    <w:p>
      <w:pPr>
        <w:widowControl/>
        <w:adjustRightInd w:val="0"/>
        <w:snapToGrid w:val="0"/>
        <w:spacing w:line="360" w:lineRule="auto"/>
        <w:ind w:firstLine="422" w:firstLineChars="200"/>
        <w:rPr>
          <w:rFonts w:ascii="宋体" w:hAnsi="宋体" w:cs="宋体"/>
          <w:color w:val="000000"/>
          <w:szCs w:val="21"/>
        </w:rPr>
      </w:pPr>
      <w:r>
        <w:rPr>
          <w:rFonts w:hint="eastAsia" w:ascii="宋体" w:hAnsi="宋体" w:cs="宋体"/>
          <w:b/>
          <w:bCs/>
          <w:color w:val="000000"/>
          <w:kern w:val="0"/>
          <w:szCs w:val="21"/>
        </w:rPr>
        <w:t xml:space="preserve">第二十八条 </w:t>
      </w:r>
      <w:r>
        <w:rPr>
          <w:rFonts w:hint="eastAsia" w:ascii="宋体" w:hAnsi="宋体" w:cs="宋体"/>
          <w:color w:val="000000"/>
          <w:kern w:val="0"/>
          <w:szCs w:val="21"/>
        </w:rPr>
        <w:t>因履行本合同发生的争议，由当事人协商解决。协商不成的，提交本合同载明的仲裁机构仲裁；本合同未载明仲裁机构或者争议发生后未达成仲裁协议的，依法向人民法院起诉。</w:t>
      </w:r>
    </w:p>
    <w:p>
      <w:pPr>
        <w:widowControl/>
        <w:adjustRightInd w:val="0"/>
        <w:snapToGrid w:val="0"/>
        <w:spacing w:line="360" w:lineRule="auto"/>
        <w:ind w:firstLine="422" w:firstLineChars="200"/>
        <w:rPr>
          <w:rFonts w:ascii="宋体" w:hAnsi="宋体" w:cs="宋体"/>
          <w:color w:val="000000"/>
          <w:szCs w:val="21"/>
        </w:rPr>
      </w:pPr>
      <w:r>
        <w:rPr>
          <w:rFonts w:hint="eastAsia" w:ascii="宋体" w:hAnsi="宋体" w:cs="宋体"/>
          <w:b/>
          <w:bCs/>
          <w:color w:val="000000"/>
          <w:kern w:val="0"/>
          <w:szCs w:val="21"/>
        </w:rPr>
        <w:t xml:space="preserve">第二十九条 </w:t>
      </w:r>
      <w:r>
        <w:rPr>
          <w:rFonts w:hint="eastAsia" w:ascii="宋体" w:hAnsi="宋体" w:cs="宋体"/>
          <w:color w:val="000000"/>
          <w:kern w:val="0"/>
          <w:szCs w:val="21"/>
        </w:rPr>
        <w:t>与本合同有关的以及履行本合同产生的一切争议处理适用中华人民共和国法律（不包括港澳台地区法律）。</w:t>
      </w:r>
    </w:p>
    <w:p>
      <w:pPr>
        <w:widowControl/>
        <w:adjustRightInd w:val="0"/>
        <w:snapToGrid w:val="0"/>
        <w:spacing w:line="360" w:lineRule="auto"/>
        <w:ind w:firstLine="422" w:firstLineChars="200"/>
        <w:jc w:val="center"/>
        <w:rPr>
          <w:rFonts w:ascii="宋体" w:hAnsi="宋体" w:cs="宋体"/>
          <w:b/>
          <w:bCs/>
          <w:color w:val="000000"/>
          <w:szCs w:val="21"/>
        </w:rPr>
      </w:pPr>
      <w:r>
        <w:rPr>
          <w:rFonts w:hint="eastAsia" w:ascii="宋体" w:hAnsi="宋体" w:cs="宋体"/>
          <w:b/>
          <w:bCs/>
          <w:color w:val="000000"/>
          <w:kern w:val="0"/>
          <w:szCs w:val="21"/>
        </w:rPr>
        <w:t>释义</w:t>
      </w:r>
    </w:p>
    <w:p>
      <w:pPr>
        <w:widowControl/>
        <w:adjustRightInd w:val="0"/>
        <w:snapToGrid w:val="0"/>
        <w:spacing w:line="360" w:lineRule="auto"/>
        <w:ind w:firstLine="422" w:firstLineChars="200"/>
        <w:rPr>
          <w:rFonts w:ascii="宋体" w:hAnsi="宋体" w:cs="宋体"/>
          <w:color w:val="000000"/>
          <w:szCs w:val="21"/>
        </w:rPr>
      </w:pPr>
      <w:r>
        <w:rPr>
          <w:rFonts w:hint="eastAsia" w:ascii="宋体" w:hAnsi="宋体" w:cs="宋体"/>
          <w:b/>
          <w:bCs/>
          <w:color w:val="000000"/>
          <w:kern w:val="0"/>
          <w:szCs w:val="21"/>
        </w:rPr>
        <w:t>周岁：</w:t>
      </w:r>
      <w:r>
        <w:rPr>
          <w:rFonts w:hint="eastAsia" w:ascii="宋体" w:hAnsi="宋体" w:cs="宋体"/>
          <w:color w:val="000000"/>
          <w:kern w:val="0"/>
          <w:szCs w:val="21"/>
        </w:rPr>
        <w:t>以法定身份证明文件中记载的出生日期为基础计算的实足年龄。</w:t>
      </w:r>
    </w:p>
    <w:p>
      <w:pPr>
        <w:widowControl/>
        <w:adjustRightInd w:val="0"/>
        <w:snapToGrid w:val="0"/>
        <w:spacing w:line="360" w:lineRule="auto"/>
        <w:ind w:firstLine="422" w:firstLineChars="200"/>
        <w:rPr>
          <w:rFonts w:ascii="宋体" w:hAnsi="宋体" w:cs="宋体"/>
          <w:color w:val="000000"/>
          <w:szCs w:val="21"/>
        </w:rPr>
      </w:pPr>
      <w:r>
        <w:rPr>
          <w:rFonts w:hint="eastAsia" w:ascii="宋体" w:hAnsi="宋体" w:cs="宋体"/>
          <w:b/>
          <w:bCs/>
          <w:color w:val="000000"/>
          <w:kern w:val="0"/>
          <w:szCs w:val="21"/>
        </w:rPr>
        <w:t>意外：</w:t>
      </w:r>
      <w:r>
        <w:rPr>
          <w:rFonts w:hint="eastAsia" w:ascii="宋体" w:hAnsi="宋体" w:cs="宋体"/>
          <w:color w:val="000000"/>
          <w:kern w:val="0"/>
          <w:szCs w:val="21"/>
        </w:rPr>
        <w:t>指外来的、突发的、非本意的、非疾病的使身体受到伤害的客观事件。</w:t>
      </w:r>
    </w:p>
    <w:p>
      <w:pPr>
        <w:widowControl/>
        <w:adjustRightInd w:val="0"/>
        <w:snapToGrid w:val="0"/>
        <w:spacing w:line="360" w:lineRule="auto"/>
        <w:ind w:firstLine="422" w:firstLineChars="200"/>
        <w:rPr>
          <w:rFonts w:ascii="宋体" w:hAnsi="宋体" w:cs="宋体"/>
          <w:b/>
          <w:bCs/>
          <w:color w:val="000000"/>
          <w:szCs w:val="21"/>
        </w:rPr>
      </w:pPr>
      <w:r>
        <w:rPr>
          <w:rFonts w:hint="eastAsia" w:ascii="宋体" w:hAnsi="宋体" w:cs="宋体"/>
          <w:b/>
          <w:bCs/>
          <w:kern w:val="0"/>
          <w:szCs w:val="21"/>
        </w:rPr>
        <w:t>《人身保险伤残评定标准及代码》：</w:t>
      </w:r>
      <w:r>
        <w:rPr>
          <w:rFonts w:hint="eastAsia" w:ascii="宋体" w:hAnsi="宋体" w:cs="宋体"/>
          <w:kern w:val="0"/>
          <w:szCs w:val="21"/>
        </w:rPr>
        <w:t>指由中国保险监督管理委员会发布(保监发[2014]6号)并经国家标准化委员会备案的中华人民共和国金融行业标准，编号JR/T 0083—2013。</w:t>
      </w:r>
    </w:p>
    <w:p>
      <w:pPr>
        <w:widowControl/>
        <w:adjustRightInd w:val="0"/>
        <w:snapToGrid w:val="0"/>
        <w:spacing w:line="360" w:lineRule="auto"/>
        <w:ind w:firstLine="422" w:firstLineChars="200"/>
        <w:rPr>
          <w:rFonts w:ascii="宋体" w:hAnsi="宋体" w:cs="宋体"/>
          <w:color w:val="000000"/>
          <w:szCs w:val="21"/>
        </w:rPr>
      </w:pPr>
      <w:r>
        <w:rPr>
          <w:rFonts w:hint="eastAsia" w:ascii="宋体" w:hAnsi="宋体" w:cs="宋体"/>
          <w:b/>
          <w:bCs/>
          <w:color w:val="000000"/>
          <w:kern w:val="0"/>
          <w:szCs w:val="21"/>
        </w:rPr>
        <w:t>猝死：</w:t>
      </w:r>
      <w:r>
        <w:rPr>
          <w:rFonts w:hint="eastAsia" w:ascii="宋体" w:hAnsi="宋体" w:cs="宋体"/>
          <w:kern w:val="0"/>
          <w:szCs w:val="21"/>
        </w:rPr>
        <w:t>指表面健康的人因潜在疾病、机能障碍或其他原因在出现症状后较短时间内发生的非暴力性突然死亡。猝死的认定以医院的诊断或公安部门的鉴定为准。</w:t>
      </w:r>
    </w:p>
    <w:p>
      <w:pPr>
        <w:widowControl/>
        <w:adjustRightInd w:val="0"/>
        <w:snapToGrid w:val="0"/>
        <w:spacing w:line="360" w:lineRule="auto"/>
        <w:ind w:firstLine="422" w:firstLineChars="200"/>
        <w:rPr>
          <w:rFonts w:ascii="宋体" w:hAnsi="宋体" w:cs="宋体"/>
          <w:color w:val="000000"/>
          <w:szCs w:val="21"/>
        </w:rPr>
      </w:pPr>
      <w:r>
        <w:rPr>
          <w:rFonts w:hint="eastAsia" w:ascii="宋体" w:hAnsi="宋体" w:cs="宋体"/>
          <w:b/>
          <w:bCs/>
          <w:color w:val="000000"/>
          <w:kern w:val="0"/>
          <w:szCs w:val="21"/>
        </w:rPr>
        <w:t>医疗事故：</w:t>
      </w:r>
      <w:r>
        <w:rPr>
          <w:rFonts w:hint="eastAsia" w:ascii="宋体" w:hAnsi="宋体" w:cs="宋体"/>
          <w:color w:val="000000"/>
          <w:kern w:val="0"/>
          <w:szCs w:val="21"/>
        </w:rPr>
        <w:t>指医疗机构及其医务人员在医疗活动中，违反医疗卫生管理法律、行政法规、部门规章和诊疗护理规范、常规，过失造成患者人身伤害的事故。</w:t>
      </w:r>
    </w:p>
    <w:p>
      <w:pPr>
        <w:widowControl/>
        <w:adjustRightInd w:val="0"/>
        <w:snapToGrid w:val="0"/>
        <w:spacing w:line="360" w:lineRule="auto"/>
        <w:ind w:firstLine="422" w:firstLineChars="200"/>
        <w:rPr>
          <w:rFonts w:ascii="宋体" w:hAnsi="宋体" w:cs="宋体"/>
          <w:color w:val="000000"/>
          <w:szCs w:val="21"/>
        </w:rPr>
      </w:pPr>
      <w:r>
        <w:rPr>
          <w:rFonts w:hint="eastAsia" w:ascii="宋体" w:hAnsi="宋体" w:cs="宋体"/>
          <w:b/>
          <w:bCs/>
          <w:color w:val="000000"/>
          <w:kern w:val="0"/>
          <w:szCs w:val="21"/>
        </w:rPr>
        <w:t>潜水：</w:t>
      </w:r>
      <w:r>
        <w:rPr>
          <w:rFonts w:hint="eastAsia" w:ascii="宋体" w:hAnsi="宋体" w:cs="宋体"/>
          <w:color w:val="000000"/>
          <w:kern w:val="0"/>
          <w:szCs w:val="21"/>
        </w:rPr>
        <w:t>指以辅助呼吸器材在江、河、湖、海、水库、运河等水域进行的水下活动。</w:t>
      </w:r>
    </w:p>
    <w:p>
      <w:pPr>
        <w:widowControl/>
        <w:adjustRightInd w:val="0"/>
        <w:snapToGrid w:val="0"/>
        <w:spacing w:line="360" w:lineRule="auto"/>
        <w:ind w:firstLine="422" w:firstLineChars="200"/>
        <w:rPr>
          <w:rFonts w:ascii="宋体" w:hAnsi="宋体" w:cs="宋体"/>
          <w:color w:val="000000"/>
          <w:szCs w:val="21"/>
        </w:rPr>
      </w:pPr>
      <w:r>
        <w:rPr>
          <w:rFonts w:hint="eastAsia" w:ascii="宋体" w:hAnsi="宋体" w:cs="宋体"/>
          <w:b/>
          <w:bCs/>
          <w:color w:val="000000"/>
          <w:kern w:val="0"/>
          <w:szCs w:val="21"/>
        </w:rPr>
        <w:t>攀岩：</w:t>
      </w:r>
      <w:r>
        <w:rPr>
          <w:rFonts w:hint="eastAsia" w:ascii="宋体" w:hAnsi="宋体" w:cs="宋体"/>
          <w:color w:val="000000"/>
          <w:kern w:val="0"/>
          <w:szCs w:val="21"/>
        </w:rPr>
        <w:t xml:space="preserve">指攀登悬崖、楼宇外墙、人造悬崖、冰崖、冰山等运动。 </w:t>
      </w:r>
    </w:p>
    <w:p>
      <w:pPr>
        <w:widowControl/>
        <w:adjustRightInd w:val="0"/>
        <w:snapToGrid w:val="0"/>
        <w:spacing w:line="360" w:lineRule="auto"/>
        <w:ind w:firstLine="422" w:firstLineChars="200"/>
        <w:rPr>
          <w:rFonts w:ascii="宋体" w:hAnsi="宋体" w:cs="宋体"/>
          <w:color w:val="000000"/>
          <w:szCs w:val="21"/>
        </w:rPr>
      </w:pPr>
      <w:r>
        <w:rPr>
          <w:rFonts w:hint="eastAsia" w:ascii="宋体" w:hAnsi="宋体" w:cs="宋体"/>
          <w:b/>
          <w:bCs/>
          <w:color w:val="000000"/>
          <w:kern w:val="0"/>
          <w:szCs w:val="21"/>
        </w:rPr>
        <w:t>探险：</w:t>
      </w:r>
      <w:r>
        <w:rPr>
          <w:rFonts w:hint="eastAsia" w:ascii="宋体" w:hAnsi="宋体" w:cs="宋体"/>
          <w:color w:val="000000"/>
          <w:kern w:val="0"/>
          <w:szCs w:val="21"/>
        </w:rPr>
        <w:t>指明知在某种特定的自然条件下有失去生命或者使身体受到伤害的危险，而故意使自己置身其中的行为。如江河漂流、徒步穿越沙漠或者人迹罕至的原始森林等活动。</w:t>
      </w:r>
    </w:p>
    <w:p>
      <w:pPr>
        <w:widowControl/>
        <w:adjustRightInd w:val="0"/>
        <w:snapToGrid w:val="0"/>
        <w:spacing w:line="360" w:lineRule="auto"/>
        <w:ind w:firstLine="422" w:firstLineChars="200"/>
        <w:rPr>
          <w:rFonts w:ascii="宋体" w:hAnsi="宋体" w:cs="宋体"/>
          <w:color w:val="000000"/>
          <w:szCs w:val="21"/>
        </w:rPr>
      </w:pPr>
      <w:r>
        <w:rPr>
          <w:rFonts w:hint="eastAsia" w:ascii="宋体" w:hAnsi="宋体" w:cs="宋体"/>
          <w:b/>
          <w:bCs/>
          <w:color w:val="000000"/>
          <w:kern w:val="0"/>
          <w:szCs w:val="21"/>
        </w:rPr>
        <w:t>武术比赛：</w:t>
      </w:r>
      <w:r>
        <w:rPr>
          <w:rFonts w:hint="eastAsia" w:ascii="宋体" w:hAnsi="宋体" w:cs="宋体"/>
          <w:color w:val="000000"/>
          <w:kern w:val="0"/>
          <w:szCs w:val="21"/>
        </w:rPr>
        <w:t>指两人或者两人以上对抗性柔道、空手道、跆拳道、散打、拳击等各种拳术及各种使用器械的对抗性比赛。</w:t>
      </w:r>
    </w:p>
    <w:p>
      <w:pPr>
        <w:widowControl/>
        <w:adjustRightInd w:val="0"/>
        <w:snapToGrid w:val="0"/>
        <w:spacing w:line="360" w:lineRule="auto"/>
        <w:ind w:firstLine="422" w:firstLineChars="200"/>
        <w:rPr>
          <w:rFonts w:ascii="宋体" w:hAnsi="宋体" w:cs="宋体"/>
          <w:color w:val="000000"/>
          <w:szCs w:val="21"/>
        </w:rPr>
      </w:pPr>
      <w:r>
        <w:rPr>
          <w:rFonts w:hint="eastAsia" w:ascii="宋体" w:hAnsi="宋体" w:cs="宋体"/>
          <w:b/>
          <w:bCs/>
          <w:color w:val="000000"/>
          <w:kern w:val="0"/>
          <w:szCs w:val="21"/>
        </w:rPr>
        <w:t>特技：</w:t>
      </w:r>
      <w:r>
        <w:rPr>
          <w:rFonts w:hint="eastAsia" w:ascii="宋体" w:hAnsi="宋体" w:cs="宋体"/>
          <w:color w:val="000000"/>
          <w:kern w:val="0"/>
          <w:szCs w:val="21"/>
        </w:rPr>
        <w:t>指从事马术、杂技、驯兽等方面的表演、运动或者其他专门活动的特殊技能。</w:t>
      </w:r>
    </w:p>
    <w:p>
      <w:pPr>
        <w:widowControl/>
        <w:adjustRightInd w:val="0"/>
        <w:snapToGrid w:val="0"/>
        <w:spacing w:line="360" w:lineRule="auto"/>
        <w:ind w:firstLine="422" w:firstLineChars="200"/>
        <w:rPr>
          <w:rFonts w:ascii="宋体" w:hAnsi="宋体" w:cs="宋体"/>
          <w:color w:val="000000"/>
          <w:szCs w:val="21"/>
        </w:rPr>
      </w:pPr>
      <w:r>
        <w:rPr>
          <w:rFonts w:hint="eastAsia" w:ascii="宋体" w:hAnsi="宋体" w:cs="宋体"/>
          <w:b/>
          <w:bCs/>
          <w:color w:val="000000"/>
          <w:kern w:val="0"/>
          <w:szCs w:val="21"/>
        </w:rPr>
        <w:t>恐怖主义活动</w:t>
      </w:r>
      <w:r>
        <w:rPr>
          <w:rFonts w:hint="eastAsia" w:ascii="宋体" w:hAnsi="宋体" w:cs="宋体"/>
          <w:color w:val="000000"/>
          <w:kern w:val="0"/>
          <w:szCs w:val="21"/>
        </w:rPr>
        <w:t>：指任何人或者团伙出于政治、宗教、思想意识或者类似目的，为对政府施加影响和（或者）使全体或者部分公众处于恐惧、不安状态的行为。恐怖主义活动包括但不限于实际使用或者威胁使用武力或者暴力。恐怖主义活动，可仅为实施该活动者本身行为，或者代表某一机构、政府，或者与某一机构、政府相关。</w:t>
      </w:r>
    </w:p>
    <w:p>
      <w:pPr>
        <w:widowControl/>
        <w:adjustRightInd w:val="0"/>
        <w:snapToGrid w:val="0"/>
        <w:spacing w:line="360" w:lineRule="auto"/>
        <w:ind w:firstLine="422" w:firstLineChars="200"/>
        <w:rPr>
          <w:rFonts w:ascii="宋体" w:hAnsi="宋体" w:cs="宋体"/>
          <w:color w:val="000000"/>
          <w:szCs w:val="21"/>
        </w:rPr>
      </w:pPr>
      <w:r>
        <w:rPr>
          <w:rFonts w:hint="eastAsia" w:ascii="宋体" w:hAnsi="宋体" w:cs="宋体"/>
          <w:b/>
          <w:bCs/>
          <w:color w:val="000000"/>
          <w:kern w:val="0"/>
          <w:szCs w:val="21"/>
        </w:rPr>
        <w:t>毒品</w:t>
      </w:r>
      <w:r>
        <w:rPr>
          <w:rFonts w:hint="eastAsia" w:ascii="宋体" w:hAnsi="宋体" w:cs="宋体"/>
          <w:color w:val="000000"/>
          <w:kern w:val="0"/>
          <w:szCs w:val="21"/>
        </w:rPr>
        <w:t>：指中华人民共和国刑法规定的鸦片、海洛因、甲基苯丙胺（冰毒）、吗啡、大麻、可卡因以及国家规定管制的其他能够使人形成瘾癖的麻醉药品和精神药品。</w:t>
      </w:r>
    </w:p>
    <w:p>
      <w:pPr>
        <w:widowControl/>
        <w:adjustRightInd w:val="0"/>
        <w:snapToGrid w:val="0"/>
        <w:spacing w:line="360" w:lineRule="auto"/>
        <w:ind w:firstLine="422" w:firstLineChars="200"/>
        <w:rPr>
          <w:rFonts w:ascii="宋体" w:hAnsi="宋体" w:cs="宋体"/>
          <w:color w:val="000000"/>
          <w:szCs w:val="21"/>
        </w:rPr>
      </w:pPr>
      <w:r>
        <w:rPr>
          <w:rFonts w:hint="eastAsia" w:ascii="宋体" w:hAnsi="宋体" w:cs="宋体"/>
          <w:b/>
          <w:bCs/>
          <w:color w:val="000000"/>
          <w:kern w:val="0"/>
          <w:szCs w:val="21"/>
        </w:rPr>
        <w:t>管制药品</w:t>
      </w:r>
      <w:r>
        <w:rPr>
          <w:rFonts w:hint="eastAsia" w:ascii="宋体" w:hAnsi="宋体" w:cs="宋体"/>
          <w:color w:val="000000"/>
          <w:kern w:val="0"/>
          <w:szCs w:val="21"/>
        </w:rPr>
        <w:t>：指根据《中华人民共和国药品管理法》及有关法规被列为特殊管理的药品，包括麻醉药品、精神药品、毒性药品及放射性药品。</w:t>
      </w:r>
    </w:p>
    <w:p>
      <w:pPr>
        <w:widowControl/>
        <w:adjustRightInd w:val="0"/>
        <w:snapToGrid w:val="0"/>
        <w:spacing w:line="360" w:lineRule="auto"/>
        <w:ind w:firstLine="422" w:firstLineChars="200"/>
        <w:rPr>
          <w:rFonts w:ascii="宋体" w:hAnsi="宋体" w:cs="宋体"/>
          <w:color w:val="000000"/>
          <w:szCs w:val="21"/>
        </w:rPr>
      </w:pPr>
      <w:r>
        <w:rPr>
          <w:rFonts w:hint="eastAsia" w:ascii="宋体" w:hAnsi="宋体" w:cs="宋体"/>
          <w:b/>
          <w:bCs/>
          <w:color w:val="000000"/>
          <w:kern w:val="0"/>
          <w:szCs w:val="21"/>
        </w:rPr>
        <w:t>艾滋病：</w:t>
      </w:r>
      <w:r>
        <w:rPr>
          <w:rFonts w:hint="eastAsia" w:ascii="宋体" w:hAnsi="宋体" w:cs="宋体"/>
          <w:color w:val="000000"/>
          <w:kern w:val="0"/>
          <w:szCs w:val="21"/>
        </w:rPr>
        <w:t>指获得性免疫缺陷综合症的简称。</w:t>
      </w:r>
    </w:p>
    <w:p>
      <w:pPr>
        <w:widowControl/>
        <w:adjustRightInd w:val="0"/>
        <w:snapToGrid w:val="0"/>
        <w:spacing w:line="360" w:lineRule="auto"/>
        <w:ind w:firstLine="422" w:firstLineChars="200"/>
        <w:rPr>
          <w:rFonts w:ascii="宋体" w:hAnsi="宋体" w:cs="宋体"/>
          <w:color w:val="000000"/>
          <w:szCs w:val="21"/>
        </w:rPr>
      </w:pPr>
      <w:r>
        <w:rPr>
          <w:rFonts w:hint="eastAsia" w:ascii="宋体" w:hAnsi="宋体" w:cs="宋体"/>
          <w:b/>
          <w:bCs/>
          <w:color w:val="000000"/>
          <w:kern w:val="0"/>
          <w:szCs w:val="21"/>
        </w:rPr>
        <w:t>艾滋病病毒：</w:t>
      </w:r>
      <w:r>
        <w:rPr>
          <w:rFonts w:hint="eastAsia" w:ascii="宋体" w:hAnsi="宋体" w:cs="宋体"/>
          <w:color w:val="000000"/>
          <w:kern w:val="0"/>
          <w:szCs w:val="21"/>
        </w:rPr>
        <w:t>指获得性免疫缺陷病毒的简称。</w:t>
      </w:r>
    </w:p>
    <w:p>
      <w:pPr>
        <w:widowControl/>
        <w:adjustRightInd w:val="0"/>
        <w:snapToGrid w:val="0"/>
        <w:spacing w:line="360" w:lineRule="auto"/>
        <w:ind w:firstLine="422" w:firstLineChars="200"/>
        <w:rPr>
          <w:rFonts w:ascii="宋体" w:hAnsi="宋体" w:cs="宋体"/>
          <w:color w:val="000000"/>
          <w:szCs w:val="21"/>
        </w:rPr>
      </w:pPr>
      <w:r>
        <w:rPr>
          <w:rFonts w:hint="eastAsia" w:ascii="宋体" w:hAnsi="宋体" w:cs="宋体"/>
          <w:b/>
          <w:bCs/>
          <w:color w:val="000000"/>
          <w:kern w:val="0"/>
          <w:szCs w:val="21"/>
        </w:rPr>
        <w:t>获得性免疫缺陷综合症（AIDS）：</w:t>
      </w:r>
      <w:r>
        <w:rPr>
          <w:rFonts w:hint="eastAsia" w:ascii="宋体" w:hAnsi="宋体" w:cs="宋体"/>
          <w:color w:val="000000"/>
          <w:kern w:val="0"/>
          <w:szCs w:val="21"/>
        </w:rPr>
        <w:t>其定义按世界卫生组织制定的定义为准。若在被保险人的血液样本中发现艾滋病病毒或者其抗体，则认定被保险人已感染艾滋病病毒或者患艾滋病。</w:t>
      </w:r>
    </w:p>
    <w:p>
      <w:pPr>
        <w:widowControl/>
        <w:adjustRightInd w:val="0"/>
        <w:snapToGrid w:val="0"/>
        <w:spacing w:line="360" w:lineRule="auto"/>
        <w:ind w:firstLine="422" w:firstLineChars="200"/>
        <w:rPr>
          <w:rFonts w:ascii="宋体" w:hAnsi="宋体" w:cs="宋体"/>
          <w:color w:val="000000"/>
          <w:szCs w:val="21"/>
        </w:rPr>
      </w:pPr>
      <w:r>
        <w:rPr>
          <w:rFonts w:hint="eastAsia" w:ascii="宋体" w:hAnsi="宋体" w:cs="宋体"/>
          <w:b/>
          <w:bCs/>
          <w:color w:val="000000"/>
          <w:kern w:val="0"/>
          <w:szCs w:val="21"/>
        </w:rPr>
        <w:t>酒后驾驶</w:t>
      </w:r>
      <w:r>
        <w:rPr>
          <w:rFonts w:hint="eastAsia" w:ascii="宋体" w:hAnsi="宋体" w:cs="宋体"/>
          <w:color w:val="000000"/>
          <w:kern w:val="0"/>
          <w:szCs w:val="21"/>
        </w:rPr>
        <w:t>：指经检测或者鉴定，发生事故时车辆驾驶人员每百毫升血液中的酒精含量达到或者超过道路交通法规规定的标准。</w:t>
      </w:r>
    </w:p>
    <w:p>
      <w:pPr>
        <w:widowControl/>
        <w:adjustRightInd w:val="0"/>
        <w:snapToGrid w:val="0"/>
        <w:spacing w:line="360" w:lineRule="auto"/>
        <w:ind w:firstLine="422" w:firstLineChars="200"/>
        <w:rPr>
          <w:rFonts w:ascii="宋体" w:hAnsi="宋体" w:cs="宋体"/>
          <w:color w:val="000000"/>
          <w:szCs w:val="21"/>
        </w:rPr>
      </w:pPr>
      <w:r>
        <w:rPr>
          <w:rFonts w:hint="eastAsia" w:ascii="宋体" w:hAnsi="宋体" w:cs="宋体"/>
          <w:b/>
          <w:bCs/>
          <w:color w:val="000000"/>
          <w:kern w:val="0"/>
          <w:szCs w:val="21"/>
        </w:rPr>
        <w:t>无有效驾驶证驾驶：</w:t>
      </w:r>
      <w:r>
        <w:rPr>
          <w:rFonts w:hint="eastAsia" w:ascii="宋体" w:hAnsi="宋体" w:cs="宋体"/>
          <w:color w:val="000000"/>
          <w:kern w:val="0"/>
          <w:szCs w:val="21"/>
        </w:rPr>
        <w:t>包括下列任何情形：</w:t>
      </w:r>
    </w:p>
    <w:p>
      <w:pPr>
        <w:widowControl/>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kern w:val="0"/>
          <w:szCs w:val="21"/>
        </w:rPr>
        <w:t>1．无驾驶证驾驶或者持有效期已届满的驾驶证驾驶；</w:t>
      </w:r>
    </w:p>
    <w:p>
      <w:pPr>
        <w:widowControl/>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kern w:val="0"/>
          <w:szCs w:val="21"/>
        </w:rPr>
        <w:t>2．驾驶的机动交通工具与驾驶证载明的准驾车型不符；</w:t>
      </w:r>
    </w:p>
    <w:p>
      <w:pPr>
        <w:widowControl/>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kern w:val="0"/>
          <w:szCs w:val="21"/>
        </w:rPr>
        <w:t>3．实习期内驾驶公共汽车、营运客车或者载有爆炸物品、易燃易爆化学物品、剧毒或者放射性物品等危险物品的机动交通工具，实习期内驾驶机动交通工具牵引挂车；</w:t>
      </w:r>
    </w:p>
    <w:p>
      <w:pPr>
        <w:widowControl/>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kern w:val="0"/>
          <w:szCs w:val="21"/>
        </w:rPr>
        <w:t>4．持未按规定审验的驾驶证驾驶，以及驾驶证被暂扣、扣留、吊销或者注销期间驾驶机动交通工具；</w:t>
      </w:r>
    </w:p>
    <w:p>
      <w:pPr>
        <w:widowControl/>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kern w:val="0"/>
          <w:szCs w:val="21"/>
        </w:rPr>
        <w:t>5．使用各种专用机械车、特种车的人员无国家有关部门核发的有效操作证，驾驶营业性客车的驾驶人无国家有关部门核发的有效资格证书；</w:t>
      </w:r>
    </w:p>
    <w:p>
      <w:pPr>
        <w:widowControl/>
        <w:adjustRightInd w:val="0"/>
        <w:snapToGrid w:val="0"/>
        <w:spacing w:line="360" w:lineRule="auto"/>
        <w:ind w:firstLine="420" w:firstLineChars="200"/>
        <w:rPr>
          <w:rFonts w:ascii="宋体" w:hAnsi="宋体" w:cs="宋体"/>
          <w:b/>
          <w:bCs/>
          <w:color w:val="000000"/>
          <w:szCs w:val="21"/>
        </w:rPr>
      </w:pPr>
      <w:r>
        <w:rPr>
          <w:rFonts w:hint="eastAsia" w:ascii="宋体" w:hAnsi="宋体" w:cs="宋体"/>
          <w:color w:val="000000"/>
          <w:kern w:val="0"/>
          <w:szCs w:val="21"/>
        </w:rPr>
        <w:t>6．在依照法律法规或者公安机关交通管理部门有关规定不允许驾驶机动交通工具的其他情况下驾驶机动交通工具。</w:t>
      </w:r>
    </w:p>
    <w:p>
      <w:pPr>
        <w:widowControl/>
        <w:adjustRightInd w:val="0"/>
        <w:snapToGrid w:val="0"/>
        <w:spacing w:line="360" w:lineRule="auto"/>
        <w:ind w:firstLine="422" w:firstLineChars="200"/>
        <w:rPr>
          <w:rFonts w:ascii="宋体" w:hAnsi="宋体" w:cs="宋体"/>
          <w:color w:val="000000"/>
          <w:szCs w:val="21"/>
        </w:rPr>
      </w:pPr>
      <w:r>
        <w:rPr>
          <w:rFonts w:hint="eastAsia" w:ascii="宋体" w:hAnsi="宋体" w:cs="宋体"/>
          <w:b/>
          <w:bCs/>
          <w:color w:val="000000"/>
          <w:kern w:val="0"/>
          <w:szCs w:val="21"/>
        </w:rPr>
        <w:t>无有效行驶证：</w:t>
      </w:r>
      <w:r>
        <w:rPr>
          <w:rFonts w:hint="eastAsia" w:ascii="宋体" w:hAnsi="宋体" w:cs="宋体"/>
          <w:color w:val="000000"/>
          <w:kern w:val="0"/>
          <w:szCs w:val="21"/>
        </w:rPr>
        <w:t>包括下列任何情形：</w:t>
      </w:r>
    </w:p>
    <w:p>
      <w:pPr>
        <w:widowControl/>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kern w:val="0"/>
          <w:szCs w:val="21"/>
        </w:rPr>
        <w:t>1．机动交通工具被依法注销登记；</w:t>
      </w:r>
    </w:p>
    <w:p>
      <w:pPr>
        <w:widowControl/>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kern w:val="0"/>
          <w:szCs w:val="21"/>
        </w:rPr>
        <w:t>2．机动交通工具无公安机关交通管理部门核发的行驶证、号牌，或者临时号牌或者临时移动证；</w:t>
      </w:r>
    </w:p>
    <w:p>
      <w:pPr>
        <w:widowControl/>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kern w:val="0"/>
          <w:szCs w:val="21"/>
        </w:rPr>
        <w:t>3．机动交通工具未在规定检验期限内进行安全技术检验或者检验未通过，未依法按时进行或者通过安全技术检验。</w:t>
      </w:r>
    </w:p>
    <w:p>
      <w:pPr>
        <w:widowControl/>
        <w:adjustRightInd w:val="0"/>
        <w:snapToGrid w:val="0"/>
        <w:spacing w:line="360" w:lineRule="auto"/>
        <w:ind w:firstLine="422" w:firstLineChars="200"/>
        <w:rPr>
          <w:rFonts w:ascii="宋体" w:hAnsi="宋体" w:cs="宋体"/>
          <w:b/>
          <w:bCs/>
          <w:color w:val="000000"/>
          <w:szCs w:val="21"/>
        </w:rPr>
      </w:pPr>
      <w:r>
        <w:rPr>
          <w:rFonts w:hint="eastAsia" w:ascii="宋体" w:hAnsi="宋体" w:cs="宋体"/>
          <w:b/>
          <w:bCs/>
          <w:color w:val="000000"/>
          <w:kern w:val="0"/>
          <w:szCs w:val="21"/>
        </w:rPr>
        <w:t>保险金申请人：</w:t>
      </w:r>
      <w:r>
        <w:rPr>
          <w:rFonts w:hint="eastAsia" w:ascii="宋体" w:hAnsi="宋体" w:cs="宋体"/>
          <w:color w:val="000000"/>
          <w:kern w:val="0"/>
          <w:szCs w:val="21"/>
        </w:rPr>
        <w:t>指受益人、被保险人的继承人或者依法享有保险金请求权的其他人。</w:t>
      </w:r>
    </w:p>
    <w:p>
      <w:pPr>
        <w:widowControl/>
        <w:adjustRightInd w:val="0"/>
        <w:snapToGrid w:val="0"/>
        <w:spacing w:line="360" w:lineRule="auto"/>
        <w:ind w:firstLine="422" w:firstLineChars="200"/>
        <w:rPr>
          <w:rFonts w:ascii="宋体" w:hAnsi="宋体" w:cs="宋体"/>
          <w:color w:val="000000"/>
          <w:szCs w:val="21"/>
        </w:rPr>
      </w:pPr>
      <w:r>
        <w:rPr>
          <w:rFonts w:hint="eastAsia" w:ascii="宋体" w:hAnsi="宋体" w:cs="宋体"/>
          <w:b/>
          <w:bCs/>
          <w:color w:val="000000"/>
          <w:kern w:val="0"/>
          <w:szCs w:val="21"/>
        </w:rPr>
        <w:t>不可抗力：</w:t>
      </w:r>
      <w:r>
        <w:rPr>
          <w:rFonts w:hint="eastAsia" w:ascii="宋体" w:hAnsi="宋体" w:cs="宋体"/>
          <w:color w:val="000000"/>
          <w:kern w:val="0"/>
          <w:szCs w:val="21"/>
        </w:rPr>
        <w:t>指不能预见、不能避免并不能克服的客观情况。</w:t>
      </w:r>
    </w:p>
    <w:p>
      <w:pPr>
        <w:widowControl/>
        <w:adjustRightInd w:val="0"/>
        <w:snapToGrid w:val="0"/>
        <w:spacing w:line="360" w:lineRule="auto"/>
        <w:ind w:firstLine="422" w:firstLineChars="200"/>
        <w:rPr>
          <w:rFonts w:ascii="宋体" w:hAnsi="宋体" w:cs="宋体"/>
          <w:color w:val="000000"/>
          <w:szCs w:val="21"/>
        </w:rPr>
      </w:pPr>
      <w:r>
        <w:rPr>
          <w:rFonts w:hint="eastAsia" w:ascii="宋体" w:hAnsi="宋体" w:cs="宋体"/>
          <w:b/>
          <w:bCs/>
          <w:color w:val="000000"/>
          <w:kern w:val="0"/>
          <w:szCs w:val="21"/>
        </w:rPr>
        <w:t>未满期保险费：</w:t>
      </w:r>
      <w:r>
        <w:rPr>
          <w:rFonts w:hint="eastAsia" w:ascii="宋体" w:hAnsi="宋体" w:cs="宋体"/>
          <w:color w:val="000000"/>
          <w:kern w:val="0"/>
          <w:szCs w:val="21"/>
        </w:rPr>
        <w:t>每一被保险人未满期保险费=该被保险人保险费×[1-(对该被保险人保险责任已经过日数/该被保险人保险期间日数)]。已经过日数不足一日的，按一日计算。</w:t>
      </w:r>
    </w:p>
    <w:p>
      <w:pPr>
        <w:widowControl/>
        <w:adjustRightInd w:val="0"/>
        <w:snapToGrid w:val="0"/>
        <w:spacing w:line="360" w:lineRule="auto"/>
        <w:ind w:firstLine="422" w:firstLineChars="200"/>
        <w:rPr>
          <w:rFonts w:ascii="宋体" w:hAnsi="宋体" w:cs="宋体"/>
          <w:color w:val="000000"/>
          <w:kern w:val="0"/>
          <w:szCs w:val="21"/>
        </w:rPr>
      </w:pPr>
      <w:r>
        <w:rPr>
          <w:rFonts w:hint="eastAsia" w:ascii="宋体" w:hAnsi="宋体" w:cs="宋体"/>
          <w:b/>
          <w:bCs/>
          <w:color w:val="000000"/>
          <w:kern w:val="0"/>
          <w:szCs w:val="21"/>
        </w:rPr>
        <w:t>未满期净保险费：</w:t>
      </w:r>
      <w:r>
        <w:rPr>
          <w:rFonts w:hint="eastAsia" w:ascii="宋体" w:hAnsi="宋体" w:cs="宋体"/>
          <w:color w:val="000000"/>
          <w:kern w:val="0"/>
          <w:szCs w:val="21"/>
        </w:rPr>
        <w:t>未满期净保险费=未满期保险费×（1-25%）。</w:t>
      </w:r>
    </w:p>
    <w:p>
      <w:pPr>
        <w:spacing w:line="360" w:lineRule="auto"/>
        <w:ind w:firstLine="420" w:firstLineChars="200"/>
        <w:rPr>
          <w:rFonts w:ascii="宋体" w:hAnsi="宋体" w:cs="宋体"/>
          <w:szCs w:val="21"/>
        </w:rPr>
      </w:pPr>
    </w:p>
    <w:p>
      <w:pPr>
        <w:widowControl/>
        <w:adjustRightInd w:val="0"/>
        <w:snapToGrid w:val="0"/>
        <w:spacing w:line="360" w:lineRule="auto"/>
        <w:ind w:firstLine="422" w:firstLineChars="200"/>
        <w:jc w:val="center"/>
        <w:rPr>
          <w:rFonts w:ascii="宋体" w:hAnsi="宋体" w:cs="宋体"/>
          <w:b/>
          <w:bCs/>
          <w:szCs w:val="21"/>
        </w:rPr>
      </w:pPr>
    </w:p>
    <w:p>
      <w:pPr>
        <w:widowControl/>
        <w:adjustRightInd w:val="0"/>
        <w:snapToGrid w:val="0"/>
        <w:spacing w:line="360" w:lineRule="auto"/>
        <w:ind w:firstLine="422" w:firstLineChars="200"/>
        <w:jc w:val="center"/>
        <w:outlineLvl w:val="1"/>
        <w:rPr>
          <w:rFonts w:ascii="宋体" w:hAnsi="宋体" w:cs="宋体"/>
          <w:b/>
          <w:bCs/>
          <w:szCs w:val="21"/>
        </w:rPr>
      </w:pPr>
      <w:r>
        <w:rPr>
          <w:rFonts w:hint="eastAsia" w:ascii="宋体" w:hAnsi="宋体" w:cs="宋体"/>
          <w:b/>
          <w:bCs/>
          <w:szCs w:val="21"/>
        </w:rPr>
        <w:t>（二）公共交通工具意外伤害保险条款</w:t>
      </w:r>
    </w:p>
    <w:p>
      <w:pPr>
        <w:widowControl/>
        <w:adjustRightInd w:val="0"/>
        <w:snapToGrid w:val="0"/>
        <w:spacing w:line="360" w:lineRule="auto"/>
        <w:ind w:firstLine="422" w:firstLineChars="200"/>
        <w:rPr>
          <w:rFonts w:ascii="宋体" w:hAnsi="宋体" w:cs="宋体"/>
          <w:b/>
          <w:bCs/>
          <w:color w:val="000000"/>
          <w:kern w:val="0"/>
          <w:szCs w:val="21"/>
        </w:rPr>
      </w:pPr>
    </w:p>
    <w:p>
      <w:pPr>
        <w:widowControl/>
        <w:adjustRightInd w:val="0"/>
        <w:snapToGrid w:val="0"/>
        <w:spacing w:line="360" w:lineRule="auto"/>
        <w:ind w:firstLine="422" w:firstLineChars="200"/>
        <w:jc w:val="center"/>
        <w:rPr>
          <w:rFonts w:ascii="宋体" w:hAnsi="宋体" w:cs="宋体"/>
          <w:b/>
          <w:bCs/>
          <w:color w:val="000000"/>
          <w:kern w:val="0"/>
          <w:szCs w:val="21"/>
        </w:rPr>
      </w:pPr>
      <w:r>
        <w:rPr>
          <w:rFonts w:hint="eastAsia" w:ascii="宋体" w:hAnsi="宋体" w:cs="宋体"/>
          <w:b/>
          <w:bCs/>
          <w:color w:val="000000"/>
          <w:kern w:val="0"/>
          <w:szCs w:val="21"/>
        </w:rPr>
        <w:t>总则</w:t>
      </w:r>
    </w:p>
    <w:p>
      <w:pPr>
        <w:widowControl/>
        <w:numPr>
          <w:ilvl w:val="0"/>
          <w:numId w:val="7"/>
        </w:numPr>
        <w:adjustRightInd w:val="0"/>
        <w:snapToGrid w:val="0"/>
        <w:spacing w:line="360" w:lineRule="auto"/>
        <w:ind w:firstLine="422" w:firstLineChars="200"/>
        <w:rPr>
          <w:rFonts w:ascii="宋体" w:hAnsi="宋体" w:cs="宋体"/>
          <w:b/>
          <w:bCs/>
          <w:color w:val="000000"/>
          <w:kern w:val="0"/>
          <w:szCs w:val="21"/>
        </w:rPr>
      </w:pPr>
      <w:r>
        <w:rPr>
          <w:rFonts w:hint="eastAsia" w:ascii="宋体" w:hAnsi="宋体" w:cs="宋体"/>
          <w:b/>
          <w:bCs/>
          <w:color w:val="000000"/>
          <w:kern w:val="0"/>
          <w:szCs w:val="21"/>
        </w:rPr>
        <w:t>合同构成</w:t>
      </w:r>
    </w:p>
    <w:p>
      <w:pPr>
        <w:widowControl/>
        <w:adjustRightInd w:val="0"/>
        <w:snapToGrid w:val="0"/>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本合同是保险人与投保人约定保险权利义务关系的协议，包括本保险条款、保险单及其他保险凭证、投保单及其他投保文件、合法有效的声明、批注、批单及其他投保人和保险人共同认可的书面协议。</w:t>
      </w:r>
    </w:p>
    <w:p>
      <w:pPr>
        <w:widowControl/>
        <w:numPr>
          <w:ilvl w:val="0"/>
          <w:numId w:val="7"/>
        </w:numPr>
        <w:adjustRightInd w:val="0"/>
        <w:snapToGrid w:val="0"/>
        <w:spacing w:line="360" w:lineRule="auto"/>
        <w:ind w:firstLine="422" w:firstLineChars="200"/>
        <w:rPr>
          <w:rFonts w:ascii="宋体" w:hAnsi="宋体" w:cs="宋体"/>
          <w:b/>
          <w:bCs/>
          <w:color w:val="000000"/>
          <w:kern w:val="0"/>
          <w:szCs w:val="21"/>
        </w:rPr>
      </w:pPr>
      <w:r>
        <w:rPr>
          <w:rFonts w:hint="eastAsia" w:ascii="宋体" w:hAnsi="宋体" w:cs="宋体"/>
          <w:b/>
          <w:bCs/>
          <w:color w:val="000000"/>
          <w:kern w:val="0"/>
          <w:szCs w:val="21"/>
        </w:rPr>
        <w:t>合同成立与生效</w:t>
      </w:r>
    </w:p>
    <w:p>
      <w:pPr>
        <w:widowControl/>
        <w:adjustRightInd w:val="0"/>
        <w:snapToGrid w:val="0"/>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投保人提出保险申请，保险人同意承保，本合同成立。合同生效日期在保险单上载明。</w:t>
      </w:r>
    </w:p>
    <w:p>
      <w:pPr>
        <w:widowControl/>
        <w:adjustRightInd w:val="0"/>
        <w:snapToGrid w:val="0"/>
        <w:spacing w:line="360" w:lineRule="auto"/>
        <w:ind w:firstLine="422" w:firstLineChars="200"/>
        <w:jc w:val="center"/>
        <w:rPr>
          <w:rFonts w:ascii="宋体" w:hAnsi="宋体" w:cs="宋体"/>
          <w:b/>
          <w:bCs/>
          <w:color w:val="000000"/>
          <w:kern w:val="0"/>
          <w:szCs w:val="21"/>
        </w:rPr>
      </w:pPr>
      <w:r>
        <w:rPr>
          <w:rFonts w:hint="eastAsia" w:ascii="宋体" w:hAnsi="宋体" w:cs="宋体"/>
          <w:b/>
          <w:bCs/>
          <w:color w:val="000000"/>
          <w:kern w:val="0"/>
          <w:szCs w:val="21"/>
        </w:rPr>
        <w:t>保险保障</w:t>
      </w:r>
    </w:p>
    <w:p>
      <w:pPr>
        <w:widowControl/>
        <w:numPr>
          <w:ilvl w:val="0"/>
          <w:numId w:val="7"/>
        </w:numPr>
        <w:adjustRightInd w:val="0"/>
        <w:snapToGrid w:val="0"/>
        <w:spacing w:line="360" w:lineRule="auto"/>
        <w:ind w:firstLine="422" w:firstLineChars="200"/>
        <w:rPr>
          <w:rFonts w:ascii="宋体" w:hAnsi="宋体" w:cs="宋体"/>
          <w:b/>
          <w:bCs/>
          <w:szCs w:val="21"/>
        </w:rPr>
      </w:pPr>
      <w:r>
        <w:rPr>
          <w:rFonts w:hint="eastAsia" w:ascii="宋体" w:hAnsi="宋体" w:cs="宋体"/>
          <w:b/>
          <w:bCs/>
          <w:szCs w:val="21"/>
        </w:rPr>
        <w:t>保险金额</w:t>
      </w:r>
    </w:p>
    <w:p>
      <w:pPr>
        <w:widowControl/>
        <w:adjustRightInd w:val="0"/>
        <w:snapToGrid w:val="0"/>
        <w:spacing w:line="360" w:lineRule="auto"/>
        <w:ind w:firstLine="422" w:firstLineChars="200"/>
        <w:rPr>
          <w:rFonts w:ascii="宋体" w:hAnsi="宋体" w:cs="宋体"/>
          <w:b/>
          <w:bCs/>
          <w:szCs w:val="21"/>
        </w:rPr>
      </w:pPr>
      <w:r>
        <w:rPr>
          <w:rFonts w:hint="eastAsia" w:ascii="宋体" w:hAnsi="宋体" w:cs="宋体"/>
          <w:b/>
          <w:bCs/>
          <w:szCs w:val="21"/>
        </w:rPr>
        <w:t xml:space="preserve">    </w:t>
      </w:r>
      <w:r>
        <w:rPr>
          <w:rFonts w:hint="eastAsia" w:ascii="宋体" w:hAnsi="宋体" w:cs="宋体"/>
          <w:szCs w:val="21"/>
        </w:rPr>
        <w:t>本合同每一类风险的保险金额由投保人与保险人在投保时约定，并在保险单上载明。</w:t>
      </w:r>
    </w:p>
    <w:p>
      <w:pPr>
        <w:widowControl/>
        <w:numPr>
          <w:ilvl w:val="0"/>
          <w:numId w:val="7"/>
        </w:numPr>
        <w:adjustRightInd w:val="0"/>
        <w:snapToGrid w:val="0"/>
        <w:spacing w:line="360" w:lineRule="auto"/>
        <w:ind w:firstLine="422" w:firstLineChars="200"/>
        <w:rPr>
          <w:rFonts w:ascii="宋体" w:hAnsi="宋体" w:cs="宋体"/>
          <w:b/>
          <w:bCs/>
          <w:szCs w:val="21"/>
        </w:rPr>
      </w:pPr>
      <w:r>
        <w:rPr>
          <w:rFonts w:hint="eastAsia" w:ascii="宋体" w:hAnsi="宋体" w:cs="宋体"/>
          <w:b/>
          <w:bCs/>
          <w:szCs w:val="21"/>
        </w:rPr>
        <w:t>未成年人身故保险金限制</w:t>
      </w:r>
    </w:p>
    <w:p>
      <w:pPr>
        <w:widowControl/>
        <w:adjustRightInd w:val="0"/>
        <w:snapToGrid w:val="0"/>
        <w:spacing w:line="360" w:lineRule="auto"/>
        <w:ind w:firstLine="422" w:firstLineChars="200"/>
        <w:rPr>
          <w:rFonts w:ascii="宋体" w:hAnsi="宋体" w:cs="宋体"/>
          <w:szCs w:val="21"/>
        </w:rPr>
      </w:pPr>
      <w:r>
        <w:rPr>
          <w:rFonts w:hint="eastAsia" w:ascii="宋体" w:hAnsi="宋体" w:cs="宋体"/>
          <w:b/>
          <w:bCs/>
          <w:szCs w:val="21"/>
        </w:rPr>
        <w:t xml:space="preserve">    </w:t>
      </w:r>
      <w:r>
        <w:rPr>
          <w:rFonts w:hint="eastAsia" w:ascii="宋体" w:hAnsi="宋体" w:cs="宋体"/>
          <w:szCs w:val="21"/>
        </w:rPr>
        <w:t>为未成年子女投保的人身保险，因被保险人身故给付的保险金总和不得超过国务院保险监督管理机构规定的限额，身故给付的保险金额总和约定也不得超过前述限额。</w:t>
      </w:r>
    </w:p>
    <w:p>
      <w:pPr>
        <w:widowControl/>
        <w:numPr>
          <w:ilvl w:val="0"/>
          <w:numId w:val="7"/>
        </w:numPr>
        <w:adjustRightInd w:val="0"/>
        <w:snapToGrid w:val="0"/>
        <w:spacing w:line="360" w:lineRule="auto"/>
        <w:ind w:firstLine="422" w:firstLineChars="200"/>
        <w:rPr>
          <w:rFonts w:ascii="宋体" w:hAnsi="宋体" w:cs="宋体"/>
          <w:b/>
          <w:bCs/>
          <w:szCs w:val="21"/>
        </w:rPr>
      </w:pPr>
      <w:r>
        <w:rPr>
          <w:rFonts w:hint="eastAsia" w:ascii="宋体" w:hAnsi="宋体" w:cs="宋体"/>
          <w:b/>
          <w:bCs/>
          <w:szCs w:val="21"/>
        </w:rPr>
        <w:t>保险期间</w:t>
      </w:r>
    </w:p>
    <w:p>
      <w:pPr>
        <w:widowControl/>
        <w:adjustRightInd w:val="0"/>
        <w:snapToGrid w:val="0"/>
        <w:spacing w:line="360" w:lineRule="auto"/>
        <w:ind w:firstLine="422" w:firstLineChars="200"/>
        <w:rPr>
          <w:rFonts w:ascii="宋体" w:hAnsi="宋体" w:cs="宋体"/>
          <w:b/>
          <w:bCs/>
          <w:szCs w:val="21"/>
        </w:rPr>
      </w:pPr>
      <w:r>
        <w:rPr>
          <w:rFonts w:hint="eastAsia" w:ascii="宋体" w:hAnsi="宋体" w:cs="宋体"/>
          <w:b/>
          <w:bCs/>
          <w:szCs w:val="21"/>
        </w:rPr>
        <w:t xml:space="preserve">    </w:t>
      </w:r>
      <w:r>
        <w:rPr>
          <w:rFonts w:hint="eastAsia" w:ascii="宋体" w:hAnsi="宋体" w:cs="宋体"/>
          <w:szCs w:val="21"/>
        </w:rPr>
        <w:t>本合同保险期间为 1 年，以保险单所载为准。</w:t>
      </w:r>
    </w:p>
    <w:p>
      <w:pPr>
        <w:widowControl/>
        <w:numPr>
          <w:ilvl w:val="0"/>
          <w:numId w:val="7"/>
        </w:numPr>
        <w:adjustRightInd w:val="0"/>
        <w:snapToGrid w:val="0"/>
        <w:spacing w:line="360" w:lineRule="auto"/>
        <w:ind w:firstLine="422" w:firstLineChars="200"/>
        <w:rPr>
          <w:rFonts w:ascii="宋体" w:hAnsi="宋体" w:cs="宋体"/>
          <w:b/>
          <w:bCs/>
          <w:szCs w:val="21"/>
        </w:rPr>
      </w:pPr>
      <w:r>
        <w:rPr>
          <w:rFonts w:hint="eastAsia" w:ascii="宋体" w:hAnsi="宋体" w:cs="宋体"/>
          <w:b/>
          <w:bCs/>
          <w:szCs w:val="21"/>
        </w:rPr>
        <w:t>保险责任</w:t>
      </w:r>
    </w:p>
    <w:p>
      <w:pPr>
        <w:widowControl/>
        <w:adjustRightInd w:val="0"/>
        <w:snapToGrid w:val="0"/>
        <w:spacing w:line="360" w:lineRule="auto"/>
        <w:ind w:firstLine="422" w:firstLineChars="200"/>
        <w:rPr>
          <w:rFonts w:ascii="宋体" w:hAnsi="宋体" w:cs="宋体"/>
          <w:szCs w:val="21"/>
        </w:rPr>
      </w:pPr>
      <w:r>
        <w:rPr>
          <w:rFonts w:hint="eastAsia" w:ascii="宋体" w:hAnsi="宋体" w:cs="宋体"/>
          <w:b/>
          <w:bCs/>
          <w:szCs w:val="21"/>
        </w:rPr>
        <w:t xml:space="preserve">  </w:t>
      </w:r>
      <w:r>
        <w:rPr>
          <w:rFonts w:hint="eastAsia" w:ascii="宋体" w:hAnsi="宋体" w:cs="宋体"/>
          <w:szCs w:val="21"/>
        </w:rPr>
        <w:t xml:space="preserve">  在保险期间内，保险人按照与投保人的约定对被保险人遭遇的以下 6 类风险中的一类或数类承担保险责任（其中 A、B 类仅限选择其中一类）：</w:t>
      </w:r>
    </w:p>
    <w:p>
      <w:pPr>
        <w:widowControl/>
        <w:adjustRightInd w:val="0"/>
        <w:snapToGrid w:val="0"/>
        <w:spacing w:line="360" w:lineRule="auto"/>
        <w:ind w:firstLine="420" w:firstLineChars="200"/>
        <w:rPr>
          <w:rFonts w:ascii="宋体" w:hAnsi="宋体" w:cs="宋体"/>
          <w:szCs w:val="21"/>
        </w:rPr>
      </w:pPr>
      <w:r>
        <w:rPr>
          <w:rFonts w:hint="eastAsia" w:ascii="宋体" w:hAnsi="宋体" w:cs="宋体"/>
          <w:szCs w:val="21"/>
        </w:rPr>
        <w:t>A 类：被保险人驾驶或乘坐他人驾驶的非经营客运业务的机动车，在机动车车厢内因遭受意外伤害导致的身故或伤残；</w:t>
      </w:r>
    </w:p>
    <w:p>
      <w:pPr>
        <w:widowControl/>
        <w:adjustRightInd w:val="0"/>
        <w:snapToGrid w:val="0"/>
        <w:spacing w:line="360" w:lineRule="auto"/>
        <w:ind w:firstLine="420" w:firstLineChars="200"/>
        <w:rPr>
          <w:rFonts w:ascii="宋体" w:hAnsi="宋体" w:cs="宋体"/>
          <w:szCs w:val="21"/>
        </w:rPr>
      </w:pPr>
      <w:r>
        <w:rPr>
          <w:rFonts w:hint="eastAsia" w:ascii="宋体" w:hAnsi="宋体" w:cs="宋体"/>
          <w:szCs w:val="21"/>
        </w:rPr>
        <w:t xml:space="preserve">B 类：被保险人乘坐他人驾驶的非经营客运业务的机动车，在机动车车厢内因遭受意外伤害导致的身故或伤残；                                     </w:t>
      </w:r>
    </w:p>
    <w:p>
      <w:pPr>
        <w:widowControl/>
        <w:adjustRightInd w:val="0"/>
        <w:snapToGrid w:val="0"/>
        <w:spacing w:line="360" w:lineRule="auto"/>
        <w:ind w:firstLine="420" w:firstLineChars="200"/>
        <w:rPr>
          <w:rFonts w:ascii="宋体" w:hAnsi="宋体" w:cs="宋体"/>
          <w:szCs w:val="21"/>
        </w:rPr>
      </w:pPr>
      <w:r>
        <w:rPr>
          <w:rFonts w:hint="eastAsia" w:ascii="宋体" w:hAnsi="宋体" w:cs="宋体"/>
          <w:szCs w:val="21"/>
        </w:rPr>
        <w:t xml:space="preserve">C 类：被保险人以乘客身份乘坐经营客运业务的机动车，在机动车车厢内因遭受意外伤害导致的身故或伤残；                                      </w:t>
      </w:r>
    </w:p>
    <w:p>
      <w:pPr>
        <w:widowControl/>
        <w:adjustRightInd w:val="0"/>
        <w:snapToGrid w:val="0"/>
        <w:spacing w:line="360" w:lineRule="auto"/>
        <w:ind w:firstLine="420" w:firstLineChars="200"/>
        <w:rPr>
          <w:rFonts w:ascii="宋体" w:hAnsi="宋体" w:cs="宋体"/>
          <w:szCs w:val="21"/>
        </w:rPr>
      </w:pPr>
      <w:r>
        <w:rPr>
          <w:rFonts w:hint="eastAsia" w:ascii="宋体" w:hAnsi="宋体" w:cs="宋体"/>
          <w:szCs w:val="21"/>
        </w:rPr>
        <w:t>D 类：被保险人以乘客身份乘坐经营客运业务的轨道交通车辆（包括火车、地铁、轻轨、有轨电车、磁悬浮），在轨道交通车辆车厢内因遭受意外伤害导致的身故或伤残；</w:t>
      </w:r>
    </w:p>
    <w:p>
      <w:pPr>
        <w:widowControl/>
        <w:adjustRightInd w:val="0"/>
        <w:snapToGrid w:val="0"/>
        <w:spacing w:line="360" w:lineRule="auto"/>
        <w:ind w:firstLine="420" w:firstLineChars="200"/>
        <w:rPr>
          <w:rFonts w:ascii="宋体" w:hAnsi="宋体" w:cs="宋体"/>
          <w:szCs w:val="21"/>
        </w:rPr>
      </w:pPr>
      <w:r>
        <w:rPr>
          <w:rFonts w:hint="eastAsia" w:ascii="宋体" w:hAnsi="宋体" w:cs="宋体"/>
          <w:szCs w:val="21"/>
        </w:rPr>
        <w:t>E 类：被保险人以乘客身份乘坐经营客运业务的轮船，自踏上轮船甲板起至离开轮船甲板止，因遭受意外伤害导致的身故或伤残；</w:t>
      </w:r>
    </w:p>
    <w:p>
      <w:pPr>
        <w:widowControl/>
        <w:adjustRightInd w:val="0"/>
        <w:snapToGrid w:val="0"/>
        <w:spacing w:line="360" w:lineRule="auto"/>
        <w:ind w:firstLine="420" w:firstLineChars="200"/>
        <w:rPr>
          <w:rFonts w:ascii="宋体" w:hAnsi="宋体" w:cs="宋体"/>
          <w:szCs w:val="21"/>
        </w:rPr>
      </w:pPr>
      <w:r>
        <w:rPr>
          <w:rFonts w:hint="eastAsia" w:ascii="宋体" w:hAnsi="宋体" w:cs="宋体"/>
          <w:szCs w:val="21"/>
        </w:rPr>
        <w:t>F 类: 被保险人以乘客身份乘坐经营客运业务的民航班机，自通过机场安全检查时起至抵达目的地走出民航班机的舱门止，因遭受意外伤害导致的身故或伤残。</w:t>
      </w:r>
    </w:p>
    <w:p>
      <w:pPr>
        <w:widowControl/>
        <w:adjustRightInd w:val="0"/>
        <w:snapToGrid w:val="0"/>
        <w:spacing w:line="360" w:lineRule="auto"/>
        <w:ind w:firstLine="420" w:firstLineChars="200"/>
        <w:rPr>
          <w:rFonts w:ascii="宋体" w:hAnsi="宋体" w:cs="宋体"/>
          <w:szCs w:val="21"/>
        </w:rPr>
      </w:pPr>
      <w:r>
        <w:rPr>
          <w:rFonts w:hint="eastAsia" w:ascii="宋体" w:hAnsi="宋体" w:cs="宋体"/>
          <w:szCs w:val="21"/>
        </w:rPr>
        <w:t>被保险人在保险期间内遭遇投保时约定的风险，保险人按下列规定给付保险金：</w:t>
      </w:r>
    </w:p>
    <w:p>
      <w:pPr>
        <w:widowControl/>
        <w:adjustRightInd w:val="0"/>
        <w:snapToGrid w:val="0"/>
        <w:spacing w:line="360" w:lineRule="auto"/>
        <w:ind w:firstLine="422" w:firstLineChars="200"/>
        <w:rPr>
          <w:rFonts w:ascii="宋体" w:hAnsi="宋体" w:cs="宋体"/>
          <w:szCs w:val="21"/>
        </w:rPr>
      </w:pPr>
      <w:r>
        <w:rPr>
          <w:rFonts w:hint="eastAsia" w:ascii="宋体" w:hAnsi="宋体" w:cs="宋体"/>
          <w:b/>
          <w:bCs/>
          <w:szCs w:val="21"/>
        </w:rPr>
        <w:t>身故保险金</w:t>
      </w:r>
      <w:r>
        <w:rPr>
          <w:rFonts w:hint="eastAsia" w:ascii="宋体" w:hAnsi="宋体" w:cs="宋体"/>
          <w:szCs w:val="21"/>
        </w:rPr>
        <w:t xml:space="preserve"> </w:t>
      </w:r>
    </w:p>
    <w:p>
      <w:pPr>
        <w:widowControl/>
        <w:adjustRightInd w:val="0"/>
        <w:snapToGrid w:val="0"/>
        <w:spacing w:line="360" w:lineRule="auto"/>
        <w:ind w:firstLine="420" w:firstLineChars="200"/>
        <w:rPr>
          <w:rFonts w:ascii="宋体" w:hAnsi="宋体" w:cs="宋体"/>
          <w:szCs w:val="21"/>
        </w:rPr>
      </w:pPr>
      <w:r>
        <w:rPr>
          <w:rFonts w:hint="eastAsia" w:ascii="宋体" w:hAnsi="宋体" w:cs="宋体"/>
          <w:szCs w:val="21"/>
        </w:rPr>
        <w:t>被保险人自意外伤害事故发生之日起 180 日内以该次意外伤害为直接原因身故的，保险人按该类风险所对应的保险金额给付身故保险金，保险人对该被保险人的保险责任终止。</w:t>
      </w:r>
    </w:p>
    <w:p>
      <w:pPr>
        <w:widowControl/>
        <w:adjustRightInd w:val="0"/>
        <w:snapToGrid w:val="0"/>
        <w:spacing w:line="360" w:lineRule="auto"/>
        <w:ind w:firstLine="422" w:firstLineChars="200"/>
        <w:rPr>
          <w:rFonts w:ascii="宋体" w:hAnsi="宋体" w:cs="宋体"/>
          <w:b/>
          <w:bCs/>
          <w:szCs w:val="21"/>
        </w:rPr>
      </w:pPr>
      <w:r>
        <w:rPr>
          <w:rFonts w:hint="eastAsia" w:ascii="宋体" w:hAnsi="宋体" w:cs="宋体"/>
          <w:b/>
          <w:bCs/>
          <w:szCs w:val="21"/>
        </w:rPr>
        <w:t xml:space="preserve">残疾保险金 </w:t>
      </w:r>
    </w:p>
    <w:p>
      <w:pPr>
        <w:widowControl/>
        <w:adjustRightInd w:val="0"/>
        <w:snapToGrid w:val="0"/>
        <w:spacing w:line="360" w:lineRule="auto"/>
        <w:ind w:firstLine="420" w:firstLineChars="200"/>
        <w:rPr>
          <w:rFonts w:ascii="宋体" w:hAnsi="宋体" w:cs="宋体"/>
          <w:szCs w:val="21"/>
        </w:rPr>
      </w:pPr>
      <w:r>
        <w:rPr>
          <w:rFonts w:hint="eastAsia" w:ascii="宋体" w:hAnsi="宋体" w:cs="宋体"/>
          <w:szCs w:val="21"/>
        </w:rPr>
        <w:t>被保险人自意外伤害事故发生之日起 180 日内以该次意外伤害为直接原因致伤残，且属于《人身保险伤残评定标准（行业标准）》（中保协发〔2013〕88 号，详见附录）中所列的伤残条目，保险人依照该标准规定的评定原则进行评定，并按评定结果所对应该标准规定的给付比例乘以该类风险所对应的保险金额给付残疾保险金。如自意外伤害发生之日起第 180 日时治疗仍未结束，按第 180 日时的身体情况进行鉴定，并据此给付残疾保险金。</w:t>
      </w:r>
    </w:p>
    <w:p>
      <w:pPr>
        <w:widowControl/>
        <w:adjustRightInd w:val="0"/>
        <w:snapToGrid w:val="0"/>
        <w:spacing w:line="360" w:lineRule="auto"/>
        <w:ind w:firstLine="420" w:firstLineChars="200"/>
        <w:rPr>
          <w:rFonts w:ascii="宋体" w:hAnsi="宋体" w:cs="宋体"/>
          <w:szCs w:val="21"/>
        </w:rPr>
      </w:pPr>
      <w:r>
        <w:rPr>
          <w:rFonts w:hint="eastAsia" w:ascii="宋体" w:hAnsi="宋体" w:cs="宋体"/>
          <w:szCs w:val="21"/>
        </w:rPr>
        <w:t>保险人对每一被保险人给付上述各项保险金的金额总和，以投保时约定的该被保险人该类风险所对应的保险金额为限，一次或累计给付的保险金达到该类风险所对应的保险金额时，保险人对该被保险人的该类保险责任终止。</w:t>
      </w:r>
    </w:p>
    <w:p>
      <w:pPr>
        <w:widowControl/>
        <w:numPr>
          <w:ilvl w:val="0"/>
          <w:numId w:val="7"/>
        </w:numPr>
        <w:adjustRightInd w:val="0"/>
        <w:snapToGrid w:val="0"/>
        <w:spacing w:line="360" w:lineRule="auto"/>
        <w:ind w:firstLine="422" w:firstLineChars="200"/>
        <w:rPr>
          <w:rFonts w:ascii="宋体" w:hAnsi="宋体" w:cs="宋体"/>
          <w:b/>
          <w:bCs/>
          <w:szCs w:val="21"/>
        </w:rPr>
      </w:pPr>
      <w:r>
        <w:rPr>
          <w:rFonts w:hint="eastAsia" w:ascii="宋体" w:hAnsi="宋体" w:cs="宋体"/>
          <w:b/>
          <w:bCs/>
          <w:szCs w:val="21"/>
        </w:rPr>
        <w:t>责任免除</w:t>
      </w:r>
    </w:p>
    <w:p>
      <w:pPr>
        <w:widowControl/>
        <w:adjustRightInd w:val="0"/>
        <w:snapToGrid w:val="0"/>
        <w:spacing w:line="360" w:lineRule="auto"/>
        <w:ind w:firstLine="422" w:firstLineChars="200"/>
        <w:rPr>
          <w:rFonts w:ascii="宋体" w:hAnsi="宋体" w:cs="宋体"/>
          <w:b/>
          <w:bCs/>
          <w:szCs w:val="21"/>
        </w:rPr>
      </w:pPr>
      <w:r>
        <w:rPr>
          <w:rFonts w:hint="eastAsia" w:ascii="宋体" w:hAnsi="宋体" w:cs="宋体"/>
          <w:b/>
          <w:bCs/>
          <w:szCs w:val="21"/>
        </w:rPr>
        <w:t xml:space="preserve">因下列情形之一导致被保险人身故或伤残的，保险人不承担给付保险金的责任： </w:t>
      </w:r>
    </w:p>
    <w:p>
      <w:pPr>
        <w:widowControl/>
        <w:adjustRightInd w:val="0"/>
        <w:snapToGrid w:val="0"/>
        <w:spacing w:line="360" w:lineRule="auto"/>
        <w:ind w:firstLine="422" w:firstLineChars="200"/>
        <w:rPr>
          <w:rFonts w:ascii="宋体" w:hAnsi="宋体" w:cs="宋体"/>
          <w:b/>
          <w:bCs/>
          <w:szCs w:val="21"/>
        </w:rPr>
      </w:pPr>
      <w:r>
        <w:rPr>
          <w:rFonts w:hint="eastAsia" w:ascii="宋体" w:hAnsi="宋体" w:cs="宋体"/>
          <w:b/>
          <w:bCs/>
          <w:szCs w:val="21"/>
        </w:rPr>
        <w:t xml:space="preserve">(1)投保人对被保险人的故意杀害、故意伤害；                         </w:t>
      </w:r>
    </w:p>
    <w:p>
      <w:pPr>
        <w:widowControl/>
        <w:adjustRightInd w:val="0"/>
        <w:snapToGrid w:val="0"/>
        <w:spacing w:line="360" w:lineRule="auto"/>
        <w:ind w:firstLine="422" w:firstLineChars="200"/>
        <w:rPr>
          <w:rFonts w:ascii="宋体" w:hAnsi="宋体" w:cs="宋体"/>
          <w:b/>
          <w:bCs/>
          <w:szCs w:val="21"/>
        </w:rPr>
      </w:pPr>
      <w:r>
        <w:rPr>
          <w:rFonts w:hint="eastAsia" w:ascii="宋体" w:hAnsi="宋体" w:cs="宋体"/>
          <w:b/>
          <w:bCs/>
          <w:szCs w:val="21"/>
        </w:rPr>
        <w:t xml:space="preserve">(2)被保险人故意犯罪或抗拒依法采取的刑事强制措施；                 </w:t>
      </w:r>
    </w:p>
    <w:p>
      <w:pPr>
        <w:widowControl/>
        <w:adjustRightInd w:val="0"/>
        <w:snapToGrid w:val="0"/>
        <w:spacing w:line="360" w:lineRule="auto"/>
        <w:ind w:firstLine="422" w:firstLineChars="200"/>
        <w:rPr>
          <w:rFonts w:ascii="宋体" w:hAnsi="宋体" w:cs="宋体"/>
          <w:b/>
          <w:bCs/>
          <w:szCs w:val="21"/>
        </w:rPr>
      </w:pPr>
      <w:r>
        <w:rPr>
          <w:rFonts w:hint="eastAsia" w:ascii="宋体" w:hAnsi="宋体" w:cs="宋体"/>
          <w:b/>
          <w:bCs/>
          <w:szCs w:val="21"/>
        </w:rPr>
        <w:t>(3)被保险人自杀，但被保险人自杀时为无民事行为能力人的除外；</w:t>
      </w:r>
    </w:p>
    <w:p>
      <w:pPr>
        <w:widowControl/>
        <w:adjustRightInd w:val="0"/>
        <w:snapToGrid w:val="0"/>
        <w:spacing w:line="360" w:lineRule="auto"/>
        <w:ind w:firstLine="422" w:firstLineChars="200"/>
        <w:rPr>
          <w:rFonts w:ascii="宋体" w:hAnsi="宋体" w:cs="宋体"/>
          <w:b/>
          <w:bCs/>
          <w:szCs w:val="21"/>
        </w:rPr>
      </w:pPr>
      <w:r>
        <w:rPr>
          <w:rFonts w:hint="eastAsia" w:ascii="宋体" w:hAnsi="宋体" w:cs="宋体"/>
          <w:b/>
          <w:bCs/>
          <w:szCs w:val="21"/>
        </w:rPr>
        <w:t>(4)被保险人醉酒，斗殴，主动吸食或注射毒品；</w:t>
      </w:r>
    </w:p>
    <w:p>
      <w:pPr>
        <w:widowControl/>
        <w:adjustRightInd w:val="0"/>
        <w:snapToGrid w:val="0"/>
        <w:spacing w:line="360" w:lineRule="auto"/>
        <w:ind w:firstLine="422" w:firstLineChars="200"/>
        <w:rPr>
          <w:rFonts w:ascii="宋体" w:hAnsi="宋体" w:cs="宋体"/>
          <w:b/>
          <w:bCs/>
          <w:szCs w:val="21"/>
        </w:rPr>
      </w:pPr>
      <w:r>
        <w:rPr>
          <w:rFonts w:hint="eastAsia" w:ascii="宋体" w:hAnsi="宋体" w:cs="宋体"/>
          <w:b/>
          <w:bCs/>
          <w:szCs w:val="21"/>
        </w:rPr>
        <w:t>(5)被保险人未遵医嘱，私自使用药物，但按使用说明的规定使用非处方药的除外；</w:t>
      </w:r>
    </w:p>
    <w:p>
      <w:pPr>
        <w:widowControl/>
        <w:adjustRightInd w:val="0"/>
        <w:snapToGrid w:val="0"/>
        <w:spacing w:line="360" w:lineRule="auto"/>
        <w:ind w:firstLine="422" w:firstLineChars="200"/>
        <w:rPr>
          <w:rFonts w:ascii="宋体" w:hAnsi="宋体" w:cs="宋体"/>
          <w:b/>
          <w:bCs/>
          <w:szCs w:val="21"/>
        </w:rPr>
      </w:pPr>
      <w:r>
        <w:rPr>
          <w:rFonts w:hint="eastAsia" w:ascii="宋体" w:hAnsi="宋体" w:cs="宋体"/>
          <w:b/>
          <w:bCs/>
          <w:szCs w:val="21"/>
        </w:rPr>
        <w:t>(6)被保险人酒后驾驶，无合法有效驾驶证驾驶，或者驾驶无有效行驶证的机动交通工具；</w:t>
      </w:r>
    </w:p>
    <w:p>
      <w:pPr>
        <w:widowControl/>
        <w:adjustRightInd w:val="0"/>
        <w:snapToGrid w:val="0"/>
        <w:spacing w:line="360" w:lineRule="auto"/>
        <w:ind w:firstLine="422" w:firstLineChars="200"/>
        <w:rPr>
          <w:rFonts w:ascii="宋体" w:hAnsi="宋体" w:cs="宋体"/>
          <w:b/>
          <w:bCs/>
          <w:szCs w:val="21"/>
        </w:rPr>
      </w:pPr>
      <w:r>
        <w:rPr>
          <w:rFonts w:hint="eastAsia" w:ascii="宋体" w:hAnsi="宋体" w:cs="宋体"/>
          <w:b/>
          <w:bCs/>
          <w:szCs w:val="21"/>
        </w:rPr>
        <w:t xml:space="preserve">(7)被保险人违反承运人关于安全乘坐的规定； </w:t>
      </w:r>
    </w:p>
    <w:p>
      <w:pPr>
        <w:widowControl/>
        <w:adjustRightInd w:val="0"/>
        <w:snapToGrid w:val="0"/>
        <w:spacing w:line="360" w:lineRule="auto"/>
        <w:ind w:firstLine="422" w:firstLineChars="200"/>
        <w:rPr>
          <w:rFonts w:ascii="宋体" w:hAnsi="宋体" w:cs="宋体"/>
          <w:b/>
          <w:bCs/>
          <w:szCs w:val="21"/>
        </w:rPr>
      </w:pPr>
      <w:r>
        <w:rPr>
          <w:rFonts w:hint="eastAsia" w:ascii="宋体" w:hAnsi="宋体" w:cs="宋体"/>
          <w:b/>
          <w:bCs/>
          <w:szCs w:val="21"/>
        </w:rPr>
        <w:t>(8)被保险人扒车、跳车；</w:t>
      </w:r>
    </w:p>
    <w:p>
      <w:pPr>
        <w:widowControl/>
        <w:adjustRightInd w:val="0"/>
        <w:snapToGrid w:val="0"/>
        <w:spacing w:line="360" w:lineRule="auto"/>
        <w:ind w:firstLine="422" w:firstLineChars="200"/>
        <w:rPr>
          <w:rFonts w:ascii="宋体" w:hAnsi="宋体" w:cs="宋体"/>
          <w:b/>
          <w:bCs/>
          <w:szCs w:val="21"/>
        </w:rPr>
      </w:pPr>
      <w:r>
        <w:rPr>
          <w:rFonts w:hint="eastAsia" w:ascii="宋体" w:hAnsi="宋体" w:cs="宋体"/>
          <w:b/>
          <w:bCs/>
          <w:szCs w:val="21"/>
        </w:rPr>
        <w:t>(9)被保险人驾驶超载机动车，因车辆超载引起的意外事故而遭受的伤害；</w:t>
      </w:r>
    </w:p>
    <w:p>
      <w:pPr>
        <w:widowControl/>
        <w:adjustRightInd w:val="0"/>
        <w:snapToGrid w:val="0"/>
        <w:spacing w:line="360" w:lineRule="auto"/>
        <w:ind w:firstLine="422" w:firstLineChars="200"/>
        <w:rPr>
          <w:rFonts w:ascii="宋体" w:hAnsi="宋体" w:cs="宋体"/>
          <w:b/>
          <w:bCs/>
          <w:szCs w:val="21"/>
        </w:rPr>
      </w:pPr>
      <w:r>
        <w:rPr>
          <w:rFonts w:hint="eastAsia" w:ascii="宋体" w:hAnsi="宋体" w:cs="宋体"/>
          <w:b/>
          <w:bCs/>
          <w:szCs w:val="21"/>
        </w:rPr>
        <w:t>(10)被保险人处于车辆、轮船、飞机中专门用于放置物品的部分所遭受的伤害；</w:t>
      </w:r>
    </w:p>
    <w:p>
      <w:pPr>
        <w:widowControl/>
        <w:adjustRightInd w:val="0"/>
        <w:snapToGrid w:val="0"/>
        <w:spacing w:line="360" w:lineRule="auto"/>
        <w:ind w:firstLine="422" w:firstLineChars="200"/>
        <w:rPr>
          <w:rFonts w:ascii="宋体" w:hAnsi="宋体" w:cs="宋体"/>
          <w:b/>
          <w:bCs/>
          <w:szCs w:val="21"/>
        </w:rPr>
      </w:pPr>
      <w:r>
        <w:rPr>
          <w:rFonts w:hint="eastAsia" w:ascii="宋体" w:hAnsi="宋体" w:cs="宋体"/>
          <w:b/>
          <w:bCs/>
          <w:szCs w:val="21"/>
        </w:rPr>
        <w:t>(11)被保险人从事各种车辆表演、车辆竞赛或训练等高风险运动和活动；</w:t>
      </w:r>
    </w:p>
    <w:p>
      <w:pPr>
        <w:widowControl/>
        <w:adjustRightInd w:val="0"/>
        <w:snapToGrid w:val="0"/>
        <w:spacing w:line="360" w:lineRule="auto"/>
        <w:ind w:firstLine="422" w:firstLineChars="200"/>
        <w:rPr>
          <w:rFonts w:ascii="宋体" w:hAnsi="宋体" w:cs="宋体"/>
          <w:b/>
          <w:bCs/>
          <w:szCs w:val="21"/>
        </w:rPr>
      </w:pPr>
      <w:r>
        <w:rPr>
          <w:rFonts w:hint="eastAsia" w:ascii="宋体" w:hAnsi="宋体" w:cs="宋体"/>
          <w:b/>
          <w:bCs/>
          <w:szCs w:val="21"/>
        </w:rPr>
        <w:t xml:space="preserve">(12)被保险人因医疗事故、药物过敏导致的伤害；               </w:t>
      </w:r>
    </w:p>
    <w:p>
      <w:pPr>
        <w:widowControl/>
        <w:adjustRightInd w:val="0"/>
        <w:snapToGrid w:val="0"/>
        <w:spacing w:line="360" w:lineRule="auto"/>
        <w:ind w:firstLine="422" w:firstLineChars="200"/>
        <w:rPr>
          <w:rFonts w:ascii="宋体" w:hAnsi="宋体" w:cs="宋体"/>
          <w:b/>
          <w:bCs/>
          <w:szCs w:val="21"/>
        </w:rPr>
      </w:pPr>
      <w:r>
        <w:rPr>
          <w:rFonts w:hint="eastAsia" w:ascii="宋体" w:hAnsi="宋体" w:cs="宋体"/>
          <w:b/>
          <w:bCs/>
          <w:szCs w:val="21"/>
        </w:rPr>
        <w:t xml:space="preserve">(13)被保险人因妊娠（含宫外孕）、流产、分娩（含剖宫产）导致的伤害； </w:t>
      </w:r>
    </w:p>
    <w:p>
      <w:pPr>
        <w:widowControl/>
        <w:adjustRightInd w:val="0"/>
        <w:snapToGrid w:val="0"/>
        <w:spacing w:line="360" w:lineRule="auto"/>
        <w:ind w:firstLine="422" w:firstLineChars="200"/>
        <w:rPr>
          <w:rFonts w:ascii="宋体" w:hAnsi="宋体" w:cs="宋体"/>
          <w:b/>
          <w:bCs/>
          <w:szCs w:val="21"/>
        </w:rPr>
      </w:pPr>
      <w:r>
        <w:rPr>
          <w:rFonts w:hint="eastAsia" w:ascii="宋体" w:hAnsi="宋体" w:cs="宋体"/>
          <w:b/>
          <w:bCs/>
          <w:szCs w:val="21"/>
        </w:rPr>
        <w:t xml:space="preserve">(14)被保险人因精神疾患导致的意外；                            </w:t>
      </w:r>
    </w:p>
    <w:p>
      <w:pPr>
        <w:widowControl/>
        <w:adjustRightInd w:val="0"/>
        <w:snapToGrid w:val="0"/>
        <w:spacing w:line="360" w:lineRule="auto"/>
        <w:ind w:firstLine="422" w:firstLineChars="200"/>
        <w:rPr>
          <w:rFonts w:ascii="宋体" w:hAnsi="宋体" w:cs="宋体"/>
          <w:b/>
          <w:bCs/>
          <w:szCs w:val="21"/>
        </w:rPr>
      </w:pPr>
      <w:r>
        <w:rPr>
          <w:rFonts w:hint="eastAsia" w:ascii="宋体" w:hAnsi="宋体" w:cs="宋体"/>
          <w:b/>
          <w:bCs/>
          <w:szCs w:val="21"/>
        </w:rPr>
        <w:t xml:space="preserve">(15)战争、军事冲突、暴乱或武装叛乱；                          </w:t>
      </w:r>
    </w:p>
    <w:p>
      <w:pPr>
        <w:widowControl/>
        <w:adjustRightInd w:val="0"/>
        <w:snapToGrid w:val="0"/>
        <w:spacing w:line="360" w:lineRule="auto"/>
        <w:ind w:firstLine="422" w:firstLineChars="200"/>
        <w:rPr>
          <w:rFonts w:ascii="宋体" w:hAnsi="宋体" w:cs="宋体"/>
          <w:b/>
          <w:bCs/>
          <w:szCs w:val="21"/>
        </w:rPr>
      </w:pPr>
      <w:r>
        <w:rPr>
          <w:rFonts w:hint="eastAsia" w:ascii="宋体" w:hAnsi="宋体" w:cs="宋体"/>
          <w:b/>
          <w:bCs/>
          <w:szCs w:val="21"/>
        </w:rPr>
        <w:t>(16)核爆炸、核辐射或核污染。</w:t>
      </w:r>
    </w:p>
    <w:p>
      <w:pPr>
        <w:widowControl/>
        <w:adjustRightInd w:val="0"/>
        <w:snapToGrid w:val="0"/>
        <w:spacing w:line="360" w:lineRule="auto"/>
        <w:ind w:firstLine="422" w:firstLineChars="200"/>
        <w:rPr>
          <w:rFonts w:ascii="宋体" w:hAnsi="宋体" w:cs="宋体"/>
          <w:b/>
          <w:bCs/>
          <w:szCs w:val="21"/>
        </w:rPr>
      </w:pPr>
      <w:r>
        <w:rPr>
          <w:rFonts w:hint="eastAsia" w:ascii="宋体" w:hAnsi="宋体" w:cs="宋体"/>
          <w:b/>
          <w:bCs/>
          <w:szCs w:val="21"/>
        </w:rPr>
        <w:t>发生以上情形之一导致被保险人身故的，保险人对该被保险人的保险责任终止，并退还相应的现金价值。</w:t>
      </w:r>
    </w:p>
    <w:p>
      <w:pPr>
        <w:widowControl/>
        <w:adjustRightInd w:val="0"/>
        <w:snapToGrid w:val="0"/>
        <w:spacing w:line="360" w:lineRule="auto"/>
        <w:ind w:firstLine="422" w:firstLineChars="200"/>
        <w:jc w:val="center"/>
        <w:rPr>
          <w:rFonts w:ascii="宋体" w:hAnsi="宋体" w:cs="宋体"/>
          <w:b/>
          <w:bCs/>
          <w:szCs w:val="21"/>
        </w:rPr>
      </w:pPr>
      <w:r>
        <w:rPr>
          <w:rFonts w:hint="eastAsia" w:ascii="宋体" w:hAnsi="宋体" w:cs="宋体"/>
          <w:b/>
          <w:bCs/>
          <w:szCs w:val="21"/>
        </w:rPr>
        <w:t>保险金的申请</w:t>
      </w:r>
    </w:p>
    <w:p>
      <w:pPr>
        <w:widowControl/>
        <w:numPr>
          <w:ilvl w:val="0"/>
          <w:numId w:val="7"/>
        </w:numPr>
        <w:adjustRightInd w:val="0"/>
        <w:snapToGrid w:val="0"/>
        <w:spacing w:line="360" w:lineRule="auto"/>
        <w:ind w:firstLine="422" w:firstLineChars="200"/>
        <w:rPr>
          <w:rFonts w:ascii="宋体" w:hAnsi="宋体" w:cs="宋体"/>
          <w:b/>
          <w:bCs/>
          <w:szCs w:val="21"/>
        </w:rPr>
      </w:pPr>
      <w:r>
        <w:rPr>
          <w:rFonts w:hint="eastAsia" w:ascii="宋体" w:hAnsi="宋体" w:cs="宋体"/>
          <w:b/>
          <w:bCs/>
          <w:szCs w:val="21"/>
        </w:rPr>
        <w:t>受益人</w:t>
      </w:r>
    </w:p>
    <w:p>
      <w:pPr>
        <w:widowControl/>
        <w:adjustRightInd w:val="0"/>
        <w:snapToGrid w:val="0"/>
        <w:spacing w:line="360" w:lineRule="auto"/>
        <w:ind w:firstLine="420" w:firstLineChars="200"/>
        <w:rPr>
          <w:rFonts w:ascii="宋体" w:hAnsi="宋体" w:cs="宋体"/>
          <w:szCs w:val="21"/>
        </w:rPr>
      </w:pPr>
      <w:r>
        <w:rPr>
          <w:rFonts w:hint="eastAsia" w:ascii="宋体" w:hAnsi="宋体" w:cs="宋体"/>
          <w:szCs w:val="21"/>
        </w:rPr>
        <w:t>投保人或者被保险人可以指定一人或多人为身故保险金受益人。身故保险金受益人为多人时，可以确定受益顺序和受益份额；如果没有确定份额，各受益人按照相等份额享有受益权。被保险人为无民事行为能力人或限制民事行为能力人的，可以由其监护人指定受益人。</w:t>
      </w:r>
    </w:p>
    <w:p>
      <w:pPr>
        <w:widowControl/>
        <w:adjustRightInd w:val="0"/>
        <w:snapToGrid w:val="0"/>
        <w:spacing w:line="360" w:lineRule="auto"/>
        <w:ind w:firstLine="420" w:firstLineChars="200"/>
        <w:rPr>
          <w:rFonts w:ascii="宋体" w:hAnsi="宋体" w:cs="宋体"/>
          <w:szCs w:val="21"/>
        </w:rPr>
      </w:pPr>
      <w:r>
        <w:rPr>
          <w:rFonts w:hint="eastAsia" w:ascii="宋体" w:hAnsi="宋体" w:cs="宋体"/>
          <w:szCs w:val="21"/>
        </w:rPr>
        <w:t>投保人或者被保险人可以变更身故保险金受益人并书面通知保险人。保险人收到变更受益人的书面通知后，在保险单或其他保险凭证上批注或附贴批单。投保人在指定和变更身故保险金受益人时，必须经过被保险人同意。被保险人身故后，有下列情形之一的，保险金作为被保险人的遗产，由保险人依照《中华人民共和国继承法》的规定履行给付保险金的义务：</w:t>
      </w:r>
    </w:p>
    <w:p>
      <w:pPr>
        <w:widowControl/>
        <w:adjustRightInd w:val="0"/>
        <w:snapToGrid w:val="0"/>
        <w:spacing w:line="360" w:lineRule="auto"/>
        <w:ind w:firstLine="420" w:firstLineChars="200"/>
        <w:rPr>
          <w:rFonts w:ascii="宋体" w:hAnsi="宋体" w:cs="宋体"/>
          <w:szCs w:val="21"/>
        </w:rPr>
      </w:pPr>
      <w:r>
        <w:rPr>
          <w:rFonts w:hint="eastAsia" w:ascii="宋体" w:hAnsi="宋体" w:cs="宋体"/>
          <w:szCs w:val="21"/>
        </w:rPr>
        <w:t>(1)没有指定受益人，或者受益人指定不明无法确定的；</w:t>
      </w:r>
    </w:p>
    <w:p>
      <w:pPr>
        <w:widowControl/>
        <w:adjustRightInd w:val="0"/>
        <w:snapToGrid w:val="0"/>
        <w:spacing w:line="360" w:lineRule="auto"/>
        <w:ind w:firstLine="420" w:firstLineChars="200"/>
        <w:rPr>
          <w:rFonts w:ascii="宋体" w:hAnsi="宋体" w:cs="宋体"/>
          <w:szCs w:val="21"/>
        </w:rPr>
      </w:pPr>
      <w:r>
        <w:rPr>
          <w:rFonts w:hint="eastAsia" w:ascii="宋体" w:hAnsi="宋体" w:cs="宋体"/>
          <w:szCs w:val="21"/>
        </w:rPr>
        <w:t xml:space="preserve">(2)受益人先于被保险人身故，没有其他受益人的；          </w:t>
      </w:r>
    </w:p>
    <w:p>
      <w:pPr>
        <w:widowControl/>
        <w:adjustRightInd w:val="0"/>
        <w:snapToGrid w:val="0"/>
        <w:spacing w:line="360" w:lineRule="auto"/>
        <w:ind w:firstLine="420" w:firstLineChars="200"/>
        <w:rPr>
          <w:rFonts w:ascii="宋体" w:hAnsi="宋体" w:cs="宋体"/>
          <w:szCs w:val="21"/>
        </w:rPr>
      </w:pPr>
      <w:r>
        <w:rPr>
          <w:rFonts w:hint="eastAsia" w:ascii="宋体" w:hAnsi="宋体" w:cs="宋体"/>
          <w:szCs w:val="21"/>
        </w:rPr>
        <w:t>(3)受益人依法丧失受益权或者放弃受益权，没有其他受益人的。</w:t>
      </w:r>
    </w:p>
    <w:p>
      <w:pPr>
        <w:widowControl/>
        <w:adjustRightInd w:val="0"/>
        <w:snapToGrid w:val="0"/>
        <w:spacing w:line="360" w:lineRule="auto"/>
        <w:ind w:firstLine="420" w:firstLineChars="200"/>
        <w:rPr>
          <w:rFonts w:ascii="宋体" w:hAnsi="宋体" w:cs="宋体"/>
          <w:szCs w:val="21"/>
        </w:rPr>
      </w:pPr>
      <w:r>
        <w:rPr>
          <w:rFonts w:hint="eastAsia" w:ascii="宋体" w:hAnsi="宋体" w:cs="宋体"/>
          <w:szCs w:val="21"/>
        </w:rPr>
        <w:t>受益人与被保险人在同一事件中身故，且不能确定身故先后顺序的，推定受益人身故在先。受益人故意造成被保险人身故、伤残的，或者故意杀害被保险人未遂的，该受益人丧失受益权。除另有指定外，残疾保险金的受益人为被保险人本人。</w:t>
      </w:r>
    </w:p>
    <w:p>
      <w:pPr>
        <w:widowControl/>
        <w:numPr>
          <w:ilvl w:val="0"/>
          <w:numId w:val="7"/>
        </w:numPr>
        <w:adjustRightInd w:val="0"/>
        <w:snapToGrid w:val="0"/>
        <w:spacing w:line="360" w:lineRule="auto"/>
        <w:ind w:firstLine="422" w:firstLineChars="200"/>
        <w:rPr>
          <w:rFonts w:ascii="宋体" w:hAnsi="宋体" w:cs="宋体"/>
          <w:b/>
          <w:bCs/>
          <w:szCs w:val="21"/>
        </w:rPr>
      </w:pPr>
      <w:r>
        <w:rPr>
          <w:rFonts w:hint="eastAsia" w:ascii="宋体" w:hAnsi="宋体" w:cs="宋体"/>
          <w:b/>
          <w:bCs/>
          <w:szCs w:val="21"/>
        </w:rPr>
        <w:t>保险事故通知</w:t>
      </w:r>
    </w:p>
    <w:p>
      <w:pPr>
        <w:widowControl/>
        <w:adjustRightInd w:val="0"/>
        <w:snapToGrid w:val="0"/>
        <w:spacing w:line="360" w:lineRule="auto"/>
        <w:ind w:firstLine="420" w:firstLineChars="200"/>
        <w:rPr>
          <w:rFonts w:ascii="宋体" w:hAnsi="宋体" w:cs="宋体"/>
          <w:b/>
          <w:bCs/>
          <w:szCs w:val="21"/>
        </w:rPr>
      </w:pPr>
      <w:r>
        <w:rPr>
          <w:rFonts w:hint="eastAsia" w:ascii="宋体" w:hAnsi="宋体" w:cs="宋体"/>
          <w:szCs w:val="21"/>
        </w:rPr>
        <w:t>投保人、被保险人或受益人知道保险事故后应当在 10 日内通知保险人。如果投保人、被保险人或受益人故意或者因重大过失未及时通知，致使保险事故的性质、原因、损失程度等难以确定的，保险人对无法确定的部分，不承担给付保险金的责任，但保险人通过其他途径已经及时知道或者应当及时知道保险事故发生或者虽未及时通知但不影响保险人确定保险事故的性质、原因、损失程度的除外。</w:t>
      </w:r>
    </w:p>
    <w:p>
      <w:pPr>
        <w:widowControl/>
        <w:numPr>
          <w:ilvl w:val="0"/>
          <w:numId w:val="7"/>
        </w:numPr>
        <w:adjustRightInd w:val="0"/>
        <w:snapToGrid w:val="0"/>
        <w:spacing w:line="360" w:lineRule="auto"/>
        <w:ind w:firstLine="422" w:firstLineChars="200"/>
        <w:rPr>
          <w:rFonts w:ascii="宋体" w:hAnsi="宋体" w:cs="宋体"/>
          <w:b/>
          <w:bCs/>
          <w:szCs w:val="21"/>
        </w:rPr>
      </w:pPr>
      <w:r>
        <w:rPr>
          <w:rFonts w:hint="eastAsia" w:ascii="宋体" w:hAnsi="宋体" w:cs="宋体"/>
          <w:b/>
          <w:bCs/>
          <w:szCs w:val="21"/>
        </w:rPr>
        <w:t>保险金申请</w:t>
      </w:r>
    </w:p>
    <w:p>
      <w:pPr>
        <w:widowControl/>
        <w:adjustRightInd w:val="0"/>
        <w:snapToGrid w:val="0"/>
        <w:spacing w:line="360" w:lineRule="auto"/>
        <w:ind w:firstLine="420" w:firstLineChars="200"/>
        <w:rPr>
          <w:rFonts w:ascii="宋体" w:hAnsi="宋体" w:cs="宋体"/>
          <w:szCs w:val="21"/>
        </w:rPr>
      </w:pPr>
      <w:r>
        <w:rPr>
          <w:rFonts w:hint="eastAsia" w:ascii="宋体" w:hAnsi="宋体" w:cs="宋体"/>
          <w:szCs w:val="21"/>
        </w:rPr>
        <w:t>在申请保险金时，请按照下列方式办理：</w:t>
      </w:r>
    </w:p>
    <w:p>
      <w:pPr>
        <w:widowControl/>
        <w:adjustRightInd w:val="0"/>
        <w:snapToGrid w:val="0"/>
        <w:spacing w:line="360" w:lineRule="auto"/>
        <w:ind w:firstLine="422" w:firstLineChars="200"/>
        <w:rPr>
          <w:rFonts w:ascii="宋体" w:hAnsi="宋体" w:cs="宋体"/>
          <w:b/>
          <w:bCs/>
          <w:szCs w:val="21"/>
        </w:rPr>
      </w:pPr>
      <w:r>
        <w:rPr>
          <w:rFonts w:hint="eastAsia" w:ascii="宋体" w:hAnsi="宋体" w:cs="宋体"/>
          <w:b/>
          <w:bCs/>
          <w:szCs w:val="21"/>
        </w:rPr>
        <w:t>身故保险金申请</w:t>
      </w:r>
    </w:p>
    <w:p>
      <w:pPr>
        <w:widowControl/>
        <w:adjustRightInd w:val="0"/>
        <w:snapToGrid w:val="0"/>
        <w:spacing w:line="360" w:lineRule="auto"/>
        <w:ind w:firstLine="420" w:firstLineChars="200"/>
        <w:rPr>
          <w:rFonts w:ascii="宋体" w:hAnsi="宋体" w:cs="宋体"/>
          <w:szCs w:val="21"/>
        </w:rPr>
      </w:pPr>
      <w:r>
        <w:rPr>
          <w:rFonts w:hint="eastAsia" w:ascii="宋体" w:hAnsi="宋体" w:cs="宋体"/>
          <w:szCs w:val="21"/>
        </w:rPr>
        <w:t xml:space="preserve">申请人须填写保险金给付申请书，并提供下列证明和资料： </w:t>
      </w:r>
    </w:p>
    <w:p>
      <w:pPr>
        <w:widowControl/>
        <w:adjustRightInd w:val="0"/>
        <w:snapToGrid w:val="0"/>
        <w:spacing w:line="360" w:lineRule="auto"/>
        <w:ind w:firstLine="420" w:firstLineChars="200"/>
        <w:rPr>
          <w:rFonts w:ascii="宋体" w:hAnsi="宋体" w:cs="宋体"/>
          <w:szCs w:val="21"/>
        </w:rPr>
      </w:pPr>
      <w:r>
        <w:rPr>
          <w:rFonts w:hint="eastAsia" w:ascii="宋体" w:hAnsi="宋体" w:cs="宋体"/>
          <w:szCs w:val="21"/>
        </w:rPr>
        <w:t>(1)保险合同；</w:t>
      </w:r>
    </w:p>
    <w:p>
      <w:pPr>
        <w:widowControl/>
        <w:adjustRightInd w:val="0"/>
        <w:snapToGrid w:val="0"/>
        <w:spacing w:line="360" w:lineRule="auto"/>
        <w:ind w:firstLine="420" w:firstLineChars="200"/>
        <w:rPr>
          <w:rFonts w:ascii="宋体" w:hAnsi="宋体" w:cs="宋体"/>
          <w:szCs w:val="21"/>
        </w:rPr>
      </w:pPr>
      <w:r>
        <w:rPr>
          <w:rFonts w:hint="eastAsia" w:ascii="宋体" w:hAnsi="宋体" w:cs="宋体"/>
          <w:szCs w:val="21"/>
        </w:rPr>
        <w:t xml:space="preserve">(2)申请人的有效身份证件；         </w:t>
      </w:r>
    </w:p>
    <w:p>
      <w:pPr>
        <w:widowControl/>
        <w:adjustRightInd w:val="0"/>
        <w:snapToGrid w:val="0"/>
        <w:spacing w:line="360" w:lineRule="auto"/>
        <w:ind w:firstLine="420" w:firstLineChars="200"/>
        <w:rPr>
          <w:rFonts w:ascii="宋体" w:hAnsi="宋体" w:cs="宋体"/>
          <w:szCs w:val="21"/>
        </w:rPr>
      </w:pPr>
      <w:r>
        <w:rPr>
          <w:rFonts w:hint="eastAsia" w:ascii="宋体" w:hAnsi="宋体" w:cs="宋体"/>
          <w:szCs w:val="21"/>
        </w:rPr>
        <w:t>(3)公安等有权部门出具的意外事故证明；</w:t>
      </w:r>
    </w:p>
    <w:p>
      <w:pPr>
        <w:widowControl/>
        <w:adjustRightInd w:val="0"/>
        <w:snapToGrid w:val="0"/>
        <w:spacing w:line="360" w:lineRule="auto"/>
        <w:ind w:firstLine="420" w:firstLineChars="200"/>
        <w:rPr>
          <w:rFonts w:ascii="宋体" w:hAnsi="宋体" w:cs="宋体"/>
          <w:szCs w:val="21"/>
        </w:rPr>
      </w:pPr>
      <w:r>
        <w:rPr>
          <w:rFonts w:hint="eastAsia" w:ascii="宋体" w:hAnsi="宋体" w:cs="宋体"/>
          <w:szCs w:val="21"/>
        </w:rPr>
        <w:t xml:space="preserve">(4)卫生行政部门认定的医疗机构、公安部门或其他相关机构出具的被保险人的死亡证明；                                                </w:t>
      </w:r>
    </w:p>
    <w:p>
      <w:pPr>
        <w:widowControl/>
        <w:adjustRightInd w:val="0"/>
        <w:snapToGrid w:val="0"/>
        <w:spacing w:line="360" w:lineRule="auto"/>
        <w:ind w:firstLine="420" w:firstLineChars="200"/>
        <w:rPr>
          <w:rFonts w:ascii="宋体" w:hAnsi="宋体" w:cs="宋体"/>
          <w:szCs w:val="21"/>
        </w:rPr>
      </w:pPr>
      <w:r>
        <w:rPr>
          <w:rFonts w:hint="eastAsia" w:ascii="宋体" w:hAnsi="宋体" w:cs="宋体"/>
          <w:szCs w:val="21"/>
        </w:rPr>
        <w:t>(5)所能够提供的与确认保险事故的性质、原因等有关的其他证明和资料。保险金作为被保险人遗产时，必须提供可证明合法继承权的相关权利文件。</w:t>
      </w:r>
    </w:p>
    <w:p>
      <w:pPr>
        <w:widowControl/>
        <w:adjustRightInd w:val="0"/>
        <w:snapToGrid w:val="0"/>
        <w:spacing w:line="360" w:lineRule="auto"/>
        <w:ind w:firstLine="420" w:firstLineChars="200"/>
        <w:rPr>
          <w:rFonts w:ascii="宋体" w:hAnsi="宋体" w:cs="宋体"/>
          <w:szCs w:val="21"/>
        </w:rPr>
      </w:pPr>
      <w:r>
        <w:rPr>
          <w:rFonts w:hint="eastAsia" w:ascii="宋体" w:hAnsi="宋体" w:cs="宋体"/>
          <w:szCs w:val="21"/>
        </w:rPr>
        <w:t>若申请人与保险人对被保险人的死因有争议，双方均有权提请司法鉴定机构对被保险人进行死因鉴定，另一方应当予以配合。</w:t>
      </w:r>
    </w:p>
    <w:p>
      <w:pPr>
        <w:widowControl/>
        <w:adjustRightInd w:val="0"/>
        <w:snapToGrid w:val="0"/>
        <w:spacing w:line="360" w:lineRule="auto"/>
        <w:ind w:firstLine="422" w:firstLineChars="200"/>
        <w:rPr>
          <w:rFonts w:ascii="宋体" w:hAnsi="宋体" w:cs="宋体"/>
          <w:b/>
          <w:bCs/>
          <w:szCs w:val="21"/>
        </w:rPr>
      </w:pPr>
      <w:r>
        <w:rPr>
          <w:rFonts w:hint="eastAsia" w:ascii="宋体" w:hAnsi="宋体" w:cs="宋体"/>
          <w:b/>
          <w:bCs/>
          <w:szCs w:val="21"/>
        </w:rPr>
        <w:t>残疾保险金申请</w:t>
      </w:r>
    </w:p>
    <w:p>
      <w:pPr>
        <w:widowControl/>
        <w:adjustRightInd w:val="0"/>
        <w:snapToGrid w:val="0"/>
        <w:spacing w:line="360" w:lineRule="auto"/>
        <w:ind w:firstLine="420" w:firstLineChars="200"/>
        <w:rPr>
          <w:rFonts w:ascii="宋体" w:hAnsi="宋体" w:cs="宋体"/>
          <w:szCs w:val="21"/>
        </w:rPr>
      </w:pPr>
      <w:r>
        <w:rPr>
          <w:rFonts w:hint="eastAsia" w:ascii="宋体" w:hAnsi="宋体" w:cs="宋体"/>
          <w:szCs w:val="21"/>
        </w:rPr>
        <w:t xml:space="preserve">申请人须填写保险金给付申请书，并提供下列证明和资料： </w:t>
      </w:r>
    </w:p>
    <w:p>
      <w:pPr>
        <w:widowControl/>
        <w:adjustRightInd w:val="0"/>
        <w:snapToGrid w:val="0"/>
        <w:spacing w:line="360" w:lineRule="auto"/>
        <w:ind w:firstLine="420" w:firstLineChars="200"/>
        <w:rPr>
          <w:rFonts w:ascii="宋体" w:hAnsi="宋体" w:cs="宋体"/>
          <w:szCs w:val="21"/>
        </w:rPr>
      </w:pPr>
      <w:r>
        <w:rPr>
          <w:rFonts w:hint="eastAsia" w:ascii="宋体" w:hAnsi="宋体" w:cs="宋体"/>
          <w:szCs w:val="21"/>
        </w:rPr>
        <w:t>(1)保险合同；</w:t>
      </w:r>
    </w:p>
    <w:p>
      <w:pPr>
        <w:widowControl/>
        <w:adjustRightInd w:val="0"/>
        <w:snapToGrid w:val="0"/>
        <w:spacing w:line="360" w:lineRule="auto"/>
        <w:ind w:firstLine="420" w:firstLineChars="200"/>
        <w:rPr>
          <w:rFonts w:ascii="宋体" w:hAnsi="宋体" w:cs="宋体"/>
          <w:szCs w:val="21"/>
        </w:rPr>
      </w:pPr>
      <w:r>
        <w:rPr>
          <w:rFonts w:hint="eastAsia" w:ascii="宋体" w:hAnsi="宋体" w:cs="宋体"/>
          <w:szCs w:val="21"/>
        </w:rPr>
        <w:t xml:space="preserve">(2)申请人的有效身份证件；          </w:t>
      </w:r>
    </w:p>
    <w:p>
      <w:pPr>
        <w:widowControl/>
        <w:adjustRightInd w:val="0"/>
        <w:snapToGrid w:val="0"/>
        <w:spacing w:line="360" w:lineRule="auto"/>
        <w:ind w:firstLine="420" w:firstLineChars="200"/>
        <w:rPr>
          <w:rFonts w:ascii="宋体" w:hAnsi="宋体" w:cs="宋体"/>
          <w:szCs w:val="21"/>
        </w:rPr>
      </w:pPr>
      <w:r>
        <w:rPr>
          <w:rFonts w:hint="eastAsia" w:ascii="宋体" w:hAnsi="宋体" w:cs="宋体"/>
          <w:szCs w:val="21"/>
        </w:rPr>
        <w:t>(3)公安等有权部门出具的意外事故证明；</w:t>
      </w:r>
    </w:p>
    <w:p>
      <w:pPr>
        <w:widowControl/>
        <w:adjustRightInd w:val="0"/>
        <w:snapToGrid w:val="0"/>
        <w:spacing w:line="360" w:lineRule="auto"/>
        <w:ind w:firstLine="420" w:firstLineChars="200"/>
        <w:rPr>
          <w:rFonts w:ascii="宋体" w:hAnsi="宋体" w:cs="宋体"/>
          <w:szCs w:val="21"/>
        </w:rPr>
      </w:pPr>
      <w:r>
        <w:rPr>
          <w:rFonts w:hint="eastAsia" w:ascii="宋体" w:hAnsi="宋体" w:cs="宋体"/>
          <w:szCs w:val="21"/>
        </w:rPr>
        <w:t>(4)卫生行政部门认定的二级以上医院或者由双方认可的医疗机构（或鉴定机构）出具的被保险人伤残程度的资料或身体伤残程度鉴定书；</w:t>
      </w:r>
    </w:p>
    <w:p>
      <w:pPr>
        <w:widowControl/>
        <w:adjustRightInd w:val="0"/>
        <w:snapToGrid w:val="0"/>
        <w:spacing w:line="360" w:lineRule="auto"/>
        <w:ind w:firstLine="420" w:firstLineChars="200"/>
        <w:rPr>
          <w:rFonts w:ascii="宋体" w:hAnsi="宋体" w:cs="宋体"/>
          <w:szCs w:val="21"/>
        </w:rPr>
      </w:pPr>
      <w:r>
        <w:rPr>
          <w:rFonts w:hint="eastAsia" w:ascii="宋体" w:hAnsi="宋体" w:cs="宋体"/>
          <w:szCs w:val="21"/>
        </w:rPr>
        <w:t>(5)所能够提供的与确认保险事故的性质、原因、伤害程度等有关的其他证明和资料。</w:t>
      </w:r>
    </w:p>
    <w:p>
      <w:pPr>
        <w:widowControl/>
        <w:adjustRightInd w:val="0"/>
        <w:snapToGrid w:val="0"/>
        <w:spacing w:line="360" w:lineRule="auto"/>
        <w:ind w:firstLine="420" w:firstLineChars="200"/>
        <w:rPr>
          <w:rFonts w:ascii="宋体" w:hAnsi="宋体" w:cs="宋体"/>
          <w:b/>
          <w:bCs/>
          <w:szCs w:val="21"/>
        </w:rPr>
      </w:pPr>
      <w:r>
        <w:rPr>
          <w:rFonts w:hint="eastAsia" w:ascii="宋体" w:hAnsi="宋体" w:cs="宋体"/>
          <w:szCs w:val="21"/>
        </w:rPr>
        <w:t>以上各项保险金申请的证明和资料不完整的，保险人将及时一次性通知申请人补充提供有关证明和资料。</w:t>
      </w:r>
    </w:p>
    <w:p>
      <w:pPr>
        <w:widowControl/>
        <w:numPr>
          <w:ilvl w:val="0"/>
          <w:numId w:val="7"/>
        </w:numPr>
        <w:adjustRightInd w:val="0"/>
        <w:snapToGrid w:val="0"/>
        <w:spacing w:line="360" w:lineRule="auto"/>
        <w:ind w:firstLine="422" w:firstLineChars="200"/>
        <w:rPr>
          <w:rFonts w:ascii="宋体" w:hAnsi="宋体" w:cs="宋体"/>
          <w:b/>
          <w:bCs/>
          <w:szCs w:val="21"/>
        </w:rPr>
      </w:pPr>
      <w:r>
        <w:rPr>
          <w:rFonts w:hint="eastAsia" w:ascii="宋体" w:hAnsi="宋体" w:cs="宋体"/>
          <w:b/>
          <w:bCs/>
          <w:szCs w:val="21"/>
        </w:rPr>
        <w:t>保险金给付</w:t>
      </w:r>
    </w:p>
    <w:p>
      <w:pPr>
        <w:widowControl/>
        <w:adjustRightInd w:val="0"/>
        <w:snapToGrid w:val="0"/>
        <w:spacing w:line="360" w:lineRule="auto"/>
        <w:ind w:firstLine="420" w:firstLineChars="200"/>
        <w:rPr>
          <w:rFonts w:ascii="宋体" w:hAnsi="宋体" w:cs="宋体"/>
          <w:szCs w:val="21"/>
        </w:rPr>
      </w:pPr>
      <w:r>
        <w:rPr>
          <w:rFonts w:hint="eastAsia" w:ascii="宋体" w:hAnsi="宋体" w:cs="宋体"/>
          <w:szCs w:val="21"/>
        </w:rPr>
        <w:t>保险人在收到保险金给付申请书及合同约定的证明和资料后，将在 5 个工作日内作出核定；情形复杂的，在 30 日内作出核定。对属于保险责任的，保险人在与受益人达成给付保险金的协议后 10 日内，履行给付保险金义务。保险人未及时履行前款规定义务的，除支付保险金外，应当赔偿受益人因此受到的损失。前述“损失”是指根据中国人民银行公布的同时期的人民币活期存款基准利率计算的利息损失。</w:t>
      </w:r>
    </w:p>
    <w:p>
      <w:pPr>
        <w:widowControl/>
        <w:adjustRightInd w:val="0"/>
        <w:snapToGrid w:val="0"/>
        <w:spacing w:line="360" w:lineRule="auto"/>
        <w:ind w:firstLine="420" w:firstLineChars="200"/>
        <w:rPr>
          <w:rFonts w:ascii="宋体" w:hAnsi="宋体" w:cs="宋体"/>
          <w:szCs w:val="21"/>
        </w:rPr>
      </w:pPr>
      <w:r>
        <w:rPr>
          <w:rFonts w:hint="eastAsia" w:ascii="宋体" w:hAnsi="宋体" w:cs="宋体"/>
          <w:szCs w:val="21"/>
        </w:rPr>
        <w:t>对不属于保险责任的，保险人自作出核定之日起 3 日内向受益人发出拒绝给付保险金通知书并说明理由。</w:t>
      </w:r>
    </w:p>
    <w:p>
      <w:pPr>
        <w:widowControl/>
        <w:adjustRightInd w:val="0"/>
        <w:snapToGrid w:val="0"/>
        <w:spacing w:line="360" w:lineRule="auto"/>
        <w:ind w:firstLine="420" w:firstLineChars="200"/>
        <w:rPr>
          <w:rFonts w:ascii="宋体" w:hAnsi="宋体" w:cs="宋体"/>
          <w:szCs w:val="21"/>
        </w:rPr>
      </w:pPr>
      <w:r>
        <w:rPr>
          <w:rFonts w:hint="eastAsia" w:ascii="宋体" w:hAnsi="宋体" w:cs="宋体"/>
          <w:szCs w:val="21"/>
        </w:rPr>
        <w:t>保险人在收到保险金给付申请书及有关证明和资料之日起 60 日内，对给付保险金的数额不能确定的，根据已有证明和资料可以确定的数额先予支付；保险人最终确定给付保险金的数额后，将支付相应的差额。</w:t>
      </w:r>
    </w:p>
    <w:p>
      <w:pPr>
        <w:widowControl/>
        <w:numPr>
          <w:ilvl w:val="0"/>
          <w:numId w:val="7"/>
        </w:numPr>
        <w:adjustRightInd w:val="0"/>
        <w:snapToGrid w:val="0"/>
        <w:spacing w:line="360" w:lineRule="auto"/>
        <w:ind w:firstLine="422" w:firstLineChars="200"/>
        <w:rPr>
          <w:rFonts w:ascii="宋体" w:hAnsi="宋体" w:cs="宋体"/>
          <w:b/>
          <w:bCs/>
          <w:szCs w:val="21"/>
        </w:rPr>
      </w:pPr>
      <w:r>
        <w:rPr>
          <w:rFonts w:hint="eastAsia" w:ascii="宋体" w:hAnsi="宋体" w:cs="宋体"/>
          <w:b/>
          <w:bCs/>
          <w:szCs w:val="21"/>
        </w:rPr>
        <w:t>诉讼时效</w:t>
      </w:r>
    </w:p>
    <w:p>
      <w:pPr>
        <w:widowControl/>
        <w:adjustRightInd w:val="0"/>
        <w:snapToGrid w:val="0"/>
        <w:spacing w:line="360" w:lineRule="auto"/>
        <w:ind w:firstLine="420" w:firstLineChars="200"/>
        <w:rPr>
          <w:rFonts w:ascii="宋体" w:hAnsi="宋体" w:cs="宋体"/>
          <w:szCs w:val="21"/>
        </w:rPr>
      </w:pPr>
      <w:r>
        <w:rPr>
          <w:rFonts w:hint="eastAsia" w:ascii="宋体" w:hAnsi="宋体" w:cs="宋体"/>
          <w:szCs w:val="21"/>
        </w:rPr>
        <w:t>受益人向保险人请求给付保险金的诉讼时效期间为 2 年，自其知道或应当知道保险事故发生之日起计算。</w:t>
      </w:r>
    </w:p>
    <w:p>
      <w:pPr>
        <w:widowControl/>
        <w:adjustRightInd w:val="0"/>
        <w:snapToGrid w:val="0"/>
        <w:spacing w:line="360" w:lineRule="auto"/>
        <w:ind w:firstLine="422" w:firstLineChars="200"/>
        <w:jc w:val="center"/>
        <w:rPr>
          <w:rFonts w:ascii="宋体" w:hAnsi="宋体" w:cs="宋体"/>
          <w:b/>
          <w:bCs/>
          <w:szCs w:val="21"/>
        </w:rPr>
      </w:pPr>
      <w:r>
        <w:rPr>
          <w:rFonts w:hint="eastAsia" w:ascii="宋体" w:hAnsi="宋体" w:cs="宋体"/>
          <w:b/>
          <w:bCs/>
          <w:szCs w:val="21"/>
        </w:rPr>
        <w:t>保险费的支付</w:t>
      </w:r>
    </w:p>
    <w:p>
      <w:pPr>
        <w:widowControl/>
        <w:numPr>
          <w:ilvl w:val="0"/>
          <w:numId w:val="7"/>
        </w:numPr>
        <w:adjustRightInd w:val="0"/>
        <w:snapToGrid w:val="0"/>
        <w:spacing w:line="360" w:lineRule="auto"/>
        <w:ind w:firstLine="422" w:firstLineChars="200"/>
        <w:rPr>
          <w:rFonts w:ascii="宋体" w:hAnsi="宋体" w:cs="宋体"/>
          <w:b/>
          <w:bCs/>
          <w:szCs w:val="21"/>
        </w:rPr>
      </w:pPr>
      <w:r>
        <w:rPr>
          <w:rFonts w:hint="eastAsia" w:ascii="宋体" w:hAnsi="宋体" w:cs="宋体"/>
          <w:b/>
          <w:bCs/>
          <w:szCs w:val="21"/>
        </w:rPr>
        <w:t>保险费的支付</w:t>
      </w:r>
    </w:p>
    <w:p>
      <w:pPr>
        <w:widowControl/>
        <w:adjustRightInd w:val="0"/>
        <w:snapToGrid w:val="0"/>
        <w:spacing w:line="360" w:lineRule="auto"/>
        <w:ind w:firstLine="420" w:firstLineChars="200"/>
        <w:rPr>
          <w:rFonts w:ascii="宋体" w:hAnsi="宋体" w:cs="宋体"/>
          <w:szCs w:val="21"/>
        </w:rPr>
      </w:pPr>
      <w:r>
        <w:rPr>
          <w:rFonts w:hint="eastAsia" w:ascii="宋体" w:hAnsi="宋体" w:cs="宋体"/>
          <w:szCs w:val="21"/>
        </w:rPr>
        <w:t>投保人应于投保时一次性支付全部保险费。</w:t>
      </w:r>
    </w:p>
    <w:p>
      <w:pPr>
        <w:widowControl/>
        <w:adjustRightInd w:val="0"/>
        <w:snapToGrid w:val="0"/>
        <w:spacing w:line="360" w:lineRule="auto"/>
        <w:ind w:firstLine="422" w:firstLineChars="200"/>
        <w:jc w:val="center"/>
        <w:rPr>
          <w:rFonts w:ascii="宋体" w:hAnsi="宋体" w:cs="宋体"/>
          <w:b/>
          <w:bCs/>
          <w:szCs w:val="21"/>
        </w:rPr>
      </w:pPr>
      <w:r>
        <w:rPr>
          <w:rFonts w:hint="eastAsia" w:ascii="宋体" w:hAnsi="宋体" w:cs="宋体"/>
          <w:b/>
          <w:bCs/>
          <w:szCs w:val="21"/>
        </w:rPr>
        <w:t>合同解除</w:t>
      </w:r>
    </w:p>
    <w:p>
      <w:pPr>
        <w:widowControl/>
        <w:numPr>
          <w:ilvl w:val="0"/>
          <w:numId w:val="7"/>
        </w:numPr>
        <w:adjustRightInd w:val="0"/>
        <w:snapToGrid w:val="0"/>
        <w:spacing w:line="360" w:lineRule="auto"/>
        <w:ind w:firstLine="422" w:firstLineChars="200"/>
        <w:rPr>
          <w:rFonts w:ascii="宋体" w:hAnsi="宋体" w:cs="宋体"/>
          <w:b/>
          <w:bCs/>
          <w:szCs w:val="21"/>
        </w:rPr>
      </w:pPr>
      <w:r>
        <w:rPr>
          <w:rFonts w:hint="eastAsia" w:ascii="宋体" w:hAnsi="宋体" w:cs="宋体"/>
          <w:b/>
          <w:bCs/>
          <w:szCs w:val="21"/>
        </w:rPr>
        <w:t>解除合同的手续及风险</w:t>
      </w:r>
    </w:p>
    <w:p>
      <w:pPr>
        <w:widowControl/>
        <w:adjustRightInd w:val="0"/>
        <w:snapToGrid w:val="0"/>
        <w:spacing w:line="360" w:lineRule="auto"/>
        <w:ind w:firstLine="420" w:firstLineChars="200"/>
        <w:rPr>
          <w:rFonts w:ascii="宋体" w:hAnsi="宋体" w:cs="宋体"/>
          <w:szCs w:val="21"/>
        </w:rPr>
      </w:pPr>
      <w:r>
        <w:rPr>
          <w:rFonts w:hint="eastAsia" w:ascii="宋体" w:hAnsi="宋体" w:cs="宋体"/>
          <w:szCs w:val="21"/>
        </w:rPr>
        <w:t>如投保人申请解除本合同，请填写解除合同申请书并向保险人提供下列资料：</w:t>
      </w:r>
    </w:p>
    <w:p>
      <w:pPr>
        <w:widowControl/>
        <w:adjustRightInd w:val="0"/>
        <w:snapToGrid w:val="0"/>
        <w:spacing w:line="360" w:lineRule="auto"/>
        <w:ind w:firstLine="420" w:firstLineChars="200"/>
        <w:rPr>
          <w:rFonts w:ascii="宋体" w:hAnsi="宋体" w:cs="宋体"/>
          <w:szCs w:val="21"/>
        </w:rPr>
      </w:pPr>
      <w:r>
        <w:rPr>
          <w:rFonts w:hint="eastAsia" w:ascii="宋体" w:hAnsi="宋体" w:cs="宋体"/>
          <w:szCs w:val="21"/>
        </w:rPr>
        <w:t>(1)保险合同；</w:t>
      </w:r>
    </w:p>
    <w:p>
      <w:pPr>
        <w:widowControl/>
        <w:adjustRightInd w:val="0"/>
        <w:snapToGrid w:val="0"/>
        <w:spacing w:line="360" w:lineRule="auto"/>
        <w:ind w:firstLine="420" w:firstLineChars="200"/>
        <w:rPr>
          <w:rFonts w:ascii="宋体" w:hAnsi="宋体" w:cs="宋体"/>
          <w:szCs w:val="21"/>
        </w:rPr>
      </w:pPr>
      <w:r>
        <w:rPr>
          <w:rFonts w:hint="eastAsia" w:ascii="宋体" w:hAnsi="宋体" w:cs="宋体"/>
          <w:szCs w:val="21"/>
        </w:rPr>
        <w:t>(2)投保人的有效身份证件。</w:t>
      </w:r>
    </w:p>
    <w:p>
      <w:pPr>
        <w:widowControl/>
        <w:adjustRightInd w:val="0"/>
        <w:snapToGrid w:val="0"/>
        <w:spacing w:line="360" w:lineRule="auto"/>
        <w:ind w:firstLine="420" w:firstLineChars="200"/>
        <w:rPr>
          <w:rFonts w:ascii="宋体" w:hAnsi="宋体" w:cs="宋体"/>
          <w:szCs w:val="21"/>
        </w:rPr>
      </w:pPr>
      <w:r>
        <w:rPr>
          <w:rFonts w:hint="eastAsia" w:ascii="宋体" w:hAnsi="宋体" w:cs="宋体"/>
          <w:szCs w:val="21"/>
        </w:rPr>
        <w:t>自保险人收到解除合同申请书时起，本合同终止。保险人自收到解除合同申请书</w:t>
      </w:r>
    </w:p>
    <w:p>
      <w:pPr>
        <w:widowControl/>
        <w:adjustRightInd w:val="0"/>
        <w:snapToGrid w:val="0"/>
        <w:spacing w:line="360" w:lineRule="auto"/>
        <w:ind w:firstLine="420" w:firstLineChars="200"/>
        <w:rPr>
          <w:rFonts w:ascii="宋体" w:hAnsi="宋体" w:cs="宋体"/>
          <w:szCs w:val="21"/>
        </w:rPr>
      </w:pPr>
      <w:r>
        <w:rPr>
          <w:rFonts w:hint="eastAsia" w:ascii="宋体" w:hAnsi="宋体" w:cs="宋体"/>
          <w:szCs w:val="21"/>
        </w:rPr>
        <w:t>之日起 30 日内向投保人退还保险单的现金价值。已发生过保险金领取的，保险人不退还保险单的现金价值。投保人解除合同会遭受一定损失。</w:t>
      </w:r>
    </w:p>
    <w:p>
      <w:pPr>
        <w:widowControl/>
        <w:adjustRightInd w:val="0"/>
        <w:snapToGrid w:val="0"/>
        <w:spacing w:line="360" w:lineRule="auto"/>
        <w:ind w:firstLine="422" w:firstLineChars="200"/>
        <w:jc w:val="center"/>
        <w:rPr>
          <w:rFonts w:ascii="宋体" w:hAnsi="宋体" w:cs="宋体"/>
          <w:b/>
          <w:bCs/>
          <w:szCs w:val="21"/>
        </w:rPr>
      </w:pPr>
      <w:r>
        <w:rPr>
          <w:rFonts w:hint="eastAsia" w:ascii="宋体" w:hAnsi="宋体" w:cs="宋体"/>
          <w:b/>
          <w:bCs/>
          <w:szCs w:val="21"/>
        </w:rPr>
        <w:t>其他需要关注的事项</w:t>
      </w:r>
    </w:p>
    <w:p>
      <w:pPr>
        <w:widowControl/>
        <w:numPr>
          <w:ilvl w:val="0"/>
          <w:numId w:val="7"/>
        </w:numPr>
        <w:adjustRightInd w:val="0"/>
        <w:snapToGrid w:val="0"/>
        <w:spacing w:line="360" w:lineRule="auto"/>
        <w:ind w:firstLine="422" w:firstLineChars="200"/>
        <w:rPr>
          <w:rFonts w:ascii="宋体" w:hAnsi="宋体" w:cs="宋体"/>
          <w:b/>
          <w:bCs/>
          <w:szCs w:val="21"/>
        </w:rPr>
      </w:pPr>
      <w:r>
        <w:rPr>
          <w:rFonts w:hint="eastAsia" w:ascii="宋体" w:hAnsi="宋体" w:cs="宋体"/>
          <w:b/>
          <w:bCs/>
          <w:szCs w:val="21"/>
        </w:rPr>
        <w:t>明确说明与如实告知</w:t>
      </w:r>
    </w:p>
    <w:p>
      <w:pPr>
        <w:widowControl/>
        <w:adjustRightInd w:val="0"/>
        <w:snapToGrid w:val="0"/>
        <w:spacing w:line="360" w:lineRule="auto"/>
        <w:ind w:firstLine="420" w:firstLineChars="200"/>
        <w:rPr>
          <w:rFonts w:ascii="宋体" w:hAnsi="宋体" w:cs="宋体"/>
          <w:szCs w:val="21"/>
        </w:rPr>
      </w:pPr>
      <w:r>
        <w:rPr>
          <w:rFonts w:hint="eastAsia" w:ascii="宋体" w:hAnsi="宋体" w:cs="宋体"/>
          <w:szCs w:val="21"/>
        </w:rPr>
        <w:t>订立本合同时，保险人应向投保人说明本合同的内容。对保险条款中免除保险人们责任的条款，保险人在订立合同时应当在投保单、保险单或者其他保险凭证上作出足以引起头投保人注意的提示，并对该条款的内容以书面或者口头形式向投保人作出明确说明，未作提示或者明确说明的，该条款不产生效力。保险人就投保人和被保险人的有关情况提出询问，投保人应当如实告知。</w:t>
      </w:r>
    </w:p>
    <w:p>
      <w:pPr>
        <w:widowControl/>
        <w:adjustRightInd w:val="0"/>
        <w:snapToGrid w:val="0"/>
        <w:spacing w:line="360" w:lineRule="auto"/>
        <w:ind w:firstLine="420" w:firstLineChars="200"/>
        <w:rPr>
          <w:rFonts w:ascii="宋体" w:hAnsi="宋体" w:cs="宋体"/>
          <w:szCs w:val="21"/>
        </w:rPr>
      </w:pPr>
      <w:r>
        <w:rPr>
          <w:rFonts w:hint="eastAsia" w:ascii="宋体" w:hAnsi="宋体" w:cs="宋体"/>
          <w:szCs w:val="21"/>
        </w:rPr>
        <w:t>如果投保人故意或者因重大过失未履行前款规定的如实告知义务，足以影响保险人决定是否同意承保或者提高保险费率的，保险人有权解除本合同。</w:t>
      </w:r>
    </w:p>
    <w:p>
      <w:pPr>
        <w:widowControl/>
        <w:adjustRightInd w:val="0"/>
        <w:snapToGrid w:val="0"/>
        <w:spacing w:line="360" w:lineRule="auto"/>
        <w:ind w:firstLine="420" w:firstLineChars="200"/>
        <w:rPr>
          <w:rFonts w:ascii="宋体" w:hAnsi="宋体" w:cs="宋体"/>
          <w:szCs w:val="21"/>
        </w:rPr>
      </w:pPr>
      <w:r>
        <w:rPr>
          <w:rFonts w:hint="eastAsia" w:ascii="宋体" w:hAnsi="宋体" w:cs="宋体"/>
          <w:szCs w:val="21"/>
        </w:rPr>
        <w:t>如果投保人故意不履行如实告知义务，对于本合同解除前发生的保险事故，保险人不承担给付保险金的责任，并不退还保险费。</w:t>
      </w:r>
    </w:p>
    <w:p>
      <w:pPr>
        <w:widowControl/>
        <w:adjustRightInd w:val="0"/>
        <w:snapToGrid w:val="0"/>
        <w:spacing w:line="360" w:lineRule="auto"/>
        <w:ind w:firstLine="420" w:firstLineChars="200"/>
        <w:rPr>
          <w:rFonts w:ascii="宋体" w:hAnsi="宋体" w:cs="宋体"/>
          <w:szCs w:val="21"/>
        </w:rPr>
      </w:pPr>
      <w:r>
        <w:rPr>
          <w:rFonts w:hint="eastAsia" w:ascii="宋体" w:hAnsi="宋体" w:cs="宋体"/>
          <w:szCs w:val="21"/>
        </w:rPr>
        <w:t>如果投保人因重大过失未履行如实告知义务，对保险事故的发生有严重影响的， 对于本合同解除前发生的保险事故，保险人不承担给付保险金的责任，但应当退还保险费。</w:t>
      </w:r>
    </w:p>
    <w:p>
      <w:pPr>
        <w:widowControl/>
        <w:adjustRightInd w:val="0"/>
        <w:snapToGrid w:val="0"/>
        <w:spacing w:line="360" w:lineRule="auto"/>
        <w:ind w:firstLine="420" w:firstLineChars="200"/>
        <w:rPr>
          <w:rFonts w:ascii="宋体" w:hAnsi="宋体" w:cs="宋体"/>
          <w:szCs w:val="21"/>
        </w:rPr>
      </w:pPr>
      <w:r>
        <w:rPr>
          <w:rFonts w:hint="eastAsia" w:ascii="宋体" w:hAnsi="宋体" w:cs="宋体"/>
          <w:szCs w:val="21"/>
        </w:rPr>
        <w:t>保险人在合同订立时已经知道投保人未如实告知的情况的，保险人不得解除合同；发生保险事故的，保险人承担给付保险金的责任。</w:t>
      </w:r>
    </w:p>
    <w:p>
      <w:pPr>
        <w:widowControl/>
        <w:numPr>
          <w:ilvl w:val="0"/>
          <w:numId w:val="7"/>
        </w:numPr>
        <w:adjustRightInd w:val="0"/>
        <w:snapToGrid w:val="0"/>
        <w:spacing w:line="360" w:lineRule="auto"/>
        <w:ind w:firstLine="422" w:firstLineChars="200"/>
        <w:rPr>
          <w:rFonts w:ascii="宋体" w:hAnsi="宋体" w:cs="宋体"/>
          <w:b/>
          <w:bCs/>
          <w:szCs w:val="21"/>
        </w:rPr>
      </w:pPr>
      <w:r>
        <w:rPr>
          <w:rFonts w:hint="eastAsia" w:ascii="宋体" w:hAnsi="宋体" w:cs="宋体"/>
          <w:b/>
          <w:bCs/>
          <w:szCs w:val="21"/>
        </w:rPr>
        <w:t>保险人合同解除权的限制</w:t>
      </w:r>
    </w:p>
    <w:p>
      <w:pPr>
        <w:widowControl/>
        <w:adjustRightInd w:val="0"/>
        <w:snapToGrid w:val="0"/>
        <w:spacing w:line="360" w:lineRule="auto"/>
        <w:ind w:firstLine="420" w:firstLineChars="200"/>
        <w:rPr>
          <w:rFonts w:ascii="宋体" w:hAnsi="宋体" w:cs="宋体"/>
          <w:szCs w:val="21"/>
        </w:rPr>
      </w:pPr>
      <w:r>
        <w:rPr>
          <w:rFonts w:hint="eastAsia" w:ascii="宋体" w:hAnsi="宋体" w:cs="宋体"/>
          <w:szCs w:val="21"/>
        </w:rPr>
        <w:t>本保险条款“6.1 明确说明与如实告知”规定的合同解除权，自保险人知道有解除事由之日起，超过 30 日不行使而消灭。</w:t>
      </w:r>
    </w:p>
    <w:p>
      <w:pPr>
        <w:widowControl/>
        <w:numPr>
          <w:ilvl w:val="0"/>
          <w:numId w:val="7"/>
        </w:numPr>
        <w:adjustRightInd w:val="0"/>
        <w:snapToGrid w:val="0"/>
        <w:spacing w:line="360" w:lineRule="auto"/>
        <w:ind w:firstLine="422" w:firstLineChars="200"/>
        <w:rPr>
          <w:rFonts w:ascii="宋体" w:hAnsi="宋体" w:cs="宋体"/>
          <w:b/>
          <w:bCs/>
          <w:szCs w:val="21"/>
        </w:rPr>
      </w:pPr>
      <w:r>
        <w:rPr>
          <w:rFonts w:hint="eastAsia" w:ascii="宋体" w:hAnsi="宋体" w:cs="宋体"/>
          <w:b/>
          <w:bCs/>
          <w:szCs w:val="21"/>
        </w:rPr>
        <w:t>联系方式变更</w:t>
      </w:r>
    </w:p>
    <w:p>
      <w:pPr>
        <w:widowControl/>
        <w:adjustRightInd w:val="0"/>
        <w:snapToGrid w:val="0"/>
        <w:spacing w:line="360" w:lineRule="auto"/>
        <w:ind w:firstLine="422" w:firstLineChars="200"/>
        <w:rPr>
          <w:rFonts w:ascii="宋体" w:hAnsi="宋体" w:cs="宋体"/>
          <w:b/>
          <w:bCs/>
          <w:szCs w:val="21"/>
        </w:rPr>
      </w:pPr>
      <w:r>
        <w:rPr>
          <w:rFonts w:hint="eastAsia" w:ascii="宋体" w:hAnsi="宋体" w:cs="宋体"/>
          <w:b/>
          <w:bCs/>
          <w:szCs w:val="21"/>
        </w:rPr>
        <w:t xml:space="preserve">  </w:t>
      </w:r>
      <w:r>
        <w:rPr>
          <w:rFonts w:hint="eastAsia" w:ascii="宋体" w:hAnsi="宋体" w:cs="宋体"/>
          <w:szCs w:val="21"/>
        </w:rPr>
        <w:t xml:space="preserve"> 为了保障投保人的合法权益，投保人的住所、通讯地址或电话等联系方式变更时，请及时以书面形式或双方认可的其他形式通知保险人。若投保人未以书面形式或双方认可的其他形式通知保险人，保险人按本合同载明的最后住所、通讯地址或电话等联系方式发送的有关通知，均视为已送达给投保人。</w:t>
      </w:r>
    </w:p>
    <w:p>
      <w:pPr>
        <w:widowControl/>
        <w:numPr>
          <w:ilvl w:val="0"/>
          <w:numId w:val="7"/>
        </w:numPr>
        <w:adjustRightInd w:val="0"/>
        <w:snapToGrid w:val="0"/>
        <w:spacing w:line="360" w:lineRule="auto"/>
        <w:ind w:firstLine="422" w:firstLineChars="200"/>
        <w:rPr>
          <w:rFonts w:ascii="宋体" w:hAnsi="宋体" w:cs="宋体"/>
          <w:b/>
          <w:bCs/>
          <w:szCs w:val="21"/>
        </w:rPr>
      </w:pPr>
      <w:r>
        <w:rPr>
          <w:rFonts w:hint="eastAsia" w:ascii="宋体" w:hAnsi="宋体" w:cs="宋体"/>
          <w:b/>
          <w:bCs/>
          <w:szCs w:val="21"/>
        </w:rPr>
        <w:t>合同内容变更</w:t>
      </w:r>
    </w:p>
    <w:p>
      <w:pPr>
        <w:widowControl/>
        <w:adjustRightInd w:val="0"/>
        <w:snapToGrid w:val="0"/>
        <w:spacing w:line="360" w:lineRule="auto"/>
        <w:ind w:firstLine="420" w:firstLineChars="200"/>
        <w:rPr>
          <w:rFonts w:ascii="宋体" w:hAnsi="宋体" w:cs="宋体"/>
          <w:szCs w:val="21"/>
        </w:rPr>
      </w:pPr>
      <w:r>
        <w:rPr>
          <w:rFonts w:hint="eastAsia" w:ascii="宋体" w:hAnsi="宋体" w:cs="宋体"/>
          <w:szCs w:val="21"/>
        </w:rPr>
        <w:t>在本合同有效期内，经投保人和保险人协商一致，可以变更本合同的有关内容。变更本合同的，应由保险人在保险单上批注或者附贴批单，或者由投保人与保险人订立书面的变更协议。</w:t>
      </w:r>
    </w:p>
    <w:p>
      <w:pPr>
        <w:widowControl/>
        <w:numPr>
          <w:ilvl w:val="0"/>
          <w:numId w:val="7"/>
        </w:numPr>
        <w:adjustRightInd w:val="0"/>
        <w:snapToGrid w:val="0"/>
        <w:spacing w:line="360" w:lineRule="auto"/>
        <w:ind w:firstLine="422" w:firstLineChars="200"/>
        <w:rPr>
          <w:rFonts w:ascii="宋体" w:hAnsi="宋体" w:cs="宋体"/>
          <w:b/>
          <w:bCs/>
          <w:szCs w:val="21"/>
        </w:rPr>
      </w:pPr>
      <w:r>
        <w:rPr>
          <w:rFonts w:hint="eastAsia" w:ascii="宋体" w:hAnsi="宋体" w:cs="宋体"/>
          <w:b/>
          <w:bCs/>
          <w:szCs w:val="21"/>
        </w:rPr>
        <w:t>争议处理</w:t>
      </w:r>
    </w:p>
    <w:p>
      <w:pPr>
        <w:widowControl/>
        <w:adjustRightInd w:val="0"/>
        <w:snapToGrid w:val="0"/>
        <w:spacing w:line="360" w:lineRule="auto"/>
        <w:ind w:firstLine="420" w:firstLineChars="200"/>
        <w:rPr>
          <w:rFonts w:ascii="宋体" w:hAnsi="宋体" w:cs="宋体"/>
          <w:szCs w:val="21"/>
        </w:rPr>
      </w:pPr>
      <w:r>
        <w:rPr>
          <w:rFonts w:hint="eastAsia" w:ascii="宋体" w:hAnsi="宋体" w:cs="宋体"/>
          <w:szCs w:val="21"/>
        </w:rPr>
        <w:t>本合同履行过程中，双方发生争议时，可以从下列两种方式中选择一种争议处理方式：</w:t>
      </w:r>
    </w:p>
    <w:p>
      <w:pPr>
        <w:widowControl/>
        <w:numPr>
          <w:ilvl w:val="0"/>
          <w:numId w:val="8"/>
        </w:numPr>
        <w:adjustRightInd w:val="0"/>
        <w:snapToGrid w:val="0"/>
        <w:spacing w:line="360" w:lineRule="auto"/>
        <w:ind w:firstLine="420" w:firstLineChars="200"/>
        <w:rPr>
          <w:rFonts w:ascii="宋体" w:hAnsi="宋体" w:cs="宋体"/>
          <w:szCs w:val="21"/>
        </w:rPr>
      </w:pPr>
      <w:r>
        <w:rPr>
          <w:rFonts w:hint="eastAsia" w:ascii="宋体" w:hAnsi="宋体" w:cs="宋体"/>
          <w:szCs w:val="21"/>
        </w:rPr>
        <w:t>因履行本合同发生的争议，由双方协商解决，协商不成的，提交本合同约定的仲裁委员会仲裁；</w:t>
      </w:r>
    </w:p>
    <w:p>
      <w:pPr>
        <w:widowControl/>
        <w:numPr>
          <w:ilvl w:val="0"/>
          <w:numId w:val="8"/>
        </w:numPr>
        <w:adjustRightInd w:val="0"/>
        <w:snapToGrid w:val="0"/>
        <w:spacing w:line="360" w:lineRule="auto"/>
        <w:ind w:firstLine="420" w:firstLineChars="200"/>
        <w:rPr>
          <w:rFonts w:ascii="宋体" w:hAnsi="宋体" w:cs="宋体"/>
          <w:szCs w:val="21"/>
        </w:rPr>
      </w:pPr>
      <w:r>
        <w:rPr>
          <w:rFonts w:hint="eastAsia" w:ascii="宋体" w:hAnsi="宋体" w:cs="宋体"/>
          <w:szCs w:val="21"/>
        </w:rPr>
        <w:t xml:space="preserve">因履行本合同发生的争议，由双方协商解决，协商不成的，依法向人民法院起诉。                                                    </w:t>
      </w:r>
    </w:p>
    <w:p>
      <w:pPr>
        <w:widowControl/>
        <w:adjustRightInd w:val="0"/>
        <w:snapToGrid w:val="0"/>
        <w:spacing w:line="360" w:lineRule="auto"/>
        <w:ind w:firstLine="422" w:firstLineChars="200"/>
        <w:jc w:val="center"/>
        <w:rPr>
          <w:rFonts w:ascii="宋体" w:hAnsi="宋体" w:cs="宋体"/>
          <w:b/>
          <w:bCs/>
          <w:szCs w:val="21"/>
        </w:rPr>
      </w:pPr>
      <w:r>
        <w:rPr>
          <w:rFonts w:hint="eastAsia" w:ascii="宋体" w:hAnsi="宋体" w:cs="宋体"/>
          <w:b/>
          <w:bCs/>
          <w:szCs w:val="21"/>
        </w:rPr>
        <w:t>释义</w:t>
      </w:r>
    </w:p>
    <w:p>
      <w:pPr>
        <w:widowControl/>
        <w:adjustRightInd w:val="0"/>
        <w:snapToGrid w:val="0"/>
        <w:spacing w:line="360" w:lineRule="auto"/>
        <w:ind w:firstLine="422" w:firstLineChars="200"/>
        <w:rPr>
          <w:rFonts w:ascii="宋体" w:hAnsi="宋体" w:cs="宋体"/>
          <w:szCs w:val="21"/>
        </w:rPr>
      </w:pPr>
      <w:r>
        <w:rPr>
          <w:rFonts w:hint="eastAsia" w:ascii="宋体" w:hAnsi="宋体" w:cs="宋体"/>
          <w:b/>
          <w:bCs/>
          <w:szCs w:val="21"/>
        </w:rPr>
        <w:t>机动车：</w:t>
      </w:r>
      <w:r>
        <w:rPr>
          <w:rFonts w:hint="eastAsia" w:ascii="宋体" w:hAnsi="宋体" w:cs="宋体"/>
          <w:szCs w:val="21"/>
        </w:rPr>
        <w:t>本合同所称机动车是指以动力装置驱动或者牵引，能合法上道路行驶的供人员乘用的四轮及四轮以上轮式车辆，并不包括以下车辆：轨道交通车辆、警车、救护车、消防车、工程抢险车、工程作业车、公路监督检查专用车、公路养护车、清障车、救援车、洒水车、清扫车以及拖拉机等农业用途车辆。</w:t>
      </w:r>
    </w:p>
    <w:p>
      <w:pPr>
        <w:widowControl/>
        <w:adjustRightInd w:val="0"/>
        <w:snapToGrid w:val="0"/>
        <w:spacing w:line="360" w:lineRule="auto"/>
        <w:ind w:firstLine="422" w:firstLineChars="200"/>
        <w:rPr>
          <w:rFonts w:ascii="宋体" w:hAnsi="宋体" w:cs="宋体"/>
          <w:szCs w:val="21"/>
        </w:rPr>
      </w:pPr>
      <w:r>
        <w:rPr>
          <w:rFonts w:hint="eastAsia" w:ascii="宋体" w:hAnsi="宋体" w:cs="宋体"/>
          <w:b/>
          <w:bCs/>
          <w:szCs w:val="21"/>
        </w:rPr>
        <w:t>意外伤害：</w:t>
      </w:r>
      <w:r>
        <w:rPr>
          <w:rFonts w:hint="eastAsia" w:ascii="宋体" w:hAnsi="宋体" w:cs="宋体"/>
          <w:szCs w:val="21"/>
        </w:rPr>
        <w:t>指遭受外来的、突发的、非本意的、非疾病的客观事件直接致使身体受到的伤害。本合同所述的因意外伤害导致的身故，不包括猝死。猝死是指貌似健康的人因潜在疾病、机能障碍或其他原因在出现症状后 24 小时内发生的非暴力性突然死亡。猝死的认定，如有司法机关的法律文件、医疗机构的诊断书等，则以上述法律文件、诊断书等为准。</w:t>
      </w:r>
    </w:p>
    <w:p>
      <w:pPr>
        <w:widowControl/>
        <w:adjustRightInd w:val="0"/>
        <w:snapToGrid w:val="0"/>
        <w:spacing w:line="360" w:lineRule="auto"/>
        <w:ind w:firstLine="422" w:firstLineChars="200"/>
        <w:rPr>
          <w:rFonts w:ascii="宋体" w:hAnsi="宋体" w:cs="宋体"/>
          <w:szCs w:val="21"/>
        </w:rPr>
      </w:pPr>
      <w:r>
        <w:rPr>
          <w:rFonts w:hint="eastAsia" w:ascii="宋体" w:hAnsi="宋体" w:cs="宋体"/>
          <w:b/>
          <w:bCs/>
          <w:szCs w:val="21"/>
        </w:rPr>
        <w:t>经营客运业务的机动车：</w:t>
      </w:r>
      <w:r>
        <w:rPr>
          <w:rFonts w:hint="eastAsia" w:ascii="宋体" w:hAnsi="宋体" w:cs="宋体"/>
          <w:szCs w:val="21"/>
        </w:rPr>
        <w:t>指经相关政府部门登记许可的以客运为目的的机动车。</w:t>
      </w:r>
    </w:p>
    <w:p>
      <w:pPr>
        <w:widowControl/>
        <w:adjustRightInd w:val="0"/>
        <w:snapToGrid w:val="0"/>
        <w:spacing w:line="360" w:lineRule="auto"/>
        <w:ind w:firstLine="422" w:firstLineChars="200"/>
        <w:rPr>
          <w:rFonts w:ascii="宋体" w:hAnsi="宋体" w:cs="宋体"/>
          <w:szCs w:val="21"/>
        </w:rPr>
      </w:pPr>
      <w:r>
        <w:rPr>
          <w:rFonts w:hint="eastAsia" w:ascii="宋体" w:hAnsi="宋体" w:cs="宋体"/>
          <w:b/>
          <w:bCs/>
          <w:szCs w:val="21"/>
        </w:rPr>
        <w:t>经营客运业务的轨道交通车辆：</w:t>
      </w:r>
      <w:r>
        <w:rPr>
          <w:rFonts w:hint="eastAsia" w:ascii="宋体" w:hAnsi="宋体" w:cs="宋体"/>
          <w:szCs w:val="21"/>
        </w:rPr>
        <w:t>指经相关政府部门登记许可的以客运为目的的火车、地铁、轻轨、有轨电车、磁悬浮。</w:t>
      </w:r>
    </w:p>
    <w:p>
      <w:pPr>
        <w:widowControl/>
        <w:adjustRightInd w:val="0"/>
        <w:snapToGrid w:val="0"/>
        <w:spacing w:line="360" w:lineRule="auto"/>
        <w:ind w:firstLine="422" w:firstLineChars="200"/>
        <w:rPr>
          <w:rFonts w:ascii="宋体" w:hAnsi="宋体" w:cs="宋体"/>
          <w:szCs w:val="21"/>
        </w:rPr>
      </w:pPr>
      <w:r>
        <w:rPr>
          <w:rFonts w:hint="eastAsia" w:ascii="宋体" w:hAnsi="宋体" w:cs="宋体"/>
          <w:b/>
          <w:bCs/>
          <w:szCs w:val="21"/>
        </w:rPr>
        <w:t>经营客运业务的轮船：</w:t>
      </w:r>
      <w:r>
        <w:rPr>
          <w:rFonts w:hint="eastAsia" w:ascii="宋体" w:hAnsi="宋体" w:cs="宋体"/>
          <w:szCs w:val="21"/>
        </w:rPr>
        <w:t>指经相关政府部门登记许可，以客运为目的，核定载客人数为 12 人以上的轮船，包括渡轮。</w:t>
      </w:r>
    </w:p>
    <w:p>
      <w:pPr>
        <w:widowControl/>
        <w:adjustRightInd w:val="0"/>
        <w:snapToGrid w:val="0"/>
        <w:spacing w:line="360" w:lineRule="auto"/>
        <w:ind w:firstLine="422" w:firstLineChars="200"/>
        <w:rPr>
          <w:rFonts w:ascii="宋体" w:hAnsi="宋体" w:cs="宋体"/>
          <w:szCs w:val="21"/>
        </w:rPr>
      </w:pPr>
      <w:r>
        <w:rPr>
          <w:rFonts w:hint="eastAsia" w:ascii="宋体" w:hAnsi="宋体" w:cs="宋体"/>
          <w:b/>
          <w:bCs/>
          <w:szCs w:val="21"/>
        </w:rPr>
        <w:t>经营客运业务的民航班机：</w:t>
      </w:r>
      <w:r>
        <w:rPr>
          <w:rFonts w:hint="eastAsia" w:ascii="宋体" w:hAnsi="宋体" w:cs="宋体"/>
          <w:szCs w:val="21"/>
        </w:rPr>
        <w:t>指经相关政府部门登记许可的以客运为目的的民航班机。</w:t>
      </w:r>
    </w:p>
    <w:p>
      <w:pPr>
        <w:widowControl/>
        <w:adjustRightInd w:val="0"/>
        <w:snapToGrid w:val="0"/>
        <w:spacing w:line="360" w:lineRule="auto"/>
        <w:ind w:firstLine="422" w:firstLineChars="200"/>
        <w:rPr>
          <w:rFonts w:ascii="宋体" w:hAnsi="宋体" w:cs="宋体"/>
          <w:szCs w:val="21"/>
        </w:rPr>
      </w:pPr>
      <w:r>
        <w:rPr>
          <w:rFonts w:hint="eastAsia" w:ascii="宋体" w:hAnsi="宋体" w:cs="宋体"/>
          <w:b/>
          <w:bCs/>
          <w:szCs w:val="21"/>
        </w:rPr>
        <w:t>醉酒：</w:t>
      </w:r>
      <w:r>
        <w:rPr>
          <w:rFonts w:hint="eastAsia" w:ascii="宋体" w:hAnsi="宋体" w:cs="宋体"/>
          <w:szCs w:val="21"/>
        </w:rPr>
        <w:t>是指因饮酒而表现出动作不协调、意识紊乱、舌重口吃或其他不能清醒地控制自己行为的状态。醉酒的认定，如有司法机关、公安部门的有关法律文件、医院的诊断书等，则以上述法律文件、诊断书等为准。</w:t>
      </w:r>
    </w:p>
    <w:p>
      <w:pPr>
        <w:widowControl/>
        <w:adjustRightInd w:val="0"/>
        <w:snapToGrid w:val="0"/>
        <w:spacing w:line="360" w:lineRule="auto"/>
        <w:ind w:firstLine="422" w:firstLineChars="200"/>
        <w:rPr>
          <w:rFonts w:ascii="宋体" w:hAnsi="宋体" w:cs="宋体"/>
          <w:szCs w:val="21"/>
        </w:rPr>
      </w:pPr>
      <w:r>
        <w:rPr>
          <w:rFonts w:hint="eastAsia" w:ascii="宋体" w:hAnsi="宋体" w:cs="宋体"/>
          <w:b/>
          <w:bCs/>
          <w:szCs w:val="21"/>
        </w:rPr>
        <w:t>斗殴：</w:t>
      </w:r>
      <w:r>
        <w:rPr>
          <w:rFonts w:hint="eastAsia" w:ascii="宋体" w:hAnsi="宋体" w:cs="宋体"/>
          <w:szCs w:val="21"/>
        </w:rPr>
        <w:t>是指双方或多方通过拳脚、器械等武力以求制胜的行为。斗殴的认定，如有司法机关、公安部门的有关法律文件，则以上述法律文件为准。</w:t>
      </w:r>
    </w:p>
    <w:p>
      <w:pPr>
        <w:widowControl/>
        <w:adjustRightInd w:val="0"/>
        <w:snapToGrid w:val="0"/>
        <w:spacing w:line="360" w:lineRule="auto"/>
        <w:ind w:firstLine="422" w:firstLineChars="200"/>
        <w:rPr>
          <w:rFonts w:ascii="宋体" w:hAnsi="宋体" w:cs="宋体"/>
          <w:szCs w:val="21"/>
        </w:rPr>
      </w:pPr>
      <w:r>
        <w:rPr>
          <w:rFonts w:hint="eastAsia" w:ascii="宋体" w:hAnsi="宋体" w:cs="宋体"/>
          <w:b/>
          <w:bCs/>
          <w:szCs w:val="21"/>
        </w:rPr>
        <w:t>毒品：</w:t>
      </w:r>
      <w:r>
        <w:rPr>
          <w:rFonts w:hint="eastAsia" w:ascii="宋体" w:hAnsi="宋体" w:cs="宋体"/>
          <w:szCs w:val="21"/>
        </w:rPr>
        <w:t>指中华人民共和国刑法规定的鸦片、海洛因、甲基苯丙胺（冰毒）、吗啡、大麻、可卡因以及国家规定管制的其他能够使人形成瘾癖的麻醉药品和精神药品，但不包括由医生开具并遵医嘱使用的用于治疗疾病但含有毒品成分的处方药品。</w:t>
      </w:r>
    </w:p>
    <w:p>
      <w:pPr>
        <w:widowControl/>
        <w:adjustRightInd w:val="0"/>
        <w:snapToGrid w:val="0"/>
        <w:spacing w:line="360" w:lineRule="auto"/>
        <w:ind w:firstLine="422" w:firstLineChars="200"/>
        <w:rPr>
          <w:rFonts w:ascii="宋体" w:hAnsi="宋体" w:cs="宋体"/>
          <w:szCs w:val="21"/>
        </w:rPr>
      </w:pPr>
      <w:r>
        <w:rPr>
          <w:rFonts w:hint="eastAsia" w:ascii="宋体" w:hAnsi="宋体" w:cs="宋体"/>
          <w:b/>
          <w:bCs/>
          <w:szCs w:val="21"/>
        </w:rPr>
        <w:t>非处方药：</w:t>
      </w:r>
      <w:r>
        <w:rPr>
          <w:rFonts w:hint="eastAsia" w:ascii="宋体" w:hAnsi="宋体" w:cs="宋体"/>
          <w:szCs w:val="21"/>
        </w:rPr>
        <w:t>是指由国务院药品监督管理部门公布的，不需要凭执业医师和执业助理医师</w:t>
      </w:r>
    </w:p>
    <w:p>
      <w:pPr>
        <w:widowControl/>
        <w:adjustRightInd w:val="0"/>
        <w:snapToGrid w:val="0"/>
        <w:spacing w:line="360" w:lineRule="auto"/>
        <w:ind w:firstLine="420" w:firstLineChars="200"/>
        <w:rPr>
          <w:rFonts w:ascii="宋体" w:hAnsi="宋体" w:cs="宋体"/>
          <w:szCs w:val="21"/>
        </w:rPr>
      </w:pPr>
      <w:r>
        <w:rPr>
          <w:rFonts w:hint="eastAsia" w:ascii="宋体" w:hAnsi="宋体" w:cs="宋体"/>
          <w:szCs w:val="21"/>
        </w:rPr>
        <w:t>处方，消费者可以自行判断、购买和使用的药品。</w:t>
      </w:r>
    </w:p>
    <w:p>
      <w:pPr>
        <w:widowControl/>
        <w:adjustRightInd w:val="0"/>
        <w:snapToGrid w:val="0"/>
        <w:spacing w:line="360" w:lineRule="auto"/>
        <w:ind w:firstLine="422" w:firstLineChars="200"/>
        <w:rPr>
          <w:rFonts w:ascii="宋体" w:hAnsi="宋体" w:cs="宋体"/>
          <w:szCs w:val="21"/>
        </w:rPr>
      </w:pPr>
      <w:r>
        <w:rPr>
          <w:rFonts w:hint="eastAsia" w:ascii="宋体" w:hAnsi="宋体" w:cs="宋体"/>
          <w:b/>
          <w:bCs/>
          <w:szCs w:val="21"/>
        </w:rPr>
        <w:t>酒后驾驶：</w:t>
      </w:r>
      <w:r>
        <w:rPr>
          <w:rFonts w:hint="eastAsia" w:ascii="宋体" w:hAnsi="宋体" w:cs="宋体"/>
          <w:szCs w:val="21"/>
        </w:rPr>
        <w:t>指经检测或鉴定，发生事故时车辆驾驶人员每百毫升血液中的酒精含量达到或超过一定的标准，公安机关交通管理部门依据《道路交通安全法》的规定认定为饮酒后驾驶或醉酒后驾驶。</w:t>
      </w:r>
    </w:p>
    <w:p>
      <w:pPr>
        <w:widowControl/>
        <w:adjustRightInd w:val="0"/>
        <w:snapToGrid w:val="0"/>
        <w:spacing w:line="360" w:lineRule="auto"/>
        <w:ind w:firstLine="422" w:firstLineChars="200"/>
        <w:rPr>
          <w:rFonts w:ascii="宋体" w:hAnsi="宋体" w:cs="宋体"/>
          <w:szCs w:val="21"/>
        </w:rPr>
      </w:pPr>
      <w:r>
        <w:rPr>
          <w:rFonts w:hint="eastAsia" w:ascii="宋体" w:hAnsi="宋体" w:cs="宋体"/>
          <w:b/>
          <w:bCs/>
          <w:szCs w:val="21"/>
        </w:rPr>
        <w:t>无合法有效驾驶证驾驶：</w:t>
      </w:r>
      <w:r>
        <w:rPr>
          <w:rFonts w:hint="eastAsia" w:ascii="宋体" w:hAnsi="宋体" w:cs="宋体"/>
          <w:szCs w:val="21"/>
        </w:rPr>
        <w:t xml:space="preserve">指下列情形之一：   </w:t>
      </w:r>
    </w:p>
    <w:p>
      <w:pPr>
        <w:widowControl/>
        <w:adjustRightInd w:val="0"/>
        <w:snapToGrid w:val="0"/>
        <w:spacing w:line="360" w:lineRule="auto"/>
        <w:ind w:firstLine="420" w:firstLineChars="200"/>
        <w:rPr>
          <w:rFonts w:ascii="宋体" w:hAnsi="宋体" w:cs="宋体"/>
          <w:szCs w:val="21"/>
        </w:rPr>
      </w:pPr>
      <w:r>
        <w:rPr>
          <w:rFonts w:hint="eastAsia" w:ascii="宋体" w:hAnsi="宋体" w:cs="宋体"/>
          <w:szCs w:val="21"/>
        </w:rPr>
        <w:t>(1)没有取得驾驶资格；</w:t>
      </w:r>
    </w:p>
    <w:p>
      <w:pPr>
        <w:widowControl/>
        <w:adjustRightInd w:val="0"/>
        <w:snapToGrid w:val="0"/>
        <w:spacing w:line="360" w:lineRule="auto"/>
        <w:ind w:firstLine="420" w:firstLineChars="200"/>
        <w:rPr>
          <w:rFonts w:ascii="宋体" w:hAnsi="宋体" w:cs="宋体"/>
          <w:szCs w:val="21"/>
        </w:rPr>
      </w:pPr>
      <w:r>
        <w:rPr>
          <w:rFonts w:hint="eastAsia" w:ascii="宋体" w:hAnsi="宋体" w:cs="宋体"/>
          <w:szCs w:val="21"/>
        </w:rPr>
        <w:t xml:space="preserve">(2)驾驶与驾驶证准驾车型不相符合的车辆； </w:t>
      </w:r>
    </w:p>
    <w:p>
      <w:pPr>
        <w:widowControl/>
        <w:adjustRightInd w:val="0"/>
        <w:snapToGrid w:val="0"/>
        <w:spacing w:line="360" w:lineRule="auto"/>
        <w:ind w:firstLine="420" w:firstLineChars="200"/>
        <w:rPr>
          <w:rFonts w:ascii="宋体" w:hAnsi="宋体" w:cs="宋体"/>
          <w:szCs w:val="21"/>
        </w:rPr>
      </w:pPr>
      <w:r>
        <w:rPr>
          <w:rFonts w:hint="eastAsia" w:ascii="宋体" w:hAnsi="宋体" w:cs="宋体"/>
          <w:szCs w:val="21"/>
        </w:rPr>
        <w:t>(3)持审验不合格的驾驶证驾驶；</w:t>
      </w:r>
    </w:p>
    <w:p>
      <w:pPr>
        <w:widowControl/>
        <w:adjustRightInd w:val="0"/>
        <w:snapToGrid w:val="0"/>
        <w:spacing w:line="360" w:lineRule="auto"/>
        <w:ind w:firstLine="420" w:firstLineChars="200"/>
        <w:rPr>
          <w:rFonts w:ascii="宋体" w:hAnsi="宋体" w:cs="宋体"/>
          <w:szCs w:val="21"/>
        </w:rPr>
      </w:pPr>
      <w:r>
        <w:rPr>
          <w:rFonts w:hint="eastAsia" w:ascii="宋体" w:hAnsi="宋体" w:cs="宋体"/>
          <w:szCs w:val="21"/>
        </w:rPr>
        <w:t>(4)持学习驾驶证学习驾车时，无教练员随车指导，或不按指定时间、路线学</w:t>
      </w:r>
    </w:p>
    <w:p>
      <w:pPr>
        <w:widowControl/>
        <w:adjustRightInd w:val="0"/>
        <w:snapToGrid w:val="0"/>
        <w:spacing w:line="360" w:lineRule="auto"/>
        <w:ind w:firstLine="420" w:firstLineChars="200"/>
        <w:rPr>
          <w:rFonts w:ascii="宋体" w:hAnsi="宋体" w:cs="宋体"/>
          <w:szCs w:val="21"/>
        </w:rPr>
      </w:pPr>
      <w:r>
        <w:rPr>
          <w:rFonts w:hint="eastAsia" w:ascii="宋体" w:hAnsi="宋体" w:cs="宋体"/>
          <w:szCs w:val="21"/>
        </w:rPr>
        <w:t>习驾车。</w:t>
      </w:r>
    </w:p>
    <w:p>
      <w:pPr>
        <w:widowControl/>
        <w:adjustRightInd w:val="0"/>
        <w:snapToGrid w:val="0"/>
        <w:spacing w:line="360" w:lineRule="auto"/>
        <w:ind w:firstLine="422" w:firstLineChars="200"/>
        <w:rPr>
          <w:rFonts w:ascii="宋体" w:hAnsi="宋体" w:cs="宋体"/>
          <w:szCs w:val="21"/>
        </w:rPr>
      </w:pPr>
      <w:r>
        <w:rPr>
          <w:rFonts w:hint="eastAsia" w:ascii="宋体" w:hAnsi="宋体" w:cs="宋体"/>
          <w:b/>
          <w:bCs/>
          <w:szCs w:val="21"/>
        </w:rPr>
        <w:t>无有效行驶证：</w:t>
      </w:r>
      <w:r>
        <w:rPr>
          <w:rFonts w:hint="eastAsia" w:ascii="宋体" w:hAnsi="宋体" w:cs="宋体"/>
          <w:szCs w:val="21"/>
        </w:rPr>
        <w:t>指下列情形之一：</w:t>
      </w:r>
    </w:p>
    <w:p>
      <w:pPr>
        <w:widowControl/>
        <w:adjustRightInd w:val="0"/>
        <w:snapToGrid w:val="0"/>
        <w:spacing w:line="360" w:lineRule="auto"/>
        <w:ind w:firstLine="420" w:firstLineChars="200"/>
        <w:rPr>
          <w:rFonts w:ascii="宋体" w:hAnsi="宋体" w:cs="宋体"/>
          <w:szCs w:val="21"/>
        </w:rPr>
      </w:pPr>
      <w:r>
        <w:rPr>
          <w:rFonts w:hint="eastAsia" w:ascii="宋体" w:hAnsi="宋体" w:cs="宋体"/>
          <w:szCs w:val="21"/>
        </w:rPr>
        <w:t xml:space="preserve">(1)机动车被依法注销登记的；              </w:t>
      </w:r>
    </w:p>
    <w:p>
      <w:pPr>
        <w:widowControl/>
        <w:adjustRightInd w:val="0"/>
        <w:snapToGrid w:val="0"/>
        <w:spacing w:line="360" w:lineRule="auto"/>
        <w:ind w:firstLine="420" w:firstLineChars="200"/>
        <w:rPr>
          <w:rFonts w:ascii="宋体" w:hAnsi="宋体" w:cs="宋体"/>
          <w:szCs w:val="21"/>
        </w:rPr>
      </w:pPr>
      <w:r>
        <w:rPr>
          <w:rFonts w:hint="eastAsia" w:ascii="宋体" w:hAnsi="宋体" w:cs="宋体"/>
          <w:szCs w:val="21"/>
        </w:rPr>
        <w:t>(2)未依法按时进行或通过机动车安全技术检验。</w:t>
      </w:r>
    </w:p>
    <w:p>
      <w:pPr>
        <w:widowControl/>
        <w:adjustRightInd w:val="0"/>
        <w:snapToGrid w:val="0"/>
        <w:spacing w:line="360" w:lineRule="auto"/>
        <w:ind w:firstLine="422" w:firstLineChars="200"/>
        <w:rPr>
          <w:rFonts w:ascii="宋体" w:hAnsi="宋体" w:cs="宋体"/>
          <w:szCs w:val="21"/>
        </w:rPr>
      </w:pPr>
      <w:r>
        <w:rPr>
          <w:rFonts w:hint="eastAsia" w:ascii="宋体" w:hAnsi="宋体" w:cs="宋体"/>
          <w:b/>
          <w:bCs/>
          <w:szCs w:val="21"/>
        </w:rPr>
        <w:t>医疗事故：</w:t>
      </w:r>
      <w:r>
        <w:rPr>
          <w:rFonts w:hint="eastAsia" w:ascii="宋体" w:hAnsi="宋体" w:cs="宋体"/>
          <w:szCs w:val="21"/>
        </w:rPr>
        <w:t>指医疗机构及其医务人员在医疗活动中，违反医疗卫生管理法律、行政法规、部门规章和诊疗护理规范、常规，过失造成患者人身损害的事故。</w:t>
      </w:r>
    </w:p>
    <w:p>
      <w:pPr>
        <w:widowControl/>
        <w:adjustRightInd w:val="0"/>
        <w:snapToGrid w:val="0"/>
        <w:spacing w:line="360" w:lineRule="auto"/>
        <w:ind w:firstLine="422" w:firstLineChars="200"/>
        <w:rPr>
          <w:rFonts w:ascii="宋体" w:hAnsi="宋体" w:cs="宋体"/>
          <w:szCs w:val="21"/>
        </w:rPr>
      </w:pPr>
      <w:r>
        <w:rPr>
          <w:rFonts w:hint="eastAsia" w:ascii="宋体" w:hAnsi="宋体" w:cs="宋体"/>
          <w:b/>
          <w:bCs/>
          <w:szCs w:val="21"/>
        </w:rPr>
        <w:t>现金价值：</w:t>
      </w:r>
      <w:r>
        <w:rPr>
          <w:rFonts w:hint="eastAsia" w:ascii="宋体" w:hAnsi="宋体" w:cs="宋体"/>
          <w:szCs w:val="21"/>
        </w:rPr>
        <w:t>指本合同保险单所具有的价值，通常体现为解除合同时，根据精算原理计算的，由保险人退还的那部分金额。现金价值＝本合同的保险费×70％×（1－n/m），其中 n 为本合同已生效天数，m 为本合同保险期间的天数。合同已生效的天数不足一天的不计。</w:t>
      </w:r>
    </w:p>
    <w:p>
      <w:pPr>
        <w:widowControl/>
        <w:adjustRightInd w:val="0"/>
        <w:snapToGrid w:val="0"/>
        <w:spacing w:line="360" w:lineRule="auto"/>
        <w:ind w:firstLine="422" w:firstLineChars="200"/>
        <w:rPr>
          <w:rFonts w:ascii="宋体" w:hAnsi="宋体" w:cs="宋体"/>
          <w:szCs w:val="21"/>
        </w:rPr>
      </w:pPr>
      <w:r>
        <w:rPr>
          <w:rFonts w:hint="eastAsia" w:ascii="宋体" w:hAnsi="宋体" w:cs="宋体"/>
          <w:b/>
          <w:bCs/>
          <w:szCs w:val="21"/>
        </w:rPr>
        <w:t>有效身份证件：</w:t>
      </w:r>
      <w:r>
        <w:rPr>
          <w:rFonts w:hint="eastAsia" w:ascii="宋体" w:hAnsi="宋体" w:cs="宋体"/>
          <w:szCs w:val="21"/>
        </w:rPr>
        <w:t>指由政府主管部门规定的证明其身份的证件，如：居民身份证、按规定可使用的有效护照、军官证、警官证、士兵证、户口簿等证件。</w:t>
      </w:r>
    </w:p>
    <w:p>
      <w:pPr>
        <w:widowControl/>
        <w:adjustRightInd w:val="0"/>
        <w:snapToGrid w:val="0"/>
        <w:spacing w:line="360" w:lineRule="auto"/>
        <w:ind w:firstLine="422" w:firstLineChars="200"/>
        <w:rPr>
          <w:rFonts w:ascii="宋体" w:hAnsi="宋体" w:cs="宋体"/>
          <w:szCs w:val="21"/>
        </w:rPr>
      </w:pPr>
      <w:r>
        <w:rPr>
          <w:rFonts w:hint="eastAsia" w:ascii="宋体" w:hAnsi="宋体" w:cs="宋体"/>
          <w:b/>
          <w:bCs/>
          <w:szCs w:val="21"/>
        </w:rPr>
        <w:t>情形复杂：</w:t>
      </w:r>
      <w:r>
        <w:rPr>
          <w:rFonts w:hint="eastAsia" w:ascii="宋体" w:hAnsi="宋体" w:cs="宋体"/>
          <w:szCs w:val="21"/>
        </w:rPr>
        <w:t>指保险事故的性质、原因、伤害或损失程度等在保险人收到保险金给付申请书及合同约定的证明和资料后 5 个工作日内无法确定，需要进一步核实。</w:t>
      </w:r>
    </w:p>
    <w:p>
      <w:pPr>
        <w:widowControl/>
        <w:adjustRightInd w:val="0"/>
        <w:snapToGrid w:val="0"/>
        <w:spacing w:line="360" w:lineRule="auto"/>
        <w:ind w:firstLine="422" w:firstLineChars="200"/>
        <w:jc w:val="center"/>
        <w:rPr>
          <w:rFonts w:ascii="宋体" w:hAnsi="宋体" w:cs="宋体"/>
          <w:b/>
          <w:bCs/>
          <w:color w:val="000000"/>
          <w:kern w:val="0"/>
          <w:szCs w:val="21"/>
        </w:rPr>
      </w:pPr>
    </w:p>
    <w:p>
      <w:pPr>
        <w:pStyle w:val="2"/>
      </w:pPr>
    </w:p>
    <w:p>
      <w:pPr>
        <w:widowControl/>
        <w:adjustRightInd w:val="0"/>
        <w:snapToGrid w:val="0"/>
        <w:spacing w:line="360" w:lineRule="auto"/>
        <w:ind w:firstLine="422" w:firstLineChars="200"/>
        <w:jc w:val="center"/>
        <w:rPr>
          <w:rFonts w:ascii="宋体" w:hAnsi="宋体" w:cs="宋体"/>
          <w:b/>
          <w:bCs/>
          <w:color w:val="000000"/>
          <w:kern w:val="0"/>
          <w:szCs w:val="21"/>
        </w:rPr>
      </w:pPr>
    </w:p>
    <w:p>
      <w:pPr>
        <w:widowControl/>
        <w:tabs>
          <w:tab w:val="left" w:pos="0"/>
        </w:tabs>
        <w:adjustRightInd w:val="0"/>
        <w:snapToGrid w:val="0"/>
        <w:spacing w:line="360" w:lineRule="auto"/>
        <w:ind w:firstLine="420" w:firstLineChars="200"/>
        <w:jc w:val="center"/>
        <w:textAlignment w:val="baseline"/>
        <w:outlineLvl w:val="1"/>
        <w:rPr>
          <w:rFonts w:ascii="宋体" w:hAnsi="宋体" w:cs="宋体"/>
          <w:b/>
          <w:bCs/>
          <w:color w:val="000000"/>
          <w:kern w:val="0"/>
          <w:szCs w:val="21"/>
        </w:rPr>
      </w:pPr>
      <w:r>
        <w:rPr>
          <w:rFonts w:hint="eastAsia" w:ascii="宋体" w:hAnsi="宋体" w:cs="宋体"/>
          <w:szCs w:val="21"/>
        </w:rPr>
        <w:t>（三）附加团体意外伤害医疗保险条款</w:t>
      </w:r>
    </w:p>
    <w:p>
      <w:pPr>
        <w:widowControl/>
        <w:adjustRightInd w:val="0"/>
        <w:snapToGrid w:val="0"/>
        <w:spacing w:line="360" w:lineRule="auto"/>
        <w:ind w:firstLine="422" w:firstLineChars="200"/>
        <w:jc w:val="center"/>
        <w:rPr>
          <w:rFonts w:ascii="宋体" w:hAnsi="宋体" w:cs="宋体"/>
          <w:b/>
          <w:bCs/>
          <w:color w:val="000000"/>
          <w:szCs w:val="21"/>
        </w:rPr>
      </w:pPr>
      <w:r>
        <w:rPr>
          <w:rFonts w:hint="eastAsia" w:ascii="宋体" w:hAnsi="宋体" w:cs="宋体"/>
          <w:b/>
          <w:bCs/>
          <w:color w:val="000000"/>
          <w:kern w:val="0"/>
          <w:szCs w:val="21"/>
        </w:rPr>
        <w:t>总则</w:t>
      </w:r>
    </w:p>
    <w:p>
      <w:pPr>
        <w:widowControl/>
        <w:adjustRightInd w:val="0"/>
        <w:snapToGrid w:val="0"/>
        <w:spacing w:line="360" w:lineRule="auto"/>
        <w:ind w:firstLine="422" w:firstLineChars="200"/>
        <w:rPr>
          <w:rFonts w:ascii="宋体" w:hAnsi="宋体" w:cs="宋体"/>
          <w:color w:val="000000"/>
          <w:szCs w:val="21"/>
        </w:rPr>
      </w:pPr>
      <w:r>
        <w:rPr>
          <w:rFonts w:hint="eastAsia" w:ascii="宋体" w:hAnsi="宋体" w:cs="宋体"/>
          <w:b/>
          <w:bCs/>
          <w:color w:val="000000"/>
          <w:kern w:val="0"/>
          <w:szCs w:val="21"/>
        </w:rPr>
        <w:t xml:space="preserve">第一条 </w:t>
      </w:r>
      <w:r>
        <w:rPr>
          <w:rFonts w:hint="eastAsia" w:ascii="宋体" w:hAnsi="宋体" w:cs="宋体"/>
          <w:color w:val="000000"/>
          <w:kern w:val="0"/>
          <w:szCs w:val="21"/>
        </w:rPr>
        <w:t>本附加保险合同（以下简称“本附加合同”）附加于主险合同。凡主险合同内容与本附加合同相关者及本保险条款，均为本附加合同的组成部分。</w:t>
      </w:r>
    </w:p>
    <w:p>
      <w:pPr>
        <w:widowControl/>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kern w:val="0"/>
          <w:szCs w:val="21"/>
        </w:rPr>
        <w:t>本保险条款未尽事项，以主险保险条款为准；若主险保险条款与本保险条款内容冲突，则以本保险条款为准。</w:t>
      </w:r>
    </w:p>
    <w:p>
      <w:pPr>
        <w:widowControl/>
        <w:adjustRightInd w:val="0"/>
        <w:snapToGrid w:val="0"/>
        <w:spacing w:line="360" w:lineRule="auto"/>
        <w:ind w:firstLine="440" w:firstLineChars="200"/>
        <w:rPr>
          <w:rFonts w:ascii="宋体" w:hAnsi="宋体" w:cs="宋体"/>
          <w:b/>
          <w:bCs/>
          <w:color w:val="000000"/>
          <w:spacing w:val="5"/>
          <w:szCs w:val="21"/>
        </w:rPr>
      </w:pPr>
      <w:r>
        <w:rPr>
          <w:rFonts w:hint="eastAsia" w:ascii="宋体" w:hAnsi="宋体" w:cs="宋体"/>
          <w:color w:val="000000"/>
          <w:spacing w:val="5"/>
          <w:kern w:val="0"/>
          <w:szCs w:val="21"/>
        </w:rPr>
        <w:t>主险合同效力终止，本附加合同效力亦同时终止。</w:t>
      </w:r>
    </w:p>
    <w:p>
      <w:pPr>
        <w:widowControl/>
        <w:adjustRightInd w:val="0"/>
        <w:snapToGrid w:val="0"/>
        <w:spacing w:line="360" w:lineRule="auto"/>
        <w:ind w:firstLine="422" w:firstLineChars="200"/>
        <w:rPr>
          <w:rFonts w:ascii="宋体" w:hAnsi="宋体" w:cs="宋体"/>
          <w:color w:val="000000"/>
          <w:szCs w:val="21"/>
        </w:rPr>
      </w:pPr>
      <w:r>
        <w:rPr>
          <w:rFonts w:hint="eastAsia" w:ascii="宋体" w:hAnsi="宋体" w:cs="宋体"/>
          <w:b/>
          <w:bCs/>
          <w:color w:val="000000"/>
          <w:kern w:val="0"/>
          <w:szCs w:val="21"/>
        </w:rPr>
        <w:t xml:space="preserve">第二条 </w:t>
      </w:r>
      <w:r>
        <w:rPr>
          <w:rFonts w:hint="eastAsia" w:ascii="宋体" w:hAnsi="宋体" w:cs="宋体"/>
          <w:color w:val="000000"/>
          <w:kern w:val="0"/>
          <w:szCs w:val="21"/>
        </w:rPr>
        <w:t>投保人、被保险人同主险合同。</w:t>
      </w:r>
    </w:p>
    <w:p>
      <w:pPr>
        <w:widowControl/>
        <w:adjustRightInd w:val="0"/>
        <w:snapToGrid w:val="0"/>
        <w:spacing w:line="360" w:lineRule="auto"/>
        <w:ind w:firstLine="422" w:firstLineChars="200"/>
        <w:rPr>
          <w:rFonts w:ascii="宋体" w:hAnsi="宋体" w:cs="宋体"/>
          <w:b/>
          <w:bCs/>
          <w:color w:val="000000"/>
          <w:szCs w:val="21"/>
        </w:rPr>
      </w:pPr>
      <w:r>
        <w:rPr>
          <w:rFonts w:hint="eastAsia" w:ascii="宋体" w:hAnsi="宋体" w:cs="宋体"/>
          <w:b/>
          <w:bCs/>
          <w:color w:val="000000"/>
          <w:kern w:val="0"/>
          <w:szCs w:val="21"/>
        </w:rPr>
        <w:t xml:space="preserve">第三条 </w:t>
      </w:r>
      <w:r>
        <w:rPr>
          <w:rFonts w:hint="eastAsia" w:ascii="宋体" w:hAnsi="宋体" w:cs="宋体"/>
          <w:color w:val="000000"/>
          <w:kern w:val="0"/>
          <w:szCs w:val="21"/>
        </w:rPr>
        <w:t>除另有依法指定外，受益人为被保险人本人。</w:t>
      </w:r>
    </w:p>
    <w:p>
      <w:pPr>
        <w:widowControl/>
        <w:adjustRightInd w:val="0"/>
        <w:snapToGrid w:val="0"/>
        <w:spacing w:line="360" w:lineRule="auto"/>
        <w:ind w:firstLine="422" w:firstLineChars="200"/>
        <w:rPr>
          <w:rFonts w:ascii="宋体" w:hAnsi="宋体" w:cs="宋体"/>
          <w:b/>
          <w:bCs/>
          <w:color w:val="000000"/>
          <w:szCs w:val="21"/>
        </w:rPr>
      </w:pPr>
      <w:r>
        <w:rPr>
          <w:rFonts w:hint="eastAsia" w:ascii="宋体" w:hAnsi="宋体" w:cs="宋体"/>
          <w:b/>
          <w:bCs/>
          <w:color w:val="000000"/>
          <w:kern w:val="0"/>
          <w:szCs w:val="21"/>
        </w:rPr>
        <w:t>保险责任</w:t>
      </w:r>
    </w:p>
    <w:p>
      <w:pPr>
        <w:widowControl/>
        <w:adjustRightInd w:val="0"/>
        <w:snapToGrid w:val="0"/>
        <w:spacing w:line="360" w:lineRule="auto"/>
        <w:ind w:firstLine="442" w:firstLineChars="200"/>
        <w:rPr>
          <w:rFonts w:ascii="宋体" w:hAnsi="宋体" w:cs="宋体"/>
          <w:color w:val="000000"/>
          <w:spacing w:val="5"/>
          <w:szCs w:val="21"/>
        </w:rPr>
      </w:pPr>
      <w:r>
        <w:rPr>
          <w:rFonts w:hint="eastAsia" w:ascii="宋体" w:hAnsi="宋体" w:cs="宋体"/>
          <w:b/>
          <w:bCs/>
          <w:color w:val="000000"/>
          <w:spacing w:val="5"/>
          <w:kern w:val="0"/>
          <w:szCs w:val="21"/>
        </w:rPr>
        <w:t xml:space="preserve">第四条 </w:t>
      </w:r>
      <w:r>
        <w:rPr>
          <w:rFonts w:hint="eastAsia" w:ascii="宋体" w:hAnsi="宋体" w:cs="宋体"/>
          <w:color w:val="000000"/>
          <w:spacing w:val="5"/>
          <w:kern w:val="0"/>
          <w:szCs w:val="21"/>
        </w:rPr>
        <w:t>适用于每一被保险人的次免赔额、赔付比例由投保人与保险人约定，并于本附加合同中载明。</w:t>
      </w:r>
    </w:p>
    <w:p>
      <w:pPr>
        <w:widowControl/>
        <w:adjustRightInd w:val="0"/>
        <w:snapToGrid w:val="0"/>
        <w:spacing w:line="360" w:lineRule="auto"/>
        <w:ind w:firstLine="442" w:firstLineChars="200"/>
        <w:rPr>
          <w:rFonts w:ascii="宋体" w:hAnsi="宋体" w:cs="宋体"/>
          <w:color w:val="000000"/>
          <w:spacing w:val="5"/>
          <w:szCs w:val="21"/>
        </w:rPr>
      </w:pPr>
      <w:r>
        <w:rPr>
          <w:rFonts w:hint="eastAsia" w:ascii="宋体" w:hAnsi="宋体" w:cs="宋体"/>
          <w:b/>
          <w:bCs/>
          <w:color w:val="000000"/>
          <w:spacing w:val="5"/>
          <w:kern w:val="0"/>
          <w:szCs w:val="21"/>
        </w:rPr>
        <w:t>第五条</w:t>
      </w:r>
      <w:r>
        <w:rPr>
          <w:rFonts w:hint="eastAsia" w:ascii="宋体" w:hAnsi="宋体" w:cs="宋体"/>
          <w:color w:val="000000"/>
          <w:spacing w:val="5"/>
          <w:kern w:val="0"/>
          <w:szCs w:val="21"/>
        </w:rPr>
        <w:t xml:space="preserve"> 意外医疗保险责任：</w:t>
      </w:r>
    </w:p>
    <w:p>
      <w:pPr>
        <w:widowControl/>
        <w:adjustRightInd w:val="0"/>
        <w:snapToGrid w:val="0"/>
        <w:spacing w:line="360" w:lineRule="auto"/>
        <w:ind w:firstLine="440" w:firstLineChars="200"/>
        <w:rPr>
          <w:rFonts w:ascii="宋体" w:hAnsi="宋体" w:cs="宋体"/>
          <w:color w:val="000000"/>
          <w:spacing w:val="5"/>
          <w:szCs w:val="21"/>
        </w:rPr>
      </w:pPr>
      <w:r>
        <w:rPr>
          <w:rFonts w:hint="eastAsia" w:ascii="宋体" w:hAnsi="宋体" w:cs="宋体"/>
          <w:color w:val="000000"/>
          <w:spacing w:val="5"/>
          <w:kern w:val="0"/>
          <w:szCs w:val="21"/>
        </w:rPr>
        <w:t>在保险期间内，被保险人每次遭受意外并在</w:t>
      </w:r>
      <w:r>
        <w:rPr>
          <w:rFonts w:hint="eastAsia" w:ascii="宋体" w:hAnsi="宋体" w:cs="宋体"/>
          <w:color w:val="000000"/>
          <w:kern w:val="0"/>
          <w:szCs w:val="21"/>
        </w:rPr>
        <w:t>社会基本医疗保险定点医疗机构治疗由该次意外导致的人身伤害，由此发生的符合约定的当地社会基本医疗保险（未约定的则为当地城镇职工基本医疗保险，下同）规定的支/给付范围和标准的、医学上必要的医疗费用（以下简称“每次意外合理医疗费用”），保险人按“（每次意外合理医疗费用-该被保险人的次免赔额）×该被保险人的赔付比例”给付意外医疗保险金。若保险期间届满时该被保险人住院治疗仍未结束，保险人继续承担意外医疗保险责任至其当次住院出院之时或者对应意外发生之日起第一百八十日二十四时（以先发生者为准）止。</w:t>
      </w:r>
    </w:p>
    <w:p>
      <w:pPr>
        <w:widowControl/>
        <w:adjustRightInd w:val="0"/>
        <w:snapToGrid w:val="0"/>
        <w:spacing w:line="360" w:lineRule="auto"/>
        <w:ind w:firstLine="420" w:firstLineChars="200"/>
        <w:rPr>
          <w:rFonts w:ascii="宋体" w:hAnsi="宋体" w:cs="宋体"/>
          <w:szCs w:val="21"/>
        </w:rPr>
      </w:pPr>
      <w:r>
        <w:rPr>
          <w:rFonts w:hint="eastAsia" w:ascii="宋体" w:hAnsi="宋体" w:cs="宋体"/>
          <w:color w:val="000000"/>
          <w:kern w:val="0"/>
          <w:szCs w:val="21"/>
        </w:rPr>
        <w:t>保险人根据本附加合同针对每一被保险人给付的意外医疗保险金累计以其意外医疗保险金额为上限，当达到该限额时，本附加合同约定的对该被保险人的保险责任终止。</w:t>
      </w:r>
    </w:p>
    <w:p>
      <w:pPr>
        <w:widowControl/>
        <w:adjustRightInd w:val="0"/>
        <w:snapToGrid w:val="0"/>
        <w:spacing w:line="360" w:lineRule="auto"/>
        <w:ind w:firstLine="422" w:firstLineChars="200"/>
        <w:jc w:val="center"/>
        <w:rPr>
          <w:rFonts w:ascii="宋体" w:hAnsi="宋体" w:cs="宋体"/>
          <w:b/>
          <w:bCs/>
          <w:szCs w:val="21"/>
        </w:rPr>
      </w:pPr>
      <w:r>
        <w:rPr>
          <w:rFonts w:hint="eastAsia" w:ascii="宋体" w:hAnsi="宋体" w:cs="宋体"/>
          <w:b/>
          <w:bCs/>
          <w:color w:val="000000"/>
          <w:kern w:val="0"/>
          <w:szCs w:val="21"/>
        </w:rPr>
        <w:t>责任免除</w:t>
      </w:r>
    </w:p>
    <w:p>
      <w:pPr>
        <w:widowControl/>
        <w:adjustRightInd w:val="0"/>
        <w:snapToGrid w:val="0"/>
        <w:spacing w:line="360" w:lineRule="auto"/>
        <w:ind w:firstLine="422" w:firstLineChars="200"/>
        <w:rPr>
          <w:rFonts w:ascii="宋体" w:hAnsi="宋体" w:cs="宋体"/>
          <w:szCs w:val="21"/>
        </w:rPr>
      </w:pPr>
      <w:r>
        <w:rPr>
          <w:rFonts w:hint="eastAsia" w:ascii="宋体" w:hAnsi="宋体" w:cs="宋体"/>
          <w:b/>
          <w:bCs/>
          <w:color w:val="000000"/>
          <w:kern w:val="0"/>
          <w:szCs w:val="21"/>
        </w:rPr>
        <w:t>第六条 对被保险人发生的下列任何费用，保险人不承担给付保险金的责任：</w:t>
      </w:r>
    </w:p>
    <w:p>
      <w:pPr>
        <w:widowControl/>
        <w:tabs>
          <w:tab w:val="left" w:pos="900"/>
          <w:tab w:val="left" w:pos="1080"/>
          <w:tab w:val="left" w:pos="1260"/>
          <w:tab w:val="left" w:pos="1440"/>
          <w:tab w:val="left" w:pos="1620"/>
          <w:tab w:val="left" w:pos="1800"/>
          <w:tab w:val="left" w:pos="1980"/>
        </w:tabs>
        <w:adjustRightInd w:val="0"/>
        <w:snapToGrid w:val="0"/>
        <w:spacing w:line="360" w:lineRule="auto"/>
        <w:ind w:firstLine="422" w:firstLineChars="200"/>
        <w:rPr>
          <w:rFonts w:ascii="宋体" w:hAnsi="宋体" w:cs="宋体"/>
          <w:b/>
          <w:bCs/>
          <w:szCs w:val="21"/>
        </w:rPr>
      </w:pPr>
      <w:r>
        <w:rPr>
          <w:rFonts w:hint="eastAsia" w:ascii="宋体" w:hAnsi="宋体" w:cs="宋体"/>
          <w:b/>
          <w:bCs/>
          <w:color w:val="000000"/>
          <w:kern w:val="0"/>
          <w:szCs w:val="21"/>
        </w:rPr>
        <w:t>（一）因主险合同中列明的责任免除事项而发生的医疗费用或者与主险合同中列明的责任免除事项相关的医疗费用；</w:t>
      </w:r>
    </w:p>
    <w:p>
      <w:pPr>
        <w:widowControl/>
        <w:tabs>
          <w:tab w:val="left" w:pos="900"/>
          <w:tab w:val="left" w:pos="1080"/>
          <w:tab w:val="left" w:pos="1260"/>
          <w:tab w:val="left" w:pos="1440"/>
          <w:tab w:val="left" w:pos="1620"/>
          <w:tab w:val="left" w:pos="1800"/>
          <w:tab w:val="left" w:pos="1980"/>
        </w:tabs>
        <w:adjustRightInd w:val="0"/>
        <w:snapToGrid w:val="0"/>
        <w:spacing w:line="360" w:lineRule="auto"/>
        <w:ind w:firstLine="422" w:firstLineChars="200"/>
        <w:rPr>
          <w:rFonts w:ascii="宋体" w:hAnsi="宋体" w:cs="宋体"/>
          <w:b/>
          <w:bCs/>
          <w:szCs w:val="21"/>
        </w:rPr>
      </w:pPr>
      <w:r>
        <w:rPr>
          <w:rFonts w:hint="eastAsia" w:ascii="宋体" w:hAnsi="宋体" w:cs="宋体"/>
          <w:b/>
          <w:bCs/>
          <w:color w:val="000000"/>
          <w:kern w:val="0"/>
          <w:szCs w:val="21"/>
        </w:rPr>
        <w:t>（二）非直接用以治疗由意外引致的伤害而发生的费用，对已有伤害的治疗费用；</w:t>
      </w:r>
    </w:p>
    <w:p>
      <w:pPr>
        <w:widowControl/>
        <w:tabs>
          <w:tab w:val="left" w:pos="900"/>
          <w:tab w:val="left" w:pos="1080"/>
          <w:tab w:val="left" w:pos="1260"/>
          <w:tab w:val="left" w:pos="1440"/>
          <w:tab w:val="left" w:pos="1620"/>
          <w:tab w:val="left" w:pos="1800"/>
          <w:tab w:val="left" w:pos="1980"/>
        </w:tabs>
        <w:adjustRightInd w:val="0"/>
        <w:snapToGrid w:val="0"/>
        <w:spacing w:line="360" w:lineRule="auto"/>
        <w:ind w:firstLine="422" w:firstLineChars="200"/>
        <w:rPr>
          <w:rFonts w:ascii="宋体" w:hAnsi="宋体" w:cs="宋体"/>
          <w:b/>
          <w:bCs/>
          <w:color w:val="000000"/>
          <w:szCs w:val="21"/>
        </w:rPr>
      </w:pPr>
      <w:r>
        <w:rPr>
          <w:rFonts w:hint="eastAsia" w:ascii="宋体" w:hAnsi="宋体" w:cs="宋体"/>
          <w:b/>
          <w:bCs/>
          <w:color w:val="000000"/>
          <w:kern w:val="0"/>
          <w:szCs w:val="21"/>
        </w:rPr>
        <w:t>（三）不符合约定的当地社会基本医疗保险规定的支/给付范围和标准的医疗费用，在非社会基本医疗保险定点医疗机构发生的医疗费用，在主要提供康复、护理、疗养、戒酒、戒毒或者相类似服务的医疗机构发生的医疗费用；</w:t>
      </w:r>
    </w:p>
    <w:p>
      <w:pPr>
        <w:widowControl/>
        <w:tabs>
          <w:tab w:val="left" w:pos="900"/>
          <w:tab w:val="left" w:pos="1080"/>
          <w:tab w:val="left" w:pos="1260"/>
          <w:tab w:val="left" w:pos="1440"/>
          <w:tab w:val="left" w:pos="1620"/>
          <w:tab w:val="left" w:pos="1800"/>
          <w:tab w:val="left" w:pos="1980"/>
        </w:tabs>
        <w:adjustRightInd w:val="0"/>
        <w:snapToGrid w:val="0"/>
        <w:spacing w:line="360" w:lineRule="auto"/>
        <w:ind w:firstLine="422" w:firstLineChars="200"/>
        <w:rPr>
          <w:rFonts w:ascii="宋体" w:hAnsi="宋体" w:cs="宋体"/>
          <w:b/>
          <w:bCs/>
          <w:color w:val="000000"/>
          <w:szCs w:val="21"/>
        </w:rPr>
      </w:pPr>
      <w:r>
        <w:rPr>
          <w:rFonts w:hint="eastAsia" w:ascii="宋体" w:hAnsi="宋体" w:cs="宋体"/>
          <w:b/>
          <w:bCs/>
          <w:color w:val="000000"/>
          <w:kern w:val="0"/>
          <w:szCs w:val="21"/>
        </w:rPr>
        <w:t>（四）矫形、洗牙、洁齿、整容、美容、心理咨询、体检、疗养、静养、康复治疗、健康护理、家庭病床治疗费用，修复、安装或者购买残疾用具（包括但不限于特别支架、器材、轮椅、拐杖、义肢、助听器、义牙、义眼、配镜）费用，与购置移植器官、捐献器官、保存和运输器官相关费用，体外医疗装置或者器材费用，试验性治疗费用；</w:t>
      </w:r>
    </w:p>
    <w:p>
      <w:pPr>
        <w:widowControl/>
        <w:tabs>
          <w:tab w:val="left" w:pos="900"/>
          <w:tab w:val="left" w:pos="1080"/>
          <w:tab w:val="left" w:pos="1260"/>
          <w:tab w:val="left" w:pos="1440"/>
          <w:tab w:val="left" w:pos="1620"/>
          <w:tab w:val="left" w:pos="1800"/>
          <w:tab w:val="left" w:pos="1980"/>
        </w:tabs>
        <w:adjustRightInd w:val="0"/>
        <w:snapToGrid w:val="0"/>
        <w:spacing w:line="360" w:lineRule="auto"/>
        <w:ind w:firstLine="422" w:firstLineChars="200"/>
        <w:rPr>
          <w:rFonts w:ascii="宋体" w:hAnsi="宋体" w:cs="宋体"/>
          <w:b/>
          <w:bCs/>
          <w:color w:val="000000"/>
          <w:szCs w:val="21"/>
        </w:rPr>
      </w:pPr>
      <w:r>
        <w:rPr>
          <w:rFonts w:hint="eastAsia" w:ascii="宋体" w:hAnsi="宋体" w:cs="宋体"/>
          <w:b/>
          <w:bCs/>
          <w:color w:val="000000"/>
          <w:kern w:val="0"/>
          <w:szCs w:val="21"/>
        </w:rPr>
        <w:t>（五）不必要的转院治疗引发的额外费用；</w:t>
      </w:r>
    </w:p>
    <w:p>
      <w:pPr>
        <w:widowControl/>
        <w:tabs>
          <w:tab w:val="left" w:pos="900"/>
          <w:tab w:val="left" w:pos="1080"/>
          <w:tab w:val="left" w:pos="1260"/>
          <w:tab w:val="left" w:pos="1440"/>
          <w:tab w:val="left" w:pos="1620"/>
          <w:tab w:val="left" w:pos="1800"/>
          <w:tab w:val="left" w:pos="1980"/>
        </w:tabs>
        <w:adjustRightInd w:val="0"/>
        <w:snapToGrid w:val="0"/>
        <w:spacing w:line="360" w:lineRule="auto"/>
        <w:ind w:firstLine="422" w:firstLineChars="200"/>
        <w:rPr>
          <w:rFonts w:ascii="宋体" w:hAnsi="宋体" w:cs="宋体"/>
          <w:b/>
          <w:bCs/>
          <w:spacing w:val="5"/>
          <w:szCs w:val="21"/>
        </w:rPr>
      </w:pPr>
      <w:r>
        <w:rPr>
          <w:rFonts w:hint="eastAsia" w:ascii="宋体" w:hAnsi="宋体" w:cs="宋体"/>
          <w:b/>
          <w:bCs/>
          <w:color w:val="000000"/>
          <w:kern w:val="0"/>
          <w:szCs w:val="21"/>
        </w:rPr>
        <w:t>（六）医疗费用中依法应当由第三者赔偿的部分，但第三者逃逸、失踪、死亡且虽经诉讼无可以执行的财产或者无赔偿能力的不在此限。</w:t>
      </w:r>
    </w:p>
    <w:p>
      <w:pPr>
        <w:widowControl/>
        <w:tabs>
          <w:tab w:val="left" w:pos="1260"/>
          <w:tab w:val="left" w:pos="1440"/>
          <w:tab w:val="left" w:pos="1620"/>
          <w:tab w:val="left" w:pos="1800"/>
          <w:tab w:val="left" w:pos="1980"/>
        </w:tabs>
        <w:adjustRightInd w:val="0"/>
        <w:snapToGrid w:val="0"/>
        <w:spacing w:line="360" w:lineRule="auto"/>
        <w:ind w:firstLine="422" w:firstLineChars="200"/>
        <w:jc w:val="center"/>
        <w:rPr>
          <w:rFonts w:ascii="宋体" w:hAnsi="宋体" w:cs="宋体"/>
          <w:b/>
          <w:bCs/>
          <w:color w:val="000000"/>
          <w:szCs w:val="21"/>
        </w:rPr>
      </w:pPr>
      <w:r>
        <w:rPr>
          <w:rFonts w:hint="eastAsia" w:ascii="宋体" w:hAnsi="宋体" w:cs="宋体"/>
          <w:b/>
          <w:bCs/>
          <w:color w:val="000000"/>
          <w:kern w:val="0"/>
          <w:szCs w:val="21"/>
        </w:rPr>
        <w:t>保险金额</w:t>
      </w:r>
    </w:p>
    <w:p>
      <w:pPr>
        <w:widowControl/>
        <w:adjustRightInd w:val="0"/>
        <w:snapToGrid w:val="0"/>
        <w:spacing w:line="360" w:lineRule="auto"/>
        <w:ind w:firstLine="422" w:firstLineChars="200"/>
        <w:rPr>
          <w:rFonts w:ascii="宋体" w:hAnsi="宋体" w:cs="宋体"/>
          <w:b/>
          <w:bCs/>
          <w:color w:val="000000"/>
          <w:szCs w:val="21"/>
        </w:rPr>
      </w:pPr>
      <w:r>
        <w:rPr>
          <w:rFonts w:hint="eastAsia" w:ascii="宋体" w:hAnsi="宋体" w:cs="宋体"/>
          <w:b/>
          <w:bCs/>
          <w:color w:val="000000"/>
          <w:kern w:val="0"/>
          <w:szCs w:val="21"/>
        </w:rPr>
        <w:t>第七条</w:t>
      </w:r>
      <w:r>
        <w:rPr>
          <w:rFonts w:hint="eastAsia" w:ascii="宋体" w:hAnsi="宋体" w:cs="宋体"/>
          <w:color w:val="000000"/>
          <w:kern w:val="0"/>
          <w:szCs w:val="21"/>
        </w:rPr>
        <w:t xml:space="preserve"> 每一被保险人的意外医疗保险金额由投保人与保险人约定，并于本附加合同中载明。</w:t>
      </w:r>
    </w:p>
    <w:p>
      <w:pPr>
        <w:widowControl/>
        <w:adjustRightInd w:val="0"/>
        <w:snapToGrid w:val="0"/>
        <w:spacing w:line="360" w:lineRule="auto"/>
        <w:ind w:firstLine="422" w:firstLineChars="200"/>
        <w:jc w:val="center"/>
        <w:rPr>
          <w:rFonts w:ascii="宋体" w:hAnsi="宋体" w:cs="宋体"/>
          <w:b/>
          <w:bCs/>
          <w:szCs w:val="21"/>
        </w:rPr>
      </w:pPr>
      <w:r>
        <w:rPr>
          <w:rFonts w:hint="eastAsia" w:ascii="宋体" w:hAnsi="宋体" w:cs="宋体"/>
          <w:b/>
          <w:bCs/>
          <w:kern w:val="0"/>
          <w:szCs w:val="21"/>
        </w:rPr>
        <w:t>保险金的申请与给付</w:t>
      </w:r>
    </w:p>
    <w:p>
      <w:pPr>
        <w:widowControl/>
        <w:adjustRightInd w:val="0"/>
        <w:snapToGrid w:val="0"/>
        <w:spacing w:line="360" w:lineRule="auto"/>
        <w:ind w:firstLine="422" w:firstLineChars="200"/>
        <w:rPr>
          <w:rFonts w:ascii="宋体" w:hAnsi="宋体" w:cs="宋体"/>
          <w:color w:val="000000"/>
          <w:szCs w:val="21"/>
        </w:rPr>
      </w:pPr>
      <w:r>
        <w:rPr>
          <w:rFonts w:hint="eastAsia" w:ascii="宋体" w:hAnsi="宋体" w:cs="宋体"/>
          <w:b/>
          <w:bCs/>
          <w:color w:val="000000"/>
          <w:kern w:val="0"/>
          <w:szCs w:val="21"/>
        </w:rPr>
        <w:t xml:space="preserve">第八条 </w:t>
      </w:r>
      <w:r>
        <w:rPr>
          <w:rFonts w:hint="eastAsia" w:ascii="宋体" w:hAnsi="宋体" w:cs="宋体"/>
          <w:color w:val="000000"/>
          <w:kern w:val="0"/>
          <w:szCs w:val="21"/>
        </w:rPr>
        <w:t>保险金申请人向保险人申请给付保险金时，应当以书面形式提交下列证明和资料：</w:t>
      </w:r>
    </w:p>
    <w:p>
      <w:pPr>
        <w:widowControl/>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kern w:val="0"/>
          <w:szCs w:val="21"/>
        </w:rPr>
        <w:t>（一）保险金给付申请书；</w:t>
      </w:r>
    </w:p>
    <w:p>
      <w:pPr>
        <w:widowControl/>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kern w:val="0"/>
          <w:szCs w:val="21"/>
        </w:rPr>
        <w:t>（二）保险单或者其他保险凭证；</w:t>
      </w:r>
    </w:p>
    <w:p>
      <w:pPr>
        <w:widowControl/>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kern w:val="0"/>
          <w:szCs w:val="21"/>
        </w:rPr>
        <w:t>（三）保险金申请人的身份证明，若保险金申请人委托他人申请，还须提供受托人身份证明、授权委托书；</w:t>
      </w:r>
    </w:p>
    <w:p>
      <w:pPr>
        <w:widowControl/>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kern w:val="0"/>
          <w:szCs w:val="21"/>
        </w:rPr>
        <w:t>（四）公安机关或者保险人认可的其他机构出具的意外事故证明；</w:t>
      </w:r>
    </w:p>
    <w:p>
      <w:pPr>
        <w:widowControl/>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kern w:val="0"/>
          <w:szCs w:val="21"/>
        </w:rPr>
        <w:t>（五）社会基本医疗保险定点医疗机构出具的医疗费用原始收据及明细、诊断证明、病历、出院证明；</w:t>
      </w:r>
    </w:p>
    <w:p>
      <w:pPr>
        <w:widowControl/>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kern w:val="0"/>
          <w:szCs w:val="21"/>
        </w:rPr>
        <w:t>（六）投保人、被保险人或者保险金申请人所能提供的其他与确认事故的性质、原因、损失程度等有关的证明和资料。</w:t>
      </w:r>
    </w:p>
    <w:p>
      <w:pPr>
        <w:widowControl/>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kern w:val="0"/>
          <w:szCs w:val="21"/>
        </w:rPr>
        <w:t>保险金申请人因特殊原因不能提供前款约定的证明和资料的，应当提供其他合法、有效的证明和资料。</w:t>
      </w:r>
      <w:r>
        <w:rPr>
          <w:rFonts w:hint="eastAsia" w:ascii="宋体" w:hAnsi="宋体" w:cs="宋体"/>
          <w:b/>
          <w:bCs/>
          <w:color w:val="000000"/>
          <w:kern w:val="0"/>
          <w:szCs w:val="21"/>
        </w:rPr>
        <w:t>保险金申请人未能提供有关证明和资料，导致保险人无法核实该申请内容的真实性的，保险人对无法核实部分不承担给付保险金的责任。</w:t>
      </w:r>
    </w:p>
    <w:p>
      <w:pPr>
        <w:widowControl/>
        <w:adjustRightInd w:val="0"/>
        <w:snapToGrid w:val="0"/>
        <w:spacing w:line="360" w:lineRule="auto"/>
        <w:ind w:firstLine="422" w:firstLineChars="200"/>
        <w:rPr>
          <w:rFonts w:ascii="宋体" w:hAnsi="宋体" w:cs="宋体"/>
          <w:color w:val="000000"/>
          <w:szCs w:val="21"/>
        </w:rPr>
      </w:pPr>
      <w:r>
        <w:rPr>
          <w:rFonts w:hint="eastAsia" w:ascii="宋体" w:hAnsi="宋体" w:cs="宋体"/>
          <w:b/>
          <w:bCs/>
          <w:color w:val="000000"/>
          <w:kern w:val="0"/>
          <w:szCs w:val="21"/>
        </w:rPr>
        <w:t>第九条</w:t>
      </w:r>
      <w:r>
        <w:rPr>
          <w:rFonts w:hint="eastAsia" w:ascii="宋体" w:hAnsi="宋体" w:cs="宋体"/>
          <w:color w:val="000000"/>
          <w:kern w:val="0"/>
          <w:szCs w:val="21"/>
        </w:rPr>
        <w:t xml:space="preserve"> 被保险人遭受事故的，保险人有权对投保人、被保险人、保险金申请人和有关医疗机构等进行调查和检查，投保人、被保险人、保险金申请人等应当予以充分配合。</w:t>
      </w:r>
    </w:p>
    <w:p>
      <w:pPr>
        <w:widowControl/>
        <w:adjustRightInd w:val="0"/>
        <w:snapToGrid w:val="0"/>
        <w:spacing w:line="360" w:lineRule="auto"/>
        <w:ind w:firstLine="422" w:firstLineChars="200"/>
        <w:rPr>
          <w:rFonts w:ascii="宋体" w:hAnsi="宋体" w:cs="宋体"/>
          <w:color w:val="000000"/>
          <w:szCs w:val="21"/>
        </w:rPr>
      </w:pPr>
      <w:r>
        <w:rPr>
          <w:rFonts w:hint="eastAsia" w:ascii="宋体" w:hAnsi="宋体" w:cs="宋体"/>
          <w:b/>
          <w:bCs/>
          <w:color w:val="000000"/>
          <w:kern w:val="0"/>
          <w:szCs w:val="21"/>
        </w:rPr>
        <w:t xml:space="preserve">第十条 </w:t>
      </w:r>
      <w:r>
        <w:rPr>
          <w:rFonts w:hint="eastAsia" w:ascii="宋体" w:hAnsi="宋体" w:cs="宋体"/>
          <w:color w:val="000000"/>
          <w:kern w:val="0"/>
          <w:szCs w:val="21"/>
        </w:rPr>
        <w:t>保险金申请人对保险人请求给付保险金的诉讼时效期间为二年，自其知道或者应当知道保险事故发生之日起计算。</w:t>
      </w:r>
    </w:p>
    <w:p>
      <w:pPr>
        <w:widowControl/>
        <w:adjustRightInd w:val="0"/>
        <w:snapToGrid w:val="0"/>
        <w:spacing w:line="360" w:lineRule="auto"/>
        <w:ind w:firstLine="422" w:firstLineChars="200"/>
        <w:jc w:val="center"/>
        <w:rPr>
          <w:rFonts w:ascii="宋体" w:hAnsi="宋体" w:cs="宋体"/>
          <w:b/>
          <w:bCs/>
          <w:color w:val="000000"/>
          <w:szCs w:val="21"/>
        </w:rPr>
      </w:pPr>
      <w:r>
        <w:rPr>
          <w:rFonts w:hint="eastAsia" w:ascii="宋体" w:hAnsi="宋体" w:cs="宋体"/>
          <w:b/>
          <w:bCs/>
          <w:color w:val="000000"/>
          <w:kern w:val="0"/>
          <w:szCs w:val="21"/>
        </w:rPr>
        <w:t>医疗费用补偿原则</w:t>
      </w:r>
    </w:p>
    <w:p>
      <w:pPr>
        <w:widowControl/>
        <w:adjustRightInd w:val="0"/>
        <w:snapToGrid w:val="0"/>
        <w:spacing w:line="360" w:lineRule="auto"/>
        <w:ind w:firstLine="422" w:firstLineChars="200"/>
        <w:rPr>
          <w:rFonts w:ascii="宋体" w:hAnsi="宋体" w:cs="宋体"/>
          <w:color w:val="000000"/>
          <w:szCs w:val="21"/>
        </w:rPr>
      </w:pPr>
      <w:r>
        <w:rPr>
          <w:rFonts w:hint="eastAsia" w:ascii="宋体" w:hAnsi="宋体" w:cs="宋体"/>
          <w:b/>
          <w:bCs/>
          <w:color w:val="000000"/>
          <w:kern w:val="0"/>
          <w:szCs w:val="21"/>
        </w:rPr>
        <w:t xml:space="preserve">第十一条 </w:t>
      </w:r>
      <w:r>
        <w:rPr>
          <w:rFonts w:hint="eastAsia" w:ascii="宋体" w:hAnsi="宋体" w:cs="宋体"/>
          <w:color w:val="000000"/>
          <w:kern w:val="0"/>
          <w:szCs w:val="21"/>
        </w:rPr>
        <w:t>对被保险人因每次遭受意外接受治疗而发生的医疗费用，保险人针对其给付的意外医疗保险金以该次意外合理医疗费用扣除被保险人已从社会基本医疗保险、公费医疗、互助保险、除本保险外的其他商业保险、公益慈善机构、第三方责任人等获得的补偿后的余额为上限。</w:t>
      </w:r>
    </w:p>
    <w:p>
      <w:pPr>
        <w:widowControl/>
        <w:adjustRightInd w:val="0"/>
        <w:snapToGrid w:val="0"/>
        <w:spacing w:line="360" w:lineRule="auto"/>
        <w:ind w:firstLine="422" w:firstLineChars="200"/>
        <w:rPr>
          <w:rFonts w:ascii="宋体" w:hAnsi="宋体" w:cs="宋体"/>
          <w:color w:val="000000"/>
          <w:spacing w:val="5"/>
          <w:szCs w:val="21"/>
        </w:rPr>
      </w:pPr>
      <w:r>
        <w:rPr>
          <w:rFonts w:hint="eastAsia" w:ascii="宋体" w:hAnsi="宋体" w:cs="宋体"/>
          <w:b/>
          <w:bCs/>
          <w:color w:val="000000"/>
          <w:kern w:val="0"/>
          <w:szCs w:val="21"/>
        </w:rPr>
        <w:t>释义</w:t>
      </w:r>
    </w:p>
    <w:p>
      <w:pPr>
        <w:widowControl/>
        <w:adjustRightInd w:val="0"/>
        <w:snapToGrid w:val="0"/>
        <w:spacing w:line="360" w:lineRule="auto"/>
        <w:ind w:firstLine="422" w:firstLineChars="200"/>
        <w:rPr>
          <w:rFonts w:ascii="宋体" w:hAnsi="宋体" w:cs="宋体"/>
          <w:color w:val="000000"/>
          <w:szCs w:val="21"/>
        </w:rPr>
      </w:pPr>
      <w:r>
        <w:rPr>
          <w:rFonts w:hint="eastAsia" w:ascii="宋体" w:hAnsi="宋体" w:cs="宋体"/>
          <w:b/>
          <w:bCs/>
          <w:color w:val="000000"/>
          <w:kern w:val="0"/>
          <w:szCs w:val="21"/>
        </w:rPr>
        <w:t>意外：</w:t>
      </w:r>
      <w:r>
        <w:rPr>
          <w:rFonts w:hint="eastAsia" w:ascii="宋体" w:hAnsi="宋体" w:cs="宋体"/>
          <w:color w:val="000000"/>
          <w:kern w:val="0"/>
          <w:szCs w:val="21"/>
        </w:rPr>
        <w:t>指外来的、突发的、非本意的、非疾病的使身体受到伤害的客观事件。</w:t>
      </w:r>
    </w:p>
    <w:p>
      <w:pPr>
        <w:widowControl/>
        <w:adjustRightInd w:val="0"/>
        <w:snapToGrid w:val="0"/>
        <w:spacing w:line="360" w:lineRule="auto"/>
        <w:ind w:firstLine="442" w:firstLineChars="200"/>
        <w:rPr>
          <w:rFonts w:ascii="宋体" w:hAnsi="宋体" w:cs="宋体"/>
          <w:color w:val="000000"/>
          <w:spacing w:val="5"/>
          <w:szCs w:val="21"/>
        </w:rPr>
      </w:pPr>
      <w:r>
        <w:rPr>
          <w:rFonts w:hint="eastAsia" w:ascii="宋体" w:hAnsi="宋体" w:cs="宋体"/>
          <w:b/>
          <w:bCs/>
          <w:color w:val="000000"/>
          <w:spacing w:val="5"/>
          <w:kern w:val="0"/>
          <w:szCs w:val="21"/>
        </w:rPr>
        <w:t>当地：</w:t>
      </w:r>
      <w:r>
        <w:rPr>
          <w:rFonts w:hint="eastAsia" w:ascii="宋体" w:hAnsi="宋体" w:cs="宋体"/>
          <w:color w:val="000000"/>
          <w:spacing w:val="5"/>
          <w:kern w:val="0"/>
          <w:szCs w:val="21"/>
        </w:rPr>
        <w:t>指签发本附加合同的保险人分支机构所在地。</w:t>
      </w:r>
    </w:p>
    <w:p>
      <w:pPr>
        <w:widowControl/>
        <w:adjustRightInd w:val="0"/>
        <w:snapToGrid w:val="0"/>
        <w:spacing w:line="360" w:lineRule="auto"/>
        <w:ind w:firstLine="422" w:firstLineChars="200"/>
        <w:rPr>
          <w:rFonts w:ascii="宋体" w:hAnsi="宋体" w:cs="宋体"/>
          <w:color w:val="000000"/>
          <w:szCs w:val="21"/>
        </w:rPr>
      </w:pPr>
      <w:r>
        <w:rPr>
          <w:rFonts w:hint="eastAsia" w:ascii="宋体" w:hAnsi="宋体" w:cs="宋体"/>
          <w:b/>
          <w:bCs/>
          <w:color w:val="000000"/>
          <w:kern w:val="0"/>
          <w:szCs w:val="21"/>
        </w:rPr>
        <w:t>社会基本医疗保险</w:t>
      </w:r>
      <w:r>
        <w:rPr>
          <w:rFonts w:hint="eastAsia" w:ascii="宋体" w:hAnsi="宋体" w:cs="宋体"/>
          <w:color w:val="000000"/>
          <w:kern w:val="0"/>
          <w:szCs w:val="21"/>
        </w:rPr>
        <w:t>：指根据政府有关法律法规/规定建立的、由指定的行政主管部门管理的、在所属地域范围内实行基本医疗保险基金统一筹集、使用和管理的社会医疗保障制度。包括但不限于城镇职工基本医疗保险、城镇居民基本医疗保险、城乡居民基本医疗保险、新型农村合作医疗。</w:t>
      </w:r>
    </w:p>
    <w:p>
      <w:pPr>
        <w:widowControl/>
        <w:adjustRightInd w:val="0"/>
        <w:snapToGrid w:val="0"/>
        <w:spacing w:line="360" w:lineRule="auto"/>
        <w:ind w:firstLine="442" w:firstLineChars="200"/>
        <w:rPr>
          <w:rFonts w:ascii="宋体" w:hAnsi="宋体" w:cs="宋体"/>
          <w:color w:val="000000"/>
          <w:spacing w:val="5"/>
          <w:szCs w:val="21"/>
        </w:rPr>
      </w:pPr>
      <w:r>
        <w:rPr>
          <w:rFonts w:hint="eastAsia" w:ascii="宋体" w:hAnsi="宋体" w:cs="宋体"/>
          <w:b/>
          <w:bCs/>
          <w:color w:val="000000"/>
          <w:spacing w:val="5"/>
          <w:kern w:val="0"/>
          <w:szCs w:val="21"/>
        </w:rPr>
        <w:t>住院：</w:t>
      </w:r>
      <w:r>
        <w:rPr>
          <w:rFonts w:hint="eastAsia" w:ascii="宋体" w:hAnsi="宋体" w:cs="宋体"/>
          <w:color w:val="000000"/>
          <w:kern w:val="0"/>
          <w:szCs w:val="21"/>
        </w:rPr>
        <w:t>指入住社会基本医疗保险定点医疗机构的正式病房，并办理入出院手续，不包括门（急）诊观察室诊疗、家庭病床、挂床住院、其他非正式的病床住院及不合理住院</w:t>
      </w:r>
      <w:r>
        <w:rPr>
          <w:rFonts w:hint="eastAsia" w:ascii="宋体" w:hAnsi="宋体" w:cs="宋体"/>
          <w:color w:val="000000"/>
          <w:spacing w:val="5"/>
          <w:kern w:val="0"/>
          <w:szCs w:val="21"/>
        </w:rPr>
        <w:t>。被保险人因非医疗目的自行离开病房十二小时以上（含）的，视为自动出院。</w:t>
      </w:r>
    </w:p>
    <w:p>
      <w:pPr>
        <w:widowControl/>
        <w:adjustRightInd w:val="0"/>
        <w:snapToGrid w:val="0"/>
        <w:spacing w:line="360" w:lineRule="auto"/>
        <w:ind w:firstLine="442" w:firstLineChars="200"/>
        <w:rPr>
          <w:rFonts w:ascii="宋体" w:hAnsi="宋体" w:cs="宋体"/>
          <w:color w:val="000000"/>
          <w:spacing w:val="5"/>
          <w:szCs w:val="21"/>
        </w:rPr>
      </w:pPr>
      <w:r>
        <w:rPr>
          <w:rFonts w:hint="eastAsia" w:ascii="宋体" w:hAnsi="宋体" w:cs="宋体"/>
          <w:b/>
          <w:bCs/>
          <w:color w:val="000000"/>
          <w:spacing w:val="5"/>
          <w:kern w:val="0"/>
          <w:szCs w:val="21"/>
        </w:rPr>
        <w:t>挂床：</w:t>
      </w:r>
      <w:r>
        <w:rPr>
          <w:rFonts w:hint="eastAsia" w:ascii="宋体" w:hAnsi="宋体" w:cs="宋体"/>
          <w:color w:val="000000"/>
          <w:spacing w:val="5"/>
          <w:kern w:val="0"/>
          <w:szCs w:val="21"/>
        </w:rPr>
        <w:t>指住院过程中一日内未接受与入院诊断相关的检查和治疗或者一日内住院不满二十四小时。遵医嘱到外院接受临时诊疗的不在此限。</w:t>
      </w:r>
    </w:p>
    <w:p>
      <w:pPr>
        <w:widowControl/>
        <w:adjustRightInd w:val="0"/>
        <w:snapToGrid w:val="0"/>
        <w:spacing w:line="360" w:lineRule="auto"/>
        <w:ind w:firstLine="442" w:firstLineChars="200"/>
        <w:rPr>
          <w:rFonts w:ascii="宋体" w:hAnsi="宋体" w:cs="宋体"/>
          <w:color w:val="000000"/>
          <w:spacing w:val="5"/>
          <w:szCs w:val="21"/>
        </w:rPr>
      </w:pPr>
      <w:r>
        <w:rPr>
          <w:rFonts w:hint="eastAsia" w:ascii="宋体" w:hAnsi="宋体" w:cs="宋体"/>
          <w:b/>
          <w:bCs/>
          <w:color w:val="000000"/>
          <w:spacing w:val="5"/>
          <w:kern w:val="0"/>
          <w:szCs w:val="21"/>
        </w:rPr>
        <w:t>试验性治疗：</w:t>
      </w:r>
      <w:r>
        <w:rPr>
          <w:rFonts w:hint="eastAsia" w:ascii="宋体" w:hAnsi="宋体" w:cs="宋体"/>
          <w:color w:val="000000"/>
          <w:spacing w:val="5"/>
          <w:kern w:val="0"/>
          <w:szCs w:val="21"/>
        </w:rPr>
        <w:t>指不符合境内医学界公认可行的治疗方法、手段、设备、药品等。</w:t>
      </w:r>
    </w:p>
    <w:p>
      <w:pPr>
        <w:widowControl/>
        <w:adjustRightInd w:val="0"/>
        <w:snapToGrid w:val="0"/>
        <w:spacing w:line="360" w:lineRule="auto"/>
        <w:ind w:firstLine="442" w:firstLineChars="200"/>
        <w:rPr>
          <w:rFonts w:ascii="宋体" w:hAnsi="宋体" w:cs="宋体"/>
          <w:color w:val="000000"/>
          <w:spacing w:val="5"/>
          <w:szCs w:val="21"/>
        </w:rPr>
      </w:pPr>
      <w:r>
        <w:rPr>
          <w:rFonts w:hint="eastAsia" w:ascii="宋体" w:hAnsi="宋体" w:cs="宋体"/>
          <w:b/>
          <w:bCs/>
          <w:color w:val="000000"/>
          <w:spacing w:val="5"/>
          <w:kern w:val="0"/>
          <w:szCs w:val="21"/>
        </w:rPr>
        <w:t>境内：</w:t>
      </w:r>
      <w:r>
        <w:rPr>
          <w:rFonts w:hint="eastAsia" w:ascii="宋体" w:hAnsi="宋体" w:cs="宋体"/>
          <w:color w:val="000000"/>
          <w:spacing w:val="5"/>
          <w:kern w:val="0"/>
          <w:szCs w:val="21"/>
        </w:rPr>
        <w:t>指中国大陆地区，不包括港澳台地区。</w:t>
      </w:r>
    </w:p>
    <w:p>
      <w:pPr>
        <w:widowControl/>
        <w:adjustRightInd w:val="0"/>
        <w:snapToGrid w:val="0"/>
        <w:spacing w:line="360" w:lineRule="auto"/>
        <w:ind w:firstLine="422" w:firstLineChars="200"/>
        <w:rPr>
          <w:rFonts w:ascii="宋体" w:hAnsi="宋体" w:cs="宋体"/>
          <w:color w:val="000000"/>
          <w:kern w:val="0"/>
          <w:szCs w:val="21"/>
        </w:rPr>
      </w:pPr>
      <w:r>
        <w:rPr>
          <w:rFonts w:hint="eastAsia" w:ascii="宋体" w:hAnsi="宋体" w:cs="宋体"/>
          <w:b/>
          <w:bCs/>
          <w:color w:val="000000"/>
          <w:kern w:val="0"/>
          <w:szCs w:val="21"/>
        </w:rPr>
        <w:t>保险金申请人：</w:t>
      </w:r>
      <w:r>
        <w:rPr>
          <w:rFonts w:hint="eastAsia" w:ascii="宋体" w:hAnsi="宋体" w:cs="宋体"/>
          <w:color w:val="000000"/>
          <w:kern w:val="0"/>
          <w:szCs w:val="21"/>
        </w:rPr>
        <w:t>指受益人或者依法享有保险金请求权的其他人。</w:t>
      </w:r>
    </w:p>
    <w:p>
      <w:pPr>
        <w:spacing w:line="360" w:lineRule="auto"/>
        <w:rPr>
          <w:rFonts w:ascii="宋体" w:hAnsi="宋体" w:cs="宋体"/>
          <w:szCs w:val="21"/>
        </w:rPr>
      </w:pPr>
    </w:p>
    <w:p>
      <w:pPr>
        <w:widowControl/>
        <w:tabs>
          <w:tab w:val="left" w:pos="0"/>
        </w:tabs>
        <w:adjustRightInd w:val="0"/>
        <w:snapToGrid w:val="0"/>
        <w:spacing w:line="360" w:lineRule="auto"/>
        <w:ind w:firstLine="420" w:firstLineChars="200"/>
        <w:jc w:val="center"/>
        <w:textAlignment w:val="baseline"/>
        <w:outlineLvl w:val="1"/>
        <w:rPr>
          <w:rFonts w:ascii="宋体" w:hAnsi="宋体" w:cs="宋体"/>
          <w:b/>
          <w:bCs/>
          <w:color w:val="000000"/>
          <w:kern w:val="0"/>
          <w:szCs w:val="21"/>
        </w:rPr>
      </w:pPr>
      <w:r>
        <w:rPr>
          <w:rFonts w:hint="eastAsia" w:ascii="宋体" w:hAnsi="宋体" w:cs="宋体"/>
          <w:szCs w:val="21"/>
        </w:rPr>
        <w:t>（四）附加意外伤害住院补贴医疗保险条款</w:t>
      </w:r>
    </w:p>
    <w:p>
      <w:pPr>
        <w:widowControl/>
        <w:adjustRightInd w:val="0"/>
        <w:snapToGrid w:val="0"/>
        <w:spacing w:line="360" w:lineRule="auto"/>
        <w:ind w:firstLine="422" w:firstLineChars="200"/>
        <w:jc w:val="center"/>
        <w:rPr>
          <w:rFonts w:ascii="宋体" w:hAnsi="宋体" w:cs="宋体"/>
          <w:b/>
          <w:bCs/>
          <w:color w:val="000000"/>
          <w:szCs w:val="21"/>
        </w:rPr>
      </w:pPr>
      <w:r>
        <w:rPr>
          <w:rFonts w:hint="eastAsia" w:ascii="宋体" w:hAnsi="宋体" w:cs="宋体"/>
          <w:b/>
          <w:bCs/>
          <w:color w:val="000000"/>
          <w:kern w:val="0"/>
          <w:szCs w:val="21"/>
        </w:rPr>
        <w:t>总则</w:t>
      </w:r>
    </w:p>
    <w:p>
      <w:pPr>
        <w:widowControl/>
        <w:adjustRightInd w:val="0"/>
        <w:snapToGrid w:val="0"/>
        <w:spacing w:line="360" w:lineRule="auto"/>
        <w:ind w:firstLine="422" w:firstLineChars="200"/>
        <w:rPr>
          <w:rFonts w:ascii="宋体" w:hAnsi="宋体" w:cs="宋体"/>
          <w:color w:val="000000"/>
          <w:szCs w:val="21"/>
        </w:rPr>
      </w:pPr>
      <w:r>
        <w:rPr>
          <w:rFonts w:hint="eastAsia" w:ascii="宋体" w:hAnsi="宋体" w:cs="宋体"/>
          <w:b/>
          <w:bCs/>
          <w:color w:val="000000"/>
          <w:kern w:val="0"/>
          <w:szCs w:val="21"/>
        </w:rPr>
        <w:t xml:space="preserve">第一条 </w:t>
      </w:r>
      <w:r>
        <w:rPr>
          <w:rFonts w:hint="eastAsia" w:ascii="宋体" w:hAnsi="宋体" w:cs="宋体"/>
          <w:color w:val="000000"/>
          <w:kern w:val="0"/>
          <w:szCs w:val="21"/>
        </w:rPr>
        <w:t>本附加保险合同（以下简称“本附加合同”）附加于主险合同。凡主险合同内容与本附加合同相关者及本保险条款，均为本附加合同的构成部分。</w:t>
      </w:r>
    </w:p>
    <w:p>
      <w:pPr>
        <w:widowControl/>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kern w:val="0"/>
          <w:szCs w:val="21"/>
        </w:rPr>
        <w:t>本保险条款未尽事项，以主险保险条款为准；若主险保险条款与本保险条款内容冲突，则以本保险条款为准。</w:t>
      </w:r>
    </w:p>
    <w:p>
      <w:pPr>
        <w:widowControl/>
        <w:adjustRightInd w:val="0"/>
        <w:snapToGrid w:val="0"/>
        <w:spacing w:line="360" w:lineRule="auto"/>
        <w:ind w:firstLine="440" w:firstLineChars="200"/>
        <w:rPr>
          <w:rFonts w:ascii="宋体" w:hAnsi="宋体" w:cs="宋体"/>
          <w:b/>
          <w:bCs/>
          <w:color w:val="000000"/>
          <w:spacing w:val="5"/>
          <w:szCs w:val="21"/>
        </w:rPr>
      </w:pPr>
      <w:r>
        <w:rPr>
          <w:rFonts w:hint="eastAsia" w:ascii="宋体" w:hAnsi="宋体" w:cs="宋体"/>
          <w:color w:val="000000"/>
          <w:spacing w:val="5"/>
          <w:kern w:val="0"/>
          <w:szCs w:val="21"/>
        </w:rPr>
        <w:t>主险合同效力终止，本附加合同效力亦同时终止。</w:t>
      </w:r>
    </w:p>
    <w:p>
      <w:pPr>
        <w:widowControl/>
        <w:adjustRightInd w:val="0"/>
        <w:snapToGrid w:val="0"/>
        <w:spacing w:line="360" w:lineRule="auto"/>
        <w:ind w:firstLine="422" w:firstLineChars="200"/>
        <w:rPr>
          <w:rFonts w:ascii="宋体" w:hAnsi="宋体" w:cs="宋体"/>
          <w:color w:val="000000"/>
          <w:szCs w:val="21"/>
        </w:rPr>
      </w:pPr>
      <w:r>
        <w:rPr>
          <w:rFonts w:hint="eastAsia" w:ascii="宋体" w:hAnsi="宋体" w:cs="宋体"/>
          <w:b/>
          <w:bCs/>
          <w:color w:val="000000"/>
          <w:kern w:val="0"/>
          <w:szCs w:val="21"/>
        </w:rPr>
        <w:t xml:space="preserve">第二条 </w:t>
      </w:r>
      <w:r>
        <w:rPr>
          <w:rFonts w:hint="eastAsia" w:ascii="宋体" w:hAnsi="宋体" w:cs="宋体"/>
          <w:color w:val="000000"/>
          <w:kern w:val="0"/>
          <w:szCs w:val="21"/>
        </w:rPr>
        <w:t>本附加合同被保险人、投保人同主险合同。</w:t>
      </w:r>
    </w:p>
    <w:p>
      <w:pPr>
        <w:widowControl/>
        <w:adjustRightInd w:val="0"/>
        <w:snapToGrid w:val="0"/>
        <w:spacing w:line="360" w:lineRule="auto"/>
        <w:ind w:firstLine="422" w:firstLineChars="200"/>
        <w:rPr>
          <w:rFonts w:ascii="宋体" w:hAnsi="宋体" w:cs="宋体"/>
          <w:b/>
          <w:bCs/>
          <w:color w:val="000000"/>
          <w:szCs w:val="21"/>
        </w:rPr>
      </w:pPr>
      <w:r>
        <w:rPr>
          <w:rFonts w:hint="eastAsia" w:ascii="宋体" w:hAnsi="宋体" w:cs="宋体"/>
          <w:b/>
          <w:bCs/>
          <w:color w:val="000000"/>
          <w:kern w:val="0"/>
          <w:szCs w:val="21"/>
        </w:rPr>
        <w:t>第三条</w:t>
      </w:r>
      <w:r>
        <w:rPr>
          <w:rFonts w:hint="eastAsia" w:ascii="宋体" w:hAnsi="宋体" w:cs="宋体"/>
          <w:color w:val="000000"/>
          <w:kern w:val="0"/>
          <w:szCs w:val="21"/>
        </w:rPr>
        <w:t>除本附加合同另有约定外，本附加合同保险金的受益人为被保险人本人。</w:t>
      </w:r>
    </w:p>
    <w:p>
      <w:pPr>
        <w:widowControl/>
        <w:adjustRightInd w:val="0"/>
        <w:snapToGrid w:val="0"/>
        <w:spacing w:line="360" w:lineRule="auto"/>
        <w:ind w:firstLine="422" w:firstLineChars="200"/>
        <w:jc w:val="center"/>
        <w:rPr>
          <w:rFonts w:ascii="宋体" w:hAnsi="宋体" w:cs="宋体"/>
          <w:b/>
          <w:bCs/>
          <w:color w:val="000000"/>
          <w:szCs w:val="21"/>
        </w:rPr>
      </w:pPr>
      <w:r>
        <w:rPr>
          <w:rFonts w:hint="eastAsia" w:ascii="宋体" w:hAnsi="宋体" w:cs="宋体"/>
          <w:b/>
          <w:bCs/>
          <w:color w:val="000000"/>
          <w:kern w:val="0"/>
          <w:szCs w:val="21"/>
        </w:rPr>
        <w:t>保险责任</w:t>
      </w:r>
    </w:p>
    <w:p>
      <w:pPr>
        <w:widowControl/>
        <w:adjustRightInd w:val="0"/>
        <w:snapToGrid w:val="0"/>
        <w:spacing w:line="360" w:lineRule="auto"/>
        <w:ind w:firstLine="442" w:firstLineChars="200"/>
        <w:rPr>
          <w:rFonts w:ascii="宋体" w:hAnsi="宋体" w:cs="宋体"/>
          <w:color w:val="000000"/>
          <w:spacing w:val="5"/>
          <w:szCs w:val="21"/>
        </w:rPr>
      </w:pPr>
      <w:r>
        <w:rPr>
          <w:rFonts w:hint="eastAsia" w:ascii="宋体" w:hAnsi="宋体" w:cs="宋体"/>
          <w:b/>
          <w:bCs/>
          <w:color w:val="000000"/>
          <w:spacing w:val="5"/>
          <w:kern w:val="0"/>
          <w:szCs w:val="21"/>
        </w:rPr>
        <w:t>第四条</w:t>
      </w:r>
      <w:r>
        <w:rPr>
          <w:rFonts w:hint="eastAsia" w:ascii="宋体" w:hAnsi="宋体" w:cs="宋体"/>
          <w:color w:val="000000"/>
          <w:spacing w:val="5"/>
          <w:kern w:val="0"/>
          <w:szCs w:val="21"/>
        </w:rPr>
        <w:t>在保险期间内，被保险人遭受意外并直接、完全因该意外而经</w:t>
      </w:r>
      <w:r>
        <w:rPr>
          <w:rFonts w:hint="eastAsia" w:ascii="宋体" w:hAnsi="宋体" w:cs="宋体"/>
          <w:color w:val="000000"/>
          <w:kern w:val="0"/>
          <w:szCs w:val="21"/>
        </w:rPr>
        <w:t>保险人指定或者认可的医疗机构的</w:t>
      </w:r>
      <w:r>
        <w:rPr>
          <w:rFonts w:hint="eastAsia" w:ascii="宋体" w:hAnsi="宋体" w:cs="宋体"/>
          <w:color w:val="000000"/>
          <w:spacing w:val="5"/>
          <w:kern w:val="0"/>
          <w:szCs w:val="21"/>
        </w:rPr>
        <w:t>医生诊断必须住院接受治疗的，除本附加合同另有约定外，保险人按“（每次实际住院日数-3）×该被保险人意外住院日补贴金额”给付意外住院补贴保险金。</w:t>
      </w:r>
      <w:r>
        <w:rPr>
          <w:rFonts w:hint="eastAsia" w:ascii="宋体" w:hAnsi="宋体" w:cs="宋体"/>
          <w:color w:val="000000"/>
          <w:kern w:val="0"/>
          <w:szCs w:val="21"/>
        </w:rPr>
        <w:t>若保险期间届满时该被保险人住院治疗仍未结束，保险人继续承担意外住院补贴保险责任至其当次住院出院之时或者对应意外发生之日起第一百八十日二十四时（以先发生者为准）止。</w:t>
      </w:r>
    </w:p>
    <w:p>
      <w:pPr>
        <w:widowControl/>
        <w:adjustRightInd w:val="0"/>
        <w:snapToGrid w:val="0"/>
        <w:spacing w:line="360" w:lineRule="auto"/>
        <w:ind w:firstLine="420" w:firstLineChars="200"/>
        <w:rPr>
          <w:rFonts w:ascii="宋体" w:hAnsi="宋体" w:cs="宋体"/>
          <w:szCs w:val="21"/>
        </w:rPr>
      </w:pPr>
      <w:r>
        <w:rPr>
          <w:rFonts w:hint="eastAsia" w:ascii="宋体" w:hAnsi="宋体" w:cs="宋体"/>
          <w:color w:val="000000"/>
          <w:kern w:val="0"/>
          <w:szCs w:val="21"/>
        </w:rPr>
        <w:t>保险人根据本附加合同针对每一被保险人给付的意外住院补贴保险金的日数累计以一百八十日为上限，当达到该限额时，本附加合同约定的对该被保险人的保险责任终止。</w:t>
      </w:r>
    </w:p>
    <w:p>
      <w:pPr>
        <w:widowControl/>
        <w:adjustRightInd w:val="0"/>
        <w:snapToGrid w:val="0"/>
        <w:spacing w:line="360" w:lineRule="auto"/>
        <w:ind w:firstLine="422" w:firstLineChars="200"/>
        <w:jc w:val="center"/>
        <w:rPr>
          <w:rFonts w:ascii="宋体" w:hAnsi="宋体" w:cs="宋体"/>
          <w:szCs w:val="21"/>
        </w:rPr>
      </w:pPr>
      <w:r>
        <w:rPr>
          <w:rFonts w:hint="eastAsia" w:ascii="宋体" w:hAnsi="宋体" w:cs="宋体"/>
          <w:b/>
          <w:bCs/>
          <w:color w:val="000000"/>
          <w:kern w:val="0"/>
          <w:szCs w:val="21"/>
        </w:rPr>
        <w:t>责任免除</w:t>
      </w:r>
    </w:p>
    <w:p>
      <w:pPr>
        <w:widowControl/>
        <w:adjustRightInd w:val="0"/>
        <w:snapToGrid w:val="0"/>
        <w:spacing w:line="360" w:lineRule="auto"/>
        <w:ind w:firstLine="422" w:firstLineChars="200"/>
        <w:rPr>
          <w:rFonts w:ascii="宋体" w:hAnsi="宋体" w:cs="宋体"/>
          <w:szCs w:val="21"/>
        </w:rPr>
      </w:pPr>
      <w:r>
        <w:rPr>
          <w:rFonts w:hint="eastAsia" w:ascii="宋体" w:hAnsi="宋体" w:cs="宋体"/>
          <w:b/>
          <w:bCs/>
          <w:color w:val="000000"/>
          <w:kern w:val="0"/>
          <w:szCs w:val="21"/>
        </w:rPr>
        <w:t>第五条 被保险人住院治疗具有下列任何情形的，保险人不承担给付保险金的责任：</w:t>
      </w:r>
    </w:p>
    <w:p>
      <w:pPr>
        <w:widowControl/>
        <w:tabs>
          <w:tab w:val="left" w:pos="1080"/>
          <w:tab w:val="left" w:pos="1260"/>
          <w:tab w:val="left" w:pos="1440"/>
          <w:tab w:val="left" w:pos="1620"/>
          <w:tab w:val="left" w:pos="1800"/>
          <w:tab w:val="left" w:pos="1980"/>
        </w:tabs>
        <w:adjustRightInd w:val="0"/>
        <w:snapToGrid w:val="0"/>
        <w:spacing w:line="360" w:lineRule="auto"/>
        <w:ind w:firstLine="422" w:firstLineChars="200"/>
        <w:rPr>
          <w:rFonts w:ascii="宋体" w:hAnsi="宋体" w:cs="宋体"/>
          <w:b/>
          <w:bCs/>
          <w:szCs w:val="21"/>
        </w:rPr>
      </w:pPr>
      <w:r>
        <w:rPr>
          <w:rFonts w:hint="eastAsia" w:ascii="宋体" w:hAnsi="宋体" w:cs="宋体"/>
          <w:b/>
          <w:bCs/>
          <w:color w:val="000000"/>
          <w:kern w:val="0"/>
          <w:szCs w:val="21"/>
        </w:rPr>
        <w:t>（一）因主险合同中列明的责任免除事项而住院接受治疗，或者住院治疗与主险合同中列明的责任免除事项相关；</w:t>
      </w:r>
    </w:p>
    <w:p>
      <w:pPr>
        <w:widowControl/>
        <w:tabs>
          <w:tab w:val="left" w:pos="1080"/>
          <w:tab w:val="left" w:pos="1260"/>
          <w:tab w:val="left" w:pos="1440"/>
          <w:tab w:val="left" w:pos="1620"/>
          <w:tab w:val="left" w:pos="1800"/>
          <w:tab w:val="left" w:pos="1980"/>
        </w:tabs>
        <w:adjustRightInd w:val="0"/>
        <w:snapToGrid w:val="0"/>
        <w:spacing w:line="360" w:lineRule="auto"/>
        <w:ind w:firstLine="422" w:firstLineChars="200"/>
        <w:rPr>
          <w:rFonts w:ascii="宋体" w:hAnsi="宋体" w:cs="宋体"/>
          <w:b/>
          <w:bCs/>
          <w:szCs w:val="21"/>
        </w:rPr>
      </w:pPr>
      <w:r>
        <w:rPr>
          <w:rFonts w:hint="eastAsia" w:ascii="宋体" w:hAnsi="宋体" w:cs="宋体"/>
          <w:b/>
          <w:bCs/>
          <w:color w:val="000000"/>
          <w:kern w:val="0"/>
          <w:szCs w:val="21"/>
        </w:rPr>
        <w:t>（二）非直接用以治疗由意外引致的伤害而发生的住院治疗，对已有伤害的住院治疗；</w:t>
      </w:r>
    </w:p>
    <w:p>
      <w:pPr>
        <w:widowControl/>
        <w:tabs>
          <w:tab w:val="left" w:pos="1080"/>
          <w:tab w:val="left" w:pos="1260"/>
          <w:tab w:val="left" w:pos="1440"/>
          <w:tab w:val="left" w:pos="1620"/>
          <w:tab w:val="left" w:pos="1800"/>
          <w:tab w:val="left" w:pos="1980"/>
        </w:tabs>
        <w:adjustRightInd w:val="0"/>
        <w:snapToGrid w:val="0"/>
        <w:spacing w:line="360" w:lineRule="auto"/>
        <w:ind w:firstLine="422" w:firstLineChars="200"/>
        <w:rPr>
          <w:rFonts w:ascii="宋体" w:hAnsi="宋体" w:cs="宋体"/>
          <w:b/>
          <w:bCs/>
          <w:color w:val="000000"/>
          <w:szCs w:val="21"/>
        </w:rPr>
      </w:pPr>
      <w:r>
        <w:rPr>
          <w:rFonts w:hint="eastAsia" w:ascii="宋体" w:hAnsi="宋体" w:cs="宋体"/>
          <w:b/>
          <w:bCs/>
          <w:color w:val="000000"/>
          <w:kern w:val="0"/>
          <w:szCs w:val="21"/>
        </w:rPr>
        <w:t>（三）非医学必须的住院，包括但不限于以预防性手术、健康护理、疗养、静养、康复为主要目的的住院医疗行为；</w:t>
      </w:r>
    </w:p>
    <w:p>
      <w:pPr>
        <w:widowControl/>
        <w:tabs>
          <w:tab w:val="left" w:pos="1080"/>
          <w:tab w:val="left" w:pos="1260"/>
          <w:tab w:val="left" w:pos="1440"/>
          <w:tab w:val="left" w:pos="1620"/>
          <w:tab w:val="left" w:pos="1800"/>
          <w:tab w:val="left" w:pos="1980"/>
        </w:tabs>
        <w:adjustRightInd w:val="0"/>
        <w:snapToGrid w:val="0"/>
        <w:spacing w:line="360" w:lineRule="auto"/>
        <w:ind w:firstLine="422" w:firstLineChars="200"/>
        <w:rPr>
          <w:rFonts w:ascii="宋体" w:hAnsi="宋体" w:cs="宋体"/>
          <w:b/>
          <w:bCs/>
          <w:color w:val="000000"/>
          <w:szCs w:val="21"/>
        </w:rPr>
      </w:pPr>
      <w:r>
        <w:rPr>
          <w:rFonts w:hint="eastAsia" w:ascii="宋体" w:hAnsi="宋体" w:cs="宋体"/>
          <w:b/>
          <w:bCs/>
          <w:color w:val="000000"/>
          <w:kern w:val="0"/>
          <w:szCs w:val="21"/>
        </w:rPr>
        <w:t>（四）在境外医院、中外合资医院、民营医院、康复中心、联合诊所、特需（色）门诊、特需病房等非保险人指定或者认可的医疗机构住院接受治疗。</w:t>
      </w:r>
    </w:p>
    <w:p>
      <w:pPr>
        <w:widowControl/>
        <w:tabs>
          <w:tab w:val="left" w:pos="1260"/>
          <w:tab w:val="left" w:pos="1440"/>
          <w:tab w:val="left" w:pos="1620"/>
          <w:tab w:val="left" w:pos="1800"/>
          <w:tab w:val="left" w:pos="1980"/>
        </w:tabs>
        <w:adjustRightInd w:val="0"/>
        <w:snapToGrid w:val="0"/>
        <w:spacing w:line="360" w:lineRule="auto"/>
        <w:ind w:firstLine="422" w:firstLineChars="200"/>
        <w:jc w:val="center"/>
        <w:rPr>
          <w:rFonts w:ascii="宋体" w:hAnsi="宋体" w:cs="宋体"/>
          <w:b/>
          <w:bCs/>
          <w:color w:val="000000"/>
          <w:szCs w:val="21"/>
        </w:rPr>
      </w:pPr>
      <w:r>
        <w:rPr>
          <w:rFonts w:hint="eastAsia" w:ascii="宋体" w:hAnsi="宋体" w:cs="宋体"/>
          <w:b/>
          <w:bCs/>
          <w:color w:val="000000"/>
          <w:kern w:val="0"/>
          <w:szCs w:val="21"/>
        </w:rPr>
        <w:t>保险金额</w:t>
      </w:r>
    </w:p>
    <w:p>
      <w:pPr>
        <w:widowControl/>
        <w:adjustRightInd w:val="0"/>
        <w:snapToGrid w:val="0"/>
        <w:spacing w:line="360" w:lineRule="auto"/>
        <w:ind w:firstLine="422" w:firstLineChars="200"/>
        <w:rPr>
          <w:rFonts w:ascii="宋体" w:hAnsi="宋体" w:cs="宋体"/>
          <w:szCs w:val="21"/>
        </w:rPr>
      </w:pPr>
      <w:r>
        <w:rPr>
          <w:rFonts w:hint="eastAsia" w:ascii="宋体" w:hAnsi="宋体" w:cs="宋体"/>
          <w:b/>
          <w:bCs/>
          <w:color w:val="000000"/>
          <w:kern w:val="0"/>
          <w:szCs w:val="21"/>
        </w:rPr>
        <w:t>第六条</w:t>
      </w:r>
      <w:r>
        <w:rPr>
          <w:rFonts w:hint="eastAsia" w:ascii="宋体" w:hAnsi="宋体" w:cs="宋体"/>
          <w:color w:val="000000"/>
          <w:kern w:val="0"/>
          <w:szCs w:val="21"/>
        </w:rPr>
        <w:t xml:space="preserve"> 每一被保险人的意外住院日补贴金额由投保人与保险人约定，并于本附加合同中载明。</w:t>
      </w:r>
    </w:p>
    <w:p>
      <w:pPr>
        <w:widowControl/>
        <w:adjustRightInd w:val="0"/>
        <w:snapToGrid w:val="0"/>
        <w:spacing w:line="360" w:lineRule="auto"/>
        <w:ind w:firstLine="422" w:firstLineChars="200"/>
        <w:jc w:val="center"/>
        <w:rPr>
          <w:rFonts w:ascii="宋体" w:hAnsi="宋体" w:cs="宋体"/>
          <w:b/>
          <w:bCs/>
          <w:szCs w:val="21"/>
        </w:rPr>
      </w:pPr>
      <w:r>
        <w:rPr>
          <w:rFonts w:hint="eastAsia" w:ascii="宋体" w:hAnsi="宋体" w:cs="宋体"/>
          <w:b/>
          <w:bCs/>
          <w:kern w:val="0"/>
          <w:szCs w:val="21"/>
        </w:rPr>
        <w:t>保险金的申请与给付</w:t>
      </w:r>
    </w:p>
    <w:p>
      <w:pPr>
        <w:widowControl/>
        <w:adjustRightInd w:val="0"/>
        <w:snapToGrid w:val="0"/>
        <w:spacing w:line="360" w:lineRule="auto"/>
        <w:ind w:firstLine="422" w:firstLineChars="200"/>
        <w:rPr>
          <w:rFonts w:ascii="宋体" w:hAnsi="宋体" w:cs="宋体"/>
          <w:b/>
          <w:bCs/>
          <w:color w:val="000000"/>
          <w:szCs w:val="21"/>
        </w:rPr>
      </w:pPr>
      <w:r>
        <w:rPr>
          <w:rFonts w:hint="eastAsia" w:ascii="宋体" w:hAnsi="宋体" w:cs="宋体"/>
          <w:b/>
          <w:bCs/>
          <w:color w:val="000000"/>
          <w:kern w:val="0"/>
          <w:szCs w:val="21"/>
        </w:rPr>
        <w:t xml:space="preserve">第七条 </w:t>
      </w:r>
      <w:r>
        <w:rPr>
          <w:rFonts w:hint="eastAsia" w:ascii="宋体" w:hAnsi="宋体" w:cs="宋体"/>
          <w:color w:val="000000"/>
          <w:kern w:val="0"/>
          <w:szCs w:val="21"/>
        </w:rPr>
        <w:t>保险金申请人向保险人申请给付保险金时，应当以书面形式提交下列证明和资料。保险金申请人因特殊原因不能提供下列证明和资料的，应当提供其他合法、有效的证明和资料。</w:t>
      </w:r>
      <w:r>
        <w:rPr>
          <w:rFonts w:hint="eastAsia" w:ascii="宋体" w:hAnsi="宋体" w:cs="宋体"/>
          <w:b/>
          <w:bCs/>
          <w:color w:val="000000"/>
          <w:kern w:val="0"/>
          <w:szCs w:val="21"/>
        </w:rPr>
        <w:t>保险金申请人未能提供有关证明和资料，导致保险人无法核实该申请的真实性的，保险人对无法核实部分不承担给付保险金的责任。</w:t>
      </w:r>
    </w:p>
    <w:p>
      <w:pPr>
        <w:widowControl/>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kern w:val="0"/>
          <w:szCs w:val="21"/>
        </w:rPr>
        <w:t>1.保险金给付申请书；</w:t>
      </w:r>
    </w:p>
    <w:p>
      <w:pPr>
        <w:widowControl/>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kern w:val="0"/>
          <w:szCs w:val="21"/>
        </w:rPr>
        <w:t>2.附加保险合同原件；</w:t>
      </w:r>
    </w:p>
    <w:p>
      <w:pPr>
        <w:widowControl/>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kern w:val="0"/>
          <w:szCs w:val="21"/>
        </w:rPr>
        <w:t>3.保险金申请人的身份证明、户籍证明，若保险金申请人委托他人申请的，还须提供受托人身份证明、授权委托书；</w:t>
      </w:r>
    </w:p>
    <w:p>
      <w:pPr>
        <w:widowControl/>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kern w:val="0"/>
          <w:szCs w:val="21"/>
        </w:rPr>
        <w:t>4.保险人认可的机构（包括公安部门）出具的意外事故证明；</w:t>
      </w:r>
    </w:p>
    <w:p>
      <w:pPr>
        <w:widowControl/>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kern w:val="0"/>
          <w:szCs w:val="21"/>
        </w:rPr>
        <w:t>5.保险人指定或者认可的医疗机构出具的出院小结、诊断证明、病历；</w:t>
      </w:r>
    </w:p>
    <w:p>
      <w:pPr>
        <w:widowControl/>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kern w:val="0"/>
          <w:szCs w:val="21"/>
        </w:rPr>
        <w:t>6.投保人、被保险人或者保险金申请人所能提供的其他与确认事故的性质、原因、损失程度等有关的证明和资料。</w:t>
      </w:r>
    </w:p>
    <w:p>
      <w:pPr>
        <w:widowControl/>
        <w:adjustRightInd w:val="0"/>
        <w:snapToGrid w:val="0"/>
        <w:spacing w:line="360" w:lineRule="auto"/>
        <w:ind w:firstLine="422" w:firstLineChars="200"/>
        <w:rPr>
          <w:rFonts w:ascii="宋体" w:hAnsi="宋体" w:cs="宋体"/>
          <w:color w:val="000000"/>
          <w:szCs w:val="21"/>
        </w:rPr>
      </w:pPr>
      <w:r>
        <w:rPr>
          <w:rFonts w:hint="eastAsia" w:ascii="宋体" w:hAnsi="宋体" w:cs="宋体"/>
          <w:b/>
          <w:bCs/>
          <w:color w:val="000000"/>
          <w:kern w:val="0"/>
          <w:szCs w:val="21"/>
        </w:rPr>
        <w:t>第八条</w:t>
      </w:r>
      <w:r>
        <w:rPr>
          <w:rFonts w:hint="eastAsia" w:ascii="宋体" w:hAnsi="宋体" w:cs="宋体"/>
          <w:color w:val="000000"/>
          <w:kern w:val="0"/>
          <w:szCs w:val="21"/>
        </w:rPr>
        <w:t xml:space="preserve"> 被保险人遭受事故的，保险人有权对投保人、被保险人、保险金申请人和有关医疗机构等进行调查和检查，投保人、被保险人、保险金申请人等应当予以充分配合。</w:t>
      </w:r>
    </w:p>
    <w:p>
      <w:pPr>
        <w:widowControl/>
        <w:adjustRightInd w:val="0"/>
        <w:snapToGrid w:val="0"/>
        <w:spacing w:line="360" w:lineRule="auto"/>
        <w:ind w:firstLine="422" w:firstLineChars="200"/>
        <w:rPr>
          <w:rFonts w:ascii="宋体" w:hAnsi="宋体" w:cs="宋体"/>
          <w:color w:val="000000"/>
          <w:szCs w:val="21"/>
        </w:rPr>
      </w:pPr>
      <w:r>
        <w:rPr>
          <w:rFonts w:hint="eastAsia" w:ascii="宋体" w:hAnsi="宋体" w:cs="宋体"/>
          <w:b/>
          <w:bCs/>
          <w:color w:val="000000"/>
          <w:kern w:val="0"/>
          <w:szCs w:val="21"/>
        </w:rPr>
        <w:t xml:space="preserve">第九条 </w:t>
      </w:r>
      <w:r>
        <w:rPr>
          <w:rFonts w:hint="eastAsia" w:ascii="宋体" w:hAnsi="宋体" w:cs="宋体"/>
          <w:color w:val="000000"/>
          <w:kern w:val="0"/>
          <w:szCs w:val="21"/>
        </w:rPr>
        <w:t>保险金申请人对保险人请求给付保险金的诉讼时效期间为二年，自其知道或者应当知道保险事故发生之日起计算。</w:t>
      </w:r>
    </w:p>
    <w:p>
      <w:pPr>
        <w:widowControl/>
        <w:adjustRightInd w:val="0"/>
        <w:snapToGrid w:val="0"/>
        <w:spacing w:line="360" w:lineRule="auto"/>
        <w:ind w:firstLine="422" w:firstLineChars="200"/>
        <w:jc w:val="center"/>
        <w:rPr>
          <w:rFonts w:ascii="宋体" w:hAnsi="宋体" w:cs="宋体"/>
          <w:color w:val="000000"/>
          <w:spacing w:val="5"/>
          <w:szCs w:val="21"/>
        </w:rPr>
      </w:pPr>
      <w:r>
        <w:rPr>
          <w:rFonts w:hint="eastAsia" w:ascii="宋体" w:hAnsi="宋体" w:cs="宋体"/>
          <w:b/>
          <w:bCs/>
          <w:color w:val="000000"/>
          <w:kern w:val="0"/>
          <w:szCs w:val="21"/>
        </w:rPr>
        <w:t>释义</w:t>
      </w:r>
    </w:p>
    <w:p>
      <w:pPr>
        <w:widowControl/>
        <w:adjustRightInd w:val="0"/>
        <w:snapToGrid w:val="0"/>
        <w:spacing w:line="360" w:lineRule="auto"/>
        <w:ind w:firstLine="422" w:firstLineChars="200"/>
        <w:rPr>
          <w:rFonts w:ascii="宋体" w:hAnsi="宋体" w:cs="宋体"/>
          <w:b/>
          <w:bCs/>
          <w:color w:val="000000"/>
          <w:spacing w:val="5"/>
          <w:szCs w:val="21"/>
        </w:rPr>
      </w:pPr>
      <w:r>
        <w:rPr>
          <w:rFonts w:hint="eastAsia" w:ascii="宋体" w:hAnsi="宋体" w:cs="宋体"/>
          <w:b/>
          <w:bCs/>
          <w:color w:val="000000"/>
          <w:kern w:val="0"/>
          <w:szCs w:val="21"/>
        </w:rPr>
        <w:t>意外：</w:t>
      </w:r>
      <w:r>
        <w:rPr>
          <w:rFonts w:hint="eastAsia" w:ascii="宋体" w:hAnsi="宋体" w:cs="宋体"/>
          <w:color w:val="000000"/>
          <w:kern w:val="0"/>
          <w:szCs w:val="21"/>
        </w:rPr>
        <w:t>指外来的、突发的、非本意的、非疾病的使身体受到伤害的客观事件。</w:t>
      </w:r>
    </w:p>
    <w:p>
      <w:pPr>
        <w:widowControl/>
        <w:adjustRightInd w:val="0"/>
        <w:snapToGrid w:val="0"/>
        <w:spacing w:line="360" w:lineRule="auto"/>
        <w:ind w:firstLine="442" w:firstLineChars="200"/>
        <w:rPr>
          <w:rFonts w:ascii="宋体" w:hAnsi="宋体" w:cs="宋体"/>
          <w:color w:val="000000"/>
          <w:szCs w:val="21"/>
        </w:rPr>
      </w:pPr>
      <w:r>
        <w:rPr>
          <w:rFonts w:hint="eastAsia" w:ascii="宋体" w:hAnsi="宋体" w:cs="宋体"/>
          <w:b/>
          <w:bCs/>
          <w:color w:val="000000"/>
          <w:spacing w:val="5"/>
          <w:kern w:val="0"/>
          <w:szCs w:val="21"/>
        </w:rPr>
        <w:t>保险人指定或者认可的医疗机构：</w:t>
      </w:r>
      <w:r>
        <w:rPr>
          <w:rFonts w:hint="eastAsia" w:ascii="宋体" w:hAnsi="宋体" w:cs="宋体"/>
          <w:color w:val="000000"/>
          <w:kern w:val="0"/>
          <w:szCs w:val="21"/>
        </w:rPr>
        <w:t>包括保险人指定医疗机构，以及符合下列条件的医疗机构：境内二级以上（含），</w:t>
      </w:r>
      <w:r>
        <w:rPr>
          <w:rFonts w:hint="eastAsia" w:ascii="宋体" w:hAnsi="宋体" w:cs="宋体"/>
          <w:color w:val="000000"/>
          <w:spacing w:val="5"/>
          <w:kern w:val="0"/>
          <w:szCs w:val="21"/>
        </w:rPr>
        <w:t>具有符合有关医院管理规定设置标准的医疗设备，并且提供二十四小时有合格医师及护士的医疗和护理等服务的医疗机构，但不包括主要为康复、护理、疗养、戒酒、戒毒或者相类似目的的医疗机构</w:t>
      </w:r>
      <w:r>
        <w:rPr>
          <w:rFonts w:hint="eastAsia" w:ascii="宋体" w:hAnsi="宋体" w:cs="宋体"/>
          <w:color w:val="000000"/>
          <w:kern w:val="0"/>
          <w:szCs w:val="21"/>
        </w:rPr>
        <w:t>。</w:t>
      </w:r>
    </w:p>
    <w:p>
      <w:pPr>
        <w:widowControl/>
        <w:adjustRightInd w:val="0"/>
        <w:snapToGrid w:val="0"/>
        <w:spacing w:line="360" w:lineRule="auto"/>
        <w:ind w:firstLine="442" w:firstLineChars="200"/>
        <w:rPr>
          <w:rFonts w:ascii="宋体" w:hAnsi="宋体" w:cs="宋体"/>
          <w:color w:val="000000"/>
          <w:spacing w:val="5"/>
          <w:szCs w:val="21"/>
        </w:rPr>
      </w:pPr>
      <w:r>
        <w:rPr>
          <w:rFonts w:hint="eastAsia" w:ascii="宋体" w:hAnsi="宋体" w:cs="宋体"/>
          <w:b/>
          <w:bCs/>
          <w:color w:val="000000"/>
          <w:spacing w:val="5"/>
          <w:kern w:val="0"/>
          <w:szCs w:val="21"/>
        </w:rPr>
        <w:t>住院：</w:t>
      </w:r>
      <w:r>
        <w:rPr>
          <w:rFonts w:hint="eastAsia" w:ascii="宋体" w:hAnsi="宋体" w:cs="宋体"/>
          <w:color w:val="000000"/>
          <w:kern w:val="0"/>
          <w:szCs w:val="21"/>
        </w:rPr>
        <w:t>指入住保险人指定或者认可的医疗机构的正式病房，并办理入出院手续，不包括门（急）诊观察室诊疗、家庭病床、挂床住院、其他非正式的病床住院及不合理住院</w:t>
      </w:r>
      <w:r>
        <w:rPr>
          <w:rFonts w:hint="eastAsia" w:ascii="宋体" w:hAnsi="宋体" w:cs="宋体"/>
          <w:color w:val="000000"/>
          <w:spacing w:val="5"/>
          <w:kern w:val="0"/>
          <w:szCs w:val="21"/>
        </w:rPr>
        <w:t>。被保险人因非医疗目的自行离开病房十二小时以上（含）的，视为自动出院。</w:t>
      </w:r>
    </w:p>
    <w:p>
      <w:pPr>
        <w:widowControl/>
        <w:adjustRightInd w:val="0"/>
        <w:snapToGrid w:val="0"/>
        <w:spacing w:line="360" w:lineRule="auto"/>
        <w:ind w:firstLine="442" w:firstLineChars="200"/>
        <w:rPr>
          <w:rFonts w:ascii="宋体" w:hAnsi="宋体" w:cs="宋体"/>
          <w:color w:val="000000"/>
          <w:spacing w:val="5"/>
          <w:szCs w:val="21"/>
        </w:rPr>
      </w:pPr>
      <w:r>
        <w:rPr>
          <w:rFonts w:hint="eastAsia" w:ascii="宋体" w:hAnsi="宋体" w:cs="宋体"/>
          <w:b/>
          <w:bCs/>
          <w:color w:val="000000"/>
          <w:spacing w:val="5"/>
          <w:kern w:val="0"/>
          <w:szCs w:val="21"/>
        </w:rPr>
        <w:t>挂床：</w:t>
      </w:r>
      <w:r>
        <w:rPr>
          <w:rFonts w:hint="eastAsia" w:ascii="宋体" w:hAnsi="宋体" w:cs="宋体"/>
          <w:color w:val="000000"/>
          <w:spacing w:val="5"/>
          <w:kern w:val="0"/>
          <w:szCs w:val="21"/>
        </w:rPr>
        <w:t>指住院过程中一日内未接受与入院诊断相关的检查和治疗或者一日内住院不满二十四小时。遵医嘱到外院接受临时诊疗的不在此限。</w:t>
      </w:r>
    </w:p>
    <w:p>
      <w:pPr>
        <w:widowControl/>
        <w:adjustRightInd w:val="0"/>
        <w:snapToGrid w:val="0"/>
        <w:spacing w:line="360" w:lineRule="auto"/>
        <w:ind w:firstLine="422" w:firstLineChars="200"/>
        <w:rPr>
          <w:rFonts w:ascii="宋体" w:hAnsi="宋体" w:cs="宋体"/>
          <w:color w:val="000000"/>
          <w:spacing w:val="5"/>
          <w:szCs w:val="21"/>
        </w:rPr>
      </w:pPr>
      <w:r>
        <w:rPr>
          <w:rFonts w:hint="eastAsia" w:ascii="宋体" w:hAnsi="宋体" w:cs="宋体"/>
          <w:b/>
          <w:bCs/>
          <w:color w:val="000000"/>
          <w:kern w:val="0"/>
          <w:szCs w:val="21"/>
        </w:rPr>
        <w:t>每次实际住院日数：</w:t>
      </w:r>
      <w:r>
        <w:rPr>
          <w:rFonts w:hint="eastAsia" w:ascii="宋体" w:hAnsi="宋体" w:cs="宋体"/>
          <w:color w:val="000000"/>
          <w:kern w:val="0"/>
          <w:szCs w:val="21"/>
        </w:rPr>
        <w:t>指自入院日至当次住院出院日间经过日数（不含出院当日），不包括被保险人在住院治疗期间有擅自离院情形的日数。</w:t>
      </w:r>
    </w:p>
    <w:p>
      <w:pPr>
        <w:widowControl/>
        <w:adjustRightInd w:val="0"/>
        <w:snapToGrid w:val="0"/>
        <w:spacing w:line="360" w:lineRule="auto"/>
        <w:ind w:firstLine="442" w:firstLineChars="200"/>
        <w:rPr>
          <w:rFonts w:ascii="宋体" w:hAnsi="宋体" w:cs="宋体"/>
          <w:color w:val="000000"/>
          <w:spacing w:val="5"/>
          <w:szCs w:val="21"/>
        </w:rPr>
      </w:pPr>
      <w:r>
        <w:rPr>
          <w:rFonts w:hint="eastAsia" w:ascii="宋体" w:hAnsi="宋体" w:cs="宋体"/>
          <w:b/>
          <w:bCs/>
          <w:color w:val="000000"/>
          <w:spacing w:val="5"/>
          <w:kern w:val="0"/>
          <w:szCs w:val="21"/>
        </w:rPr>
        <w:t>境内：</w:t>
      </w:r>
      <w:r>
        <w:rPr>
          <w:rFonts w:hint="eastAsia" w:ascii="宋体" w:hAnsi="宋体" w:cs="宋体"/>
          <w:color w:val="000000"/>
          <w:spacing w:val="5"/>
          <w:kern w:val="0"/>
          <w:szCs w:val="21"/>
        </w:rPr>
        <w:t>指中国大陆地区。</w:t>
      </w:r>
    </w:p>
    <w:p>
      <w:pPr>
        <w:widowControl/>
        <w:adjustRightInd w:val="0"/>
        <w:snapToGrid w:val="0"/>
        <w:spacing w:line="360" w:lineRule="auto"/>
        <w:ind w:firstLine="442" w:firstLineChars="200"/>
        <w:rPr>
          <w:rFonts w:ascii="宋体" w:hAnsi="宋体" w:cs="宋体"/>
          <w:color w:val="000000"/>
          <w:spacing w:val="5"/>
          <w:szCs w:val="21"/>
        </w:rPr>
      </w:pPr>
      <w:r>
        <w:rPr>
          <w:rFonts w:hint="eastAsia" w:ascii="宋体" w:hAnsi="宋体" w:cs="宋体"/>
          <w:b/>
          <w:bCs/>
          <w:color w:val="000000"/>
          <w:spacing w:val="5"/>
          <w:kern w:val="0"/>
          <w:szCs w:val="21"/>
        </w:rPr>
        <w:t>境外：</w:t>
      </w:r>
      <w:r>
        <w:rPr>
          <w:rFonts w:hint="eastAsia" w:ascii="宋体" w:hAnsi="宋体" w:cs="宋体"/>
          <w:color w:val="000000"/>
          <w:spacing w:val="5"/>
          <w:kern w:val="0"/>
          <w:szCs w:val="21"/>
        </w:rPr>
        <w:t>非境内。</w:t>
      </w:r>
    </w:p>
    <w:p>
      <w:pPr>
        <w:widowControl/>
        <w:adjustRightInd w:val="0"/>
        <w:snapToGrid w:val="0"/>
        <w:spacing w:line="360" w:lineRule="auto"/>
        <w:ind w:firstLine="422" w:firstLineChars="200"/>
        <w:rPr>
          <w:rFonts w:ascii="宋体" w:hAnsi="宋体" w:cs="宋体"/>
          <w:color w:val="000000"/>
          <w:kern w:val="0"/>
          <w:szCs w:val="21"/>
        </w:rPr>
      </w:pPr>
      <w:r>
        <w:rPr>
          <w:rFonts w:hint="eastAsia" w:ascii="宋体" w:hAnsi="宋体" w:cs="宋体"/>
          <w:b/>
          <w:bCs/>
          <w:color w:val="000000"/>
          <w:kern w:val="0"/>
          <w:szCs w:val="21"/>
        </w:rPr>
        <w:t>保险金申请人：</w:t>
      </w:r>
      <w:r>
        <w:rPr>
          <w:rFonts w:hint="eastAsia" w:ascii="宋体" w:hAnsi="宋体" w:cs="宋体"/>
          <w:color w:val="000000"/>
          <w:kern w:val="0"/>
          <w:szCs w:val="21"/>
        </w:rPr>
        <w:t>指受益人或者依法享有保险金请求权的其他人。</w:t>
      </w:r>
    </w:p>
    <w:p>
      <w:pPr>
        <w:spacing w:line="360" w:lineRule="auto"/>
        <w:rPr>
          <w:rFonts w:ascii="宋体" w:hAnsi="宋体" w:cs="宋体"/>
          <w:szCs w:val="21"/>
        </w:rPr>
      </w:pPr>
    </w:p>
    <w:p>
      <w:pPr>
        <w:widowControl/>
        <w:tabs>
          <w:tab w:val="left" w:pos="0"/>
        </w:tabs>
        <w:adjustRightInd w:val="0"/>
        <w:snapToGrid w:val="0"/>
        <w:spacing w:line="360" w:lineRule="auto"/>
        <w:ind w:firstLine="420" w:firstLineChars="200"/>
        <w:jc w:val="center"/>
        <w:textAlignment w:val="baseline"/>
        <w:outlineLvl w:val="1"/>
        <w:rPr>
          <w:rFonts w:ascii="宋体" w:hAnsi="宋体" w:cs="宋体"/>
          <w:szCs w:val="21"/>
        </w:rPr>
      </w:pPr>
      <w:bookmarkStart w:id="11" w:name="_Toc448944191"/>
      <w:bookmarkStart w:id="12" w:name="_Toc216953201"/>
      <w:bookmarkStart w:id="13" w:name="_Toc449012770"/>
      <w:r>
        <w:rPr>
          <w:rFonts w:hint="eastAsia" w:ascii="宋体" w:hAnsi="宋体" w:cs="宋体"/>
          <w:szCs w:val="21"/>
        </w:rPr>
        <w:t>（五）团体重大疾病保险条款</w:t>
      </w:r>
      <w:bookmarkEnd w:id="11"/>
      <w:bookmarkEnd w:id="12"/>
      <w:bookmarkEnd w:id="13"/>
    </w:p>
    <w:p>
      <w:pPr>
        <w:spacing w:line="360" w:lineRule="auto"/>
        <w:ind w:firstLine="422" w:firstLineChars="200"/>
        <w:rPr>
          <w:rFonts w:ascii="宋体" w:hAnsi="宋体" w:cs="宋体"/>
          <w:b/>
          <w:bCs/>
          <w:szCs w:val="21"/>
        </w:rPr>
      </w:pPr>
      <w:r>
        <w:rPr>
          <w:rFonts w:hint="eastAsia" w:ascii="宋体" w:hAnsi="宋体" w:cs="宋体"/>
          <w:b/>
          <w:bCs/>
          <w:szCs w:val="21"/>
        </w:rPr>
        <w:t>第一条 保险合同构成</w:t>
      </w:r>
    </w:p>
    <w:p>
      <w:pPr>
        <w:widowControl/>
        <w:adjustRightInd w:val="0"/>
        <w:snapToGrid w:val="0"/>
        <w:spacing w:line="360" w:lineRule="auto"/>
        <w:ind w:firstLine="420" w:firstLineChars="200"/>
        <w:rPr>
          <w:rFonts w:ascii="宋体" w:hAnsi="宋体" w:cs="宋体"/>
          <w:szCs w:val="21"/>
        </w:rPr>
      </w:pPr>
      <w:r>
        <w:rPr>
          <w:rFonts w:hint="eastAsia" w:ascii="宋体" w:hAnsi="宋体" w:cs="宋体"/>
          <w:color w:val="000000"/>
          <w:kern w:val="0"/>
          <w:szCs w:val="21"/>
        </w:rPr>
        <w:t>团体重大疾病保险合同由保险单及所附条款、批注、附贴批单、投保单，以及与本合同有关的投保文件、声明和其他书面协议共同构成。</w:t>
      </w:r>
    </w:p>
    <w:p>
      <w:pPr>
        <w:spacing w:line="360" w:lineRule="auto"/>
        <w:ind w:firstLine="422" w:firstLineChars="200"/>
        <w:rPr>
          <w:rFonts w:ascii="宋体" w:hAnsi="宋体" w:cs="宋体"/>
          <w:b/>
          <w:bCs/>
          <w:szCs w:val="21"/>
        </w:rPr>
      </w:pPr>
      <w:r>
        <w:rPr>
          <w:rFonts w:hint="eastAsia" w:ascii="宋体" w:hAnsi="宋体" w:cs="宋体"/>
          <w:b/>
          <w:bCs/>
          <w:szCs w:val="21"/>
        </w:rPr>
        <w:t>第二条 投保范围</w:t>
      </w:r>
    </w:p>
    <w:p>
      <w:pPr>
        <w:widowControl/>
        <w:adjustRightInd w:val="0"/>
        <w:snapToGrid w:val="0"/>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凡符合本合同约定投保条件的特定团体成员均可作为被保险人，由投保人投保本保险。投保应符合国务院保险监督管理机构的相关规定。</w:t>
      </w:r>
    </w:p>
    <w:p>
      <w:pPr>
        <w:widowControl/>
        <w:numPr>
          <w:ilvl w:val="0"/>
          <w:numId w:val="9"/>
        </w:numPr>
        <w:adjustRightInd w:val="0"/>
        <w:snapToGrid w:val="0"/>
        <w:spacing w:line="360" w:lineRule="auto"/>
        <w:ind w:firstLine="422" w:firstLineChars="200"/>
        <w:rPr>
          <w:rFonts w:ascii="宋体" w:hAnsi="宋体" w:cs="宋体"/>
          <w:b/>
          <w:bCs/>
          <w:color w:val="000000"/>
          <w:kern w:val="0"/>
          <w:szCs w:val="21"/>
        </w:rPr>
      </w:pPr>
      <w:r>
        <w:rPr>
          <w:rFonts w:hint="eastAsia" w:ascii="宋体" w:hAnsi="宋体" w:cs="宋体"/>
          <w:b/>
          <w:bCs/>
          <w:color w:val="000000"/>
          <w:kern w:val="0"/>
          <w:szCs w:val="21"/>
        </w:rPr>
        <w:t>保险合同成立、生效和保险责任开始</w:t>
      </w:r>
    </w:p>
    <w:p>
      <w:pPr>
        <w:widowControl/>
        <w:adjustRightInd w:val="0"/>
        <w:snapToGrid w:val="0"/>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投保人提出保险申请、本公司同意承保，本合同成立。</w:t>
      </w:r>
    </w:p>
    <w:p>
      <w:pPr>
        <w:widowControl/>
        <w:adjustRightInd w:val="0"/>
        <w:snapToGrid w:val="0"/>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自本合同成立、本公司收取保险费并签发保险单的次日零时起本合同生效，合同生效日期在保险单上载明。生效对应日以该日期计算。</w:t>
      </w:r>
    </w:p>
    <w:p>
      <w:pPr>
        <w:widowControl/>
        <w:adjustRightInd w:val="0"/>
        <w:snapToGrid w:val="0"/>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除另有约定外，本合同生效的日期为本公司开始承担保险责任的日期。</w:t>
      </w:r>
    </w:p>
    <w:p>
      <w:pPr>
        <w:widowControl/>
        <w:adjustRightInd w:val="0"/>
        <w:snapToGrid w:val="0"/>
        <w:spacing w:line="360" w:lineRule="auto"/>
        <w:ind w:firstLine="422" w:firstLineChars="200"/>
        <w:rPr>
          <w:rFonts w:ascii="宋体" w:hAnsi="宋体" w:cs="宋体"/>
          <w:b/>
          <w:bCs/>
          <w:color w:val="000000"/>
          <w:kern w:val="0"/>
          <w:szCs w:val="21"/>
        </w:rPr>
      </w:pPr>
      <w:r>
        <w:rPr>
          <w:rFonts w:hint="eastAsia" w:ascii="宋体" w:hAnsi="宋体" w:cs="宋体"/>
          <w:b/>
          <w:bCs/>
          <w:color w:val="000000"/>
          <w:kern w:val="0"/>
          <w:szCs w:val="21"/>
        </w:rPr>
        <w:t>第四条 保险期间</w:t>
      </w:r>
    </w:p>
    <w:p>
      <w:pPr>
        <w:widowControl/>
        <w:adjustRightInd w:val="0"/>
        <w:snapToGrid w:val="0"/>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本合同的保险期间为一年；除另有约定外，自本合同生效之日起至约定终止日二十四时止，由投保人在投保时与本公司协商确定。</w:t>
      </w:r>
    </w:p>
    <w:p>
      <w:pPr>
        <w:widowControl/>
        <w:adjustRightInd w:val="0"/>
        <w:snapToGrid w:val="0"/>
        <w:spacing w:line="360" w:lineRule="auto"/>
        <w:ind w:firstLine="422" w:firstLineChars="200"/>
        <w:rPr>
          <w:rFonts w:ascii="宋体" w:hAnsi="宋体" w:cs="宋体"/>
          <w:b/>
          <w:bCs/>
          <w:color w:val="000000"/>
          <w:kern w:val="0"/>
          <w:szCs w:val="21"/>
        </w:rPr>
      </w:pPr>
      <w:r>
        <w:rPr>
          <w:rFonts w:hint="eastAsia" w:ascii="宋体" w:hAnsi="宋体" w:cs="宋体"/>
          <w:b/>
          <w:bCs/>
          <w:color w:val="000000"/>
          <w:kern w:val="0"/>
          <w:szCs w:val="21"/>
        </w:rPr>
        <w:t>第五条 重大疾病</w:t>
      </w:r>
    </w:p>
    <w:p>
      <w:pPr>
        <w:widowControl/>
        <w:adjustRightInd w:val="0"/>
        <w:snapToGrid w:val="0"/>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本合同所指重大疾病是指保险合同载明的38种重大疾病。</w:t>
      </w:r>
    </w:p>
    <w:p>
      <w:pPr>
        <w:widowControl/>
        <w:adjustRightInd w:val="0"/>
        <w:snapToGrid w:val="0"/>
        <w:spacing w:line="360" w:lineRule="auto"/>
        <w:ind w:firstLine="422" w:firstLineChars="200"/>
        <w:rPr>
          <w:rFonts w:ascii="宋体" w:hAnsi="宋体" w:cs="宋体"/>
          <w:b/>
          <w:bCs/>
          <w:color w:val="000000"/>
          <w:kern w:val="0"/>
          <w:szCs w:val="21"/>
        </w:rPr>
      </w:pPr>
      <w:r>
        <w:rPr>
          <w:rFonts w:hint="eastAsia" w:ascii="宋体" w:hAnsi="宋体" w:cs="宋体"/>
          <w:b/>
          <w:bCs/>
          <w:color w:val="000000"/>
          <w:kern w:val="0"/>
          <w:szCs w:val="21"/>
        </w:rPr>
        <w:t>第六条 轻度疾病</w:t>
      </w:r>
    </w:p>
    <w:p>
      <w:pPr>
        <w:widowControl/>
        <w:adjustRightInd w:val="0"/>
        <w:snapToGrid w:val="0"/>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本合同所指轻度疾病是指保险合同载明的3种轻度重大疾病。</w:t>
      </w:r>
    </w:p>
    <w:p>
      <w:pPr>
        <w:widowControl/>
        <w:adjustRightInd w:val="0"/>
        <w:snapToGrid w:val="0"/>
        <w:spacing w:line="360" w:lineRule="auto"/>
        <w:ind w:firstLine="422" w:firstLineChars="200"/>
        <w:rPr>
          <w:rFonts w:ascii="宋体" w:hAnsi="宋体" w:cs="宋体"/>
          <w:b/>
          <w:bCs/>
          <w:color w:val="000000"/>
          <w:kern w:val="0"/>
          <w:szCs w:val="21"/>
        </w:rPr>
      </w:pPr>
      <w:r>
        <w:rPr>
          <w:rFonts w:hint="eastAsia" w:ascii="宋体" w:hAnsi="宋体" w:cs="宋体"/>
          <w:b/>
          <w:bCs/>
          <w:color w:val="000000"/>
          <w:kern w:val="0"/>
          <w:szCs w:val="21"/>
        </w:rPr>
        <w:t>第七条 保险责任</w:t>
      </w:r>
    </w:p>
    <w:p>
      <w:pPr>
        <w:widowControl/>
        <w:adjustRightInd w:val="0"/>
        <w:snapToGrid w:val="0"/>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一、重大疾病保险责任（基本责任）</w:t>
      </w:r>
    </w:p>
    <w:p>
      <w:pPr>
        <w:widowControl/>
        <w:adjustRightInd w:val="0"/>
        <w:snapToGrid w:val="0"/>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在本合同保险期间内，被保险人在等待期后初次发生并经专科医生明确诊断患本合同投保人所选择的重大疾病（无论一种或多种），本合同对该被保险人的保险责任终止，本公司按该被保险人的重大疾病保险金额给付重大疾病保险金。</w:t>
      </w:r>
    </w:p>
    <w:p>
      <w:pPr>
        <w:widowControl/>
        <w:adjustRightInd w:val="0"/>
        <w:snapToGrid w:val="0"/>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二、轻度疾病保险责任（可选责任）</w:t>
      </w:r>
    </w:p>
    <w:p>
      <w:pPr>
        <w:widowControl/>
        <w:adjustRightInd w:val="0"/>
        <w:snapToGrid w:val="0"/>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在本合同保险期间内，被保险人在等待期后初次发生并经专科医生明确诊断患本合同投保人所选择的轻度疾病（无论一种或多种），本合同对该被保险人的该项保险责任终止，本公司按该被保险人的轻度疾病保险金额给付轻度疾病保险金。</w:t>
      </w:r>
    </w:p>
    <w:p>
      <w:pPr>
        <w:widowControl/>
        <w:adjustRightInd w:val="0"/>
        <w:snapToGrid w:val="0"/>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上述各项责任的等待期由投保人在投保时与本公司协商确定并在保险单上载明。被保险人因意外伤害导致上述情形或续保的，不受等待期的限制。续保非保证续保。</w:t>
      </w:r>
    </w:p>
    <w:p>
      <w:pPr>
        <w:widowControl/>
        <w:adjustRightInd w:val="0"/>
        <w:snapToGrid w:val="0"/>
        <w:spacing w:line="360" w:lineRule="auto"/>
        <w:ind w:firstLine="422" w:firstLineChars="200"/>
        <w:rPr>
          <w:rFonts w:ascii="宋体" w:hAnsi="宋体" w:cs="宋体"/>
          <w:b/>
          <w:bCs/>
          <w:color w:val="000000"/>
          <w:kern w:val="0"/>
          <w:szCs w:val="21"/>
        </w:rPr>
      </w:pPr>
      <w:r>
        <w:rPr>
          <w:rFonts w:hint="eastAsia" w:ascii="宋体" w:hAnsi="宋体" w:cs="宋体"/>
          <w:b/>
          <w:bCs/>
          <w:color w:val="000000"/>
          <w:kern w:val="0"/>
          <w:szCs w:val="21"/>
        </w:rPr>
        <w:t>第八条 责任免除</w:t>
      </w:r>
    </w:p>
    <w:p>
      <w:pPr>
        <w:widowControl/>
        <w:adjustRightInd w:val="0"/>
        <w:snapToGrid w:val="0"/>
        <w:spacing w:line="360" w:lineRule="auto"/>
        <w:ind w:firstLine="422" w:firstLineChars="200"/>
        <w:rPr>
          <w:rFonts w:ascii="宋体" w:hAnsi="宋体" w:cs="宋体"/>
          <w:b/>
          <w:bCs/>
          <w:color w:val="000000"/>
          <w:kern w:val="0"/>
          <w:szCs w:val="21"/>
        </w:rPr>
      </w:pPr>
      <w:r>
        <w:rPr>
          <w:rFonts w:hint="eastAsia" w:ascii="宋体" w:hAnsi="宋体" w:cs="宋体"/>
          <w:b/>
          <w:bCs/>
          <w:color w:val="000000"/>
          <w:kern w:val="0"/>
          <w:szCs w:val="21"/>
        </w:rPr>
        <w:t>因下列情形之一，导致被保险人患本合同所指重大疾病 或轻度疾病 的 ，本公司不承担给付保险金的责任：</w:t>
      </w:r>
    </w:p>
    <w:p>
      <w:pPr>
        <w:widowControl/>
        <w:adjustRightInd w:val="0"/>
        <w:snapToGrid w:val="0"/>
        <w:spacing w:line="360" w:lineRule="auto"/>
        <w:ind w:firstLine="422" w:firstLineChars="200"/>
        <w:rPr>
          <w:rFonts w:ascii="宋体" w:hAnsi="宋体" w:cs="宋体"/>
          <w:b/>
          <w:bCs/>
          <w:color w:val="000000"/>
          <w:kern w:val="0"/>
          <w:szCs w:val="21"/>
        </w:rPr>
      </w:pPr>
      <w:r>
        <w:rPr>
          <w:rFonts w:hint="eastAsia" w:ascii="宋体" w:hAnsi="宋体" w:cs="宋体"/>
          <w:b/>
          <w:bCs/>
          <w:color w:val="000000"/>
          <w:kern w:val="0"/>
          <w:szCs w:val="21"/>
        </w:rPr>
        <w:t>一、投保人对被保险人的故意杀害、故意伤害；</w:t>
      </w:r>
    </w:p>
    <w:p>
      <w:pPr>
        <w:widowControl/>
        <w:adjustRightInd w:val="0"/>
        <w:snapToGrid w:val="0"/>
        <w:spacing w:line="360" w:lineRule="auto"/>
        <w:ind w:firstLine="422" w:firstLineChars="200"/>
        <w:rPr>
          <w:rFonts w:ascii="宋体" w:hAnsi="宋体" w:cs="宋体"/>
          <w:b/>
          <w:bCs/>
          <w:color w:val="000000"/>
          <w:kern w:val="0"/>
          <w:szCs w:val="21"/>
        </w:rPr>
      </w:pPr>
      <w:r>
        <w:rPr>
          <w:rFonts w:hint="eastAsia" w:ascii="宋体" w:hAnsi="宋体" w:cs="宋体"/>
          <w:b/>
          <w:bCs/>
          <w:color w:val="000000"/>
          <w:kern w:val="0"/>
          <w:szCs w:val="21"/>
        </w:rPr>
        <w:t>二、被保险人 故意自伤、 故意犯罪或抗拒依法采取的刑事强制措施；</w:t>
      </w:r>
    </w:p>
    <w:p>
      <w:pPr>
        <w:widowControl/>
        <w:adjustRightInd w:val="0"/>
        <w:snapToGrid w:val="0"/>
        <w:spacing w:line="360" w:lineRule="auto"/>
        <w:ind w:firstLine="422" w:firstLineChars="200"/>
        <w:rPr>
          <w:rFonts w:ascii="宋体" w:hAnsi="宋体" w:cs="宋体"/>
          <w:b/>
          <w:bCs/>
          <w:color w:val="000000"/>
          <w:kern w:val="0"/>
          <w:szCs w:val="21"/>
        </w:rPr>
      </w:pPr>
      <w:r>
        <w:rPr>
          <w:rFonts w:hint="eastAsia" w:ascii="宋体" w:hAnsi="宋体" w:cs="宋体"/>
          <w:b/>
          <w:bCs/>
          <w:color w:val="000000"/>
          <w:kern w:val="0"/>
          <w:szCs w:val="21"/>
        </w:rPr>
        <w:t>三、被保险人服用、吸食或注射毒品；</w:t>
      </w:r>
    </w:p>
    <w:p>
      <w:pPr>
        <w:widowControl/>
        <w:adjustRightInd w:val="0"/>
        <w:snapToGrid w:val="0"/>
        <w:spacing w:line="360" w:lineRule="auto"/>
        <w:ind w:firstLine="422" w:firstLineChars="200"/>
        <w:rPr>
          <w:rFonts w:ascii="宋体" w:hAnsi="宋体" w:cs="宋体"/>
          <w:b/>
          <w:bCs/>
          <w:color w:val="000000"/>
          <w:kern w:val="0"/>
          <w:szCs w:val="21"/>
        </w:rPr>
      </w:pPr>
      <w:r>
        <w:rPr>
          <w:rFonts w:hint="eastAsia" w:ascii="宋体" w:hAnsi="宋体" w:cs="宋体"/>
          <w:b/>
          <w:bCs/>
          <w:color w:val="000000"/>
          <w:kern w:val="0"/>
          <w:szCs w:val="21"/>
        </w:rPr>
        <w:t>四、 被保险人酒后驾驶、无合法有效驾驶证驾驶，或驾驶无合法有效行驶证的 机动车；</w:t>
      </w:r>
    </w:p>
    <w:p>
      <w:pPr>
        <w:widowControl/>
        <w:adjustRightInd w:val="0"/>
        <w:snapToGrid w:val="0"/>
        <w:spacing w:line="360" w:lineRule="auto"/>
        <w:ind w:firstLine="422" w:firstLineChars="200"/>
        <w:rPr>
          <w:rFonts w:ascii="宋体" w:hAnsi="宋体" w:cs="宋体"/>
          <w:b/>
          <w:bCs/>
          <w:color w:val="000000"/>
          <w:kern w:val="0"/>
          <w:szCs w:val="21"/>
        </w:rPr>
      </w:pPr>
      <w:r>
        <w:rPr>
          <w:rFonts w:hint="eastAsia" w:ascii="宋体" w:hAnsi="宋体" w:cs="宋体"/>
          <w:b/>
          <w:bCs/>
          <w:color w:val="000000"/>
          <w:kern w:val="0"/>
          <w:szCs w:val="21"/>
        </w:rPr>
        <w:t>五、 被保险人感染艾滋病病毒或患艾滋病；</w:t>
      </w:r>
    </w:p>
    <w:p>
      <w:pPr>
        <w:widowControl/>
        <w:adjustRightInd w:val="0"/>
        <w:snapToGrid w:val="0"/>
        <w:spacing w:line="360" w:lineRule="auto"/>
        <w:ind w:firstLine="422" w:firstLineChars="200"/>
        <w:rPr>
          <w:rFonts w:ascii="宋体" w:hAnsi="宋体" w:cs="宋体"/>
          <w:b/>
          <w:bCs/>
          <w:color w:val="000000"/>
          <w:kern w:val="0"/>
          <w:szCs w:val="21"/>
        </w:rPr>
      </w:pPr>
      <w:r>
        <w:rPr>
          <w:rFonts w:hint="eastAsia" w:ascii="宋体" w:hAnsi="宋体" w:cs="宋体"/>
          <w:b/>
          <w:bCs/>
          <w:color w:val="000000"/>
          <w:kern w:val="0"/>
          <w:szCs w:val="21"/>
        </w:rPr>
        <w:t>六、 战争、军事冲突、暴乱或武装叛乱；</w:t>
      </w:r>
    </w:p>
    <w:p>
      <w:pPr>
        <w:widowControl/>
        <w:adjustRightInd w:val="0"/>
        <w:snapToGrid w:val="0"/>
        <w:spacing w:line="360" w:lineRule="auto"/>
        <w:ind w:firstLine="422" w:firstLineChars="200"/>
        <w:rPr>
          <w:rFonts w:ascii="宋体" w:hAnsi="宋体" w:cs="宋体"/>
          <w:b/>
          <w:bCs/>
          <w:color w:val="000000"/>
          <w:kern w:val="0"/>
          <w:szCs w:val="21"/>
        </w:rPr>
      </w:pPr>
      <w:r>
        <w:rPr>
          <w:rFonts w:hint="eastAsia" w:ascii="宋体" w:hAnsi="宋体" w:cs="宋体"/>
          <w:b/>
          <w:bCs/>
          <w:color w:val="000000"/>
          <w:kern w:val="0"/>
          <w:szCs w:val="21"/>
        </w:rPr>
        <w:t>七、 核爆炸、核辐射或核污染；</w:t>
      </w:r>
    </w:p>
    <w:p>
      <w:pPr>
        <w:widowControl/>
        <w:adjustRightInd w:val="0"/>
        <w:snapToGrid w:val="0"/>
        <w:spacing w:line="360" w:lineRule="auto"/>
        <w:ind w:firstLine="422" w:firstLineChars="200"/>
        <w:rPr>
          <w:rFonts w:ascii="宋体" w:hAnsi="宋体" w:cs="宋体"/>
          <w:color w:val="000000"/>
          <w:kern w:val="0"/>
          <w:szCs w:val="21"/>
        </w:rPr>
      </w:pPr>
      <w:r>
        <w:rPr>
          <w:rFonts w:hint="eastAsia" w:ascii="宋体" w:hAnsi="宋体" w:cs="宋体"/>
          <w:b/>
          <w:bCs/>
          <w:color w:val="000000"/>
          <w:kern w:val="0"/>
          <w:szCs w:val="21"/>
        </w:rPr>
        <w:t>八、 遗传性疾病，先天性畸形、变形或染色体异常。</w:t>
      </w:r>
    </w:p>
    <w:p>
      <w:pPr>
        <w:widowControl/>
        <w:adjustRightInd w:val="0"/>
        <w:snapToGrid w:val="0"/>
        <w:spacing w:line="360" w:lineRule="auto"/>
        <w:ind w:firstLine="422" w:firstLineChars="200"/>
        <w:rPr>
          <w:rFonts w:ascii="宋体" w:hAnsi="宋体" w:cs="宋体"/>
          <w:b/>
          <w:bCs/>
          <w:color w:val="000000"/>
          <w:kern w:val="0"/>
          <w:szCs w:val="21"/>
        </w:rPr>
      </w:pPr>
      <w:r>
        <w:rPr>
          <w:rFonts w:hint="eastAsia" w:ascii="宋体" w:hAnsi="宋体" w:cs="宋体"/>
          <w:b/>
          <w:bCs/>
          <w:color w:val="000000"/>
          <w:kern w:val="0"/>
          <w:szCs w:val="21"/>
        </w:rPr>
        <w:t>第九条 保险金额</w:t>
      </w:r>
    </w:p>
    <w:p>
      <w:pPr>
        <w:widowControl/>
        <w:adjustRightInd w:val="0"/>
        <w:snapToGrid w:val="0"/>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本合同被保险人的重大疾病保险金额由投保人在投保时与本公司协商确定并在保险单上载明。</w:t>
      </w:r>
    </w:p>
    <w:p>
      <w:pPr>
        <w:widowControl/>
        <w:adjustRightInd w:val="0"/>
        <w:snapToGrid w:val="0"/>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投保人在投保时选择轻度疾病保险责任的，轻度疾病保险金额由投保人在投保时与本公司协商确定并在保险单上载明，轻度疾病保险金额不得高于重大疾病保险金额的百分之三十。</w:t>
      </w:r>
    </w:p>
    <w:p>
      <w:pPr>
        <w:widowControl/>
        <w:adjustRightInd w:val="0"/>
        <w:snapToGrid w:val="0"/>
        <w:spacing w:line="360" w:lineRule="auto"/>
        <w:ind w:firstLine="422" w:firstLineChars="200"/>
        <w:rPr>
          <w:rFonts w:ascii="宋体" w:hAnsi="宋体" w:cs="宋体"/>
          <w:color w:val="000000"/>
          <w:kern w:val="0"/>
          <w:szCs w:val="21"/>
        </w:rPr>
      </w:pPr>
      <w:r>
        <w:rPr>
          <w:rFonts w:hint="eastAsia" w:ascii="宋体" w:hAnsi="宋体" w:cs="宋体"/>
          <w:b/>
          <w:bCs/>
          <w:color w:val="000000"/>
          <w:kern w:val="0"/>
          <w:szCs w:val="21"/>
        </w:rPr>
        <w:t>第十条 保险费</w:t>
      </w:r>
    </w:p>
    <w:p>
      <w:pPr>
        <w:widowControl/>
        <w:adjustRightInd w:val="0"/>
        <w:snapToGrid w:val="0"/>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本合同的保险费由投保人在投保时一次交清,也可以按本合同约定的分期交付方式交付。分期交付分为半年交、季交和月交三种方式，保险费到期日分别为本合同半年、季和月的生效对应日。分期交付保险费的，第一期以后的保险费应在保险费到期日前或在交费宽限期内交付。发生保险金给付时,本公司有权扣除发生保险事故的被保险人应交而未交付的保险费。</w:t>
      </w:r>
    </w:p>
    <w:p>
      <w:pPr>
        <w:widowControl/>
        <w:adjustRightInd w:val="0"/>
        <w:snapToGrid w:val="0"/>
        <w:spacing w:line="360" w:lineRule="auto"/>
        <w:ind w:firstLine="422" w:firstLineChars="200"/>
        <w:rPr>
          <w:rFonts w:ascii="宋体" w:hAnsi="宋体" w:cs="宋体"/>
          <w:b/>
          <w:bCs/>
          <w:color w:val="000000"/>
          <w:kern w:val="0"/>
          <w:szCs w:val="21"/>
        </w:rPr>
      </w:pPr>
      <w:r>
        <w:rPr>
          <w:rFonts w:hint="eastAsia" w:ascii="宋体" w:hAnsi="宋体" w:cs="宋体"/>
          <w:b/>
          <w:bCs/>
          <w:color w:val="000000"/>
          <w:kern w:val="0"/>
          <w:szCs w:val="21"/>
        </w:rPr>
        <w:t>第十一条 交费宽限期</w:t>
      </w:r>
    </w:p>
    <w:p>
      <w:pPr>
        <w:widowControl/>
        <w:adjustRightInd w:val="0"/>
        <w:snapToGrid w:val="0"/>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分期交付保险费的，除另有约定外，每个保险费到期日的次日起六十日为交费宽限期。在交费宽限期内发生保险事故，本公司仍承担保险责任，但有权从给付的保险金中扣除发生保险事故的被保险人应交而未交付的保险费。 超过交费宽限期仍未交付保险 费的，本合同自交费宽限期届满的次日起终止。</w:t>
      </w:r>
    </w:p>
    <w:p>
      <w:pPr>
        <w:widowControl/>
        <w:adjustRightInd w:val="0"/>
        <w:snapToGrid w:val="0"/>
        <w:spacing w:line="360" w:lineRule="auto"/>
        <w:ind w:firstLine="422" w:firstLineChars="200"/>
        <w:rPr>
          <w:rFonts w:ascii="宋体" w:hAnsi="宋体" w:cs="宋体"/>
          <w:b/>
          <w:bCs/>
          <w:color w:val="000000"/>
          <w:kern w:val="0"/>
          <w:szCs w:val="21"/>
        </w:rPr>
      </w:pPr>
      <w:r>
        <w:rPr>
          <w:rFonts w:hint="eastAsia" w:ascii="宋体" w:hAnsi="宋体" w:cs="宋体"/>
          <w:b/>
          <w:bCs/>
          <w:color w:val="000000"/>
          <w:kern w:val="0"/>
          <w:szCs w:val="21"/>
        </w:rPr>
        <w:t>第十二条 明确说明与 如实告知</w:t>
      </w:r>
    </w:p>
    <w:p>
      <w:pPr>
        <w:widowControl/>
        <w:adjustRightInd w:val="0"/>
        <w:snapToGrid w:val="0"/>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订立本合同时，本公司应向投保人明确说明本合同的内容。对保险条款中免除本公司责任的条款，本公司在订立合同时应当在投保单、保险单或者其他保险凭证上作出足以引起投保人注意的提示，并对该条款的内容以书面或者口头形式向投保人作出明确说明。</w:t>
      </w:r>
    </w:p>
    <w:p>
      <w:pPr>
        <w:widowControl/>
        <w:adjustRightInd w:val="0"/>
        <w:snapToGrid w:val="0"/>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本公司可以就投保人、被保险人的有关情况提出询问，投保人应当如实告知。</w:t>
      </w:r>
    </w:p>
    <w:p>
      <w:pPr>
        <w:widowControl/>
        <w:adjustRightInd w:val="0"/>
        <w:snapToGrid w:val="0"/>
        <w:spacing w:line="360" w:lineRule="auto"/>
        <w:ind w:firstLine="422" w:firstLineChars="200"/>
        <w:rPr>
          <w:rFonts w:ascii="宋体" w:hAnsi="宋体" w:cs="宋体"/>
          <w:b/>
          <w:bCs/>
          <w:color w:val="000000"/>
          <w:kern w:val="0"/>
          <w:szCs w:val="21"/>
        </w:rPr>
      </w:pPr>
      <w:r>
        <w:rPr>
          <w:rFonts w:hint="eastAsia" w:ascii="宋体" w:hAnsi="宋体" w:cs="宋体"/>
          <w:b/>
          <w:bCs/>
          <w:color w:val="000000"/>
          <w:kern w:val="0"/>
          <w:szCs w:val="21"/>
        </w:rPr>
        <w:t>投保人故意或者因重大过失未履行前款规定的如实告知义务，足以影响本公司决定是否同意承保或者提高保险费率的，本公司有权解除合同。</w:t>
      </w:r>
    </w:p>
    <w:p>
      <w:pPr>
        <w:widowControl/>
        <w:adjustRightInd w:val="0"/>
        <w:snapToGrid w:val="0"/>
        <w:spacing w:line="360" w:lineRule="auto"/>
        <w:ind w:firstLine="420" w:firstLineChars="200"/>
        <w:rPr>
          <w:rFonts w:ascii="宋体" w:hAnsi="宋体" w:cs="宋体"/>
          <w:szCs w:val="21"/>
        </w:rPr>
      </w:pPr>
      <w:r>
        <w:rPr>
          <w:rFonts w:hint="eastAsia" w:ascii="宋体" w:hAnsi="宋体" w:cs="宋体"/>
          <w:szCs w:val="21"/>
        </w:rPr>
        <w:t>前款规定的合同解除权，自本公司知道有解除事由之日起，超过三十日不行使而消灭。</w:t>
      </w:r>
    </w:p>
    <w:p>
      <w:pPr>
        <w:spacing w:line="360" w:lineRule="auto"/>
        <w:ind w:firstLine="420" w:firstLineChars="200"/>
        <w:rPr>
          <w:rFonts w:ascii="宋体" w:hAnsi="宋体" w:cs="宋体"/>
          <w:szCs w:val="21"/>
        </w:rPr>
      </w:pPr>
      <w:r>
        <w:rPr>
          <w:rFonts w:hint="eastAsia" w:ascii="宋体" w:hAnsi="宋体" w:cs="宋体"/>
          <w:szCs w:val="21"/>
        </w:rPr>
        <w:t>投保人故意不履行如实告知义务的，本公司对于合同解除前发生的保险事故，不承担给付保险金的责任，并不退还保险费。</w:t>
      </w:r>
    </w:p>
    <w:p>
      <w:pPr>
        <w:spacing w:line="360" w:lineRule="auto"/>
        <w:ind w:firstLine="422" w:firstLineChars="200"/>
        <w:rPr>
          <w:rFonts w:ascii="宋体" w:hAnsi="宋体" w:cs="宋体"/>
          <w:b/>
          <w:bCs/>
          <w:szCs w:val="21"/>
        </w:rPr>
      </w:pPr>
      <w:r>
        <w:rPr>
          <w:rFonts w:hint="eastAsia" w:ascii="宋体" w:hAnsi="宋体" w:cs="宋体"/>
          <w:b/>
          <w:bCs/>
          <w:szCs w:val="21"/>
        </w:rPr>
        <w:t>投保人因重大过失未履行如实告知义务，对保险事故的发生有严重影响的，本公司对于合同解除前发生的保险事故，不承担给付保险金的责任，但退还保险费。</w:t>
      </w:r>
    </w:p>
    <w:p>
      <w:pPr>
        <w:spacing w:line="360" w:lineRule="auto"/>
        <w:ind w:firstLine="420" w:firstLineChars="200"/>
        <w:rPr>
          <w:rFonts w:ascii="宋体" w:hAnsi="宋体" w:cs="宋体"/>
          <w:szCs w:val="21"/>
        </w:rPr>
      </w:pPr>
      <w:r>
        <w:rPr>
          <w:rFonts w:hint="eastAsia" w:ascii="宋体" w:hAnsi="宋体" w:cs="宋体"/>
          <w:szCs w:val="21"/>
        </w:rPr>
        <w:t>本公司在本合同订立时已经知道投保人未如实告知的情况的，本公司不得解除合同；发生保险事故的，本公司承担给付保险金的责任。</w:t>
      </w:r>
    </w:p>
    <w:p>
      <w:pPr>
        <w:spacing w:line="360" w:lineRule="auto"/>
        <w:ind w:firstLine="422" w:firstLineChars="200"/>
        <w:rPr>
          <w:rFonts w:ascii="宋体" w:hAnsi="宋体" w:cs="宋体"/>
          <w:b/>
          <w:bCs/>
          <w:szCs w:val="21"/>
        </w:rPr>
      </w:pPr>
      <w:r>
        <w:rPr>
          <w:rFonts w:hint="eastAsia" w:ascii="宋体" w:hAnsi="宋体" w:cs="宋体"/>
          <w:b/>
          <w:bCs/>
          <w:szCs w:val="21"/>
        </w:rPr>
        <w:t>第十三条 受益人</w:t>
      </w:r>
    </w:p>
    <w:p>
      <w:pPr>
        <w:spacing w:line="360" w:lineRule="auto"/>
        <w:ind w:firstLine="420" w:firstLineChars="200"/>
        <w:rPr>
          <w:rFonts w:ascii="宋体" w:hAnsi="宋体" w:cs="宋体"/>
          <w:szCs w:val="21"/>
        </w:rPr>
      </w:pPr>
      <w:r>
        <w:rPr>
          <w:rFonts w:hint="eastAsia" w:ascii="宋体" w:hAnsi="宋体" w:cs="宋体"/>
          <w:szCs w:val="21"/>
        </w:rPr>
        <w:t>除本合同另有指定外，重大疾病保险金和轻度疾病保险金的受益人为被保险人本人。</w:t>
      </w:r>
    </w:p>
    <w:p>
      <w:pPr>
        <w:spacing w:line="360" w:lineRule="auto"/>
        <w:ind w:firstLine="422" w:firstLineChars="200"/>
        <w:rPr>
          <w:rFonts w:ascii="宋体" w:hAnsi="宋体" w:cs="宋体"/>
          <w:b/>
          <w:bCs/>
          <w:szCs w:val="21"/>
        </w:rPr>
      </w:pPr>
      <w:r>
        <w:rPr>
          <w:rFonts w:hint="eastAsia" w:ascii="宋体" w:hAnsi="宋体" w:cs="宋体"/>
          <w:b/>
          <w:bCs/>
          <w:szCs w:val="21"/>
        </w:rPr>
        <w:t>第十四条 保险事故的通知</w:t>
      </w:r>
    </w:p>
    <w:p>
      <w:pPr>
        <w:spacing w:line="360" w:lineRule="auto"/>
        <w:ind w:firstLine="420" w:firstLineChars="200"/>
        <w:rPr>
          <w:rFonts w:ascii="宋体" w:hAnsi="宋体" w:cs="宋体"/>
          <w:szCs w:val="21"/>
        </w:rPr>
      </w:pPr>
      <w:r>
        <w:rPr>
          <w:rFonts w:hint="eastAsia" w:ascii="宋体" w:hAnsi="宋体" w:cs="宋体"/>
          <w:szCs w:val="21"/>
        </w:rPr>
        <w:t>投保人、被保险人或者受益人知道保险事故发生后，应及时通知本公司。 若因故意或者因重大过失未及时通知，致使保险事故的性质、原因、损失程度等难以确定的，本公司对无法确定的部分，不承担给付保险金的责任，但本公司通过其他途径已经及时知道或者应当及时知道保险事故发生的除外。</w:t>
      </w:r>
    </w:p>
    <w:p>
      <w:pPr>
        <w:spacing w:line="360" w:lineRule="auto"/>
        <w:ind w:firstLine="422" w:firstLineChars="200"/>
        <w:rPr>
          <w:rFonts w:ascii="宋体" w:hAnsi="宋体" w:cs="宋体"/>
          <w:b/>
          <w:bCs/>
          <w:szCs w:val="21"/>
        </w:rPr>
      </w:pPr>
      <w:r>
        <w:rPr>
          <w:rFonts w:hint="eastAsia" w:ascii="宋体" w:hAnsi="宋体" w:cs="宋体"/>
          <w:b/>
          <w:bCs/>
          <w:szCs w:val="21"/>
        </w:rPr>
        <w:t>第十五条 保险金的申请与给付</w:t>
      </w:r>
    </w:p>
    <w:p>
      <w:pPr>
        <w:spacing w:line="360" w:lineRule="auto"/>
        <w:ind w:firstLine="420" w:firstLineChars="200"/>
        <w:rPr>
          <w:rFonts w:ascii="宋体" w:hAnsi="宋体" w:cs="宋体"/>
          <w:szCs w:val="21"/>
        </w:rPr>
      </w:pPr>
      <w:r>
        <w:rPr>
          <w:rFonts w:hint="eastAsia" w:ascii="宋体" w:hAnsi="宋体" w:cs="宋体"/>
          <w:szCs w:val="21"/>
        </w:rPr>
        <w:t>一、在本合同保险期间内，被保险人初次发生并经专科医生明确诊断患本合同所指重大疾病或轻度疾病的，由受益人作为申请人，填写保险金给付申请书，并凭下列证明和资料向本公司申请给付保险金：</w:t>
      </w:r>
    </w:p>
    <w:p>
      <w:pPr>
        <w:spacing w:line="360" w:lineRule="auto"/>
        <w:ind w:firstLine="420" w:firstLineChars="200"/>
        <w:rPr>
          <w:rFonts w:ascii="宋体" w:hAnsi="宋体" w:cs="宋体"/>
          <w:szCs w:val="21"/>
        </w:rPr>
      </w:pPr>
      <w:r>
        <w:rPr>
          <w:rFonts w:hint="eastAsia" w:ascii="宋体" w:hAnsi="宋体" w:cs="宋体"/>
          <w:szCs w:val="21"/>
        </w:rPr>
        <w:t>1．保险单或投保人证明；</w:t>
      </w:r>
    </w:p>
    <w:p>
      <w:pPr>
        <w:spacing w:line="360" w:lineRule="auto"/>
        <w:ind w:firstLine="420" w:firstLineChars="200"/>
        <w:rPr>
          <w:rFonts w:ascii="宋体" w:hAnsi="宋体" w:cs="宋体"/>
          <w:szCs w:val="21"/>
        </w:rPr>
      </w:pPr>
      <w:r>
        <w:rPr>
          <w:rFonts w:hint="eastAsia" w:ascii="宋体" w:hAnsi="宋体" w:cs="宋体"/>
          <w:szCs w:val="21"/>
        </w:rPr>
        <w:t>2．申请人的法定身份证明；</w:t>
      </w:r>
    </w:p>
    <w:p>
      <w:pPr>
        <w:spacing w:line="360" w:lineRule="auto"/>
        <w:ind w:firstLine="420" w:firstLineChars="200"/>
        <w:rPr>
          <w:rFonts w:ascii="宋体" w:hAnsi="宋体" w:cs="宋体"/>
          <w:szCs w:val="21"/>
        </w:rPr>
      </w:pPr>
      <w:r>
        <w:rPr>
          <w:rFonts w:hint="eastAsia" w:ascii="宋体" w:hAnsi="宋体" w:cs="宋体"/>
          <w:szCs w:val="21"/>
        </w:rPr>
        <w:t>3．专科医生出具的诊断证明（含相关的诊断依据）、病历、住院及出院证明文件；</w:t>
      </w:r>
    </w:p>
    <w:p>
      <w:pPr>
        <w:spacing w:line="360" w:lineRule="auto"/>
        <w:ind w:firstLine="420" w:firstLineChars="200"/>
        <w:rPr>
          <w:rFonts w:ascii="宋体" w:hAnsi="宋体" w:cs="宋体"/>
          <w:szCs w:val="21"/>
        </w:rPr>
      </w:pPr>
      <w:r>
        <w:rPr>
          <w:rFonts w:hint="eastAsia" w:ascii="宋体" w:hAnsi="宋体" w:cs="宋体"/>
          <w:szCs w:val="21"/>
        </w:rPr>
        <w:t>4．若由代理人代为申请，则还应提供授权委托书、代理人法定身份证明等文件；</w:t>
      </w:r>
    </w:p>
    <w:p>
      <w:pPr>
        <w:spacing w:line="360" w:lineRule="auto"/>
        <w:ind w:firstLine="420" w:firstLineChars="200"/>
        <w:rPr>
          <w:rFonts w:ascii="宋体" w:hAnsi="宋体" w:cs="宋体"/>
          <w:szCs w:val="21"/>
        </w:rPr>
      </w:pPr>
      <w:r>
        <w:rPr>
          <w:rFonts w:hint="eastAsia" w:ascii="宋体" w:hAnsi="宋体" w:cs="宋体"/>
          <w:szCs w:val="21"/>
        </w:rPr>
        <w:t>5．本公司要求的申请人所能提供的与确认保险事故的性质、原因等相关的证明和资料。</w:t>
      </w:r>
    </w:p>
    <w:p>
      <w:pPr>
        <w:spacing w:line="360" w:lineRule="auto"/>
        <w:ind w:firstLine="420" w:firstLineChars="200"/>
        <w:rPr>
          <w:rFonts w:ascii="宋体" w:hAnsi="宋体" w:cs="宋体"/>
          <w:szCs w:val="21"/>
        </w:rPr>
      </w:pPr>
      <w:r>
        <w:rPr>
          <w:rFonts w:hint="eastAsia" w:ascii="宋体" w:hAnsi="宋体" w:cs="宋体"/>
          <w:szCs w:val="21"/>
        </w:rPr>
        <w:t>二、上述证明和资料不完整的，本公司将及时一次性通知申请人补充提供有关证明和资料。</w:t>
      </w:r>
    </w:p>
    <w:p>
      <w:pPr>
        <w:spacing w:line="360" w:lineRule="auto"/>
        <w:ind w:firstLine="420" w:firstLineChars="200"/>
        <w:rPr>
          <w:rFonts w:ascii="宋体" w:hAnsi="宋体" w:cs="宋体"/>
          <w:szCs w:val="21"/>
        </w:rPr>
      </w:pPr>
      <w:r>
        <w:rPr>
          <w:rFonts w:hint="eastAsia" w:ascii="宋体" w:hAnsi="宋体" w:cs="宋体"/>
          <w:szCs w:val="21"/>
        </w:rPr>
        <w:t>三、本公司收到申请人的保险金给付申请书及本条第一款所列的证明和资料后，将及时作出核定；情形复杂的，将在三十日内作出核定，但本合同另有约定的除外。经核定后确定属于保险责任的，本公司在与申请人达成给付保险金的协议后十日内，履行给付保险金的义务；不属于保险责任的，本公司将自作出核定之日起三日内向申请人发出拒绝给付保险金通知书，并说明理由。</w:t>
      </w:r>
    </w:p>
    <w:p>
      <w:pPr>
        <w:spacing w:line="360" w:lineRule="auto"/>
        <w:ind w:firstLine="420" w:firstLineChars="200"/>
        <w:rPr>
          <w:rFonts w:ascii="宋体" w:hAnsi="宋体" w:cs="宋体"/>
          <w:szCs w:val="21"/>
        </w:rPr>
      </w:pPr>
      <w:r>
        <w:rPr>
          <w:rFonts w:hint="eastAsia" w:ascii="宋体" w:hAnsi="宋体" w:cs="宋体"/>
          <w:szCs w:val="21"/>
        </w:rPr>
        <w:t>四、本公司自收到申请人的保险金给付申请书及本条第一款所列的证明和资料之日起六十日内，对属于保险责任而给付保险金的数额不能确定的，根据已有证明和资料，按可以确定的数额先予支付。本公司最终确定给付保险金的数额后，支付相应的差额。</w:t>
      </w:r>
    </w:p>
    <w:p>
      <w:pPr>
        <w:spacing w:line="360" w:lineRule="auto"/>
        <w:ind w:firstLine="420" w:firstLineChars="200"/>
        <w:rPr>
          <w:rFonts w:ascii="宋体" w:hAnsi="宋体" w:cs="宋体"/>
          <w:szCs w:val="21"/>
        </w:rPr>
      </w:pPr>
      <w:r>
        <w:rPr>
          <w:rFonts w:hint="eastAsia" w:ascii="宋体" w:hAnsi="宋体" w:cs="宋体"/>
          <w:szCs w:val="21"/>
        </w:rPr>
        <w:t>五、申请人向本公司请求给付保险金的诉讼时效期间为二年，自其知道或者应当知道保险事故发生之日起计算。</w:t>
      </w:r>
    </w:p>
    <w:p>
      <w:pPr>
        <w:spacing w:line="360" w:lineRule="auto"/>
        <w:ind w:firstLine="422" w:firstLineChars="200"/>
        <w:rPr>
          <w:rFonts w:ascii="宋体" w:hAnsi="宋体" w:cs="宋体"/>
          <w:b/>
          <w:bCs/>
          <w:szCs w:val="21"/>
        </w:rPr>
      </w:pPr>
      <w:r>
        <w:rPr>
          <w:rFonts w:hint="eastAsia" w:ascii="宋体" w:hAnsi="宋体" w:cs="宋体"/>
          <w:b/>
          <w:bCs/>
          <w:szCs w:val="21"/>
        </w:rPr>
        <w:t>第十六条 被保险人的变动</w:t>
      </w:r>
    </w:p>
    <w:p>
      <w:pPr>
        <w:spacing w:line="360" w:lineRule="auto"/>
        <w:ind w:firstLine="420" w:firstLineChars="200"/>
        <w:rPr>
          <w:rFonts w:ascii="宋体" w:hAnsi="宋体" w:cs="宋体"/>
          <w:szCs w:val="21"/>
        </w:rPr>
      </w:pPr>
      <w:r>
        <w:rPr>
          <w:rFonts w:hint="eastAsia" w:ascii="宋体" w:hAnsi="宋体" w:cs="宋体"/>
          <w:szCs w:val="21"/>
        </w:rPr>
        <w:t>一、投保人因所属人员变动需要增加被保险人的，应书面通知本公司，经本公司审核同意，于收取保险费的次日起开始承担保险责任。新增加被保险人的保险期间届满日与本合同的保险期间届满日相同。</w:t>
      </w:r>
    </w:p>
    <w:p>
      <w:pPr>
        <w:spacing w:line="360" w:lineRule="auto"/>
        <w:ind w:firstLine="420" w:firstLineChars="200"/>
        <w:rPr>
          <w:rFonts w:ascii="宋体" w:hAnsi="宋体" w:cs="宋体"/>
          <w:szCs w:val="21"/>
        </w:rPr>
      </w:pPr>
      <w:r>
        <w:rPr>
          <w:rFonts w:hint="eastAsia" w:ascii="宋体" w:hAnsi="宋体" w:cs="宋体"/>
          <w:szCs w:val="21"/>
        </w:rPr>
        <w:t>二、投保人因所属人员变动需要减少被保险人的，应书面通知本公司，本合同对该被保险人所承担的保险责任自通知到达时终止。对于未发生保险金给付的，本公司向投保人退还该被保险人对应的现金价值；对于已发生保险金给付或已发生本合同约定的保险事故但尚未给付保险金的，本公司不退还现金价值。</w:t>
      </w:r>
    </w:p>
    <w:p>
      <w:pPr>
        <w:spacing w:line="360" w:lineRule="auto"/>
        <w:ind w:firstLine="420" w:firstLineChars="200"/>
        <w:rPr>
          <w:rFonts w:ascii="宋体" w:hAnsi="宋体" w:cs="宋体"/>
          <w:szCs w:val="21"/>
        </w:rPr>
      </w:pPr>
      <w:r>
        <w:rPr>
          <w:rFonts w:hint="eastAsia" w:ascii="宋体" w:hAnsi="宋体" w:cs="宋体"/>
          <w:szCs w:val="21"/>
        </w:rPr>
        <w:t>三、如果由于被保险人变动，导致本合同不再满足国务院保险监督管理机构的相关投保规定时，本公司有权解除本合同，并向投保人退还本合同的现金价值。</w:t>
      </w:r>
    </w:p>
    <w:p>
      <w:pPr>
        <w:spacing w:line="360" w:lineRule="auto"/>
        <w:ind w:firstLine="422" w:firstLineChars="200"/>
        <w:rPr>
          <w:rFonts w:ascii="宋体" w:hAnsi="宋体" w:cs="宋体"/>
          <w:b/>
          <w:bCs/>
          <w:szCs w:val="21"/>
        </w:rPr>
      </w:pPr>
      <w:r>
        <w:rPr>
          <w:rFonts w:hint="eastAsia" w:ascii="宋体" w:hAnsi="宋体" w:cs="宋体"/>
          <w:b/>
          <w:bCs/>
          <w:szCs w:val="21"/>
        </w:rPr>
        <w:t>第十七条 住所或通讯地址变更</w:t>
      </w:r>
    </w:p>
    <w:p>
      <w:pPr>
        <w:spacing w:line="360" w:lineRule="auto"/>
        <w:ind w:firstLine="420" w:firstLineChars="200"/>
        <w:rPr>
          <w:rFonts w:ascii="宋体" w:hAnsi="宋体" w:cs="宋体"/>
          <w:szCs w:val="21"/>
        </w:rPr>
      </w:pPr>
      <w:r>
        <w:rPr>
          <w:rFonts w:hint="eastAsia" w:ascii="宋体" w:hAnsi="宋体" w:cs="宋体"/>
          <w:szCs w:val="21"/>
        </w:rPr>
        <w:t>投保人的住所或通讯地址变更时，应及时以书面形式通知本公司。投保人未以书面形式通知的，本公司将按本合同注明的最后住所或通讯地址发送有关通知。</w:t>
      </w:r>
    </w:p>
    <w:p>
      <w:pPr>
        <w:spacing w:line="360" w:lineRule="auto"/>
        <w:ind w:firstLine="422" w:firstLineChars="200"/>
        <w:rPr>
          <w:rFonts w:ascii="宋体" w:hAnsi="宋体" w:cs="宋体"/>
          <w:b/>
          <w:bCs/>
          <w:szCs w:val="21"/>
        </w:rPr>
      </w:pPr>
      <w:r>
        <w:rPr>
          <w:rFonts w:hint="eastAsia" w:ascii="宋体" w:hAnsi="宋体" w:cs="宋体"/>
          <w:b/>
          <w:bCs/>
          <w:szCs w:val="21"/>
        </w:rPr>
        <w:t>第十八条 合同内容变更</w:t>
      </w:r>
    </w:p>
    <w:p>
      <w:pPr>
        <w:spacing w:line="360" w:lineRule="auto"/>
        <w:ind w:firstLine="420" w:firstLineChars="200"/>
        <w:rPr>
          <w:rFonts w:ascii="宋体" w:hAnsi="宋体" w:cs="宋体"/>
          <w:szCs w:val="21"/>
        </w:rPr>
      </w:pPr>
      <w:r>
        <w:rPr>
          <w:rFonts w:hint="eastAsia" w:ascii="宋体" w:hAnsi="宋体" w:cs="宋体"/>
          <w:szCs w:val="21"/>
        </w:rPr>
        <w:t>投保人和本公司可以协商变更本合同的内容。变更本合同时，投保人应填写变更合同申请书，经本公司审核同意后，由本公司在保险单或者其他保险凭证上批注或附贴批单，或由投保人和本公司订立变更的书面协议。</w:t>
      </w:r>
    </w:p>
    <w:p>
      <w:pPr>
        <w:spacing w:line="360" w:lineRule="auto"/>
        <w:ind w:firstLine="422" w:firstLineChars="200"/>
        <w:rPr>
          <w:rFonts w:ascii="宋体" w:hAnsi="宋体" w:cs="宋体"/>
          <w:b/>
          <w:bCs/>
          <w:szCs w:val="21"/>
        </w:rPr>
      </w:pPr>
      <w:r>
        <w:rPr>
          <w:rFonts w:hint="eastAsia" w:ascii="宋体" w:hAnsi="宋体" w:cs="宋体"/>
          <w:b/>
          <w:bCs/>
          <w:szCs w:val="21"/>
        </w:rPr>
        <w:t>第十九条 投保人解除合同的处理</w:t>
      </w:r>
    </w:p>
    <w:p>
      <w:pPr>
        <w:spacing w:line="360" w:lineRule="auto"/>
        <w:ind w:firstLine="420" w:firstLineChars="200"/>
        <w:rPr>
          <w:rFonts w:ascii="宋体" w:hAnsi="宋体" w:cs="宋体"/>
          <w:szCs w:val="21"/>
        </w:rPr>
      </w:pPr>
      <w:r>
        <w:rPr>
          <w:rFonts w:hint="eastAsia" w:ascii="宋体" w:hAnsi="宋体" w:cs="宋体"/>
          <w:szCs w:val="21"/>
        </w:rPr>
        <w:t>投保人于本合同成立后，可以要求解除本合同。但已发生任何保险金给付或已发生本合同约定的保险事故但尚未给付保险金的，投保人不得要求解除本合同。投保人要求解除本合同时，应填写解除合同申请书，并提交保险合同和投保人证明。</w:t>
      </w:r>
    </w:p>
    <w:p>
      <w:pPr>
        <w:spacing w:line="360" w:lineRule="auto"/>
        <w:ind w:firstLine="420" w:firstLineChars="200"/>
        <w:rPr>
          <w:rFonts w:ascii="宋体" w:hAnsi="宋体" w:cs="宋体"/>
          <w:szCs w:val="21"/>
        </w:rPr>
      </w:pPr>
      <w:r>
        <w:rPr>
          <w:rFonts w:hint="eastAsia" w:ascii="宋体" w:hAnsi="宋体" w:cs="宋体"/>
          <w:szCs w:val="21"/>
        </w:rPr>
        <w:t>本合同自本公司接到解除合同申请书时终止，本公司于接到解除合同申请书之日起三十日内向投保人退还本合同现金价值。</w:t>
      </w:r>
    </w:p>
    <w:p>
      <w:pPr>
        <w:spacing w:line="360" w:lineRule="auto"/>
        <w:ind w:firstLine="422" w:firstLineChars="200"/>
        <w:rPr>
          <w:rFonts w:ascii="宋体" w:hAnsi="宋体" w:cs="宋体"/>
          <w:b/>
          <w:bCs/>
          <w:szCs w:val="21"/>
        </w:rPr>
      </w:pPr>
      <w:r>
        <w:rPr>
          <w:rFonts w:hint="eastAsia" w:ascii="宋体" w:hAnsi="宋体" w:cs="宋体"/>
          <w:b/>
          <w:bCs/>
          <w:szCs w:val="21"/>
        </w:rPr>
        <w:t>第二十条 争议处理</w:t>
      </w:r>
    </w:p>
    <w:p>
      <w:pPr>
        <w:spacing w:line="360" w:lineRule="auto"/>
        <w:ind w:firstLine="420" w:firstLineChars="200"/>
        <w:rPr>
          <w:rFonts w:ascii="宋体" w:hAnsi="宋体" w:cs="宋体"/>
          <w:szCs w:val="21"/>
        </w:rPr>
      </w:pPr>
      <w:r>
        <w:rPr>
          <w:rFonts w:hint="eastAsia" w:ascii="宋体" w:hAnsi="宋体" w:cs="宋体"/>
          <w:szCs w:val="21"/>
        </w:rPr>
        <w:t>本合同争议的解决方式，由当事人在合同中约定从下列两种方式中选择一种：</w:t>
      </w:r>
    </w:p>
    <w:p>
      <w:pPr>
        <w:spacing w:line="360" w:lineRule="auto"/>
        <w:ind w:firstLine="420" w:firstLineChars="200"/>
        <w:rPr>
          <w:rFonts w:ascii="宋体" w:hAnsi="宋体" w:cs="宋体"/>
          <w:szCs w:val="21"/>
        </w:rPr>
      </w:pPr>
      <w:r>
        <w:rPr>
          <w:rFonts w:hint="eastAsia" w:ascii="宋体" w:hAnsi="宋体" w:cs="宋体"/>
          <w:szCs w:val="21"/>
        </w:rPr>
        <w:t>一、因履行本合同发生的争议，由当事人协商解决，协商不成的，提交×××仲裁委员会仲裁；</w:t>
      </w:r>
    </w:p>
    <w:p>
      <w:pPr>
        <w:spacing w:line="360" w:lineRule="auto"/>
        <w:ind w:firstLine="420" w:firstLineChars="200"/>
        <w:rPr>
          <w:rFonts w:ascii="宋体" w:hAnsi="宋体" w:cs="宋体"/>
          <w:szCs w:val="21"/>
        </w:rPr>
      </w:pPr>
      <w:r>
        <w:rPr>
          <w:rFonts w:hint="eastAsia" w:ascii="宋体" w:hAnsi="宋体" w:cs="宋体"/>
          <w:szCs w:val="21"/>
        </w:rPr>
        <w:t>二、因履行本合同发生的争议，由当事人协商解决，协商不成的，依法向人民法院提起诉讼。</w:t>
      </w:r>
    </w:p>
    <w:p>
      <w:pPr>
        <w:spacing w:line="360" w:lineRule="auto"/>
        <w:ind w:firstLine="422" w:firstLineChars="200"/>
        <w:rPr>
          <w:rFonts w:ascii="宋体" w:hAnsi="宋体" w:cs="宋体"/>
          <w:b/>
          <w:bCs/>
          <w:szCs w:val="21"/>
        </w:rPr>
      </w:pPr>
      <w:r>
        <w:rPr>
          <w:rFonts w:hint="eastAsia" w:ascii="宋体" w:hAnsi="宋体" w:cs="宋体"/>
          <w:b/>
          <w:bCs/>
          <w:szCs w:val="21"/>
        </w:rPr>
        <w:t>第二十一条 疾病定义</w:t>
      </w:r>
    </w:p>
    <w:p>
      <w:pPr>
        <w:spacing w:line="360" w:lineRule="auto"/>
        <w:ind w:firstLine="422" w:firstLineChars="200"/>
        <w:rPr>
          <w:rFonts w:ascii="宋体" w:hAnsi="宋体" w:cs="宋体"/>
          <w:b/>
          <w:bCs/>
          <w:szCs w:val="21"/>
        </w:rPr>
      </w:pPr>
      <w:r>
        <w:rPr>
          <w:rFonts w:hint="eastAsia" w:ascii="宋体" w:hAnsi="宋体" w:cs="宋体"/>
          <w:b/>
          <w:bCs/>
          <w:szCs w:val="21"/>
        </w:rPr>
        <w:t>（一）重大疾病定义</w:t>
      </w:r>
    </w:p>
    <w:p>
      <w:pPr>
        <w:spacing w:line="360" w:lineRule="auto"/>
        <w:ind w:firstLine="420" w:firstLineChars="200"/>
        <w:rPr>
          <w:rFonts w:ascii="宋体" w:hAnsi="宋体" w:cs="宋体"/>
          <w:szCs w:val="21"/>
        </w:rPr>
      </w:pPr>
      <w:r>
        <w:rPr>
          <w:rFonts w:hint="eastAsia" w:ascii="宋体" w:hAnsi="宋体" w:cs="宋体"/>
          <w:szCs w:val="21"/>
        </w:rPr>
        <w:t xml:space="preserve">本附加合同所指重大疾病，是被保险人发生符合以下定义所述条件的疾病、疾病状态或手术，共三十八种，其中第一种至第二十八种为中国保险行业协会制定的《重大疾病保险的疾病定义使用规范（2020年修订版）》中列明的疾病，其余为特约增加的疾病。重大疾病的名称及定义如下：  </w:t>
      </w:r>
    </w:p>
    <w:p>
      <w:pPr>
        <w:spacing w:line="360" w:lineRule="auto"/>
        <w:ind w:firstLine="420" w:firstLineChars="200"/>
        <w:rPr>
          <w:rFonts w:ascii="宋体" w:hAnsi="宋体" w:cs="宋体"/>
          <w:szCs w:val="21"/>
        </w:rPr>
      </w:pPr>
      <w:r>
        <w:rPr>
          <w:rFonts w:hint="eastAsia" w:ascii="宋体" w:hAnsi="宋体" w:cs="宋体"/>
          <w:szCs w:val="21"/>
        </w:rPr>
        <w:t>1.1恶性肿瘤——重度</w:t>
      </w:r>
    </w:p>
    <w:p>
      <w:pPr>
        <w:spacing w:line="360" w:lineRule="auto"/>
        <w:ind w:firstLine="420" w:firstLineChars="200"/>
        <w:rPr>
          <w:rFonts w:ascii="宋体" w:hAnsi="宋体" w:cs="宋体"/>
          <w:szCs w:val="21"/>
        </w:rPr>
      </w:pPr>
      <w:r>
        <w:rPr>
          <w:rFonts w:hint="eastAsia" w:ascii="宋体" w:hAnsi="宋体" w:cs="宋体"/>
          <w:szCs w:val="21"/>
        </w:rPr>
        <w:t>指恶性细胞不受控制的进行性增长和扩散， 浸润和破坏周围  正常组织， 可以经血管、淋巴管和体腔扩散转移到身体其他部位， 病灶经组织病理学检查（涵盖骨髓病理学检查）结果明确诊断， 临床诊断属于世界卫生组织（WHO，World Health Organization） 《疾病和有关健康问题的国际统计分类》第十次修订版（ ICD-10） 的恶性肿瘤类别及《国际疾病分类肿瘤学专辑》第三版（ ICD-O-3） 的肿瘤形态学编码属于 3、6、9（恶性肿瘤） 范畴的疾病。</w:t>
      </w:r>
    </w:p>
    <w:p>
      <w:pPr>
        <w:spacing w:line="360" w:lineRule="auto"/>
        <w:ind w:firstLine="420" w:firstLineChars="200"/>
        <w:rPr>
          <w:rFonts w:ascii="宋体" w:hAnsi="宋体" w:cs="宋体"/>
          <w:szCs w:val="21"/>
        </w:rPr>
      </w:pPr>
      <w:r>
        <w:rPr>
          <w:rFonts w:hint="eastAsia" w:ascii="宋体" w:hAnsi="宋体" w:cs="宋体"/>
          <w:szCs w:val="21"/>
        </w:rPr>
        <w:t>下列疾病不属于“恶性肿瘤——重度”， 不在保障范围内：</w:t>
      </w:r>
    </w:p>
    <w:p>
      <w:pPr>
        <w:spacing w:line="360" w:lineRule="auto"/>
        <w:ind w:firstLine="420" w:firstLineChars="200"/>
        <w:rPr>
          <w:rFonts w:ascii="宋体" w:hAnsi="宋体" w:cs="宋体"/>
          <w:szCs w:val="21"/>
        </w:rPr>
      </w:pPr>
      <w:r>
        <w:rPr>
          <w:rFonts w:hint="eastAsia" w:ascii="宋体" w:hAnsi="宋体" w:cs="宋体"/>
          <w:szCs w:val="21"/>
        </w:rPr>
        <w:t>（1） ICD-O-3 肿瘤形态学编码属于 0（ 良性肿瘤）、1（动态 未定性肿瘤）、2（原位癌和非侵袭性癌） 范畴的疾病，如：</w:t>
      </w:r>
    </w:p>
    <w:p>
      <w:pPr>
        <w:spacing w:line="360" w:lineRule="auto"/>
        <w:ind w:firstLine="420" w:firstLineChars="200"/>
        <w:rPr>
          <w:rFonts w:ascii="宋体" w:hAnsi="宋体" w:cs="宋体"/>
          <w:szCs w:val="21"/>
        </w:rPr>
      </w:pPr>
      <w:r>
        <w:rPr>
          <w:rFonts w:hint="eastAsia" w:ascii="宋体" w:hAnsi="宋体" w:cs="宋体"/>
          <w:szCs w:val="21"/>
        </w:rPr>
        <w:t>a.原位癌， 癌前病变， 非浸润性癌， 非侵袭性癌，肿瘤细胞 未侵犯基底层， 上皮内瘤变， 细胞不典型性增生等；</w:t>
      </w:r>
    </w:p>
    <w:p>
      <w:pPr>
        <w:spacing w:line="360" w:lineRule="auto"/>
        <w:ind w:firstLine="420" w:firstLineChars="200"/>
        <w:rPr>
          <w:rFonts w:ascii="宋体" w:hAnsi="宋体" w:cs="宋体"/>
          <w:szCs w:val="21"/>
        </w:rPr>
      </w:pPr>
      <w:r>
        <w:rPr>
          <w:rFonts w:hint="eastAsia" w:ascii="宋体" w:hAnsi="宋体" w:cs="宋体"/>
          <w:szCs w:val="21"/>
        </w:rPr>
        <w:t>b.交界性肿瘤， 交界恶性肿瘤，肿瘤低度恶性潜能， 潜在低</w:t>
      </w:r>
    </w:p>
    <w:p>
      <w:pPr>
        <w:spacing w:line="360" w:lineRule="auto"/>
        <w:ind w:firstLine="420" w:firstLineChars="200"/>
        <w:rPr>
          <w:rFonts w:ascii="宋体" w:hAnsi="宋体" w:cs="宋体"/>
          <w:szCs w:val="21"/>
        </w:rPr>
      </w:pPr>
      <w:r>
        <w:rPr>
          <w:rFonts w:hint="eastAsia" w:ascii="宋体" w:hAnsi="宋体" w:cs="宋体"/>
          <w:szCs w:val="21"/>
        </w:rPr>
        <w:t>度恶性肿瘤等；</w:t>
      </w:r>
    </w:p>
    <w:p>
      <w:pPr>
        <w:spacing w:line="360" w:lineRule="auto"/>
        <w:ind w:firstLine="420" w:firstLineChars="200"/>
        <w:rPr>
          <w:rFonts w:ascii="宋体" w:hAnsi="宋体" w:cs="宋体"/>
          <w:szCs w:val="21"/>
        </w:rPr>
      </w:pPr>
      <w:r>
        <w:rPr>
          <w:rFonts w:hint="eastAsia" w:ascii="宋体" w:hAnsi="宋体" w:cs="宋体"/>
          <w:szCs w:val="21"/>
        </w:rPr>
        <w:t>（2） TNM 分期为 Ⅰ期或更轻分期的甲状腺癌；</w:t>
      </w:r>
    </w:p>
    <w:p>
      <w:pPr>
        <w:spacing w:line="360" w:lineRule="auto"/>
        <w:ind w:firstLine="420" w:firstLineChars="200"/>
        <w:rPr>
          <w:rFonts w:ascii="宋体" w:hAnsi="宋体" w:cs="宋体"/>
          <w:szCs w:val="21"/>
        </w:rPr>
      </w:pPr>
      <w:r>
        <w:rPr>
          <w:rFonts w:hint="eastAsia" w:ascii="宋体" w:hAnsi="宋体" w:cs="宋体"/>
          <w:szCs w:val="21"/>
        </w:rPr>
        <w:t>（3） TNM 分期为 T1N0M0 期或更轻分期的前列腺癌；</w:t>
      </w:r>
    </w:p>
    <w:p>
      <w:pPr>
        <w:spacing w:line="360" w:lineRule="auto"/>
        <w:ind w:firstLine="420" w:firstLineChars="200"/>
        <w:rPr>
          <w:rFonts w:ascii="宋体" w:hAnsi="宋体" w:cs="宋体"/>
          <w:szCs w:val="21"/>
        </w:rPr>
      </w:pPr>
      <w:r>
        <w:rPr>
          <w:rFonts w:hint="eastAsia" w:ascii="宋体" w:hAnsi="宋体" w:cs="宋体"/>
          <w:szCs w:val="21"/>
        </w:rPr>
        <w:t>（4） 黑色素瘤以外的未发生淋巴结和远处转移的皮肤恶性</w:t>
      </w:r>
    </w:p>
    <w:p>
      <w:pPr>
        <w:spacing w:line="360" w:lineRule="auto"/>
        <w:ind w:firstLine="420" w:firstLineChars="200"/>
        <w:rPr>
          <w:rFonts w:ascii="宋体" w:hAnsi="宋体" w:cs="宋体"/>
          <w:szCs w:val="21"/>
        </w:rPr>
      </w:pPr>
      <w:r>
        <w:rPr>
          <w:rFonts w:hint="eastAsia" w:ascii="宋体" w:hAnsi="宋体" w:cs="宋体"/>
          <w:szCs w:val="21"/>
        </w:rPr>
        <w:t>肿瘤；</w:t>
      </w:r>
    </w:p>
    <w:p>
      <w:pPr>
        <w:spacing w:line="360" w:lineRule="auto"/>
        <w:ind w:firstLine="420" w:firstLineChars="200"/>
        <w:rPr>
          <w:rFonts w:ascii="宋体" w:hAnsi="宋体" w:cs="宋体"/>
          <w:szCs w:val="21"/>
        </w:rPr>
      </w:pPr>
      <w:r>
        <w:rPr>
          <w:rFonts w:hint="eastAsia" w:ascii="宋体" w:hAnsi="宋体" w:cs="宋体"/>
          <w:szCs w:val="21"/>
        </w:rPr>
        <w:t>（5） 相当于 Binet 分期方案 A 期程度的慢性淋巴细胞白血</w:t>
      </w:r>
    </w:p>
    <w:p>
      <w:pPr>
        <w:spacing w:line="360" w:lineRule="auto"/>
        <w:ind w:firstLine="420" w:firstLineChars="200"/>
        <w:rPr>
          <w:rFonts w:ascii="宋体" w:hAnsi="宋体" w:cs="宋体"/>
          <w:szCs w:val="21"/>
        </w:rPr>
      </w:pPr>
      <w:r>
        <w:rPr>
          <w:rFonts w:hint="eastAsia" w:ascii="宋体" w:hAnsi="宋体" w:cs="宋体"/>
          <w:szCs w:val="21"/>
        </w:rPr>
        <w:t>病；</w:t>
      </w:r>
    </w:p>
    <w:p>
      <w:pPr>
        <w:spacing w:line="360" w:lineRule="auto"/>
        <w:ind w:firstLine="420" w:firstLineChars="200"/>
        <w:rPr>
          <w:rFonts w:ascii="宋体" w:hAnsi="宋体" w:cs="宋体"/>
          <w:szCs w:val="21"/>
        </w:rPr>
      </w:pPr>
      <w:r>
        <w:rPr>
          <w:rFonts w:hint="eastAsia" w:ascii="宋体" w:hAnsi="宋体" w:cs="宋体"/>
          <w:szCs w:val="21"/>
        </w:rPr>
        <w:t>（6） 相当于 Ann Arbor 分期方案 Ⅰ期程度的何杰金氏病；</w:t>
      </w:r>
    </w:p>
    <w:p>
      <w:pPr>
        <w:spacing w:line="360" w:lineRule="auto"/>
        <w:ind w:firstLine="420" w:firstLineChars="200"/>
        <w:rPr>
          <w:rFonts w:ascii="宋体" w:hAnsi="宋体" w:cs="宋体"/>
          <w:szCs w:val="21"/>
        </w:rPr>
      </w:pPr>
      <w:r>
        <w:rPr>
          <w:rFonts w:hint="eastAsia" w:ascii="宋体" w:hAnsi="宋体" w:cs="宋体"/>
          <w:szCs w:val="21"/>
        </w:rPr>
        <w:t>（7） 未发生淋巴结和远处转移且 WHO 分级为 G1 级别（核分 裂像&lt;10/50 HPF 和ki-67≤2%）或更轻分级的神经内分泌肿瘤。</w:t>
      </w:r>
    </w:p>
    <w:p>
      <w:pPr>
        <w:spacing w:line="360" w:lineRule="auto"/>
        <w:ind w:firstLine="420" w:firstLineChars="200"/>
        <w:rPr>
          <w:rFonts w:ascii="宋体" w:hAnsi="宋体" w:cs="宋体"/>
          <w:szCs w:val="21"/>
        </w:rPr>
      </w:pPr>
      <w:r>
        <w:rPr>
          <w:rFonts w:hint="eastAsia" w:ascii="宋体" w:hAnsi="宋体" w:cs="宋体"/>
          <w:szCs w:val="21"/>
        </w:rPr>
        <w:t>1.2 较重急性心肌梗死</w:t>
      </w:r>
    </w:p>
    <w:p>
      <w:pPr>
        <w:spacing w:line="360" w:lineRule="auto"/>
        <w:ind w:firstLine="420" w:firstLineChars="200"/>
        <w:rPr>
          <w:rFonts w:ascii="宋体" w:hAnsi="宋体" w:cs="宋体"/>
          <w:szCs w:val="21"/>
        </w:rPr>
      </w:pPr>
      <w:r>
        <w:rPr>
          <w:rFonts w:hint="eastAsia" w:ascii="宋体" w:hAnsi="宋体" w:cs="宋体"/>
          <w:szCs w:val="21"/>
        </w:rPr>
        <w:t>急性心肌梗死指由于冠状动脉闭塞或梗阻引起部分心肌严 重的持久性缺血造成急性心肌坏死。急性心肌梗死的诊断必须依 据国际国内诊断标准， 符合（ 1）检测到肌酸激酶同工酶（CK-MB） 或肌钙蛋白（cTn） 升高和/或降低的动态变化， 至少一次达到或 超过心肌梗死的临床诊断标准；（2）同时存在下列之一的证据，</w:t>
      </w:r>
    </w:p>
    <w:p>
      <w:pPr>
        <w:spacing w:line="360" w:lineRule="auto"/>
        <w:ind w:firstLine="420" w:firstLineChars="200"/>
        <w:rPr>
          <w:rFonts w:ascii="宋体" w:hAnsi="宋体" w:cs="宋体"/>
          <w:szCs w:val="21"/>
        </w:rPr>
      </w:pPr>
      <w:r>
        <w:rPr>
          <w:rFonts w:hint="eastAsia" w:ascii="宋体" w:hAnsi="宋体" w:cs="宋体"/>
          <w:szCs w:val="21"/>
        </w:rPr>
        <w:t>包括： 缺血性胸痛症状、新发生的缺血性心电图改变、新生成的 病理性 Q 波、影像学证据显示有新出现的心肌活性丧失或新出现 局部室壁运动异常、冠脉造影证实存在冠状动脉血栓。</w:t>
      </w:r>
    </w:p>
    <w:p>
      <w:pPr>
        <w:spacing w:line="360" w:lineRule="auto"/>
        <w:ind w:firstLine="420" w:firstLineChars="200"/>
        <w:rPr>
          <w:rFonts w:ascii="宋体" w:hAnsi="宋体" w:cs="宋体"/>
          <w:szCs w:val="21"/>
        </w:rPr>
      </w:pPr>
      <w:r>
        <w:rPr>
          <w:rFonts w:hint="eastAsia" w:ascii="宋体" w:hAnsi="宋体" w:cs="宋体"/>
          <w:szCs w:val="21"/>
        </w:rPr>
        <w:t>较重急性心肌梗死指依照上述标准被明确诊断为急性心肌 梗死，并且必须同时满足下列至少一项条件：</w:t>
      </w:r>
    </w:p>
    <w:p>
      <w:pPr>
        <w:spacing w:line="360" w:lineRule="auto"/>
        <w:ind w:firstLine="420" w:firstLineChars="200"/>
        <w:rPr>
          <w:rFonts w:ascii="宋体" w:hAnsi="宋体" w:cs="宋体"/>
          <w:szCs w:val="21"/>
        </w:rPr>
      </w:pPr>
      <w:r>
        <w:rPr>
          <w:rFonts w:hint="eastAsia" w:ascii="宋体" w:hAnsi="宋体" w:cs="宋体"/>
          <w:szCs w:val="21"/>
        </w:rPr>
        <w:t>（1） 心肌损伤标志物肌钙蛋白（ cTn） 升高， 至少一次检测</w:t>
      </w:r>
    </w:p>
    <w:p>
      <w:pPr>
        <w:spacing w:line="360" w:lineRule="auto"/>
        <w:ind w:firstLine="420" w:firstLineChars="200"/>
        <w:rPr>
          <w:rFonts w:ascii="宋体" w:hAnsi="宋体" w:cs="宋体"/>
          <w:szCs w:val="21"/>
        </w:rPr>
      </w:pPr>
      <w:r>
        <w:rPr>
          <w:rFonts w:hint="eastAsia" w:ascii="宋体" w:hAnsi="宋体" w:cs="宋体"/>
          <w:szCs w:val="21"/>
        </w:rPr>
        <w:t>结果达到该检验正常参考值上限的 15 倍（含）以上；</w:t>
      </w:r>
    </w:p>
    <w:p>
      <w:pPr>
        <w:spacing w:line="360" w:lineRule="auto"/>
        <w:ind w:firstLine="420" w:firstLineChars="200"/>
        <w:rPr>
          <w:rFonts w:ascii="宋体" w:hAnsi="宋体" w:cs="宋体"/>
          <w:szCs w:val="21"/>
        </w:rPr>
      </w:pPr>
      <w:r>
        <w:rPr>
          <w:rFonts w:hint="eastAsia" w:ascii="宋体" w:hAnsi="宋体" w:cs="宋体"/>
          <w:szCs w:val="21"/>
        </w:rPr>
        <w:t>（2） 肌酸激酶同工酶（CK-MB） 升高， 至少一次检测结果达 到该检验正常参考值上限的 2 倍（含）以上；</w:t>
      </w:r>
    </w:p>
    <w:p>
      <w:pPr>
        <w:spacing w:line="360" w:lineRule="auto"/>
        <w:ind w:firstLine="420" w:firstLineChars="200"/>
        <w:rPr>
          <w:rFonts w:ascii="宋体" w:hAnsi="宋体" w:cs="宋体"/>
          <w:szCs w:val="21"/>
        </w:rPr>
      </w:pPr>
      <w:r>
        <w:rPr>
          <w:rFonts w:hint="eastAsia" w:ascii="宋体" w:hAnsi="宋体" w:cs="宋体"/>
          <w:szCs w:val="21"/>
        </w:rPr>
        <w:t>（3）出现左心室收缩功能下降，在确诊 6 周以后，检测左</w:t>
      </w:r>
    </w:p>
    <w:p>
      <w:pPr>
        <w:spacing w:line="360" w:lineRule="auto"/>
        <w:ind w:firstLine="420" w:firstLineChars="200"/>
        <w:rPr>
          <w:rFonts w:ascii="宋体" w:hAnsi="宋体" w:cs="宋体"/>
          <w:szCs w:val="21"/>
        </w:rPr>
      </w:pPr>
      <w:r>
        <w:rPr>
          <w:rFonts w:hint="eastAsia" w:ascii="宋体" w:hAnsi="宋体" w:cs="宋体"/>
          <w:szCs w:val="21"/>
        </w:rPr>
        <w:t>室射血分数（LVEF）低于 50% （不含）；</w:t>
      </w:r>
    </w:p>
    <w:p>
      <w:pPr>
        <w:spacing w:line="360" w:lineRule="auto"/>
        <w:ind w:firstLine="420" w:firstLineChars="200"/>
        <w:rPr>
          <w:rFonts w:ascii="宋体" w:hAnsi="宋体" w:cs="宋体"/>
          <w:szCs w:val="21"/>
        </w:rPr>
      </w:pPr>
      <w:r>
        <w:rPr>
          <w:rFonts w:hint="eastAsia" w:ascii="宋体" w:hAnsi="宋体" w:cs="宋体"/>
          <w:szCs w:val="21"/>
        </w:rPr>
        <w:t>（4）影像学检查证实存在新发的乳头肌功能失调或断裂引</w:t>
      </w:r>
    </w:p>
    <w:p>
      <w:pPr>
        <w:spacing w:line="360" w:lineRule="auto"/>
        <w:ind w:firstLine="420" w:firstLineChars="200"/>
        <w:rPr>
          <w:rFonts w:ascii="宋体" w:hAnsi="宋体" w:cs="宋体"/>
          <w:szCs w:val="21"/>
        </w:rPr>
      </w:pPr>
      <w:r>
        <w:rPr>
          <w:rFonts w:hint="eastAsia" w:ascii="宋体" w:hAnsi="宋体" w:cs="宋体"/>
          <w:szCs w:val="21"/>
        </w:rPr>
        <w:t>起的中度（含）以上的二尖瓣反流；</w:t>
      </w:r>
    </w:p>
    <w:p>
      <w:pPr>
        <w:spacing w:line="360" w:lineRule="auto"/>
        <w:ind w:firstLine="420" w:firstLineChars="200"/>
        <w:rPr>
          <w:rFonts w:ascii="宋体" w:hAnsi="宋体" w:cs="宋体"/>
          <w:szCs w:val="21"/>
        </w:rPr>
      </w:pPr>
      <w:r>
        <w:rPr>
          <w:rFonts w:hint="eastAsia" w:ascii="宋体" w:hAnsi="宋体" w:cs="宋体"/>
          <w:szCs w:val="21"/>
        </w:rPr>
        <w:t>（5）影像学检查证实存在新出现的室壁瘤；</w:t>
      </w:r>
    </w:p>
    <w:p>
      <w:pPr>
        <w:spacing w:line="360" w:lineRule="auto"/>
        <w:ind w:firstLine="420" w:firstLineChars="200"/>
        <w:rPr>
          <w:rFonts w:ascii="宋体" w:hAnsi="宋体" w:cs="宋体"/>
          <w:szCs w:val="21"/>
        </w:rPr>
      </w:pPr>
      <w:r>
        <w:rPr>
          <w:rFonts w:hint="eastAsia" w:ascii="宋体" w:hAnsi="宋体" w:cs="宋体"/>
          <w:szCs w:val="21"/>
        </w:rPr>
        <w:t>（6）出现室性心动过速、心室颤动或心源性休克。</w:t>
      </w:r>
    </w:p>
    <w:p>
      <w:pPr>
        <w:spacing w:line="360" w:lineRule="auto"/>
        <w:ind w:firstLine="420" w:firstLineChars="200"/>
        <w:rPr>
          <w:rFonts w:ascii="宋体" w:hAnsi="宋体" w:cs="宋体"/>
          <w:szCs w:val="21"/>
        </w:rPr>
      </w:pPr>
      <w:r>
        <w:rPr>
          <w:rFonts w:hint="eastAsia" w:ascii="宋体" w:hAnsi="宋体" w:cs="宋体"/>
          <w:szCs w:val="21"/>
        </w:rPr>
        <w:t>其他非冠状动脉阻塞性疾病所引起的肌钙蛋白（ cTn） 升高</w:t>
      </w:r>
    </w:p>
    <w:p>
      <w:pPr>
        <w:spacing w:line="360" w:lineRule="auto"/>
        <w:ind w:firstLine="420" w:firstLineChars="200"/>
        <w:rPr>
          <w:rFonts w:ascii="宋体" w:hAnsi="宋体" w:cs="宋体"/>
          <w:szCs w:val="21"/>
        </w:rPr>
      </w:pPr>
      <w:r>
        <w:rPr>
          <w:rFonts w:hint="eastAsia" w:ascii="宋体" w:hAnsi="宋体" w:cs="宋体"/>
          <w:szCs w:val="21"/>
        </w:rPr>
        <w:t>不在保障范围内。</w:t>
      </w:r>
    </w:p>
    <w:p>
      <w:pPr>
        <w:spacing w:line="360" w:lineRule="auto"/>
        <w:ind w:firstLine="420" w:firstLineChars="200"/>
        <w:rPr>
          <w:rFonts w:ascii="宋体" w:hAnsi="宋体" w:cs="宋体"/>
          <w:szCs w:val="21"/>
        </w:rPr>
      </w:pPr>
      <w:r>
        <w:rPr>
          <w:rFonts w:hint="eastAsia" w:ascii="宋体" w:hAnsi="宋体" w:cs="宋体"/>
          <w:szCs w:val="21"/>
        </w:rPr>
        <w:t>1.3 严重脑中风后遗症</w:t>
      </w:r>
    </w:p>
    <w:p>
      <w:pPr>
        <w:spacing w:line="360" w:lineRule="auto"/>
        <w:ind w:firstLine="420" w:firstLineChars="200"/>
        <w:rPr>
          <w:rFonts w:ascii="宋体" w:hAnsi="宋体" w:cs="宋体"/>
          <w:szCs w:val="21"/>
        </w:rPr>
      </w:pPr>
      <w:r>
        <w:rPr>
          <w:rFonts w:hint="eastAsia" w:ascii="宋体" w:hAnsi="宋体" w:cs="宋体"/>
          <w:szCs w:val="21"/>
        </w:rPr>
        <w:t>指因脑血管的突发病变引起脑血管出血、栓塞或梗塞， 须由  头颅断层扫描（CT）、核磁共振检查（MRI）等影像学检查证实，  并导致神经系统永久性的功能障碍。神经系统永久性的功能障碍， 指疾病确诊 180 天后，仍遗留下列至少一种障碍：</w:t>
      </w:r>
    </w:p>
    <w:p>
      <w:pPr>
        <w:spacing w:line="360" w:lineRule="auto"/>
        <w:ind w:firstLine="420" w:firstLineChars="200"/>
        <w:rPr>
          <w:rFonts w:ascii="宋体" w:hAnsi="宋体" w:cs="宋体"/>
          <w:szCs w:val="21"/>
        </w:rPr>
      </w:pPr>
      <w:r>
        <w:rPr>
          <w:rFonts w:hint="eastAsia" w:ascii="宋体" w:hAnsi="宋体" w:cs="宋体"/>
          <w:szCs w:val="21"/>
        </w:rPr>
        <w:t>（1）一肢（含）以上肢体肌力 2 级（含）以下；</w:t>
      </w:r>
    </w:p>
    <w:p>
      <w:pPr>
        <w:spacing w:line="360" w:lineRule="auto"/>
        <w:ind w:firstLine="420" w:firstLineChars="200"/>
        <w:rPr>
          <w:rFonts w:ascii="宋体" w:hAnsi="宋体" w:cs="宋体"/>
          <w:szCs w:val="21"/>
        </w:rPr>
      </w:pPr>
      <w:r>
        <w:rPr>
          <w:rFonts w:hint="eastAsia" w:ascii="宋体" w:hAnsi="宋体" w:cs="宋体"/>
          <w:szCs w:val="21"/>
        </w:rPr>
        <w:t>（2）语言能力完全丧失，或严重咀嚼吞咽功能障碍；</w:t>
      </w:r>
    </w:p>
    <w:p>
      <w:pPr>
        <w:spacing w:line="360" w:lineRule="auto"/>
        <w:ind w:firstLine="420" w:firstLineChars="200"/>
        <w:rPr>
          <w:rFonts w:ascii="宋体" w:hAnsi="宋体" w:cs="宋体"/>
          <w:szCs w:val="21"/>
        </w:rPr>
      </w:pPr>
      <w:r>
        <w:rPr>
          <w:rFonts w:hint="eastAsia" w:ascii="宋体" w:hAnsi="宋体" w:cs="宋体"/>
          <w:szCs w:val="21"/>
        </w:rPr>
        <w:t>（3）自主生活能力完全丧失，无法独立完成六项基本日常 生活活动中的三项或三项以上。</w:t>
      </w:r>
    </w:p>
    <w:p>
      <w:pPr>
        <w:spacing w:line="360" w:lineRule="auto"/>
        <w:ind w:firstLine="420" w:firstLineChars="200"/>
        <w:rPr>
          <w:rFonts w:ascii="宋体" w:hAnsi="宋体" w:cs="宋体"/>
          <w:szCs w:val="21"/>
        </w:rPr>
      </w:pPr>
      <w:r>
        <w:rPr>
          <w:rFonts w:hint="eastAsia" w:ascii="宋体" w:hAnsi="宋体" w:cs="宋体"/>
          <w:szCs w:val="21"/>
        </w:rPr>
        <w:t>1.4 重大器官移植术或造血干细胞移植术</w:t>
      </w:r>
    </w:p>
    <w:p>
      <w:pPr>
        <w:spacing w:line="360" w:lineRule="auto"/>
        <w:ind w:firstLine="420" w:firstLineChars="200"/>
        <w:rPr>
          <w:rFonts w:ascii="宋体" w:hAnsi="宋体" w:cs="宋体"/>
          <w:szCs w:val="21"/>
        </w:rPr>
      </w:pPr>
      <w:r>
        <w:rPr>
          <w:rFonts w:hint="eastAsia" w:ascii="宋体" w:hAnsi="宋体" w:cs="宋体"/>
          <w:szCs w:val="21"/>
        </w:rPr>
        <w:t>重大器官移植术， 指因相应器官功能衰竭， 已经实施了肾脏、</w:t>
      </w:r>
    </w:p>
    <w:p>
      <w:pPr>
        <w:spacing w:line="360" w:lineRule="auto"/>
        <w:ind w:firstLine="420" w:firstLineChars="200"/>
        <w:rPr>
          <w:rFonts w:ascii="宋体" w:hAnsi="宋体" w:cs="宋体"/>
          <w:szCs w:val="21"/>
        </w:rPr>
      </w:pPr>
      <w:r>
        <w:rPr>
          <w:rFonts w:hint="eastAsia" w:ascii="宋体" w:hAnsi="宋体" w:cs="宋体"/>
          <w:szCs w:val="21"/>
        </w:rPr>
        <w:t>肝脏、心脏、肺脏或小肠的异体移植手术。</w:t>
      </w:r>
    </w:p>
    <w:p>
      <w:pPr>
        <w:spacing w:line="360" w:lineRule="auto"/>
        <w:ind w:firstLine="420" w:firstLineChars="200"/>
        <w:rPr>
          <w:rFonts w:ascii="宋体" w:hAnsi="宋体" w:cs="宋体"/>
          <w:szCs w:val="21"/>
        </w:rPr>
      </w:pPr>
      <w:r>
        <w:rPr>
          <w:rFonts w:hint="eastAsia" w:ascii="宋体" w:hAnsi="宋体" w:cs="宋体"/>
          <w:szCs w:val="21"/>
        </w:rPr>
        <w:t>造血干细胞移植术， 指因造血功能损害或造血系统恶性肿瘤， 已经实施了造血干细胞（包括骨髓造血干细胞、外周血造血干细  胞和脐血造血干细胞）的移植手术。</w:t>
      </w:r>
    </w:p>
    <w:p>
      <w:pPr>
        <w:spacing w:line="360" w:lineRule="auto"/>
        <w:ind w:firstLine="420" w:firstLineChars="200"/>
        <w:rPr>
          <w:rFonts w:ascii="宋体" w:hAnsi="宋体" w:cs="宋体"/>
          <w:szCs w:val="21"/>
        </w:rPr>
      </w:pPr>
      <w:r>
        <w:rPr>
          <w:rFonts w:hint="eastAsia" w:ascii="宋体" w:hAnsi="宋体" w:cs="宋体"/>
          <w:szCs w:val="21"/>
        </w:rPr>
        <w:t>1.5 冠状动脉搭桥术（或称冠状动脉旁路移植术）</w:t>
      </w:r>
    </w:p>
    <w:p>
      <w:pPr>
        <w:spacing w:line="360" w:lineRule="auto"/>
        <w:ind w:firstLine="420" w:firstLineChars="200"/>
        <w:rPr>
          <w:rFonts w:ascii="宋体" w:hAnsi="宋体" w:cs="宋体"/>
          <w:szCs w:val="21"/>
        </w:rPr>
      </w:pPr>
      <w:r>
        <w:rPr>
          <w:rFonts w:hint="eastAsia" w:ascii="宋体" w:hAnsi="宋体" w:cs="宋体"/>
          <w:szCs w:val="21"/>
        </w:rPr>
        <w:t>指为治疗严重的冠心病， 已经实施了切开心包进行的冠状动</w:t>
      </w:r>
    </w:p>
    <w:p>
      <w:pPr>
        <w:spacing w:line="360" w:lineRule="auto"/>
        <w:ind w:firstLine="420" w:firstLineChars="200"/>
        <w:rPr>
          <w:rFonts w:ascii="宋体" w:hAnsi="宋体" w:cs="宋体"/>
          <w:szCs w:val="21"/>
        </w:rPr>
      </w:pPr>
      <w:r>
        <w:rPr>
          <w:rFonts w:hint="eastAsia" w:ascii="宋体" w:hAnsi="宋体" w:cs="宋体"/>
          <w:szCs w:val="21"/>
        </w:rPr>
        <w:t>脉血管旁路移植的手术。</w:t>
      </w:r>
    </w:p>
    <w:p>
      <w:pPr>
        <w:spacing w:line="360" w:lineRule="auto"/>
        <w:ind w:firstLine="420" w:firstLineChars="200"/>
        <w:rPr>
          <w:rFonts w:ascii="宋体" w:hAnsi="宋体" w:cs="宋体"/>
          <w:szCs w:val="21"/>
        </w:rPr>
      </w:pPr>
      <w:r>
        <w:rPr>
          <w:rFonts w:hint="eastAsia" w:ascii="宋体" w:hAnsi="宋体" w:cs="宋体"/>
          <w:szCs w:val="21"/>
        </w:rPr>
        <w:t>所有未切开心包的冠状动脉介入治疗不在保障范围内。</w:t>
      </w:r>
    </w:p>
    <w:p>
      <w:pPr>
        <w:spacing w:line="360" w:lineRule="auto"/>
        <w:ind w:firstLine="420" w:firstLineChars="200"/>
        <w:rPr>
          <w:rFonts w:ascii="宋体" w:hAnsi="宋体" w:cs="宋体"/>
          <w:szCs w:val="21"/>
        </w:rPr>
      </w:pPr>
      <w:r>
        <w:rPr>
          <w:rFonts w:hint="eastAsia" w:ascii="宋体" w:hAnsi="宋体" w:cs="宋体"/>
          <w:szCs w:val="21"/>
        </w:rPr>
        <w:t>1.6 严重慢性肾衰竭</w:t>
      </w:r>
    </w:p>
    <w:p>
      <w:pPr>
        <w:spacing w:line="360" w:lineRule="auto"/>
        <w:ind w:firstLine="420" w:firstLineChars="200"/>
        <w:rPr>
          <w:rFonts w:ascii="宋体" w:hAnsi="宋体" w:cs="宋体"/>
          <w:szCs w:val="21"/>
        </w:rPr>
      </w:pPr>
      <w:r>
        <w:rPr>
          <w:rFonts w:hint="eastAsia" w:ascii="宋体" w:hAnsi="宋体" w:cs="宋体"/>
          <w:szCs w:val="21"/>
        </w:rPr>
        <w:t>指双肾功能慢性不可逆性衰竭， 依据肾脏病预后质量倡议 （K/DOQI） 制定的指南， 分期达到慢性肾脏病 5 期， 且经诊断后 已经进行了至少 90 天的规律性透析治疗。规律性透析是指每周</w:t>
      </w:r>
    </w:p>
    <w:p>
      <w:pPr>
        <w:spacing w:line="360" w:lineRule="auto"/>
        <w:ind w:firstLine="420" w:firstLineChars="200"/>
        <w:rPr>
          <w:rFonts w:ascii="宋体" w:hAnsi="宋体" w:cs="宋体"/>
          <w:szCs w:val="21"/>
        </w:rPr>
      </w:pPr>
      <w:r>
        <w:rPr>
          <w:rFonts w:hint="eastAsia" w:ascii="宋体" w:hAnsi="宋体" w:cs="宋体"/>
          <w:szCs w:val="21"/>
        </w:rPr>
        <w:t>进行血液透析或每天进行腹膜透析。</w:t>
      </w:r>
    </w:p>
    <w:p>
      <w:pPr>
        <w:spacing w:line="360" w:lineRule="auto"/>
        <w:ind w:firstLine="420" w:firstLineChars="200"/>
        <w:rPr>
          <w:rFonts w:ascii="宋体" w:hAnsi="宋体" w:cs="宋体"/>
          <w:szCs w:val="21"/>
        </w:rPr>
      </w:pPr>
      <w:r>
        <w:rPr>
          <w:rFonts w:hint="eastAsia" w:ascii="宋体" w:hAnsi="宋体" w:cs="宋体"/>
          <w:szCs w:val="21"/>
        </w:rPr>
        <w:t>1.7 多个肢体缺失</w:t>
      </w:r>
    </w:p>
    <w:p>
      <w:pPr>
        <w:spacing w:line="360" w:lineRule="auto"/>
        <w:ind w:firstLine="420" w:firstLineChars="200"/>
        <w:rPr>
          <w:rFonts w:ascii="宋体" w:hAnsi="宋体" w:cs="宋体"/>
          <w:szCs w:val="21"/>
        </w:rPr>
      </w:pPr>
      <w:r>
        <w:rPr>
          <w:rFonts w:hint="eastAsia" w:ascii="宋体" w:hAnsi="宋体" w:cs="宋体"/>
          <w:szCs w:val="21"/>
        </w:rPr>
        <w:t>指因疾病或意外伤害导致两个或两个以上肢体自腕关节或 踝关节近端（靠近躯干端）以上完全性断离。</w:t>
      </w:r>
    </w:p>
    <w:p>
      <w:pPr>
        <w:spacing w:line="360" w:lineRule="auto"/>
        <w:ind w:firstLine="420" w:firstLineChars="200"/>
        <w:rPr>
          <w:rFonts w:ascii="宋体" w:hAnsi="宋体" w:cs="宋体"/>
          <w:szCs w:val="21"/>
        </w:rPr>
      </w:pPr>
      <w:r>
        <w:rPr>
          <w:rFonts w:hint="eastAsia" w:ascii="宋体" w:hAnsi="宋体" w:cs="宋体"/>
          <w:szCs w:val="21"/>
        </w:rPr>
        <w:t>1.8 急性重症肝炎或亚急性重症肝炎</w:t>
      </w:r>
    </w:p>
    <w:p>
      <w:pPr>
        <w:spacing w:line="360" w:lineRule="auto"/>
        <w:ind w:firstLine="420" w:firstLineChars="200"/>
        <w:rPr>
          <w:rFonts w:ascii="宋体" w:hAnsi="宋体" w:cs="宋体"/>
          <w:szCs w:val="21"/>
        </w:rPr>
      </w:pPr>
      <w:r>
        <w:rPr>
          <w:rFonts w:hint="eastAsia" w:ascii="宋体" w:hAnsi="宋体" w:cs="宋体"/>
          <w:szCs w:val="21"/>
        </w:rPr>
        <w:t>指因肝炎病毒感染引起肝脏组织弥漫性坏死， 导致急性肝功 能衰竭， 且经血清学或病毒学检查证实， 并须满足下列全部条件：</w:t>
      </w:r>
    </w:p>
    <w:p>
      <w:pPr>
        <w:spacing w:line="360" w:lineRule="auto"/>
        <w:ind w:firstLine="420" w:firstLineChars="200"/>
        <w:rPr>
          <w:rFonts w:ascii="宋体" w:hAnsi="宋体" w:cs="宋体"/>
          <w:szCs w:val="21"/>
        </w:rPr>
      </w:pPr>
      <w:r>
        <w:rPr>
          <w:rFonts w:hint="eastAsia" w:ascii="宋体" w:hAnsi="宋体" w:cs="宋体"/>
          <w:szCs w:val="21"/>
        </w:rPr>
        <w:t>（1）重度黄疸或黄疸迅速加重；</w:t>
      </w:r>
    </w:p>
    <w:p>
      <w:pPr>
        <w:spacing w:line="360" w:lineRule="auto"/>
        <w:ind w:firstLine="420" w:firstLineChars="200"/>
        <w:rPr>
          <w:rFonts w:ascii="宋体" w:hAnsi="宋体" w:cs="宋体"/>
          <w:szCs w:val="21"/>
        </w:rPr>
      </w:pPr>
      <w:r>
        <w:rPr>
          <w:rFonts w:hint="eastAsia" w:ascii="宋体" w:hAnsi="宋体" w:cs="宋体"/>
          <w:szCs w:val="21"/>
        </w:rPr>
        <w:t>（2）肝性脑病；</w:t>
      </w:r>
    </w:p>
    <w:p>
      <w:pPr>
        <w:spacing w:line="360" w:lineRule="auto"/>
        <w:ind w:firstLine="420" w:firstLineChars="200"/>
        <w:rPr>
          <w:rFonts w:ascii="宋体" w:hAnsi="宋体" w:cs="宋体"/>
          <w:szCs w:val="21"/>
        </w:rPr>
      </w:pPr>
      <w:r>
        <w:rPr>
          <w:rFonts w:hint="eastAsia" w:ascii="宋体" w:hAnsi="宋体" w:cs="宋体"/>
          <w:szCs w:val="21"/>
        </w:rPr>
        <w:t>（3） B 超或其他影像学检查显示肝脏体积急速萎缩；</w:t>
      </w:r>
    </w:p>
    <w:p>
      <w:pPr>
        <w:spacing w:line="360" w:lineRule="auto"/>
        <w:ind w:firstLine="420" w:firstLineChars="200"/>
        <w:rPr>
          <w:rFonts w:ascii="宋体" w:hAnsi="宋体" w:cs="宋体"/>
          <w:szCs w:val="21"/>
        </w:rPr>
      </w:pPr>
      <w:r>
        <w:rPr>
          <w:rFonts w:hint="eastAsia" w:ascii="宋体" w:hAnsi="宋体" w:cs="宋体"/>
          <w:szCs w:val="21"/>
        </w:rPr>
        <w:t>（4）肝功能指标进行性恶化。</w:t>
      </w:r>
    </w:p>
    <w:p>
      <w:pPr>
        <w:spacing w:line="360" w:lineRule="auto"/>
        <w:ind w:firstLine="420" w:firstLineChars="200"/>
        <w:rPr>
          <w:rFonts w:ascii="宋体" w:hAnsi="宋体" w:cs="宋体"/>
          <w:szCs w:val="21"/>
        </w:rPr>
      </w:pPr>
      <w:r>
        <w:rPr>
          <w:rFonts w:hint="eastAsia" w:ascii="宋体" w:hAnsi="宋体" w:cs="宋体"/>
          <w:szCs w:val="21"/>
        </w:rPr>
        <w:t>1.9 严重非恶性颅内肿瘤</w:t>
      </w:r>
    </w:p>
    <w:p>
      <w:pPr>
        <w:spacing w:line="360" w:lineRule="auto"/>
        <w:ind w:firstLine="420" w:firstLineChars="200"/>
        <w:rPr>
          <w:rFonts w:ascii="宋体" w:hAnsi="宋体" w:cs="宋体"/>
          <w:szCs w:val="21"/>
        </w:rPr>
      </w:pPr>
      <w:r>
        <w:rPr>
          <w:rFonts w:hint="eastAsia" w:ascii="宋体" w:hAnsi="宋体" w:cs="宋体"/>
          <w:szCs w:val="21"/>
        </w:rPr>
        <w:t>指起源于脑、脑神经、脑被膜的非恶性肿瘤， ICD-O-3 肿瘤 形态学编码属于 0 （良性肿瘤）、 1 （动态未定性肿瘤） 范畴， 并 已经引起颅内压升高或神经系统功能损害， 出现视乳头水肿或视 觉受损、听觉受损、面部或肢体瘫痪、癫痫等， 须由头颅断层扫 描（CT）、核磁共振检查（MRI）或正电子发射断层扫描（PET）</w:t>
      </w:r>
    </w:p>
    <w:p>
      <w:pPr>
        <w:spacing w:line="360" w:lineRule="auto"/>
        <w:ind w:firstLine="420" w:firstLineChars="200"/>
        <w:rPr>
          <w:rFonts w:ascii="宋体" w:hAnsi="宋体" w:cs="宋体"/>
          <w:szCs w:val="21"/>
        </w:rPr>
      </w:pPr>
      <w:r>
        <w:rPr>
          <w:rFonts w:hint="eastAsia" w:ascii="宋体" w:hAnsi="宋体" w:cs="宋体"/>
          <w:szCs w:val="21"/>
        </w:rPr>
        <w:t>等影像学检查证实，且须满足下列至少一项条件：</w:t>
      </w:r>
    </w:p>
    <w:p>
      <w:pPr>
        <w:spacing w:line="360" w:lineRule="auto"/>
        <w:ind w:firstLine="420" w:firstLineChars="200"/>
        <w:rPr>
          <w:rFonts w:ascii="宋体" w:hAnsi="宋体" w:cs="宋体"/>
          <w:szCs w:val="21"/>
        </w:rPr>
      </w:pPr>
      <w:r>
        <w:rPr>
          <w:rFonts w:hint="eastAsia" w:ascii="宋体" w:hAnsi="宋体" w:cs="宋体"/>
          <w:szCs w:val="21"/>
        </w:rPr>
        <w:t>（1） 已经实施了开颅进行的颅内肿瘤完全或部分切除手术；</w:t>
      </w:r>
    </w:p>
    <w:p>
      <w:pPr>
        <w:spacing w:line="360" w:lineRule="auto"/>
        <w:ind w:firstLine="420" w:firstLineChars="200"/>
        <w:rPr>
          <w:rFonts w:ascii="宋体" w:hAnsi="宋体" w:cs="宋体"/>
          <w:szCs w:val="21"/>
        </w:rPr>
      </w:pPr>
      <w:r>
        <w:rPr>
          <w:rFonts w:hint="eastAsia" w:ascii="宋体" w:hAnsi="宋体" w:cs="宋体"/>
          <w:szCs w:val="21"/>
        </w:rPr>
        <w:t>（2） 已经实施了针对颅内肿瘤的放射治疗，如γ刀、质子</w:t>
      </w:r>
    </w:p>
    <w:p>
      <w:pPr>
        <w:spacing w:line="360" w:lineRule="auto"/>
        <w:ind w:firstLine="420" w:firstLineChars="200"/>
        <w:rPr>
          <w:rFonts w:ascii="宋体" w:hAnsi="宋体" w:cs="宋体"/>
          <w:szCs w:val="21"/>
        </w:rPr>
      </w:pPr>
      <w:r>
        <w:rPr>
          <w:rFonts w:hint="eastAsia" w:ascii="宋体" w:hAnsi="宋体" w:cs="宋体"/>
          <w:szCs w:val="21"/>
        </w:rPr>
        <w:t>重离子治疗等。</w:t>
      </w:r>
    </w:p>
    <w:p>
      <w:pPr>
        <w:spacing w:line="360" w:lineRule="auto"/>
        <w:ind w:firstLine="420" w:firstLineChars="200"/>
        <w:rPr>
          <w:rFonts w:ascii="宋体" w:hAnsi="宋体" w:cs="宋体"/>
          <w:szCs w:val="21"/>
        </w:rPr>
      </w:pPr>
      <w:r>
        <w:rPr>
          <w:rFonts w:hint="eastAsia" w:ascii="宋体" w:hAnsi="宋体" w:cs="宋体"/>
          <w:szCs w:val="21"/>
        </w:rPr>
        <w:t>下列疾病不在保障范围内：</w:t>
      </w:r>
    </w:p>
    <w:p>
      <w:pPr>
        <w:spacing w:line="360" w:lineRule="auto"/>
        <w:ind w:firstLine="420" w:firstLineChars="200"/>
        <w:rPr>
          <w:rFonts w:ascii="宋体" w:hAnsi="宋体" w:cs="宋体"/>
          <w:szCs w:val="21"/>
        </w:rPr>
      </w:pPr>
      <w:r>
        <w:rPr>
          <w:rFonts w:hint="eastAsia" w:ascii="宋体" w:hAnsi="宋体" w:cs="宋体"/>
          <w:szCs w:val="21"/>
        </w:rPr>
        <w:t>（1） 脑垂体瘤；</w:t>
      </w:r>
    </w:p>
    <w:p>
      <w:pPr>
        <w:spacing w:line="360" w:lineRule="auto"/>
        <w:ind w:firstLine="420" w:firstLineChars="200"/>
        <w:rPr>
          <w:rFonts w:ascii="宋体" w:hAnsi="宋体" w:cs="宋体"/>
          <w:szCs w:val="21"/>
        </w:rPr>
      </w:pPr>
      <w:r>
        <w:rPr>
          <w:rFonts w:hint="eastAsia" w:ascii="宋体" w:hAnsi="宋体" w:cs="宋体"/>
          <w:szCs w:val="21"/>
        </w:rPr>
        <w:t>（2） 脑囊肿；</w:t>
      </w:r>
    </w:p>
    <w:p>
      <w:pPr>
        <w:spacing w:line="360" w:lineRule="auto"/>
        <w:ind w:firstLine="420" w:firstLineChars="200"/>
        <w:rPr>
          <w:rFonts w:ascii="宋体" w:hAnsi="宋体" w:cs="宋体"/>
          <w:szCs w:val="21"/>
        </w:rPr>
      </w:pPr>
      <w:r>
        <w:rPr>
          <w:rFonts w:hint="eastAsia" w:ascii="宋体" w:hAnsi="宋体" w:cs="宋体"/>
          <w:szCs w:val="21"/>
        </w:rPr>
        <w:t>（3） 颅内血管性疾病（如脑动脉瘤、脑动静脉畸形、海绵 状血管瘤、毛细血管扩张症等）</w:t>
      </w:r>
    </w:p>
    <w:p>
      <w:pPr>
        <w:spacing w:line="360" w:lineRule="auto"/>
        <w:ind w:firstLine="420" w:firstLineChars="200"/>
        <w:rPr>
          <w:rFonts w:ascii="宋体" w:hAnsi="宋体" w:cs="宋体"/>
          <w:szCs w:val="21"/>
        </w:rPr>
      </w:pPr>
      <w:r>
        <w:rPr>
          <w:rFonts w:hint="eastAsia" w:ascii="宋体" w:hAnsi="宋体" w:cs="宋体"/>
          <w:szCs w:val="21"/>
        </w:rPr>
        <w:t>1.10 严重慢性肝衰竭</w:t>
      </w:r>
    </w:p>
    <w:p>
      <w:pPr>
        <w:spacing w:line="360" w:lineRule="auto"/>
        <w:ind w:firstLine="420" w:firstLineChars="200"/>
        <w:rPr>
          <w:rFonts w:ascii="宋体" w:hAnsi="宋体" w:cs="宋体"/>
          <w:szCs w:val="21"/>
        </w:rPr>
      </w:pPr>
      <w:r>
        <w:rPr>
          <w:rFonts w:hint="eastAsia" w:ascii="宋体" w:hAnsi="宋体" w:cs="宋体"/>
          <w:szCs w:val="21"/>
        </w:rPr>
        <w:t>指因慢性肝脏疾病导致的肝衰竭，且须满足下列全部条件：</w:t>
      </w:r>
    </w:p>
    <w:p>
      <w:pPr>
        <w:spacing w:line="360" w:lineRule="auto"/>
        <w:ind w:firstLine="420" w:firstLineChars="200"/>
        <w:rPr>
          <w:rFonts w:ascii="宋体" w:hAnsi="宋体" w:cs="宋体"/>
          <w:szCs w:val="21"/>
        </w:rPr>
      </w:pPr>
      <w:r>
        <w:rPr>
          <w:rFonts w:hint="eastAsia" w:ascii="宋体" w:hAnsi="宋体" w:cs="宋体"/>
          <w:szCs w:val="21"/>
        </w:rPr>
        <w:t>（1）持续性黄疸；</w:t>
      </w:r>
    </w:p>
    <w:p>
      <w:pPr>
        <w:spacing w:line="360" w:lineRule="auto"/>
        <w:ind w:firstLine="420" w:firstLineChars="200"/>
        <w:rPr>
          <w:rFonts w:ascii="宋体" w:hAnsi="宋体" w:cs="宋体"/>
          <w:szCs w:val="21"/>
        </w:rPr>
      </w:pPr>
      <w:r>
        <w:rPr>
          <w:rFonts w:hint="eastAsia" w:ascii="宋体" w:hAnsi="宋体" w:cs="宋体"/>
          <w:szCs w:val="21"/>
        </w:rPr>
        <w:t>（2）腹水；</w:t>
      </w:r>
    </w:p>
    <w:p>
      <w:pPr>
        <w:spacing w:line="360" w:lineRule="auto"/>
        <w:ind w:firstLine="420" w:firstLineChars="200"/>
        <w:rPr>
          <w:rFonts w:ascii="宋体" w:hAnsi="宋体" w:cs="宋体"/>
          <w:szCs w:val="21"/>
        </w:rPr>
      </w:pPr>
      <w:r>
        <w:rPr>
          <w:rFonts w:hint="eastAsia" w:ascii="宋体" w:hAnsi="宋体" w:cs="宋体"/>
          <w:szCs w:val="21"/>
        </w:rPr>
        <w:t>（3）肝性脑病；</w:t>
      </w:r>
    </w:p>
    <w:p>
      <w:pPr>
        <w:spacing w:line="360" w:lineRule="auto"/>
        <w:ind w:firstLine="420" w:firstLineChars="200"/>
        <w:rPr>
          <w:rFonts w:ascii="宋体" w:hAnsi="宋体" w:cs="宋体"/>
          <w:szCs w:val="21"/>
        </w:rPr>
      </w:pPr>
      <w:r>
        <w:rPr>
          <w:rFonts w:hint="eastAsia" w:ascii="宋体" w:hAnsi="宋体" w:cs="宋体"/>
          <w:szCs w:val="21"/>
        </w:rPr>
        <w:t>（4）充血性脾肿大伴脾功能亢进或食管胃底静脉曲张。</w:t>
      </w:r>
    </w:p>
    <w:p>
      <w:pPr>
        <w:spacing w:line="360" w:lineRule="auto"/>
        <w:ind w:firstLine="420" w:firstLineChars="200"/>
        <w:rPr>
          <w:rFonts w:ascii="宋体" w:hAnsi="宋体" w:cs="宋体"/>
          <w:szCs w:val="21"/>
        </w:rPr>
      </w:pPr>
      <w:r>
        <w:rPr>
          <w:rFonts w:hint="eastAsia" w:ascii="宋体" w:hAnsi="宋体" w:cs="宋体"/>
          <w:szCs w:val="21"/>
        </w:rPr>
        <w:t>因酗酒或药物滥用导致的肝衰竭不在保障范围内。</w:t>
      </w:r>
    </w:p>
    <w:p>
      <w:pPr>
        <w:spacing w:line="360" w:lineRule="auto"/>
        <w:ind w:firstLine="420" w:firstLineChars="200"/>
        <w:rPr>
          <w:rFonts w:ascii="宋体" w:hAnsi="宋体" w:cs="宋体"/>
          <w:szCs w:val="21"/>
        </w:rPr>
      </w:pPr>
      <w:r>
        <w:rPr>
          <w:rFonts w:hint="eastAsia" w:ascii="宋体" w:hAnsi="宋体" w:cs="宋体"/>
          <w:szCs w:val="21"/>
        </w:rPr>
        <w:t>1.11 严重脑炎后遗症或严重脑膜炎后遗症</w:t>
      </w:r>
    </w:p>
    <w:p>
      <w:pPr>
        <w:spacing w:line="360" w:lineRule="auto"/>
        <w:ind w:firstLine="420" w:firstLineChars="200"/>
        <w:rPr>
          <w:rFonts w:ascii="宋体" w:hAnsi="宋体" w:cs="宋体"/>
          <w:szCs w:val="21"/>
        </w:rPr>
      </w:pPr>
      <w:r>
        <w:rPr>
          <w:rFonts w:hint="eastAsia" w:ascii="宋体" w:hAnsi="宋体" w:cs="宋体"/>
          <w:szCs w:val="21"/>
        </w:rPr>
        <w:t>指因患脑炎或脑膜炎导致的神经系统永久性的功能障碍。神  经系统永久性的功能障碍， 指经相关专科医生确诊疾病 180 天后，</w:t>
      </w:r>
    </w:p>
    <w:p>
      <w:pPr>
        <w:spacing w:line="360" w:lineRule="auto"/>
        <w:ind w:firstLine="420" w:firstLineChars="200"/>
        <w:rPr>
          <w:rFonts w:ascii="宋体" w:hAnsi="宋体" w:cs="宋体"/>
          <w:szCs w:val="21"/>
        </w:rPr>
      </w:pPr>
      <w:r>
        <w:rPr>
          <w:rFonts w:hint="eastAsia" w:ascii="宋体" w:hAnsi="宋体" w:cs="宋体"/>
          <w:szCs w:val="21"/>
        </w:rPr>
        <w:t>仍遗留下列至少一种障碍：</w:t>
      </w:r>
    </w:p>
    <w:p>
      <w:pPr>
        <w:spacing w:line="360" w:lineRule="auto"/>
        <w:ind w:firstLine="420" w:firstLineChars="200"/>
        <w:rPr>
          <w:rFonts w:ascii="宋体" w:hAnsi="宋体" w:cs="宋体"/>
          <w:szCs w:val="21"/>
        </w:rPr>
      </w:pPr>
      <w:r>
        <w:rPr>
          <w:rFonts w:hint="eastAsia" w:ascii="宋体" w:hAnsi="宋体" w:cs="宋体"/>
          <w:szCs w:val="21"/>
        </w:rPr>
        <w:t>（1）一肢（含）以上肢体肌力 2 级（含）以下；</w:t>
      </w:r>
    </w:p>
    <w:p>
      <w:pPr>
        <w:spacing w:line="360" w:lineRule="auto"/>
        <w:ind w:firstLine="420" w:firstLineChars="200"/>
        <w:rPr>
          <w:rFonts w:ascii="宋体" w:hAnsi="宋体" w:cs="宋体"/>
          <w:szCs w:val="21"/>
        </w:rPr>
      </w:pPr>
      <w:r>
        <w:rPr>
          <w:rFonts w:hint="eastAsia" w:ascii="宋体" w:hAnsi="宋体" w:cs="宋体"/>
          <w:szCs w:val="21"/>
        </w:rPr>
        <w:t>（2）语言能力完全丧失，或严重咀嚼吞咽功能障碍；</w:t>
      </w:r>
    </w:p>
    <w:p>
      <w:pPr>
        <w:spacing w:line="360" w:lineRule="auto"/>
        <w:ind w:firstLine="420" w:firstLineChars="200"/>
        <w:rPr>
          <w:rFonts w:ascii="宋体" w:hAnsi="宋体" w:cs="宋体"/>
          <w:szCs w:val="21"/>
        </w:rPr>
      </w:pPr>
      <w:r>
        <w:rPr>
          <w:rFonts w:hint="eastAsia" w:ascii="宋体" w:hAnsi="宋体" w:cs="宋体"/>
          <w:szCs w:val="21"/>
        </w:rPr>
        <w:t>（3） 由具有评估资格的专科医生根据临床痴呆评定量表</w:t>
      </w:r>
    </w:p>
    <w:p>
      <w:pPr>
        <w:spacing w:line="360" w:lineRule="auto"/>
        <w:ind w:firstLine="420" w:firstLineChars="200"/>
        <w:rPr>
          <w:rFonts w:ascii="宋体" w:hAnsi="宋体" w:cs="宋体"/>
          <w:szCs w:val="21"/>
        </w:rPr>
      </w:pPr>
      <w:r>
        <w:rPr>
          <w:rFonts w:hint="eastAsia" w:ascii="宋体" w:hAnsi="宋体" w:cs="宋体"/>
          <w:szCs w:val="21"/>
        </w:rPr>
        <w:t>（CDR，Clinical Dementia Rating）评估结果为 3 分；</w:t>
      </w:r>
    </w:p>
    <w:p>
      <w:pPr>
        <w:spacing w:line="360" w:lineRule="auto"/>
        <w:ind w:firstLine="420" w:firstLineChars="200"/>
        <w:rPr>
          <w:rFonts w:ascii="宋体" w:hAnsi="宋体" w:cs="宋体"/>
          <w:szCs w:val="21"/>
        </w:rPr>
      </w:pPr>
      <w:r>
        <w:rPr>
          <w:rFonts w:hint="eastAsia" w:ascii="宋体" w:hAnsi="宋体" w:cs="宋体"/>
          <w:szCs w:val="21"/>
        </w:rPr>
        <w:t>（4）自主生活能力完全丧失，无法独立完成六项基本日常</w:t>
      </w:r>
    </w:p>
    <w:p>
      <w:pPr>
        <w:spacing w:line="360" w:lineRule="auto"/>
        <w:ind w:firstLine="420" w:firstLineChars="200"/>
        <w:rPr>
          <w:rFonts w:ascii="宋体" w:hAnsi="宋体" w:cs="宋体"/>
          <w:szCs w:val="21"/>
        </w:rPr>
      </w:pPr>
      <w:r>
        <w:rPr>
          <w:rFonts w:hint="eastAsia" w:ascii="宋体" w:hAnsi="宋体" w:cs="宋体"/>
          <w:szCs w:val="21"/>
        </w:rPr>
        <w:t>生活活动中的三项或三项以上。</w:t>
      </w:r>
    </w:p>
    <w:p>
      <w:pPr>
        <w:spacing w:line="360" w:lineRule="auto"/>
        <w:ind w:firstLine="420" w:firstLineChars="200"/>
        <w:rPr>
          <w:rFonts w:ascii="宋体" w:hAnsi="宋体" w:cs="宋体"/>
          <w:szCs w:val="21"/>
        </w:rPr>
      </w:pPr>
      <w:r>
        <w:rPr>
          <w:rFonts w:hint="eastAsia" w:ascii="宋体" w:hAnsi="宋体" w:cs="宋体"/>
          <w:szCs w:val="21"/>
        </w:rPr>
        <w:t>1.12 深度昏迷</w:t>
      </w:r>
    </w:p>
    <w:p>
      <w:pPr>
        <w:spacing w:line="360" w:lineRule="auto"/>
        <w:ind w:firstLine="420" w:firstLineChars="200"/>
        <w:rPr>
          <w:rFonts w:ascii="宋体" w:hAnsi="宋体" w:cs="宋体"/>
          <w:szCs w:val="21"/>
        </w:rPr>
      </w:pPr>
      <w:r>
        <w:rPr>
          <w:rFonts w:hint="eastAsia" w:ascii="宋体" w:hAnsi="宋体" w:cs="宋体"/>
          <w:szCs w:val="21"/>
        </w:rPr>
        <w:t>指因疾病或意外伤害导致意识丧失，对外界刺激和体内需求 均无反应，昏迷程度按照格拉斯哥昏迷分级（GCS，Glasgow Coma Scale）结果为 5 分或 5 分以下，且已经持续使用呼吸机及其他 生命维持系统 96 小时以上。</w:t>
      </w: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szCs w:val="21"/>
        </w:rPr>
        <w:t>因酗酒或药物滥用导致的深度昏迷不在保障范围内。</w:t>
      </w:r>
    </w:p>
    <w:p>
      <w:pPr>
        <w:spacing w:line="360" w:lineRule="auto"/>
        <w:ind w:firstLine="420" w:firstLineChars="200"/>
        <w:rPr>
          <w:rFonts w:ascii="宋体" w:hAnsi="宋体" w:cs="宋体"/>
          <w:szCs w:val="21"/>
        </w:rPr>
      </w:pPr>
      <w:r>
        <w:rPr>
          <w:rFonts w:hint="eastAsia" w:ascii="宋体" w:hAnsi="宋体" w:cs="宋体"/>
          <w:szCs w:val="21"/>
        </w:rPr>
        <w:t>1.13 双耳失聪</w:t>
      </w:r>
    </w:p>
    <w:p>
      <w:pPr>
        <w:spacing w:line="360" w:lineRule="auto"/>
        <w:ind w:firstLine="420" w:firstLineChars="200"/>
        <w:rPr>
          <w:rFonts w:ascii="宋体" w:hAnsi="宋体" w:cs="宋体"/>
          <w:szCs w:val="21"/>
        </w:rPr>
      </w:pPr>
      <w:r>
        <w:rPr>
          <w:rFonts w:hint="eastAsia" w:ascii="宋体" w:hAnsi="宋体" w:cs="宋体"/>
          <w:szCs w:val="21"/>
        </w:rPr>
        <w:t>指因疾病或意外伤害导致双耳听力永久不可逆性丧失， 在 500 赫兹、 1000 赫兹和 2000 赫兹语音频率下，平均听阈大于等 于 91 分贝，且经纯音听力测试、声导抗检测或听觉诱发电位检</w:t>
      </w:r>
    </w:p>
    <w:p>
      <w:pPr>
        <w:spacing w:line="360" w:lineRule="auto"/>
        <w:ind w:firstLine="420" w:firstLineChars="200"/>
        <w:rPr>
          <w:rFonts w:ascii="宋体" w:hAnsi="宋体" w:cs="宋体"/>
          <w:szCs w:val="21"/>
        </w:rPr>
      </w:pPr>
      <w:r>
        <w:rPr>
          <w:rFonts w:hint="eastAsia" w:ascii="宋体" w:hAnsi="宋体" w:cs="宋体"/>
          <w:szCs w:val="21"/>
        </w:rPr>
        <w:t>测等证实。</w:t>
      </w:r>
    </w:p>
    <w:p>
      <w:pPr>
        <w:spacing w:line="360" w:lineRule="auto"/>
        <w:ind w:firstLine="420" w:firstLineChars="200"/>
        <w:rPr>
          <w:rFonts w:ascii="宋体" w:hAnsi="宋体" w:cs="宋体"/>
          <w:szCs w:val="21"/>
        </w:rPr>
      </w:pPr>
      <w:r>
        <w:rPr>
          <w:rFonts w:hint="eastAsia" w:ascii="宋体" w:hAnsi="宋体" w:cs="宋体"/>
          <w:szCs w:val="21"/>
        </w:rPr>
        <w:t>注： 如果保险公司仅承担被保险人在某年龄之后的保障责任， 须在疾病定义中特别说明。</w:t>
      </w:r>
    </w:p>
    <w:p>
      <w:pPr>
        <w:spacing w:line="360" w:lineRule="auto"/>
        <w:ind w:firstLine="420" w:firstLineChars="200"/>
        <w:rPr>
          <w:rFonts w:ascii="宋体" w:hAnsi="宋体" w:cs="宋体"/>
          <w:szCs w:val="21"/>
        </w:rPr>
      </w:pPr>
      <w:r>
        <w:rPr>
          <w:rFonts w:hint="eastAsia" w:ascii="宋体" w:hAnsi="宋体" w:cs="宋体"/>
          <w:szCs w:val="21"/>
        </w:rPr>
        <w:t>1.14 双目失明</w:t>
      </w:r>
    </w:p>
    <w:p>
      <w:pPr>
        <w:spacing w:line="360" w:lineRule="auto"/>
        <w:ind w:firstLine="420" w:firstLineChars="200"/>
        <w:rPr>
          <w:rFonts w:ascii="宋体" w:hAnsi="宋体" w:cs="宋体"/>
          <w:szCs w:val="21"/>
        </w:rPr>
      </w:pPr>
      <w:r>
        <w:rPr>
          <w:rFonts w:hint="eastAsia" w:ascii="宋体" w:hAnsi="宋体" w:cs="宋体"/>
          <w:szCs w:val="21"/>
        </w:rPr>
        <w:t>指因疾病或意外伤害导致双眼视力永久不可逆性丧失， 双眼</w:t>
      </w:r>
    </w:p>
    <w:p>
      <w:pPr>
        <w:spacing w:line="360" w:lineRule="auto"/>
        <w:ind w:firstLine="420" w:firstLineChars="200"/>
        <w:rPr>
          <w:rFonts w:ascii="宋体" w:hAnsi="宋体" w:cs="宋体"/>
          <w:szCs w:val="21"/>
        </w:rPr>
      </w:pPr>
      <w:r>
        <w:rPr>
          <w:rFonts w:hint="eastAsia" w:ascii="宋体" w:hAnsi="宋体" w:cs="宋体"/>
          <w:szCs w:val="21"/>
        </w:rPr>
        <w:t>中较好眼须满足下列至少一项条件：</w:t>
      </w:r>
    </w:p>
    <w:p>
      <w:pPr>
        <w:spacing w:line="360" w:lineRule="auto"/>
        <w:ind w:firstLine="420" w:firstLineChars="200"/>
        <w:rPr>
          <w:rFonts w:ascii="宋体" w:hAnsi="宋体" w:cs="宋体"/>
          <w:szCs w:val="21"/>
        </w:rPr>
      </w:pPr>
      <w:r>
        <w:rPr>
          <w:rFonts w:hint="eastAsia" w:ascii="宋体" w:hAnsi="宋体" w:cs="宋体"/>
          <w:szCs w:val="21"/>
        </w:rPr>
        <w:t>（1）眼球缺失或摘除；</w:t>
      </w:r>
    </w:p>
    <w:p>
      <w:pPr>
        <w:spacing w:line="360" w:lineRule="auto"/>
        <w:ind w:firstLine="420" w:firstLineChars="200"/>
        <w:rPr>
          <w:rFonts w:ascii="宋体" w:hAnsi="宋体" w:cs="宋体"/>
          <w:szCs w:val="21"/>
        </w:rPr>
      </w:pPr>
      <w:r>
        <w:rPr>
          <w:rFonts w:hint="eastAsia" w:ascii="宋体" w:hAnsi="宋体" w:cs="宋体"/>
          <w:szCs w:val="21"/>
        </w:rPr>
        <w:t>（2） 矫正视力低于 0.02 （采用国际标准视力表， 如果使用 其他视力表应进行换算）；</w:t>
      </w:r>
    </w:p>
    <w:p>
      <w:pPr>
        <w:spacing w:line="360" w:lineRule="auto"/>
        <w:ind w:firstLine="420" w:firstLineChars="200"/>
        <w:rPr>
          <w:rFonts w:ascii="宋体" w:hAnsi="宋体" w:cs="宋体"/>
          <w:szCs w:val="21"/>
        </w:rPr>
      </w:pPr>
      <w:r>
        <w:rPr>
          <w:rFonts w:hint="eastAsia" w:ascii="宋体" w:hAnsi="宋体" w:cs="宋体"/>
          <w:szCs w:val="21"/>
        </w:rPr>
        <w:t>（3）视野半径小于 5 度。</w:t>
      </w:r>
    </w:p>
    <w:p>
      <w:pPr>
        <w:spacing w:line="360" w:lineRule="auto"/>
        <w:ind w:firstLine="420" w:firstLineChars="200"/>
        <w:rPr>
          <w:rFonts w:ascii="宋体" w:hAnsi="宋体" w:cs="宋体"/>
          <w:szCs w:val="21"/>
        </w:rPr>
      </w:pPr>
      <w:r>
        <w:rPr>
          <w:rFonts w:hint="eastAsia" w:ascii="宋体" w:hAnsi="宋体" w:cs="宋体"/>
          <w:szCs w:val="21"/>
        </w:rPr>
        <w:t>注： 如果保险公司仅承担被保险人在某年龄之后的保障责任，</w:t>
      </w:r>
    </w:p>
    <w:p>
      <w:pPr>
        <w:spacing w:line="360" w:lineRule="auto"/>
        <w:ind w:firstLine="420" w:firstLineChars="200"/>
        <w:rPr>
          <w:rFonts w:ascii="宋体" w:hAnsi="宋体" w:cs="宋体"/>
          <w:szCs w:val="21"/>
        </w:rPr>
      </w:pPr>
      <w:r>
        <w:rPr>
          <w:rFonts w:hint="eastAsia" w:ascii="宋体" w:hAnsi="宋体" w:cs="宋体"/>
          <w:szCs w:val="21"/>
        </w:rPr>
        <w:t>须在疾病定义中特别说明。</w:t>
      </w:r>
    </w:p>
    <w:p>
      <w:pPr>
        <w:spacing w:line="360" w:lineRule="auto"/>
        <w:ind w:firstLine="420" w:firstLineChars="200"/>
        <w:rPr>
          <w:rFonts w:ascii="宋体" w:hAnsi="宋体" w:cs="宋体"/>
          <w:szCs w:val="21"/>
        </w:rPr>
      </w:pPr>
      <w:r>
        <w:rPr>
          <w:rFonts w:hint="eastAsia" w:ascii="宋体" w:hAnsi="宋体" w:cs="宋体"/>
          <w:szCs w:val="21"/>
        </w:rPr>
        <w:t>1.15 瘫痪</w:t>
      </w:r>
    </w:p>
    <w:p>
      <w:pPr>
        <w:spacing w:line="360" w:lineRule="auto"/>
        <w:ind w:firstLine="420" w:firstLineChars="200"/>
        <w:rPr>
          <w:rFonts w:ascii="宋体" w:hAnsi="宋体" w:cs="宋体"/>
          <w:szCs w:val="21"/>
        </w:rPr>
      </w:pPr>
      <w:r>
        <w:rPr>
          <w:rFonts w:hint="eastAsia" w:ascii="宋体" w:hAnsi="宋体" w:cs="宋体"/>
          <w:szCs w:val="21"/>
        </w:rPr>
        <w:t>指因疾病或意外伤害导致两肢或两肢以上肢体随意运动功 能永久完全丧失。肢体随意运动功能永久完全丧失， 指疾病确诊 180 天后或意外伤害发生 180 天后， 每肢三大关节中的两大关节 仍然完全僵硬，或肢体肌力在 2 级（含）以下。</w:t>
      </w: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szCs w:val="21"/>
        </w:rPr>
        <w:t>1.16 心脏瓣膜手术</w:t>
      </w:r>
    </w:p>
    <w:p>
      <w:pPr>
        <w:spacing w:line="360" w:lineRule="auto"/>
        <w:ind w:firstLine="420" w:firstLineChars="200"/>
        <w:rPr>
          <w:rFonts w:ascii="宋体" w:hAnsi="宋体" w:cs="宋体"/>
          <w:szCs w:val="21"/>
        </w:rPr>
      </w:pPr>
      <w:r>
        <w:rPr>
          <w:rFonts w:hint="eastAsia" w:ascii="宋体" w:hAnsi="宋体" w:cs="宋体"/>
          <w:szCs w:val="21"/>
        </w:rPr>
        <w:t>指为治疗心脏瓣膜疾病， 已经实施了切开心脏进行的心脏瓣 膜置换或修复的手术。</w:t>
      </w:r>
    </w:p>
    <w:p>
      <w:pPr>
        <w:spacing w:line="360" w:lineRule="auto"/>
        <w:ind w:firstLine="420" w:firstLineChars="200"/>
        <w:rPr>
          <w:rFonts w:ascii="宋体" w:hAnsi="宋体" w:cs="宋体"/>
          <w:szCs w:val="21"/>
        </w:rPr>
      </w:pPr>
      <w:r>
        <w:rPr>
          <w:rFonts w:hint="eastAsia" w:ascii="宋体" w:hAnsi="宋体" w:cs="宋体"/>
          <w:szCs w:val="21"/>
        </w:rPr>
        <w:t>所有未切开心脏的心脏瓣膜介入手术不在保障范围内。</w:t>
      </w:r>
    </w:p>
    <w:p>
      <w:pPr>
        <w:spacing w:line="360" w:lineRule="auto"/>
        <w:ind w:firstLine="420" w:firstLineChars="200"/>
        <w:rPr>
          <w:rFonts w:ascii="宋体" w:hAnsi="宋体" w:cs="宋体"/>
          <w:szCs w:val="21"/>
        </w:rPr>
      </w:pPr>
      <w:r>
        <w:rPr>
          <w:rFonts w:hint="eastAsia" w:ascii="宋体" w:hAnsi="宋体" w:cs="宋体"/>
          <w:szCs w:val="21"/>
        </w:rPr>
        <w:t>1.17 严重阿尔茨海默病</w:t>
      </w:r>
    </w:p>
    <w:p>
      <w:pPr>
        <w:spacing w:line="360" w:lineRule="auto"/>
        <w:ind w:firstLine="420" w:firstLineChars="200"/>
        <w:rPr>
          <w:rFonts w:ascii="宋体" w:hAnsi="宋体" w:cs="宋体"/>
          <w:szCs w:val="21"/>
        </w:rPr>
      </w:pPr>
      <w:r>
        <w:rPr>
          <w:rFonts w:hint="eastAsia" w:ascii="宋体" w:hAnsi="宋体" w:cs="宋体"/>
          <w:szCs w:val="21"/>
        </w:rPr>
        <w:t>指因大脑进行性、不可逆性改变导致智能严重衰退或丧失， 临床表现为严重的认知功能障碍、精神行为异常和社交能力减退 等， 其日常生活必须持续受到他人监护。须由头颅断层扫描（CT）、 核磁共振检查（MRI） 或正电子发射断层扫描（PET） 等影像学检 查证实，并经相关专科医生确诊，且须满足下列至少一项条件：</w:t>
      </w:r>
    </w:p>
    <w:p>
      <w:pPr>
        <w:spacing w:line="360" w:lineRule="auto"/>
        <w:ind w:firstLine="420" w:firstLineChars="200"/>
        <w:rPr>
          <w:rFonts w:ascii="宋体" w:hAnsi="宋体" w:cs="宋体"/>
          <w:szCs w:val="21"/>
        </w:rPr>
      </w:pPr>
      <w:r>
        <w:rPr>
          <w:rFonts w:hint="eastAsia" w:ascii="宋体" w:hAnsi="宋体" w:cs="宋体"/>
          <w:szCs w:val="21"/>
        </w:rPr>
        <w:t>（1） 由具有评估资格的专科医生根据临床痴呆评定量表</w:t>
      </w:r>
    </w:p>
    <w:p>
      <w:pPr>
        <w:spacing w:line="360" w:lineRule="auto"/>
        <w:ind w:firstLine="420" w:firstLineChars="200"/>
        <w:rPr>
          <w:rFonts w:ascii="宋体" w:hAnsi="宋体" w:cs="宋体"/>
          <w:szCs w:val="21"/>
        </w:rPr>
      </w:pPr>
      <w:r>
        <w:rPr>
          <w:rFonts w:hint="eastAsia" w:ascii="宋体" w:hAnsi="宋体" w:cs="宋体"/>
          <w:szCs w:val="21"/>
        </w:rPr>
        <w:t>（CDR，Clinical Dementia Rating）评估结果为 3 分；</w:t>
      </w:r>
    </w:p>
    <w:p>
      <w:pPr>
        <w:spacing w:line="360" w:lineRule="auto"/>
        <w:ind w:firstLine="420" w:firstLineChars="200"/>
        <w:rPr>
          <w:rFonts w:ascii="宋体" w:hAnsi="宋体" w:cs="宋体"/>
          <w:szCs w:val="21"/>
        </w:rPr>
      </w:pPr>
      <w:r>
        <w:rPr>
          <w:rFonts w:hint="eastAsia" w:ascii="宋体" w:hAnsi="宋体" w:cs="宋体"/>
          <w:szCs w:val="21"/>
        </w:rPr>
        <w:t>（2）自主生活能力完全丧失，无法独立完成六项基本日常 生活活动中的三项或三项以上。</w:t>
      </w:r>
    </w:p>
    <w:p>
      <w:pPr>
        <w:spacing w:line="360" w:lineRule="auto"/>
        <w:ind w:firstLine="420" w:firstLineChars="200"/>
        <w:rPr>
          <w:rFonts w:ascii="宋体" w:hAnsi="宋体" w:cs="宋体"/>
          <w:szCs w:val="21"/>
        </w:rPr>
      </w:pPr>
      <w:r>
        <w:rPr>
          <w:rFonts w:hint="eastAsia" w:ascii="宋体" w:hAnsi="宋体" w:cs="宋体"/>
          <w:szCs w:val="21"/>
        </w:rPr>
        <w:t>阿尔茨海默病之外的其他类型痴呆不在保障范围内。</w:t>
      </w:r>
    </w:p>
    <w:p>
      <w:pPr>
        <w:spacing w:line="360" w:lineRule="auto"/>
        <w:ind w:firstLine="420" w:firstLineChars="200"/>
        <w:rPr>
          <w:rFonts w:ascii="宋体" w:hAnsi="宋体" w:cs="宋体"/>
          <w:szCs w:val="21"/>
        </w:rPr>
      </w:pPr>
      <w:r>
        <w:rPr>
          <w:rFonts w:hint="eastAsia" w:ascii="宋体" w:hAnsi="宋体" w:cs="宋体"/>
          <w:szCs w:val="21"/>
        </w:rPr>
        <w:t>注： 如果保险公司仅承担被保险人在某年龄之前的保障责任，</w:t>
      </w:r>
    </w:p>
    <w:p>
      <w:pPr>
        <w:spacing w:line="360" w:lineRule="auto"/>
        <w:ind w:firstLine="420" w:firstLineChars="200"/>
        <w:rPr>
          <w:rFonts w:ascii="宋体" w:hAnsi="宋体" w:cs="宋体"/>
          <w:szCs w:val="21"/>
        </w:rPr>
      </w:pPr>
      <w:r>
        <w:rPr>
          <w:rFonts w:hint="eastAsia" w:ascii="宋体" w:hAnsi="宋体" w:cs="宋体"/>
          <w:szCs w:val="21"/>
        </w:rPr>
        <w:t>须在疾病定义中特别说明。</w:t>
      </w:r>
    </w:p>
    <w:p>
      <w:pPr>
        <w:spacing w:line="360" w:lineRule="auto"/>
        <w:ind w:firstLine="420" w:firstLineChars="200"/>
        <w:rPr>
          <w:rFonts w:ascii="宋体" w:hAnsi="宋体" w:cs="宋体"/>
          <w:szCs w:val="21"/>
        </w:rPr>
      </w:pPr>
      <w:r>
        <w:rPr>
          <w:rFonts w:hint="eastAsia" w:ascii="宋体" w:hAnsi="宋体" w:cs="宋体"/>
          <w:szCs w:val="21"/>
        </w:rPr>
        <w:t>1.18 严重脑损伤</w:t>
      </w:r>
    </w:p>
    <w:p>
      <w:pPr>
        <w:spacing w:line="360" w:lineRule="auto"/>
        <w:ind w:firstLine="420" w:firstLineChars="200"/>
        <w:rPr>
          <w:rFonts w:ascii="宋体" w:hAnsi="宋体" w:cs="宋体"/>
          <w:szCs w:val="21"/>
        </w:rPr>
      </w:pPr>
      <w:r>
        <w:rPr>
          <w:rFonts w:hint="eastAsia" w:ascii="宋体" w:hAnsi="宋体" w:cs="宋体"/>
          <w:szCs w:val="21"/>
        </w:rPr>
        <w:t>指因头部遭受机械性外力， 引起脑重要部位损伤， 导致神经 系统永久性的功能障碍。须由头颅断层扫描（CT）、核磁共振检 查（MRI） 或正电子发射断层扫描（PET） 等影像学检查证实。神 经系统永久性的功能障碍， 指脑损伤 180 天后， 仍遗留下列至少一种障碍：</w:t>
      </w:r>
    </w:p>
    <w:p>
      <w:pPr>
        <w:spacing w:line="360" w:lineRule="auto"/>
        <w:ind w:firstLine="420" w:firstLineChars="200"/>
        <w:rPr>
          <w:rFonts w:ascii="宋体" w:hAnsi="宋体" w:cs="宋体"/>
          <w:szCs w:val="21"/>
        </w:rPr>
      </w:pPr>
      <w:r>
        <w:rPr>
          <w:rFonts w:hint="eastAsia" w:ascii="宋体" w:hAnsi="宋体" w:cs="宋体"/>
          <w:szCs w:val="21"/>
        </w:rPr>
        <w:t>（1）一肢（含）以上肢体肌力 2 级（含）以下；</w:t>
      </w:r>
    </w:p>
    <w:p>
      <w:pPr>
        <w:spacing w:line="360" w:lineRule="auto"/>
        <w:ind w:firstLine="420" w:firstLineChars="200"/>
        <w:rPr>
          <w:rFonts w:ascii="宋体" w:hAnsi="宋体" w:cs="宋体"/>
          <w:szCs w:val="21"/>
        </w:rPr>
      </w:pPr>
      <w:r>
        <w:rPr>
          <w:rFonts w:hint="eastAsia" w:ascii="宋体" w:hAnsi="宋体" w:cs="宋体"/>
          <w:szCs w:val="21"/>
        </w:rPr>
        <w:t>（2）语言能力完全丧失，或严重咀嚼吞咽功能障碍；</w:t>
      </w:r>
    </w:p>
    <w:p>
      <w:pPr>
        <w:spacing w:line="360" w:lineRule="auto"/>
        <w:ind w:firstLine="420" w:firstLineChars="200"/>
        <w:rPr>
          <w:rFonts w:ascii="宋体" w:hAnsi="宋体" w:cs="宋体"/>
          <w:szCs w:val="21"/>
        </w:rPr>
      </w:pPr>
      <w:r>
        <w:rPr>
          <w:rFonts w:hint="eastAsia" w:ascii="宋体" w:hAnsi="宋体" w:cs="宋体"/>
          <w:szCs w:val="21"/>
        </w:rPr>
        <w:t>（3）自主生活能力完全丧失，无法独立完成六项基本日常</w:t>
      </w:r>
    </w:p>
    <w:p>
      <w:pPr>
        <w:spacing w:line="360" w:lineRule="auto"/>
        <w:ind w:firstLine="420" w:firstLineChars="200"/>
        <w:rPr>
          <w:rFonts w:ascii="宋体" w:hAnsi="宋体" w:cs="宋体"/>
          <w:szCs w:val="21"/>
        </w:rPr>
      </w:pPr>
      <w:r>
        <w:rPr>
          <w:rFonts w:hint="eastAsia" w:ascii="宋体" w:hAnsi="宋体" w:cs="宋体"/>
          <w:szCs w:val="21"/>
        </w:rPr>
        <w:t>生活活动中的三项或三项以上。</w:t>
      </w:r>
    </w:p>
    <w:p>
      <w:pPr>
        <w:spacing w:line="360" w:lineRule="auto"/>
        <w:ind w:firstLine="420" w:firstLineChars="200"/>
        <w:rPr>
          <w:rFonts w:ascii="宋体" w:hAnsi="宋体" w:cs="宋体"/>
          <w:szCs w:val="21"/>
        </w:rPr>
      </w:pPr>
      <w:r>
        <w:rPr>
          <w:rFonts w:hint="eastAsia" w:ascii="宋体" w:hAnsi="宋体" w:cs="宋体"/>
          <w:szCs w:val="21"/>
        </w:rPr>
        <w:t>1.19 严重原发性帕金森病</w:t>
      </w:r>
    </w:p>
    <w:p>
      <w:pPr>
        <w:spacing w:line="360" w:lineRule="auto"/>
        <w:ind w:firstLine="420" w:firstLineChars="200"/>
        <w:rPr>
          <w:rFonts w:ascii="宋体" w:hAnsi="宋体" w:cs="宋体"/>
          <w:szCs w:val="21"/>
        </w:rPr>
      </w:pPr>
      <w:r>
        <w:rPr>
          <w:rFonts w:hint="eastAsia" w:ascii="宋体" w:hAnsi="宋体" w:cs="宋体"/>
          <w:szCs w:val="21"/>
        </w:rPr>
        <w:t>是一种中枢神经系统的退行性疾病，临床表现为运动迟缓、 静止性震颤或肌强直等，经相关专科医生确诊， 且须满足自主生 活能力完全丧失， 无法独立完成六项基本日常生活活动中的三项 或三项以上。</w:t>
      </w:r>
    </w:p>
    <w:p>
      <w:pPr>
        <w:spacing w:line="360" w:lineRule="auto"/>
        <w:ind w:firstLine="420" w:firstLineChars="200"/>
        <w:rPr>
          <w:rFonts w:ascii="宋体" w:hAnsi="宋体" w:cs="宋体"/>
          <w:szCs w:val="21"/>
        </w:rPr>
      </w:pPr>
      <w:r>
        <w:rPr>
          <w:rFonts w:hint="eastAsia" w:ascii="宋体" w:hAnsi="宋体" w:cs="宋体"/>
          <w:szCs w:val="21"/>
        </w:rPr>
        <w:t>继发性帕金森综合征、帕金森叠加综合征不在保障范围内。</w:t>
      </w:r>
    </w:p>
    <w:p>
      <w:pPr>
        <w:spacing w:line="360" w:lineRule="auto"/>
        <w:ind w:firstLine="420" w:firstLineChars="200"/>
        <w:rPr>
          <w:rFonts w:ascii="宋体" w:hAnsi="宋体" w:cs="宋体"/>
          <w:szCs w:val="21"/>
        </w:rPr>
      </w:pPr>
      <w:r>
        <w:rPr>
          <w:rFonts w:hint="eastAsia" w:ascii="宋体" w:hAnsi="宋体" w:cs="宋体"/>
          <w:szCs w:val="21"/>
        </w:rPr>
        <w:t>注： 如果保险公司仅承担被保险人在某年龄之前的保障责任，</w:t>
      </w:r>
    </w:p>
    <w:p>
      <w:pPr>
        <w:spacing w:line="360" w:lineRule="auto"/>
        <w:ind w:firstLine="420" w:firstLineChars="200"/>
        <w:rPr>
          <w:rFonts w:ascii="宋体" w:hAnsi="宋体" w:cs="宋体"/>
          <w:szCs w:val="21"/>
        </w:rPr>
      </w:pPr>
      <w:r>
        <w:rPr>
          <w:rFonts w:hint="eastAsia" w:ascii="宋体" w:hAnsi="宋体" w:cs="宋体"/>
          <w:szCs w:val="21"/>
        </w:rPr>
        <w:t>须在疾病定义中特别说明。</w:t>
      </w:r>
    </w:p>
    <w:p>
      <w:pPr>
        <w:spacing w:line="360" w:lineRule="auto"/>
        <w:ind w:firstLine="420" w:firstLineChars="200"/>
        <w:rPr>
          <w:rFonts w:ascii="宋体" w:hAnsi="宋体" w:cs="宋体"/>
          <w:szCs w:val="21"/>
        </w:rPr>
      </w:pPr>
      <w:r>
        <w:rPr>
          <w:rFonts w:hint="eastAsia" w:ascii="宋体" w:hAnsi="宋体" w:cs="宋体"/>
          <w:szCs w:val="21"/>
        </w:rPr>
        <w:t>1.20 严重Ⅲ度烧伤</w:t>
      </w:r>
    </w:p>
    <w:p>
      <w:pPr>
        <w:spacing w:line="360" w:lineRule="auto"/>
        <w:ind w:firstLine="420" w:firstLineChars="200"/>
        <w:rPr>
          <w:rFonts w:ascii="宋体" w:hAnsi="宋体" w:cs="宋体"/>
          <w:szCs w:val="21"/>
        </w:rPr>
      </w:pPr>
      <w:r>
        <w:rPr>
          <w:rFonts w:hint="eastAsia" w:ascii="宋体" w:hAnsi="宋体" w:cs="宋体"/>
          <w:szCs w:val="21"/>
        </w:rPr>
        <w:t>指烧伤程度为Ⅲ度， 且Ⅲ度烧伤的面积达到全身体表面积的 20％或 20％以上。体表面积根据《中国新九分法》计算。</w:t>
      </w:r>
    </w:p>
    <w:p>
      <w:pPr>
        <w:spacing w:line="360" w:lineRule="auto"/>
        <w:ind w:firstLine="420" w:firstLineChars="200"/>
        <w:rPr>
          <w:rFonts w:ascii="宋体" w:hAnsi="宋体" w:cs="宋体"/>
          <w:szCs w:val="21"/>
        </w:rPr>
      </w:pPr>
      <w:r>
        <w:rPr>
          <w:rFonts w:hint="eastAsia" w:ascii="宋体" w:hAnsi="宋体" w:cs="宋体"/>
          <w:szCs w:val="21"/>
        </w:rPr>
        <w:t>1.21 严重特发性肺动脉高压</w:t>
      </w:r>
    </w:p>
    <w:p>
      <w:pPr>
        <w:spacing w:line="360" w:lineRule="auto"/>
        <w:ind w:firstLine="420" w:firstLineChars="200"/>
        <w:rPr>
          <w:rFonts w:ascii="宋体" w:hAnsi="宋体" w:cs="宋体"/>
          <w:szCs w:val="21"/>
        </w:rPr>
      </w:pPr>
      <w:r>
        <w:rPr>
          <w:rFonts w:hint="eastAsia" w:ascii="宋体" w:hAnsi="宋体" w:cs="宋体"/>
          <w:szCs w:val="21"/>
        </w:rPr>
        <w:t>指不明原因的肺动脉压力持续性增高， 进行性发展而导致的  慢性疾病， 已经造成永久不可逆性的体力活动能力受限， 达到美  国纽约心脏病学会（New York Heart Association，NYHA） 心功  能状态分级 IV 级，且静息状态下肺动脉平均压在 36mmHg （含） 以上。</w:t>
      </w: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szCs w:val="21"/>
        </w:rPr>
        <w:t>1.22 严重运动神经元病</w:t>
      </w:r>
    </w:p>
    <w:p>
      <w:pPr>
        <w:spacing w:line="360" w:lineRule="auto"/>
        <w:ind w:firstLine="420" w:firstLineChars="200"/>
        <w:rPr>
          <w:rFonts w:ascii="宋体" w:hAnsi="宋体" w:cs="宋体"/>
          <w:szCs w:val="21"/>
        </w:rPr>
      </w:pPr>
      <w:r>
        <w:rPr>
          <w:rFonts w:hint="eastAsia" w:ascii="宋体" w:hAnsi="宋体" w:cs="宋体"/>
          <w:szCs w:val="21"/>
        </w:rPr>
        <w:t>是一组中枢神经系统运动神经元的进行性变性疾病， 包括进 行性脊肌萎缩症、进行性延髓麻痹症、原发性侧索硬化症、肌萎 缩性侧索硬化症,经相关专科医生确诊， 且须满足下列至少一项 条件：</w:t>
      </w:r>
    </w:p>
    <w:p>
      <w:pPr>
        <w:spacing w:line="360" w:lineRule="auto"/>
        <w:ind w:firstLine="420" w:firstLineChars="200"/>
        <w:rPr>
          <w:rFonts w:ascii="宋体" w:hAnsi="宋体" w:cs="宋体"/>
          <w:szCs w:val="21"/>
        </w:rPr>
      </w:pPr>
      <w:r>
        <w:rPr>
          <w:rFonts w:hint="eastAsia" w:ascii="宋体" w:hAnsi="宋体" w:cs="宋体"/>
          <w:szCs w:val="21"/>
        </w:rPr>
        <w:t>（1）严重咀嚼吞咽功能障碍；</w:t>
      </w:r>
    </w:p>
    <w:p>
      <w:pPr>
        <w:spacing w:line="360" w:lineRule="auto"/>
        <w:ind w:firstLine="420" w:firstLineChars="200"/>
        <w:rPr>
          <w:rFonts w:ascii="宋体" w:hAnsi="宋体" w:cs="宋体"/>
          <w:szCs w:val="21"/>
        </w:rPr>
      </w:pPr>
      <w:r>
        <w:rPr>
          <w:rFonts w:hint="eastAsia" w:ascii="宋体" w:hAnsi="宋体" w:cs="宋体"/>
          <w:szCs w:val="21"/>
        </w:rPr>
        <w:t>（2）呼吸肌麻痹导致严重呼吸困难，且已经持续使用呼吸 机 7 天（含） 以上；</w:t>
      </w:r>
    </w:p>
    <w:p>
      <w:pPr>
        <w:spacing w:line="360" w:lineRule="auto"/>
        <w:ind w:firstLine="420" w:firstLineChars="200"/>
        <w:rPr>
          <w:rFonts w:ascii="宋体" w:hAnsi="宋体" w:cs="宋体"/>
          <w:szCs w:val="21"/>
        </w:rPr>
      </w:pPr>
      <w:r>
        <w:rPr>
          <w:rFonts w:hint="eastAsia" w:ascii="宋体" w:hAnsi="宋体" w:cs="宋体"/>
          <w:szCs w:val="21"/>
        </w:rPr>
        <w:t>（3）自主生活能力完全丧失，无法独立完成六项基本日常 生活活动中的三项或三项以上。</w:t>
      </w:r>
    </w:p>
    <w:p>
      <w:pPr>
        <w:spacing w:line="360" w:lineRule="auto"/>
        <w:ind w:firstLine="420" w:firstLineChars="200"/>
        <w:rPr>
          <w:rFonts w:ascii="宋体" w:hAnsi="宋体" w:cs="宋体"/>
          <w:szCs w:val="21"/>
        </w:rPr>
      </w:pPr>
      <w:r>
        <w:rPr>
          <w:rFonts w:hint="eastAsia" w:ascii="宋体" w:hAnsi="宋体" w:cs="宋体"/>
          <w:szCs w:val="21"/>
        </w:rPr>
        <w:t>注： 如果保险公司仅承担被保险人在某年龄之前的保障责任， 须在疾病定义中特别说明。</w:t>
      </w:r>
    </w:p>
    <w:p>
      <w:pPr>
        <w:spacing w:line="360" w:lineRule="auto"/>
        <w:ind w:firstLine="420" w:firstLineChars="200"/>
        <w:rPr>
          <w:rFonts w:ascii="宋体" w:hAnsi="宋体" w:cs="宋体"/>
          <w:szCs w:val="21"/>
        </w:rPr>
      </w:pPr>
      <w:r>
        <w:rPr>
          <w:rFonts w:hint="eastAsia" w:ascii="宋体" w:hAnsi="宋体" w:cs="宋体"/>
          <w:szCs w:val="21"/>
        </w:rPr>
        <w:t>1.23 语言能力丧失</w:t>
      </w:r>
    </w:p>
    <w:p>
      <w:pPr>
        <w:spacing w:line="360" w:lineRule="auto"/>
        <w:ind w:firstLine="420" w:firstLineChars="200"/>
        <w:rPr>
          <w:rFonts w:ascii="宋体" w:hAnsi="宋体" w:cs="宋体"/>
          <w:szCs w:val="21"/>
        </w:rPr>
      </w:pPr>
      <w:r>
        <w:rPr>
          <w:rFonts w:hint="eastAsia" w:ascii="宋体" w:hAnsi="宋体" w:cs="宋体"/>
          <w:szCs w:val="21"/>
        </w:rPr>
        <w:t>指因疾病或意外伤害导致语言能力完全丧失， 经过积极治疗 至少 12 个月（声带完全切除不受此时间限制）， 仍无法通过现有 医疗手段恢复。</w:t>
      </w:r>
    </w:p>
    <w:p>
      <w:pPr>
        <w:spacing w:line="360" w:lineRule="auto"/>
        <w:ind w:firstLine="420" w:firstLineChars="200"/>
        <w:rPr>
          <w:rFonts w:ascii="宋体" w:hAnsi="宋体" w:cs="宋体"/>
          <w:szCs w:val="21"/>
        </w:rPr>
      </w:pPr>
      <w:r>
        <w:rPr>
          <w:rFonts w:hint="eastAsia" w:ascii="宋体" w:hAnsi="宋体" w:cs="宋体"/>
          <w:szCs w:val="21"/>
        </w:rPr>
        <w:t>精神心理因素所致的语言能力丧失不在保障范围内。</w:t>
      </w:r>
    </w:p>
    <w:p>
      <w:pPr>
        <w:spacing w:line="360" w:lineRule="auto"/>
        <w:ind w:firstLine="420" w:firstLineChars="200"/>
        <w:rPr>
          <w:rFonts w:ascii="宋体" w:hAnsi="宋体" w:cs="宋体"/>
          <w:szCs w:val="21"/>
        </w:rPr>
      </w:pPr>
      <w:r>
        <w:rPr>
          <w:rFonts w:hint="eastAsia" w:ascii="宋体" w:hAnsi="宋体" w:cs="宋体"/>
          <w:szCs w:val="21"/>
        </w:rPr>
        <w:t>注： 如果保险公司仅承担被保险人在某年龄之后的保障责任， 须在疾病定义中特别说明。</w:t>
      </w:r>
    </w:p>
    <w:p>
      <w:pPr>
        <w:spacing w:line="360" w:lineRule="auto"/>
        <w:ind w:firstLine="420" w:firstLineChars="200"/>
        <w:rPr>
          <w:rFonts w:ascii="宋体" w:hAnsi="宋体" w:cs="宋体"/>
          <w:szCs w:val="21"/>
        </w:rPr>
      </w:pPr>
      <w:r>
        <w:rPr>
          <w:rFonts w:hint="eastAsia" w:ascii="宋体" w:hAnsi="宋体" w:cs="宋体"/>
          <w:szCs w:val="21"/>
        </w:rPr>
        <w:t>1.24 重型再生障碍性贫血</w:t>
      </w:r>
    </w:p>
    <w:p>
      <w:pPr>
        <w:spacing w:line="360" w:lineRule="auto"/>
        <w:ind w:firstLine="420" w:firstLineChars="200"/>
        <w:rPr>
          <w:rFonts w:ascii="宋体" w:hAnsi="宋体" w:cs="宋体"/>
          <w:szCs w:val="21"/>
        </w:rPr>
      </w:pPr>
      <w:r>
        <w:rPr>
          <w:rFonts w:hint="eastAsia" w:ascii="宋体" w:hAnsi="宋体" w:cs="宋体"/>
          <w:szCs w:val="21"/>
        </w:rPr>
        <w:t>指因骨髓造血功能慢性持续性衰竭导致的贫血、中性粒细胞 减少及血小板减少，且须满足下列全部条件：</w:t>
      </w:r>
    </w:p>
    <w:p>
      <w:pPr>
        <w:spacing w:line="360" w:lineRule="auto"/>
        <w:ind w:firstLine="420" w:firstLineChars="200"/>
        <w:rPr>
          <w:rFonts w:ascii="宋体" w:hAnsi="宋体" w:cs="宋体"/>
          <w:szCs w:val="21"/>
        </w:rPr>
      </w:pPr>
      <w:r>
        <w:rPr>
          <w:rFonts w:hint="eastAsia" w:ascii="宋体" w:hAnsi="宋体" w:cs="宋体"/>
          <w:szCs w:val="21"/>
        </w:rPr>
        <w:t>（1）骨髓穿刺检查或骨髓活检结果支持诊断：骨髓细胞增 生程度&lt;正常的 25%； 如≥正常的 25%但&lt;50%， 则残存的造血细胞 应&lt;30%；</w:t>
      </w:r>
    </w:p>
    <w:p>
      <w:pPr>
        <w:spacing w:line="360" w:lineRule="auto"/>
        <w:ind w:firstLine="420" w:firstLineChars="200"/>
        <w:rPr>
          <w:rFonts w:ascii="宋体" w:hAnsi="宋体" w:cs="宋体"/>
          <w:szCs w:val="21"/>
        </w:rPr>
      </w:pPr>
      <w:r>
        <w:rPr>
          <w:rFonts w:hint="eastAsia" w:ascii="宋体" w:hAnsi="宋体" w:cs="宋体"/>
          <w:szCs w:val="21"/>
        </w:rPr>
        <w:t>（2）外周血象须具备以下三项条件中的两项：</w:t>
      </w:r>
    </w:p>
    <w:p>
      <w:pPr>
        <w:spacing w:line="360" w:lineRule="auto"/>
        <w:ind w:firstLine="420" w:firstLineChars="200"/>
        <w:rPr>
          <w:rFonts w:ascii="宋体" w:hAnsi="宋体" w:cs="宋体"/>
          <w:szCs w:val="21"/>
        </w:rPr>
      </w:pPr>
      <w:r>
        <w:rPr>
          <w:rFonts w:hint="eastAsia" w:ascii="宋体" w:hAnsi="宋体" w:cs="宋体"/>
          <w:szCs w:val="21"/>
        </w:rPr>
        <w:t>①中性粒细胞绝对值&lt;0.5×109/L；</w:t>
      </w:r>
    </w:p>
    <w:p>
      <w:pPr>
        <w:spacing w:line="360" w:lineRule="auto"/>
        <w:ind w:firstLine="420" w:firstLineChars="200"/>
        <w:rPr>
          <w:rFonts w:ascii="宋体" w:hAnsi="宋体" w:cs="宋体"/>
          <w:szCs w:val="21"/>
        </w:rPr>
      </w:pPr>
      <w:r>
        <w:rPr>
          <w:rFonts w:hint="eastAsia" w:ascii="宋体" w:hAnsi="宋体" w:cs="宋体"/>
          <w:szCs w:val="21"/>
        </w:rPr>
        <w:t>②网织红细胞计数&lt;20×109/L；</w:t>
      </w:r>
    </w:p>
    <w:p>
      <w:pPr>
        <w:spacing w:line="360" w:lineRule="auto"/>
        <w:ind w:firstLine="420" w:firstLineChars="200"/>
        <w:rPr>
          <w:rFonts w:ascii="宋体" w:hAnsi="宋体" w:cs="宋体"/>
          <w:szCs w:val="21"/>
        </w:rPr>
      </w:pPr>
      <w:r>
        <w:rPr>
          <w:rFonts w:hint="eastAsia" w:ascii="宋体" w:hAnsi="宋体" w:cs="宋体"/>
          <w:szCs w:val="21"/>
        </w:rPr>
        <w:t>③血小板绝对值&lt;20×109/L。</w:t>
      </w:r>
    </w:p>
    <w:p>
      <w:pPr>
        <w:spacing w:line="360" w:lineRule="auto"/>
        <w:ind w:firstLine="420" w:firstLineChars="200"/>
        <w:rPr>
          <w:rFonts w:ascii="宋体" w:hAnsi="宋体" w:cs="宋体"/>
          <w:szCs w:val="21"/>
        </w:rPr>
      </w:pPr>
      <w:r>
        <w:rPr>
          <w:rFonts w:hint="eastAsia" w:ascii="宋体" w:hAnsi="宋体" w:cs="宋体"/>
          <w:szCs w:val="21"/>
        </w:rPr>
        <w:t>1.25 主动脉手术</w:t>
      </w:r>
    </w:p>
    <w:p>
      <w:pPr>
        <w:spacing w:line="360" w:lineRule="auto"/>
        <w:ind w:firstLine="420" w:firstLineChars="200"/>
        <w:rPr>
          <w:rFonts w:ascii="宋体" w:hAnsi="宋体" w:cs="宋体"/>
          <w:szCs w:val="21"/>
        </w:rPr>
      </w:pPr>
      <w:r>
        <w:rPr>
          <w:rFonts w:hint="eastAsia" w:ascii="宋体" w:hAnsi="宋体" w:cs="宋体"/>
          <w:szCs w:val="21"/>
        </w:rPr>
        <w:t>指为治疗主动脉疾病或主动脉创伤，已经实施了开胸（含胸 腔镜下） 或开腹（含腹腔镜下） 进行的切除、置换、修补病损主 动脉血管、主动脉创伤后修复的手术。主动脉指升主动脉、主动 脉弓和降主动脉（含胸主动脉和腹主动脉），不包括升主动脉、</w:t>
      </w:r>
    </w:p>
    <w:p>
      <w:pPr>
        <w:spacing w:line="360" w:lineRule="auto"/>
        <w:ind w:firstLine="420" w:firstLineChars="200"/>
        <w:rPr>
          <w:rFonts w:ascii="宋体" w:hAnsi="宋体" w:cs="宋体"/>
          <w:szCs w:val="21"/>
        </w:rPr>
      </w:pPr>
      <w:r>
        <w:rPr>
          <w:rFonts w:hint="eastAsia" w:ascii="宋体" w:hAnsi="宋体" w:cs="宋体"/>
          <w:szCs w:val="21"/>
        </w:rPr>
        <w:t>主动脉弓和降主动脉的分支血管。</w:t>
      </w:r>
    </w:p>
    <w:p>
      <w:pPr>
        <w:spacing w:line="360" w:lineRule="auto"/>
        <w:ind w:firstLine="420" w:firstLineChars="200"/>
        <w:rPr>
          <w:rFonts w:ascii="宋体" w:hAnsi="宋体" w:cs="宋体"/>
          <w:szCs w:val="21"/>
        </w:rPr>
      </w:pPr>
      <w:r>
        <w:rPr>
          <w:rFonts w:hint="eastAsia" w:ascii="宋体" w:hAnsi="宋体" w:cs="宋体"/>
          <w:szCs w:val="21"/>
        </w:rPr>
        <w:t>所有未实施开胸或开腹的动脉内介入治疗不在保障范围内。</w:t>
      </w:r>
    </w:p>
    <w:p>
      <w:pPr>
        <w:spacing w:line="360" w:lineRule="auto"/>
        <w:ind w:firstLine="420" w:firstLineChars="200"/>
        <w:rPr>
          <w:rFonts w:ascii="宋体" w:hAnsi="宋体" w:cs="宋体"/>
          <w:szCs w:val="21"/>
        </w:rPr>
      </w:pPr>
      <w:r>
        <w:rPr>
          <w:rFonts w:hint="eastAsia" w:ascii="宋体" w:hAnsi="宋体" w:cs="宋体"/>
          <w:szCs w:val="21"/>
        </w:rPr>
        <w:t>1.26 严重慢性呼吸衰竭</w:t>
      </w:r>
    </w:p>
    <w:p>
      <w:pPr>
        <w:spacing w:line="360" w:lineRule="auto"/>
        <w:ind w:firstLine="420" w:firstLineChars="200"/>
        <w:rPr>
          <w:rFonts w:ascii="宋体" w:hAnsi="宋体" w:cs="宋体"/>
          <w:szCs w:val="21"/>
        </w:rPr>
      </w:pPr>
      <w:r>
        <w:rPr>
          <w:rFonts w:hint="eastAsia" w:ascii="宋体" w:hAnsi="宋体" w:cs="宋体"/>
          <w:szCs w:val="21"/>
        </w:rPr>
        <w:t>指因慢性呼吸系统疾病导致永久不可逆性的呼吸衰竭， 经过</w:t>
      </w:r>
    </w:p>
    <w:p>
      <w:pPr>
        <w:spacing w:line="360" w:lineRule="auto"/>
        <w:ind w:firstLine="420" w:firstLineChars="200"/>
        <w:rPr>
          <w:rFonts w:ascii="宋体" w:hAnsi="宋体" w:cs="宋体"/>
          <w:szCs w:val="21"/>
        </w:rPr>
      </w:pPr>
      <w:r>
        <w:rPr>
          <w:rFonts w:hint="eastAsia" w:ascii="宋体" w:hAnsi="宋体" w:cs="宋体"/>
          <w:szCs w:val="21"/>
        </w:rPr>
        <w:t>积极治疗 180 天后满足以下所有条件：</w:t>
      </w:r>
    </w:p>
    <w:p>
      <w:pPr>
        <w:spacing w:line="360" w:lineRule="auto"/>
        <w:ind w:firstLine="420" w:firstLineChars="200"/>
        <w:rPr>
          <w:rFonts w:ascii="宋体" w:hAnsi="宋体" w:cs="宋体"/>
          <w:szCs w:val="21"/>
        </w:rPr>
      </w:pPr>
      <w:r>
        <w:rPr>
          <w:rFonts w:hint="eastAsia" w:ascii="宋体" w:hAnsi="宋体" w:cs="宋体"/>
          <w:szCs w:val="21"/>
        </w:rPr>
        <w:t>（1）静息时出现呼吸困难；</w:t>
      </w:r>
    </w:p>
    <w:p>
      <w:pPr>
        <w:spacing w:line="360" w:lineRule="auto"/>
        <w:ind w:firstLine="420" w:firstLineChars="200"/>
        <w:rPr>
          <w:rFonts w:ascii="宋体" w:hAnsi="宋体" w:cs="宋体"/>
          <w:szCs w:val="21"/>
        </w:rPr>
      </w:pPr>
      <w:r>
        <w:rPr>
          <w:rFonts w:hint="eastAsia" w:ascii="宋体" w:hAnsi="宋体" w:cs="宋体"/>
          <w:szCs w:val="21"/>
        </w:rPr>
        <w:t>（2） 肺功能第一秒用力呼气容积（FEV1 ） 占预计值的百分 比＜30%；</w:t>
      </w:r>
    </w:p>
    <w:p>
      <w:pPr>
        <w:spacing w:line="360" w:lineRule="auto"/>
        <w:ind w:firstLine="420" w:firstLineChars="200"/>
        <w:rPr>
          <w:rFonts w:ascii="宋体" w:hAnsi="宋体" w:cs="宋体"/>
          <w:szCs w:val="21"/>
        </w:rPr>
      </w:pPr>
      <w:r>
        <w:rPr>
          <w:rFonts w:hint="eastAsia" w:ascii="宋体" w:hAnsi="宋体" w:cs="宋体"/>
          <w:szCs w:val="21"/>
        </w:rPr>
        <w:t>（3） 在静息状态、呼吸空气条件下， 动脉血氧分压（PaO2） ＜50mmHg。</w:t>
      </w:r>
    </w:p>
    <w:p>
      <w:pPr>
        <w:spacing w:line="360" w:lineRule="auto"/>
        <w:ind w:firstLine="420" w:firstLineChars="200"/>
        <w:rPr>
          <w:rFonts w:ascii="宋体" w:hAnsi="宋体" w:cs="宋体"/>
          <w:szCs w:val="21"/>
        </w:rPr>
      </w:pPr>
      <w:r>
        <w:rPr>
          <w:rFonts w:hint="eastAsia" w:ascii="宋体" w:hAnsi="宋体" w:cs="宋体"/>
          <w:szCs w:val="21"/>
        </w:rPr>
        <w:t>1.27 严重克罗恩病</w:t>
      </w:r>
    </w:p>
    <w:p>
      <w:pPr>
        <w:spacing w:line="360" w:lineRule="auto"/>
        <w:ind w:firstLine="420" w:firstLineChars="200"/>
        <w:rPr>
          <w:rFonts w:ascii="宋体" w:hAnsi="宋体" w:cs="宋体"/>
          <w:szCs w:val="21"/>
        </w:rPr>
      </w:pPr>
      <w:r>
        <w:rPr>
          <w:rFonts w:hint="eastAsia" w:ascii="宋体" w:hAnsi="宋体" w:cs="宋体"/>
          <w:szCs w:val="21"/>
        </w:rPr>
        <w:t>指一种慢性肉芽肿性肠炎，具有特征性的克罗恩病（Crohn 病） 病理组织学变化， 须根据组织病理学特点诊断， 且已经造成 瘘管形成并伴有肠梗阻或肠穿孔。</w:t>
      </w:r>
    </w:p>
    <w:p>
      <w:pPr>
        <w:spacing w:line="360" w:lineRule="auto"/>
        <w:ind w:firstLine="420" w:firstLineChars="200"/>
        <w:rPr>
          <w:rFonts w:ascii="宋体" w:hAnsi="宋体" w:cs="宋体"/>
          <w:szCs w:val="21"/>
        </w:rPr>
      </w:pPr>
      <w:r>
        <w:rPr>
          <w:rFonts w:hint="eastAsia" w:ascii="宋体" w:hAnsi="宋体" w:cs="宋体"/>
          <w:szCs w:val="21"/>
        </w:rPr>
        <w:t>1.28 严重溃疡性结肠炎</w:t>
      </w:r>
    </w:p>
    <w:p>
      <w:pPr>
        <w:spacing w:line="360" w:lineRule="auto"/>
        <w:ind w:firstLine="420" w:firstLineChars="200"/>
        <w:rPr>
          <w:rFonts w:ascii="宋体" w:hAnsi="宋体" w:cs="宋体"/>
          <w:szCs w:val="21"/>
        </w:rPr>
      </w:pPr>
      <w:r>
        <w:rPr>
          <w:rFonts w:hint="eastAsia" w:ascii="宋体" w:hAnsi="宋体" w:cs="宋体"/>
          <w:szCs w:val="21"/>
        </w:rPr>
        <w:t>指伴有致命性电解质紊乱的急性暴发性溃疡性结肠炎， 病变 已经累及全结肠， 表现为严重的血便和系统性症状体征， 须根据 组织病理学特点诊断， 且已经实施了结肠切除或回肠造瘘术。</w:t>
      </w:r>
    </w:p>
    <w:p>
      <w:pPr>
        <w:spacing w:line="360" w:lineRule="auto"/>
        <w:ind w:firstLine="420" w:firstLineChars="200"/>
        <w:rPr>
          <w:rFonts w:ascii="宋体" w:hAnsi="宋体" w:cs="宋体"/>
          <w:szCs w:val="21"/>
        </w:rPr>
      </w:pPr>
      <w:r>
        <w:rPr>
          <w:rFonts w:hint="eastAsia" w:ascii="宋体" w:hAnsi="宋体" w:cs="宋体"/>
          <w:szCs w:val="21"/>
        </w:rPr>
        <w:t>1.29 多发性硬化症：多发性硬化症为中枢神经系统脱髓鞘病变。其诊断必须由神经内科主任医生确诊，并应由CT或者MRI确证的中枢神经系统病灶证实。由于其它病因（如：血管病、细菌或者病毒疾病）引起的中枢神经系统疾病除外。神经内科专家提供的病历文件必须载明不可逆性的神经系统功能障碍与缺失的详情。不可逆性的神经系统功能缺失必须在首次诊断的六个月以后做出方有效。自保单生效日起，最初三个月内诊断的多发性硬化症不予赔付。对增加保额者，增额部分按同样的等待期处理。</w:t>
      </w:r>
    </w:p>
    <w:p>
      <w:pPr>
        <w:spacing w:line="360" w:lineRule="auto"/>
        <w:ind w:firstLine="420" w:firstLineChars="200"/>
        <w:rPr>
          <w:rFonts w:ascii="宋体" w:hAnsi="宋体" w:cs="宋体"/>
          <w:szCs w:val="21"/>
        </w:rPr>
      </w:pPr>
      <w:r>
        <w:rPr>
          <w:rFonts w:hint="eastAsia" w:ascii="宋体" w:hAnsi="宋体" w:cs="宋体"/>
          <w:szCs w:val="21"/>
        </w:rPr>
        <w:t>1.30系统性红斑狼疮并发重度的肾功能损害：该类疾病是指一种自身免疫性结缔组织病，于体内有大量致病性自身抗体和免疫复合物，造成组织损伤。系统性红斑狼疮的诊断必须经专科医生明确诊断，并须同时满足下列条件：</w:t>
      </w:r>
    </w:p>
    <w:p>
      <w:pPr>
        <w:spacing w:line="360" w:lineRule="auto"/>
        <w:ind w:firstLine="420" w:firstLineChars="200"/>
        <w:rPr>
          <w:rFonts w:ascii="宋体" w:hAnsi="宋体" w:cs="宋体"/>
          <w:szCs w:val="21"/>
        </w:rPr>
      </w:pPr>
      <w:r>
        <w:rPr>
          <w:rFonts w:hint="eastAsia" w:ascii="宋体" w:hAnsi="宋体" w:cs="宋体"/>
          <w:szCs w:val="21"/>
        </w:rPr>
        <w:t>1．临床表现至少具备下列条件中的4个：</w:t>
      </w:r>
    </w:p>
    <w:p>
      <w:pPr>
        <w:spacing w:line="360" w:lineRule="auto"/>
        <w:ind w:firstLine="420" w:firstLineChars="200"/>
        <w:rPr>
          <w:rFonts w:ascii="宋体" w:hAnsi="宋体" w:cs="宋体"/>
          <w:szCs w:val="21"/>
        </w:rPr>
      </w:pPr>
      <w:r>
        <w:rPr>
          <w:rFonts w:hint="eastAsia" w:ascii="宋体" w:hAnsi="宋体" w:cs="宋体"/>
          <w:szCs w:val="21"/>
        </w:rPr>
        <w:t>（1）蝶形红斑或者盘形红斑；</w:t>
      </w:r>
    </w:p>
    <w:p>
      <w:pPr>
        <w:spacing w:line="360" w:lineRule="auto"/>
        <w:ind w:firstLine="420" w:firstLineChars="200"/>
        <w:rPr>
          <w:rFonts w:ascii="宋体" w:hAnsi="宋体" w:cs="宋体"/>
          <w:szCs w:val="21"/>
        </w:rPr>
      </w:pPr>
      <w:r>
        <w:rPr>
          <w:rFonts w:hint="eastAsia" w:ascii="宋体" w:hAnsi="宋体" w:cs="宋体"/>
          <w:szCs w:val="21"/>
        </w:rPr>
        <w:t>（2）光敏感；</w:t>
      </w:r>
    </w:p>
    <w:p>
      <w:pPr>
        <w:spacing w:line="360" w:lineRule="auto"/>
        <w:ind w:firstLine="420" w:firstLineChars="200"/>
        <w:rPr>
          <w:rFonts w:ascii="宋体" w:hAnsi="宋体" w:cs="宋体"/>
          <w:szCs w:val="21"/>
        </w:rPr>
      </w:pPr>
      <w:r>
        <w:rPr>
          <w:rFonts w:hint="eastAsia" w:ascii="宋体" w:hAnsi="宋体" w:cs="宋体"/>
          <w:szCs w:val="21"/>
        </w:rPr>
        <w:t>（3）口鼻腔黏膜溃疡；</w:t>
      </w:r>
    </w:p>
    <w:p>
      <w:pPr>
        <w:spacing w:line="360" w:lineRule="auto"/>
        <w:ind w:firstLine="420" w:firstLineChars="200"/>
        <w:rPr>
          <w:rFonts w:ascii="宋体" w:hAnsi="宋体" w:cs="宋体"/>
          <w:szCs w:val="21"/>
        </w:rPr>
      </w:pPr>
      <w:r>
        <w:rPr>
          <w:rFonts w:hint="eastAsia" w:ascii="宋体" w:hAnsi="宋体" w:cs="宋体"/>
          <w:szCs w:val="21"/>
        </w:rPr>
        <w:t>（4）非畸形性关节炎或者多关节痛；</w:t>
      </w:r>
    </w:p>
    <w:p>
      <w:pPr>
        <w:spacing w:line="360" w:lineRule="auto"/>
        <w:ind w:firstLine="420" w:firstLineChars="200"/>
        <w:rPr>
          <w:rFonts w:ascii="宋体" w:hAnsi="宋体" w:cs="宋体"/>
          <w:szCs w:val="21"/>
        </w:rPr>
      </w:pPr>
      <w:r>
        <w:rPr>
          <w:rFonts w:hint="eastAsia" w:ascii="宋体" w:hAnsi="宋体" w:cs="宋体"/>
          <w:szCs w:val="21"/>
        </w:rPr>
        <w:t>（5）胸膜炎或者心包炎；</w:t>
      </w:r>
    </w:p>
    <w:p>
      <w:pPr>
        <w:spacing w:line="360" w:lineRule="auto"/>
        <w:ind w:firstLine="420" w:firstLineChars="200"/>
        <w:rPr>
          <w:rFonts w:ascii="宋体" w:hAnsi="宋体" w:cs="宋体"/>
          <w:szCs w:val="21"/>
        </w:rPr>
      </w:pPr>
      <w:r>
        <w:rPr>
          <w:rFonts w:hint="eastAsia" w:ascii="宋体" w:hAnsi="宋体" w:cs="宋体"/>
          <w:szCs w:val="21"/>
        </w:rPr>
        <w:t>（6）神经系统损伤（癫痫或者精神症状）；</w:t>
      </w:r>
    </w:p>
    <w:p>
      <w:pPr>
        <w:spacing w:line="360" w:lineRule="auto"/>
        <w:ind w:firstLine="420" w:firstLineChars="200"/>
        <w:rPr>
          <w:rFonts w:ascii="宋体" w:hAnsi="宋体" w:cs="宋体"/>
          <w:szCs w:val="21"/>
        </w:rPr>
      </w:pPr>
      <w:r>
        <w:rPr>
          <w:rFonts w:hint="eastAsia" w:ascii="宋体" w:hAnsi="宋体" w:cs="宋体"/>
          <w:szCs w:val="21"/>
        </w:rPr>
        <w:t>（7）血象异常（白细胞小于4000/μl或者血小板小于100000/μl或者溶血性贫血）。</w:t>
      </w:r>
    </w:p>
    <w:p>
      <w:pPr>
        <w:spacing w:line="360" w:lineRule="auto"/>
        <w:ind w:firstLine="420" w:firstLineChars="200"/>
        <w:rPr>
          <w:rFonts w:ascii="宋体" w:hAnsi="宋体" w:cs="宋体"/>
          <w:szCs w:val="21"/>
        </w:rPr>
      </w:pPr>
      <w:r>
        <w:rPr>
          <w:rFonts w:hint="eastAsia" w:ascii="宋体" w:hAnsi="宋体" w:cs="宋体"/>
          <w:szCs w:val="21"/>
        </w:rPr>
        <w:t>2．检测结果至少具备下列条件中的2个：</w:t>
      </w:r>
    </w:p>
    <w:p>
      <w:pPr>
        <w:spacing w:line="360" w:lineRule="auto"/>
        <w:ind w:firstLine="420" w:firstLineChars="200"/>
        <w:rPr>
          <w:rFonts w:ascii="宋体" w:hAnsi="宋体" w:cs="宋体"/>
          <w:szCs w:val="21"/>
        </w:rPr>
      </w:pPr>
      <w:r>
        <w:rPr>
          <w:rFonts w:hint="eastAsia" w:ascii="宋体" w:hAnsi="宋体" w:cs="宋体"/>
          <w:szCs w:val="21"/>
        </w:rPr>
        <w:t>（1）抗dsDNA抗体阳性；</w:t>
      </w:r>
    </w:p>
    <w:p>
      <w:pPr>
        <w:spacing w:line="360" w:lineRule="auto"/>
        <w:ind w:firstLine="420" w:firstLineChars="200"/>
        <w:rPr>
          <w:rFonts w:ascii="宋体" w:hAnsi="宋体" w:cs="宋体"/>
          <w:szCs w:val="21"/>
        </w:rPr>
      </w:pPr>
      <w:r>
        <w:rPr>
          <w:rFonts w:hint="eastAsia" w:ascii="宋体" w:hAnsi="宋体" w:cs="宋体"/>
          <w:szCs w:val="21"/>
        </w:rPr>
        <w:t>（2）抗Sm抗体阳性；</w:t>
      </w:r>
    </w:p>
    <w:p>
      <w:pPr>
        <w:spacing w:line="360" w:lineRule="auto"/>
        <w:ind w:firstLine="420" w:firstLineChars="200"/>
        <w:rPr>
          <w:rFonts w:ascii="宋体" w:hAnsi="宋体" w:cs="宋体"/>
          <w:szCs w:val="21"/>
        </w:rPr>
      </w:pPr>
      <w:r>
        <w:rPr>
          <w:rFonts w:hint="eastAsia" w:ascii="宋体" w:hAnsi="宋体" w:cs="宋体"/>
          <w:szCs w:val="21"/>
        </w:rPr>
        <w:t>（3）抗核抗体阳性；</w:t>
      </w:r>
    </w:p>
    <w:p>
      <w:pPr>
        <w:spacing w:line="360" w:lineRule="auto"/>
        <w:ind w:firstLine="420" w:firstLineChars="200"/>
        <w:rPr>
          <w:rFonts w:ascii="宋体" w:hAnsi="宋体" w:cs="宋体"/>
          <w:szCs w:val="21"/>
        </w:rPr>
      </w:pPr>
      <w:r>
        <w:rPr>
          <w:rFonts w:hint="eastAsia" w:ascii="宋体" w:hAnsi="宋体" w:cs="宋体"/>
          <w:szCs w:val="21"/>
        </w:rPr>
        <w:t>（4）皮肤狼疮带试验（非病损部位）或者肾活检阳性；</w:t>
      </w:r>
    </w:p>
    <w:p>
      <w:pPr>
        <w:spacing w:line="360" w:lineRule="auto"/>
        <w:ind w:firstLine="420" w:firstLineChars="200"/>
        <w:rPr>
          <w:rFonts w:ascii="宋体" w:hAnsi="宋体" w:cs="宋体"/>
          <w:szCs w:val="21"/>
        </w:rPr>
      </w:pPr>
      <w:r>
        <w:rPr>
          <w:rFonts w:hint="eastAsia" w:ascii="宋体" w:hAnsi="宋体" w:cs="宋体"/>
          <w:szCs w:val="21"/>
        </w:rPr>
        <w:t>（5）C3低于正常值。</w:t>
      </w:r>
    </w:p>
    <w:p>
      <w:pPr>
        <w:spacing w:line="360" w:lineRule="auto"/>
        <w:ind w:firstLine="420" w:firstLineChars="200"/>
        <w:rPr>
          <w:rFonts w:ascii="宋体" w:hAnsi="宋体" w:cs="宋体"/>
          <w:szCs w:val="21"/>
        </w:rPr>
      </w:pPr>
      <w:r>
        <w:rPr>
          <w:rFonts w:hint="eastAsia" w:ascii="宋体" w:hAnsi="宋体" w:cs="宋体"/>
          <w:szCs w:val="21"/>
        </w:rPr>
        <w:t>3．狼疮肾炎致使肾功能减弱，内生肌酐清除率低于每分钟30ml。</w:t>
      </w:r>
    </w:p>
    <w:p>
      <w:pPr>
        <w:spacing w:line="360" w:lineRule="auto"/>
        <w:ind w:firstLine="420" w:firstLineChars="200"/>
        <w:rPr>
          <w:rFonts w:ascii="宋体" w:hAnsi="宋体" w:cs="宋体"/>
          <w:szCs w:val="21"/>
        </w:rPr>
      </w:pPr>
      <w:r>
        <w:rPr>
          <w:rFonts w:hint="eastAsia" w:ascii="宋体" w:hAnsi="宋体" w:cs="宋体"/>
          <w:szCs w:val="21"/>
        </w:rPr>
        <w:t>1.31急性脊髓灰质炎：经由神经主任医生确认是由于脊髓灰质炎病毒感染所导致的运动功能障碍或者呼吸功能减弱的瘫痪性疾病。被保险人若无因此感染而导致的瘫痪，则不符合理赔条件。其它病因所致的瘫痪，例如格林一巴利综合症(急性感染性多神经炎)则不在此保障范围以内。</w:t>
      </w:r>
    </w:p>
    <w:p>
      <w:pPr>
        <w:spacing w:line="360" w:lineRule="auto"/>
        <w:ind w:firstLine="420" w:firstLineChars="200"/>
        <w:rPr>
          <w:rFonts w:ascii="宋体" w:hAnsi="宋体" w:cs="宋体"/>
          <w:szCs w:val="21"/>
        </w:rPr>
      </w:pPr>
      <w:r>
        <w:rPr>
          <w:rFonts w:hint="eastAsia" w:ascii="宋体" w:hAnsi="宋体" w:cs="宋体"/>
          <w:szCs w:val="21"/>
        </w:rPr>
        <w:t>1.32 Ｉ型糖尿病：由于胰岛素分泌绝对不足引起的慢性血糖升高，且已经持续性地依赖外源性胰岛素维持180天以上。须经血胰岛素测定、血C肽测定或者尿C肽测定，结果异常，并由内分泌科医师明确诊断。并须在本合同有效期内，满足下述至少2个条件：</w:t>
      </w:r>
    </w:p>
    <w:p>
      <w:pPr>
        <w:spacing w:line="360" w:lineRule="auto"/>
        <w:ind w:firstLine="420" w:firstLineChars="200"/>
        <w:rPr>
          <w:rFonts w:ascii="宋体" w:hAnsi="宋体" w:cs="宋体"/>
          <w:szCs w:val="21"/>
        </w:rPr>
      </w:pPr>
      <w:r>
        <w:rPr>
          <w:rFonts w:hint="eastAsia" w:ascii="宋体" w:hAnsi="宋体" w:cs="宋体"/>
          <w:szCs w:val="21"/>
        </w:rPr>
        <w:t>1．已出现增殖性视网膜病变；</w:t>
      </w:r>
    </w:p>
    <w:p>
      <w:pPr>
        <w:spacing w:line="360" w:lineRule="auto"/>
        <w:ind w:firstLine="420" w:firstLineChars="200"/>
        <w:rPr>
          <w:rFonts w:ascii="宋体" w:hAnsi="宋体" w:cs="宋体"/>
          <w:szCs w:val="21"/>
        </w:rPr>
      </w:pPr>
      <w:r>
        <w:rPr>
          <w:rFonts w:hint="eastAsia" w:ascii="宋体" w:hAnsi="宋体" w:cs="宋体"/>
          <w:szCs w:val="21"/>
        </w:rPr>
        <w:t>2．须植入心脏起搏器治疗心脏病；</w:t>
      </w:r>
    </w:p>
    <w:p>
      <w:pPr>
        <w:spacing w:line="360" w:lineRule="auto"/>
        <w:ind w:firstLine="420" w:firstLineChars="200"/>
        <w:rPr>
          <w:rFonts w:ascii="宋体" w:hAnsi="宋体" w:cs="宋体"/>
          <w:szCs w:val="21"/>
        </w:rPr>
      </w:pPr>
      <w:r>
        <w:rPr>
          <w:rFonts w:hint="eastAsia" w:ascii="宋体" w:hAnsi="宋体" w:cs="宋体"/>
          <w:szCs w:val="21"/>
        </w:rPr>
        <w:t>3．因坏疽需切除至少一个脚趾。</w:t>
      </w:r>
    </w:p>
    <w:p>
      <w:pPr>
        <w:spacing w:line="360" w:lineRule="auto"/>
        <w:ind w:firstLine="420" w:firstLineChars="200"/>
        <w:rPr>
          <w:rFonts w:ascii="宋体" w:hAnsi="宋体" w:cs="宋体"/>
          <w:szCs w:val="21"/>
        </w:rPr>
      </w:pPr>
      <w:r>
        <w:rPr>
          <w:rFonts w:hint="eastAsia" w:ascii="宋体" w:hAnsi="宋体" w:cs="宋体"/>
          <w:szCs w:val="21"/>
        </w:rPr>
        <w:t>1.33 肌营养不良症：指骨胳肌对称地进行性无力和萎缩，其诊断需同时符合以下条件：</w:t>
      </w:r>
    </w:p>
    <w:p>
      <w:pPr>
        <w:spacing w:line="360" w:lineRule="auto"/>
        <w:ind w:firstLine="420" w:firstLineChars="200"/>
        <w:rPr>
          <w:rFonts w:ascii="宋体" w:hAnsi="宋体" w:cs="宋体"/>
          <w:szCs w:val="21"/>
        </w:rPr>
      </w:pPr>
      <w:r>
        <w:rPr>
          <w:rFonts w:hint="eastAsia" w:ascii="宋体" w:hAnsi="宋体" w:cs="宋体"/>
          <w:szCs w:val="21"/>
        </w:rPr>
        <w:t>1．肌电图显示典型肌营养不良症的阳性改变家族史中有其他成员患相同疾病；</w:t>
      </w:r>
    </w:p>
    <w:p>
      <w:pPr>
        <w:spacing w:line="360" w:lineRule="auto"/>
        <w:ind w:firstLine="420" w:firstLineChars="200"/>
        <w:rPr>
          <w:rFonts w:ascii="宋体" w:hAnsi="宋体" w:cs="宋体"/>
          <w:szCs w:val="21"/>
        </w:rPr>
      </w:pPr>
      <w:r>
        <w:rPr>
          <w:rFonts w:hint="eastAsia" w:ascii="宋体" w:hAnsi="宋体" w:cs="宋体"/>
          <w:szCs w:val="21"/>
        </w:rPr>
        <w:t>2．肌肉活检的病理学诊断符合肌营养不良症的肌肉细胞变性、坏死等阳性改变。</w:t>
      </w:r>
    </w:p>
    <w:p>
      <w:pPr>
        <w:spacing w:line="360" w:lineRule="auto"/>
        <w:ind w:firstLine="420" w:firstLineChars="200"/>
        <w:rPr>
          <w:rFonts w:ascii="宋体" w:hAnsi="宋体" w:cs="宋体"/>
          <w:szCs w:val="21"/>
        </w:rPr>
      </w:pPr>
      <w:r>
        <w:rPr>
          <w:rFonts w:hint="eastAsia" w:ascii="宋体" w:hAnsi="宋体" w:cs="宋体"/>
          <w:szCs w:val="21"/>
        </w:rPr>
        <w:t>1.34急性出血性坏死性胰腺炎：由医师明确诊断为急性出血性坏死性胰腺炎，并已经进行胰腺组织清除、病灶切除或者胰腺部分切除的手术治疗。因酗酒所致的急性出血性坏死性胰腺炎除外。</w:t>
      </w:r>
    </w:p>
    <w:p>
      <w:pPr>
        <w:spacing w:line="360" w:lineRule="auto"/>
        <w:ind w:firstLine="420" w:firstLineChars="200"/>
        <w:rPr>
          <w:rFonts w:ascii="宋体" w:hAnsi="宋体" w:cs="宋体"/>
          <w:szCs w:val="21"/>
        </w:rPr>
      </w:pPr>
      <w:r>
        <w:rPr>
          <w:rFonts w:hint="eastAsia" w:ascii="宋体" w:hAnsi="宋体" w:cs="宋体"/>
          <w:szCs w:val="21"/>
        </w:rPr>
        <w:t>1.35原发性心肌病：指不明原因引起的一类心肌病变，包括原发性扩张型心肌病、原发性肥厚型心肌病及原发性限制型心肌病三种，病变必须已造成事实上心室功能障碍而出现明显的心功能衰竭（美国纽约心脏协会心功能分类标准心功能达IV级），且有相关住院医疗记录显示四级心功能衰竭状态持续至少180天。</w:t>
      </w:r>
    </w:p>
    <w:p>
      <w:pPr>
        <w:spacing w:line="360" w:lineRule="auto"/>
        <w:ind w:firstLine="420" w:firstLineChars="200"/>
        <w:rPr>
          <w:rFonts w:ascii="宋体" w:hAnsi="宋体" w:cs="宋体"/>
          <w:szCs w:val="21"/>
        </w:rPr>
      </w:pPr>
      <w:r>
        <w:rPr>
          <w:rFonts w:hint="eastAsia" w:ascii="宋体" w:hAnsi="宋体" w:cs="宋体"/>
          <w:szCs w:val="21"/>
        </w:rPr>
        <w:t>本病须经专科医师明确诊断。继发于全身性疾病或者其它器官系统疾病造成的心肌病变除外。</w:t>
      </w:r>
    </w:p>
    <w:p>
      <w:pPr>
        <w:spacing w:line="360" w:lineRule="auto"/>
        <w:ind w:firstLine="420" w:firstLineChars="200"/>
        <w:rPr>
          <w:rFonts w:ascii="宋体" w:hAnsi="宋体" w:cs="宋体"/>
          <w:szCs w:val="21"/>
        </w:rPr>
      </w:pPr>
      <w:r>
        <w:rPr>
          <w:rFonts w:hint="eastAsia" w:ascii="宋体" w:hAnsi="宋体" w:cs="宋体"/>
          <w:szCs w:val="21"/>
        </w:rPr>
        <w:t>美国纽约心脏协会分类标准心功能IV级是指有医院的医疗记录显示病人不能进行任何活动，休息时仍有心悸、呼吸困难等心力衰竭表现。</w:t>
      </w:r>
    </w:p>
    <w:p>
      <w:pPr>
        <w:spacing w:line="360" w:lineRule="auto"/>
        <w:ind w:firstLine="420" w:firstLineChars="200"/>
        <w:rPr>
          <w:rFonts w:ascii="宋体" w:hAnsi="宋体" w:cs="宋体"/>
          <w:szCs w:val="21"/>
        </w:rPr>
      </w:pPr>
      <w:r>
        <w:rPr>
          <w:rFonts w:hint="eastAsia" w:ascii="宋体" w:hAnsi="宋体" w:cs="宋体"/>
          <w:szCs w:val="21"/>
        </w:rPr>
        <w:t>1.36大脑去皮层综合征（持续植物人状态）：是指大脑半球皮层广泛性损害而脑干功能相对保留，这种状态需持续30天以上。此病必须提供脑部CT、MRI或者PET检查确认大脑皮层广泛受损的证据。</w:t>
      </w:r>
    </w:p>
    <w:p>
      <w:pPr>
        <w:spacing w:line="360" w:lineRule="auto"/>
        <w:ind w:firstLine="420" w:firstLineChars="200"/>
        <w:rPr>
          <w:rFonts w:ascii="宋体" w:hAnsi="宋体" w:cs="宋体"/>
          <w:szCs w:val="21"/>
        </w:rPr>
      </w:pPr>
      <w:r>
        <w:rPr>
          <w:rFonts w:hint="eastAsia" w:ascii="宋体" w:hAnsi="宋体" w:cs="宋体"/>
          <w:szCs w:val="21"/>
        </w:rPr>
        <w:t>1.37肾髓质囊性病：肾髓质囊性病的诊断须同时符合下列要求：</w:t>
      </w:r>
    </w:p>
    <w:p>
      <w:pPr>
        <w:spacing w:line="360" w:lineRule="auto"/>
        <w:ind w:firstLine="420" w:firstLineChars="200"/>
        <w:rPr>
          <w:rFonts w:ascii="宋体" w:hAnsi="宋体" w:cs="宋体"/>
          <w:szCs w:val="21"/>
        </w:rPr>
      </w:pPr>
      <w:r>
        <w:rPr>
          <w:rFonts w:hint="eastAsia" w:ascii="宋体" w:hAnsi="宋体" w:cs="宋体"/>
          <w:szCs w:val="21"/>
        </w:rPr>
        <w:t>1．肾髓质有囊肿、肾小管萎缩及间质纤维化等病理改变；</w:t>
      </w:r>
    </w:p>
    <w:p>
      <w:pPr>
        <w:spacing w:line="360" w:lineRule="auto"/>
        <w:ind w:firstLine="420" w:firstLineChars="200"/>
        <w:rPr>
          <w:rFonts w:ascii="宋体" w:hAnsi="宋体" w:cs="宋体"/>
          <w:szCs w:val="21"/>
        </w:rPr>
      </w:pPr>
      <w:r>
        <w:rPr>
          <w:rFonts w:hint="eastAsia" w:ascii="宋体" w:hAnsi="宋体" w:cs="宋体"/>
          <w:szCs w:val="21"/>
        </w:rPr>
        <w:t>2．贫血、多尿及肾功能衰竭等临床表现；</w:t>
      </w:r>
    </w:p>
    <w:p>
      <w:pPr>
        <w:spacing w:line="360" w:lineRule="auto"/>
        <w:ind w:firstLine="420" w:firstLineChars="200"/>
        <w:rPr>
          <w:rFonts w:ascii="宋体" w:hAnsi="宋体" w:cs="宋体"/>
          <w:szCs w:val="21"/>
        </w:rPr>
      </w:pPr>
      <w:r>
        <w:rPr>
          <w:rFonts w:hint="eastAsia" w:ascii="宋体" w:hAnsi="宋体" w:cs="宋体"/>
          <w:szCs w:val="21"/>
        </w:rPr>
        <w:t>3．诊断须由肾组织活检确定。</w:t>
      </w:r>
    </w:p>
    <w:p>
      <w:pPr>
        <w:spacing w:line="360" w:lineRule="auto"/>
        <w:ind w:firstLine="420" w:firstLineChars="200"/>
        <w:rPr>
          <w:rFonts w:ascii="宋体" w:hAnsi="宋体" w:cs="宋体"/>
          <w:szCs w:val="21"/>
        </w:rPr>
      </w:pPr>
      <w:r>
        <w:rPr>
          <w:rFonts w:hint="eastAsia" w:ascii="宋体" w:hAnsi="宋体" w:cs="宋体"/>
          <w:szCs w:val="21"/>
        </w:rPr>
        <w:t>1.38严重重症肌无力：指一种神经与肌肉接头部位传递障碍的自身免疫性疾病，临床特征是局部或全身横纹肌于活动时易于疲劳无力，颅神经眼外肌最易累及，也可涉及呼吸肌、下肢近端肌群以至全身肌肉。且须满足下列全部条件：</w:t>
      </w:r>
    </w:p>
    <w:p>
      <w:pPr>
        <w:spacing w:line="360" w:lineRule="auto"/>
        <w:ind w:firstLine="420" w:firstLineChars="200"/>
        <w:rPr>
          <w:rFonts w:ascii="宋体" w:hAnsi="宋体" w:cs="宋体"/>
          <w:szCs w:val="21"/>
        </w:rPr>
      </w:pPr>
      <w:r>
        <w:rPr>
          <w:rFonts w:hint="eastAsia" w:ascii="宋体" w:hAnsi="宋体" w:cs="宋体"/>
          <w:szCs w:val="21"/>
        </w:rPr>
        <w:t>1. 经药物或胸腺手术治疗一年以上无法控制病情，丧失正常工作能力；</w:t>
      </w:r>
    </w:p>
    <w:p>
      <w:pPr>
        <w:spacing w:line="360" w:lineRule="auto"/>
        <w:ind w:firstLine="420" w:firstLineChars="200"/>
        <w:rPr>
          <w:rFonts w:ascii="宋体" w:hAnsi="宋体" w:cs="宋体"/>
          <w:szCs w:val="21"/>
        </w:rPr>
      </w:pPr>
      <w:r>
        <w:rPr>
          <w:rFonts w:hint="eastAsia" w:ascii="宋体" w:hAnsi="宋体" w:cs="宋体"/>
          <w:szCs w:val="21"/>
        </w:rPr>
        <w:t>2. 出现眼睑下垂，或延髓肌受累引起的构音困难、进食呛咳,或由于肌无力累及延髓肌、呼吸肌而致机体呼吸功能不正常的危急状态即肌无力危象；</w:t>
      </w:r>
    </w:p>
    <w:p>
      <w:pPr>
        <w:spacing w:line="360" w:lineRule="auto"/>
        <w:ind w:firstLine="420" w:firstLineChars="200"/>
        <w:rPr>
          <w:rFonts w:ascii="宋体" w:hAnsi="宋体" w:cs="宋体"/>
          <w:szCs w:val="21"/>
        </w:rPr>
      </w:pPr>
      <w:r>
        <w:rPr>
          <w:rFonts w:hint="eastAsia" w:ascii="宋体" w:hAnsi="宋体" w:cs="宋体"/>
          <w:szCs w:val="21"/>
        </w:rPr>
        <w:t>3. 症状缓解、复发及恶化的交替出现，临床接受新斯的明等抗胆碱酯酶药物治疗的病史。</w:t>
      </w:r>
    </w:p>
    <w:p>
      <w:pPr>
        <w:spacing w:line="360" w:lineRule="auto"/>
        <w:ind w:firstLine="420" w:firstLineChars="200"/>
        <w:rPr>
          <w:rFonts w:ascii="宋体" w:hAnsi="宋体" w:cs="宋体"/>
          <w:szCs w:val="21"/>
        </w:rPr>
      </w:pPr>
    </w:p>
    <w:p>
      <w:pPr>
        <w:spacing w:line="360" w:lineRule="auto"/>
        <w:ind w:firstLine="422" w:firstLineChars="200"/>
        <w:rPr>
          <w:rFonts w:ascii="宋体" w:hAnsi="宋体" w:cs="宋体"/>
          <w:b/>
          <w:bCs/>
          <w:szCs w:val="21"/>
        </w:rPr>
      </w:pPr>
      <w:r>
        <w:rPr>
          <w:rFonts w:hint="eastAsia" w:ascii="宋体" w:hAnsi="宋体" w:cs="宋体"/>
          <w:b/>
          <w:bCs/>
          <w:szCs w:val="21"/>
        </w:rPr>
        <w:t>第二十二条 轻度疾病定义</w:t>
      </w:r>
    </w:p>
    <w:p>
      <w:pPr>
        <w:spacing w:line="360" w:lineRule="auto"/>
        <w:ind w:firstLine="420" w:firstLineChars="200"/>
        <w:rPr>
          <w:rFonts w:ascii="宋体" w:hAnsi="宋体" w:cs="宋体"/>
          <w:szCs w:val="21"/>
        </w:rPr>
      </w:pPr>
      <w:r>
        <w:rPr>
          <w:rFonts w:hint="eastAsia" w:ascii="宋体" w:hAnsi="宋体" w:cs="宋体"/>
          <w:szCs w:val="21"/>
        </w:rPr>
        <w:t>恶性肿瘤——轻度</w:t>
      </w:r>
    </w:p>
    <w:p>
      <w:pPr>
        <w:spacing w:line="360" w:lineRule="auto"/>
        <w:ind w:firstLine="420" w:firstLineChars="200"/>
        <w:rPr>
          <w:rFonts w:ascii="宋体" w:hAnsi="宋体" w:cs="宋体"/>
          <w:szCs w:val="21"/>
        </w:rPr>
      </w:pPr>
      <w:r>
        <w:rPr>
          <w:rFonts w:hint="eastAsia" w:ascii="宋体" w:hAnsi="宋体" w:cs="宋体"/>
          <w:szCs w:val="21"/>
        </w:rPr>
        <w:t>指恶性细胞不受控制的进行性增长和扩散， 浸润和破坏周围  正常组织， 可以经血管、淋巴管和体腔扩散转移到身体其他部位， 病灶经组织病理学检查（涵盖骨髓病理学检查）结果明确诊断， 临床诊断属于世界卫生组织（WHO，World Health Organization） 《疾病和有关健康问题的国际统计分类》第十次修订版（ ICD-10） 的恶性肿瘤类别及《国际疾病分类肿瘤学专辑》第三版（ ICD-O-3） 的肿瘤形态学编码属于 3、6、9（恶性肿瘤） 范畴， 但不在“恶  性肿瘤——重度”保障范围的疾病。且特指下列六项之一：</w:t>
      </w:r>
    </w:p>
    <w:p>
      <w:pPr>
        <w:spacing w:line="360" w:lineRule="auto"/>
        <w:ind w:firstLine="420" w:firstLineChars="200"/>
        <w:rPr>
          <w:rFonts w:ascii="宋体" w:hAnsi="宋体" w:cs="宋体"/>
          <w:szCs w:val="21"/>
        </w:rPr>
      </w:pPr>
      <w:r>
        <w:rPr>
          <w:rFonts w:hint="eastAsia" w:ascii="宋体" w:hAnsi="宋体" w:cs="宋体"/>
          <w:szCs w:val="21"/>
        </w:rPr>
        <w:t>（1） TNM 分期为 Ⅰ期的甲状腺癌；</w:t>
      </w:r>
    </w:p>
    <w:p>
      <w:pPr>
        <w:spacing w:line="360" w:lineRule="auto"/>
        <w:ind w:firstLine="420" w:firstLineChars="200"/>
        <w:rPr>
          <w:rFonts w:ascii="宋体" w:hAnsi="宋体" w:cs="宋体"/>
          <w:szCs w:val="21"/>
        </w:rPr>
      </w:pPr>
      <w:r>
        <w:rPr>
          <w:rFonts w:hint="eastAsia" w:ascii="宋体" w:hAnsi="宋体" w:cs="宋体"/>
          <w:szCs w:val="21"/>
        </w:rPr>
        <w:t>（2） TNM 分期为 T1N0M0 期的前列腺癌；</w:t>
      </w:r>
    </w:p>
    <w:p>
      <w:pPr>
        <w:spacing w:line="360" w:lineRule="auto"/>
        <w:ind w:firstLine="420" w:firstLineChars="200"/>
        <w:rPr>
          <w:rFonts w:ascii="宋体" w:hAnsi="宋体" w:cs="宋体"/>
          <w:szCs w:val="21"/>
        </w:rPr>
      </w:pPr>
      <w:r>
        <w:rPr>
          <w:rFonts w:hint="eastAsia" w:ascii="宋体" w:hAnsi="宋体" w:cs="宋体"/>
          <w:szCs w:val="21"/>
        </w:rPr>
        <w:t>（3） 黑色素瘤以外的未发生淋巴结和远处转移的皮肤恶性 肿瘤；</w:t>
      </w:r>
    </w:p>
    <w:p>
      <w:pPr>
        <w:spacing w:line="360" w:lineRule="auto"/>
        <w:ind w:firstLine="420" w:firstLineChars="200"/>
        <w:rPr>
          <w:rFonts w:ascii="宋体" w:hAnsi="宋体" w:cs="宋体"/>
          <w:szCs w:val="21"/>
        </w:rPr>
      </w:pPr>
      <w:r>
        <w:rPr>
          <w:rFonts w:hint="eastAsia" w:ascii="宋体" w:hAnsi="宋体" w:cs="宋体"/>
          <w:szCs w:val="21"/>
        </w:rPr>
        <w:t>（4） 相当于 Binet 分期方案 A 期程度的慢性淋巴细胞白血 病；</w:t>
      </w:r>
    </w:p>
    <w:p>
      <w:pPr>
        <w:spacing w:line="360" w:lineRule="auto"/>
        <w:ind w:firstLine="420" w:firstLineChars="200"/>
        <w:rPr>
          <w:rFonts w:ascii="宋体" w:hAnsi="宋体" w:cs="宋体"/>
          <w:szCs w:val="21"/>
        </w:rPr>
      </w:pPr>
      <w:r>
        <w:rPr>
          <w:rFonts w:hint="eastAsia" w:ascii="宋体" w:hAnsi="宋体" w:cs="宋体"/>
          <w:szCs w:val="21"/>
        </w:rPr>
        <w:t>（5） 相当于 Ann Arbor 分期方案 Ⅰ期程度的何杰金氏病；</w:t>
      </w:r>
    </w:p>
    <w:p>
      <w:pPr>
        <w:spacing w:line="360" w:lineRule="auto"/>
        <w:ind w:firstLine="420" w:firstLineChars="200"/>
        <w:rPr>
          <w:rFonts w:ascii="宋体" w:hAnsi="宋体" w:cs="宋体"/>
          <w:szCs w:val="21"/>
        </w:rPr>
      </w:pPr>
      <w:r>
        <w:rPr>
          <w:rFonts w:hint="eastAsia" w:ascii="宋体" w:hAnsi="宋体" w:cs="宋体"/>
          <w:szCs w:val="21"/>
        </w:rPr>
        <w:t>（6） 未发生淋巴结和远处转移且 WHO 分级为 G1 级别（核分 裂像&lt;10/50 HPF 和 ki-67≤2%）的神经内分泌肿瘤。</w:t>
      </w:r>
    </w:p>
    <w:p>
      <w:pPr>
        <w:spacing w:line="360" w:lineRule="auto"/>
        <w:ind w:firstLine="420" w:firstLineChars="200"/>
        <w:rPr>
          <w:rFonts w:ascii="宋体" w:hAnsi="宋体" w:cs="宋体"/>
          <w:szCs w:val="21"/>
        </w:rPr>
      </w:pPr>
      <w:r>
        <w:rPr>
          <w:rFonts w:hint="eastAsia" w:ascii="宋体" w:hAnsi="宋体" w:cs="宋体"/>
          <w:szCs w:val="21"/>
        </w:rPr>
        <w:t>下列疾病不属于“恶性肿瘤——轻度”， 不在保障范围内：</w:t>
      </w:r>
    </w:p>
    <w:p>
      <w:pPr>
        <w:spacing w:line="360" w:lineRule="auto"/>
        <w:ind w:firstLine="420" w:firstLineChars="200"/>
        <w:rPr>
          <w:rFonts w:ascii="宋体" w:hAnsi="宋体" w:cs="宋体"/>
          <w:szCs w:val="21"/>
        </w:rPr>
      </w:pPr>
      <w:r>
        <w:rPr>
          <w:rFonts w:hint="eastAsia" w:ascii="宋体" w:hAnsi="宋体" w:cs="宋体"/>
          <w:szCs w:val="21"/>
        </w:rPr>
        <w:t>ICD-O-3 肿瘤形态学编码属于 0（ 良性肿瘤）、1（动态未定 性肿瘤）、2（原位癌和非侵袭性癌） 范畴的疾病，如：</w:t>
      </w:r>
    </w:p>
    <w:p>
      <w:pPr>
        <w:spacing w:line="360" w:lineRule="auto"/>
        <w:ind w:firstLine="420" w:firstLineChars="200"/>
        <w:rPr>
          <w:rFonts w:ascii="宋体" w:hAnsi="宋体" w:cs="宋体"/>
          <w:szCs w:val="21"/>
        </w:rPr>
      </w:pPr>
      <w:r>
        <w:rPr>
          <w:rFonts w:hint="eastAsia" w:ascii="宋体" w:hAnsi="宋体" w:cs="宋体"/>
          <w:szCs w:val="21"/>
        </w:rPr>
        <w:t>a.原位癌， 癌前病变， 非浸润性癌， 非侵袭性癌，肿瘤细胞 未侵犯基底层， 上皮内瘤变， 细胞不典型性增生等；</w:t>
      </w:r>
    </w:p>
    <w:p>
      <w:pPr>
        <w:spacing w:line="360" w:lineRule="auto"/>
        <w:ind w:firstLine="420" w:firstLineChars="200"/>
        <w:rPr>
          <w:rFonts w:ascii="宋体" w:hAnsi="宋体" w:cs="宋体"/>
          <w:szCs w:val="21"/>
        </w:rPr>
      </w:pPr>
      <w:r>
        <w:rPr>
          <w:rFonts w:hint="eastAsia" w:ascii="宋体" w:hAnsi="宋体" w:cs="宋体"/>
          <w:szCs w:val="21"/>
        </w:rPr>
        <w:t>b.交界性肿瘤， 交界恶性肿瘤，肿瘤低度恶性潜能， 潜在低 度恶性肿瘤等。</w:t>
      </w:r>
    </w:p>
    <w:p>
      <w:pPr>
        <w:spacing w:line="360" w:lineRule="auto"/>
        <w:ind w:firstLine="420" w:firstLineChars="200"/>
        <w:rPr>
          <w:rFonts w:ascii="宋体" w:hAnsi="宋体" w:cs="宋体"/>
          <w:szCs w:val="21"/>
        </w:rPr>
      </w:pPr>
      <w:r>
        <w:rPr>
          <w:rFonts w:hint="eastAsia" w:ascii="宋体" w:hAnsi="宋体" w:cs="宋体"/>
          <w:szCs w:val="21"/>
        </w:rPr>
        <w:t>2 较轻急性心肌梗死</w:t>
      </w:r>
    </w:p>
    <w:p>
      <w:pPr>
        <w:spacing w:line="360" w:lineRule="auto"/>
        <w:ind w:firstLine="420" w:firstLineChars="200"/>
        <w:rPr>
          <w:rFonts w:ascii="宋体" w:hAnsi="宋体" w:cs="宋体"/>
          <w:szCs w:val="21"/>
        </w:rPr>
      </w:pPr>
      <w:r>
        <w:rPr>
          <w:rFonts w:hint="eastAsia" w:ascii="宋体" w:hAnsi="宋体" w:cs="宋体"/>
          <w:szCs w:val="21"/>
        </w:rPr>
        <w:t>急性心肌梗死指由于冠状动脉闭塞或梗阻引起部分心肌严 重的持久性缺血造成急性心肌坏死。急性心肌梗死的诊断必须依 据国际国内诊断标准， 符合（ 1）检测到肌酸激酶同工酶（CK-MB） 或肌钙蛋白（cTn） 升高和/或降低的动态变化， 至少一次达到或 超过心肌梗死的临床诊断标准；（2）同时存在下列之一的证据， 包括： 缺血性胸痛症状、新发生的缺血性心电图改变、新生成的 病理性 Q 波、影像学证据显示有新出现的心肌活性丧失或新出现 局部室壁运动异常、冠脉造影证实存在冠状动脉血栓。</w:t>
      </w:r>
    </w:p>
    <w:p>
      <w:pPr>
        <w:spacing w:line="360" w:lineRule="auto"/>
        <w:ind w:firstLine="420" w:firstLineChars="200"/>
        <w:rPr>
          <w:rFonts w:ascii="宋体" w:hAnsi="宋体" w:cs="宋体"/>
          <w:szCs w:val="21"/>
        </w:rPr>
      </w:pPr>
      <w:r>
        <w:rPr>
          <w:rFonts w:hint="eastAsia" w:ascii="宋体" w:hAnsi="宋体" w:cs="宋体"/>
          <w:szCs w:val="21"/>
        </w:rPr>
        <w:t>较轻急性心肌梗死指依照上述标准被明确诊断为急性心肌梗死，但未达到“较重急性心肌梗死”的给付标准。</w:t>
      </w:r>
    </w:p>
    <w:p>
      <w:pPr>
        <w:spacing w:line="360" w:lineRule="auto"/>
        <w:ind w:firstLine="420" w:firstLineChars="200"/>
        <w:rPr>
          <w:rFonts w:ascii="宋体" w:hAnsi="宋体" w:cs="宋体"/>
          <w:szCs w:val="21"/>
        </w:rPr>
      </w:pPr>
      <w:r>
        <w:rPr>
          <w:rFonts w:hint="eastAsia" w:ascii="宋体" w:hAnsi="宋体" w:cs="宋体"/>
          <w:szCs w:val="21"/>
        </w:rPr>
        <w:t>其他非冠状动脉阻塞性疾病引起的肌钙蛋白（ cTn）升高不 在保障范围内。</w:t>
      </w:r>
    </w:p>
    <w:p>
      <w:pPr>
        <w:spacing w:line="360" w:lineRule="auto"/>
        <w:ind w:firstLine="420" w:firstLineChars="200"/>
        <w:rPr>
          <w:rFonts w:ascii="宋体" w:hAnsi="宋体" w:cs="宋体"/>
          <w:szCs w:val="21"/>
        </w:rPr>
      </w:pPr>
      <w:r>
        <w:rPr>
          <w:rFonts w:hint="eastAsia" w:ascii="宋体" w:hAnsi="宋体" w:cs="宋体"/>
          <w:szCs w:val="21"/>
        </w:rPr>
        <w:t>3 轻度脑中风后遗症</w:t>
      </w:r>
    </w:p>
    <w:p>
      <w:pPr>
        <w:spacing w:line="360" w:lineRule="auto"/>
        <w:ind w:firstLine="420" w:firstLineChars="200"/>
        <w:rPr>
          <w:rFonts w:ascii="宋体" w:hAnsi="宋体" w:cs="宋体"/>
          <w:szCs w:val="21"/>
        </w:rPr>
      </w:pPr>
      <w:r>
        <w:rPr>
          <w:rFonts w:hint="eastAsia" w:ascii="宋体" w:hAnsi="宋体" w:cs="宋体"/>
          <w:szCs w:val="21"/>
        </w:rPr>
        <w:t>指因脑血管的突发病变引起脑血管出血、栓塞或梗塞， 须由 头颅断层扫描（CT）、核磁共振检查（MRI）等影像学检查证实， 并导致神经系统永久性的功能障碍， 但未达到“严重脑中风后遗 症”的给付标准， 在疾病确诊 180 天后， 仍遗留下列至少一种障碍：</w:t>
      </w:r>
    </w:p>
    <w:p>
      <w:pPr>
        <w:spacing w:line="360" w:lineRule="auto"/>
        <w:ind w:firstLine="420" w:firstLineChars="200"/>
        <w:rPr>
          <w:rFonts w:ascii="宋体" w:hAnsi="宋体" w:cs="宋体"/>
          <w:szCs w:val="21"/>
        </w:rPr>
      </w:pPr>
      <w:r>
        <w:rPr>
          <w:rFonts w:hint="eastAsia" w:ascii="宋体" w:hAnsi="宋体" w:cs="宋体"/>
          <w:szCs w:val="21"/>
        </w:rPr>
        <w:t>（1）一肢 （含） 以上肢体肌力为 3 级；</w:t>
      </w:r>
    </w:p>
    <w:p>
      <w:pPr>
        <w:spacing w:line="360" w:lineRule="auto"/>
        <w:ind w:firstLine="420" w:firstLineChars="200"/>
        <w:rPr>
          <w:rFonts w:ascii="宋体" w:hAnsi="宋体" w:cs="宋体"/>
          <w:szCs w:val="21"/>
        </w:rPr>
      </w:pPr>
      <w:r>
        <w:rPr>
          <w:rFonts w:hint="eastAsia" w:ascii="宋体" w:hAnsi="宋体" w:cs="宋体"/>
          <w:szCs w:val="21"/>
        </w:rPr>
        <w:t>（2）自主生活能力部分丧失，无法独立完成六项基本日常 生活活动中的两项。</w:t>
      </w:r>
    </w:p>
    <w:p>
      <w:pPr>
        <w:spacing w:line="360" w:lineRule="auto"/>
        <w:ind w:firstLine="422" w:firstLineChars="200"/>
        <w:rPr>
          <w:rFonts w:ascii="宋体" w:hAnsi="宋体" w:cs="宋体"/>
          <w:b/>
          <w:bCs/>
          <w:szCs w:val="21"/>
        </w:rPr>
      </w:pPr>
      <w:r>
        <w:rPr>
          <w:rFonts w:hint="eastAsia" w:ascii="宋体" w:hAnsi="宋体" w:cs="宋体"/>
          <w:b/>
          <w:bCs/>
          <w:szCs w:val="21"/>
        </w:rPr>
        <w:t>第二十三条 释义</w:t>
      </w:r>
    </w:p>
    <w:p>
      <w:pPr>
        <w:spacing w:line="360" w:lineRule="auto"/>
        <w:ind w:firstLine="420" w:firstLineChars="200"/>
        <w:rPr>
          <w:rFonts w:ascii="宋体" w:hAnsi="宋体" w:cs="宋体"/>
          <w:szCs w:val="21"/>
        </w:rPr>
      </w:pPr>
      <w:r>
        <w:rPr>
          <w:rFonts w:hint="eastAsia" w:ascii="宋体" w:hAnsi="宋体" w:cs="宋体"/>
          <w:szCs w:val="21"/>
        </w:rPr>
        <w:t>生效对应日：指本合同生效日每半年、季、月的对应日。</w:t>
      </w:r>
    </w:p>
    <w:p>
      <w:pPr>
        <w:spacing w:line="360" w:lineRule="auto"/>
        <w:ind w:firstLine="420" w:firstLineChars="200"/>
        <w:rPr>
          <w:rFonts w:ascii="宋体" w:hAnsi="宋体" w:cs="宋体"/>
          <w:szCs w:val="21"/>
        </w:rPr>
      </w:pPr>
      <w:r>
        <w:rPr>
          <w:rFonts w:hint="eastAsia" w:ascii="宋体" w:hAnsi="宋体" w:cs="宋体"/>
          <w:szCs w:val="21"/>
        </w:rPr>
        <w:t>专科医生：指应当同时满足以下四项资格条件：（1）具有有效的中华人民共和国《医师资格证书》；（2）具有有效的中华人民共和国《医师执业证书》，并按期到相关部门登记注册；（3）具有有效的中华人民共和国主治医师或主治医师以上职称的《医师职称证书》；（4）在国家《医院分级管理标准》二级或二级以上医院的相应科室从事临床工作三年以上。</w:t>
      </w:r>
    </w:p>
    <w:p>
      <w:pPr>
        <w:spacing w:line="360" w:lineRule="auto"/>
        <w:ind w:firstLine="420" w:firstLineChars="200"/>
        <w:rPr>
          <w:rFonts w:ascii="宋体" w:hAnsi="宋体" w:cs="宋体"/>
          <w:szCs w:val="21"/>
        </w:rPr>
      </w:pPr>
      <w:r>
        <w:rPr>
          <w:rFonts w:hint="eastAsia" w:ascii="宋体" w:hAnsi="宋体" w:cs="宋体"/>
          <w:szCs w:val="21"/>
        </w:rPr>
        <w:t>意外伤害：指遭受外来的、突发的、非本意的、非疾病的客观事件直接致使身体受到的伤害。</w:t>
      </w:r>
    </w:p>
    <w:p>
      <w:pPr>
        <w:spacing w:line="360" w:lineRule="auto"/>
        <w:ind w:firstLine="420" w:firstLineChars="200"/>
        <w:rPr>
          <w:rFonts w:ascii="宋体" w:hAnsi="宋体" w:cs="宋体"/>
          <w:szCs w:val="21"/>
        </w:rPr>
      </w:pPr>
      <w:r>
        <w:rPr>
          <w:rFonts w:hint="eastAsia" w:ascii="宋体" w:hAnsi="宋体" w:cs="宋体"/>
          <w:szCs w:val="21"/>
        </w:rPr>
        <w:t>毒品：指中华人民共和国刑法规定的鸦片、海洛因、甲基苯丙胺（冰毒）、吗啡、大麻、可卡因以及国家规定管制的其他能够使人形成瘾癖的麻醉药品和精神药品，但不包括由医生开具并遵医嘱使用的用于治疗疾病但含有毒品成分的处方药品。</w:t>
      </w:r>
    </w:p>
    <w:p>
      <w:pPr>
        <w:spacing w:line="360" w:lineRule="auto"/>
        <w:ind w:firstLine="420" w:firstLineChars="200"/>
        <w:rPr>
          <w:rFonts w:ascii="宋体" w:hAnsi="宋体" w:cs="宋体"/>
          <w:szCs w:val="21"/>
        </w:rPr>
      </w:pPr>
      <w:r>
        <w:rPr>
          <w:rFonts w:hint="eastAsia" w:ascii="宋体" w:hAnsi="宋体" w:cs="宋体"/>
          <w:szCs w:val="21"/>
        </w:rPr>
        <w:t>酒后驾驶：指经检测或鉴定，发生事故时车辆驾驶人员每百毫升血液中的酒精含量达到或超过一定的标准，公安机关交通管理部门依据《道路交通安全法》的规定认定为饮酒后驾驶或醉酒后驾驶。</w:t>
      </w:r>
    </w:p>
    <w:p>
      <w:pPr>
        <w:spacing w:line="360" w:lineRule="auto"/>
        <w:ind w:firstLine="420" w:firstLineChars="200"/>
        <w:rPr>
          <w:rFonts w:ascii="宋体" w:hAnsi="宋体" w:cs="宋体"/>
          <w:szCs w:val="21"/>
        </w:rPr>
      </w:pPr>
      <w:r>
        <w:rPr>
          <w:rFonts w:hint="eastAsia" w:ascii="宋体" w:hAnsi="宋体" w:cs="宋体"/>
          <w:szCs w:val="21"/>
        </w:rPr>
        <w:t>无合法有效驾驶证驾驶：指下列情形之一：</w:t>
      </w:r>
    </w:p>
    <w:p>
      <w:pPr>
        <w:spacing w:line="360" w:lineRule="auto"/>
        <w:ind w:firstLine="420" w:firstLineChars="200"/>
        <w:rPr>
          <w:rFonts w:ascii="宋体" w:hAnsi="宋体" w:cs="宋体"/>
          <w:szCs w:val="21"/>
        </w:rPr>
      </w:pPr>
      <w:r>
        <w:rPr>
          <w:rFonts w:hint="eastAsia" w:ascii="宋体" w:hAnsi="宋体" w:cs="宋体"/>
          <w:szCs w:val="21"/>
        </w:rPr>
        <w:t>（1）没有取得驾驶资格；</w:t>
      </w:r>
    </w:p>
    <w:p>
      <w:pPr>
        <w:spacing w:line="360" w:lineRule="auto"/>
        <w:ind w:firstLine="420" w:firstLineChars="200"/>
        <w:rPr>
          <w:rFonts w:ascii="宋体" w:hAnsi="宋体" w:cs="宋体"/>
          <w:szCs w:val="21"/>
        </w:rPr>
      </w:pPr>
      <w:r>
        <w:rPr>
          <w:rFonts w:hint="eastAsia" w:ascii="宋体" w:hAnsi="宋体" w:cs="宋体"/>
          <w:szCs w:val="21"/>
        </w:rPr>
        <w:t>（2）驾驶与驾驶证准驾车型不相符合的车辆；</w:t>
      </w:r>
    </w:p>
    <w:p>
      <w:pPr>
        <w:spacing w:line="360" w:lineRule="auto"/>
        <w:ind w:firstLine="420" w:firstLineChars="200"/>
        <w:rPr>
          <w:rFonts w:ascii="宋体" w:hAnsi="宋体" w:cs="宋体"/>
          <w:szCs w:val="21"/>
        </w:rPr>
      </w:pPr>
      <w:r>
        <w:rPr>
          <w:rFonts w:hint="eastAsia" w:ascii="宋体" w:hAnsi="宋体" w:cs="宋体"/>
          <w:szCs w:val="21"/>
        </w:rPr>
        <w:t>（3）持审验不合格的驾驶证驾驶；</w:t>
      </w:r>
    </w:p>
    <w:p>
      <w:pPr>
        <w:spacing w:line="360" w:lineRule="auto"/>
        <w:ind w:firstLine="420" w:firstLineChars="200"/>
        <w:rPr>
          <w:rFonts w:ascii="宋体" w:hAnsi="宋体" w:cs="宋体"/>
          <w:szCs w:val="21"/>
        </w:rPr>
      </w:pPr>
      <w:r>
        <w:rPr>
          <w:rFonts w:hint="eastAsia" w:ascii="宋体" w:hAnsi="宋体" w:cs="宋体"/>
          <w:szCs w:val="21"/>
        </w:rPr>
        <w:t>（4）持学习驾驶证学习驾车时，无教练员随车指导，或不按指定时间、路线学习驾车。</w:t>
      </w:r>
    </w:p>
    <w:p>
      <w:pPr>
        <w:spacing w:line="360" w:lineRule="auto"/>
        <w:ind w:firstLine="420" w:firstLineChars="200"/>
        <w:rPr>
          <w:rFonts w:ascii="宋体" w:hAnsi="宋体" w:cs="宋体"/>
          <w:szCs w:val="21"/>
        </w:rPr>
      </w:pPr>
      <w:r>
        <w:rPr>
          <w:rFonts w:hint="eastAsia" w:ascii="宋体" w:hAnsi="宋体" w:cs="宋体"/>
          <w:szCs w:val="21"/>
        </w:rPr>
        <w:t>无合法有效行驶证：指下列情形之一：</w:t>
      </w:r>
    </w:p>
    <w:p>
      <w:pPr>
        <w:spacing w:line="360" w:lineRule="auto"/>
        <w:ind w:firstLine="420" w:firstLineChars="200"/>
        <w:rPr>
          <w:rFonts w:ascii="宋体" w:hAnsi="宋体" w:cs="宋体"/>
          <w:szCs w:val="21"/>
        </w:rPr>
      </w:pPr>
      <w:r>
        <w:rPr>
          <w:rFonts w:hint="eastAsia" w:ascii="宋体" w:hAnsi="宋体" w:cs="宋体"/>
          <w:szCs w:val="21"/>
        </w:rPr>
        <w:t>（1）机动车被依法注销登记的；</w:t>
      </w:r>
    </w:p>
    <w:p>
      <w:pPr>
        <w:spacing w:line="360" w:lineRule="auto"/>
        <w:ind w:firstLine="420" w:firstLineChars="200"/>
        <w:rPr>
          <w:rFonts w:ascii="宋体" w:hAnsi="宋体" w:cs="宋体"/>
          <w:szCs w:val="21"/>
        </w:rPr>
      </w:pPr>
      <w:r>
        <w:rPr>
          <w:rFonts w:hint="eastAsia" w:ascii="宋体" w:hAnsi="宋体" w:cs="宋体"/>
          <w:szCs w:val="21"/>
        </w:rPr>
        <w:t>（2）未依法按时进行或通过机动车安全技术检验。</w:t>
      </w:r>
    </w:p>
    <w:p>
      <w:pPr>
        <w:spacing w:line="360" w:lineRule="auto"/>
        <w:ind w:firstLine="420" w:firstLineChars="200"/>
        <w:rPr>
          <w:rFonts w:ascii="宋体" w:hAnsi="宋体" w:cs="宋体"/>
          <w:szCs w:val="21"/>
        </w:rPr>
      </w:pPr>
      <w:r>
        <w:rPr>
          <w:rFonts w:hint="eastAsia" w:ascii="宋体" w:hAnsi="宋体" w:cs="宋体"/>
          <w:szCs w:val="21"/>
        </w:rPr>
        <w:t>机动车：指以动力装置驱动或者牵引，供人员乘用或者用于运送物品以及进行工程专项作业的轮式车辆。</w:t>
      </w:r>
    </w:p>
    <w:p>
      <w:pPr>
        <w:spacing w:line="360" w:lineRule="auto"/>
        <w:ind w:firstLine="420" w:firstLineChars="200"/>
        <w:rPr>
          <w:rFonts w:ascii="宋体" w:hAnsi="宋体" w:cs="宋体"/>
          <w:szCs w:val="21"/>
        </w:rPr>
      </w:pPr>
      <w:r>
        <w:rPr>
          <w:rFonts w:hint="eastAsia" w:ascii="宋体" w:hAnsi="宋体" w:cs="宋体"/>
          <w:szCs w:val="21"/>
        </w:rPr>
        <w:t>感染艾滋病病毒或患艾滋病：艾滋病病毒指人类免疫缺陷病毒，英文缩写为HIV。艾滋病指人类免疫缺陷病毒引起的获得性免疫缺陷综合征，英文缩写为AIDS。在人体血液或其他样本中检测到艾滋病病毒或其抗体呈阳性，没有出现临床症状或体征的，为感染艾滋病病毒；如果同时出现了明显临床症状或体征的，为患艾滋病。</w:t>
      </w:r>
    </w:p>
    <w:p>
      <w:pPr>
        <w:spacing w:line="360" w:lineRule="auto"/>
        <w:ind w:firstLine="420" w:firstLineChars="200"/>
        <w:rPr>
          <w:rFonts w:ascii="宋体" w:hAnsi="宋体" w:cs="宋体"/>
          <w:szCs w:val="21"/>
        </w:rPr>
      </w:pPr>
      <w:r>
        <w:rPr>
          <w:rFonts w:hint="eastAsia" w:ascii="宋体" w:hAnsi="宋体" w:cs="宋体"/>
          <w:szCs w:val="21"/>
        </w:rPr>
        <w:t>战争：指国家与国家、民族与民族、政治集团与政治集团之间为了一定的政治、经济目的而进行的武装斗争，以政府宣布为准。</w:t>
      </w:r>
    </w:p>
    <w:p>
      <w:pPr>
        <w:spacing w:line="360" w:lineRule="auto"/>
        <w:ind w:firstLine="420" w:firstLineChars="200"/>
        <w:rPr>
          <w:rFonts w:ascii="宋体" w:hAnsi="宋体" w:cs="宋体"/>
          <w:szCs w:val="21"/>
        </w:rPr>
      </w:pPr>
      <w:r>
        <w:rPr>
          <w:rFonts w:hint="eastAsia" w:ascii="宋体" w:hAnsi="宋体" w:cs="宋体"/>
          <w:szCs w:val="21"/>
        </w:rPr>
        <w:t>军事冲突：指国家或民族之间在一定范围内的武装对抗，以政府宣布为准。</w:t>
      </w:r>
    </w:p>
    <w:p>
      <w:pPr>
        <w:spacing w:line="360" w:lineRule="auto"/>
        <w:ind w:firstLine="420" w:firstLineChars="200"/>
        <w:rPr>
          <w:rFonts w:ascii="宋体" w:hAnsi="宋体" w:cs="宋体"/>
          <w:szCs w:val="21"/>
        </w:rPr>
      </w:pPr>
      <w:r>
        <w:rPr>
          <w:rFonts w:hint="eastAsia" w:ascii="宋体" w:hAnsi="宋体" w:cs="宋体"/>
          <w:szCs w:val="21"/>
        </w:rPr>
        <w:t>暴乱：指破坏社会秩序的武装骚动，以政府宣布为准。</w:t>
      </w:r>
    </w:p>
    <w:p>
      <w:pPr>
        <w:spacing w:line="360" w:lineRule="auto"/>
        <w:ind w:firstLine="420" w:firstLineChars="200"/>
        <w:rPr>
          <w:rFonts w:ascii="宋体" w:hAnsi="宋体" w:cs="宋体"/>
          <w:szCs w:val="21"/>
        </w:rPr>
      </w:pPr>
      <w:r>
        <w:rPr>
          <w:rFonts w:hint="eastAsia" w:ascii="宋体" w:hAnsi="宋体" w:cs="宋体"/>
          <w:szCs w:val="21"/>
        </w:rPr>
        <w:t>遗传性疾病：指生殖细胞或受精卵的遗传物质（染色体和基因）发生突变或畸变所引起的疾病，通常具有由亲代传至后代的垂直传递的特征。</w:t>
      </w:r>
    </w:p>
    <w:p>
      <w:pPr>
        <w:spacing w:line="360" w:lineRule="auto"/>
        <w:ind w:firstLine="420" w:firstLineChars="200"/>
        <w:rPr>
          <w:rFonts w:ascii="宋体" w:hAnsi="宋体" w:cs="宋体"/>
          <w:szCs w:val="21"/>
        </w:rPr>
      </w:pPr>
      <w:r>
        <w:rPr>
          <w:rFonts w:hint="eastAsia" w:ascii="宋体" w:hAnsi="宋体" w:cs="宋体"/>
          <w:szCs w:val="21"/>
        </w:rPr>
        <w:t>先天性畸形、变形或染色体异常：指被保险人出生时就具有的畸形、变形或染色体异常。先天性畸形、变形和染色体异常依照世界卫生组织《疾病和有关健康问题的国际统计分类》第十次修订版（ICD-10）确定。</w:t>
      </w:r>
    </w:p>
    <w:p>
      <w:pPr>
        <w:spacing w:line="360" w:lineRule="auto"/>
        <w:ind w:firstLine="420" w:firstLineChars="200"/>
        <w:rPr>
          <w:rFonts w:ascii="宋体" w:hAnsi="宋体" w:cs="宋体"/>
          <w:szCs w:val="21"/>
        </w:rPr>
      </w:pPr>
      <w:r>
        <w:rPr>
          <w:rFonts w:hint="eastAsia" w:ascii="宋体" w:hAnsi="宋体" w:cs="宋体"/>
          <w:szCs w:val="21"/>
        </w:rPr>
        <w:t>应交而未交付的保险费：指投保人在投保时与本公司约定的本合同整个保险期间内应交付的全部保险费与已经交付的保险费的差额。</w:t>
      </w:r>
    </w:p>
    <w:p>
      <w:pPr>
        <w:spacing w:line="360" w:lineRule="auto"/>
        <w:ind w:firstLine="420" w:firstLineChars="200"/>
        <w:rPr>
          <w:rFonts w:ascii="宋体" w:hAnsi="宋体" w:cs="宋体"/>
          <w:szCs w:val="21"/>
        </w:rPr>
      </w:pPr>
      <w:r>
        <w:rPr>
          <w:rFonts w:hint="eastAsia" w:ascii="宋体" w:hAnsi="宋体" w:cs="宋体"/>
          <w:szCs w:val="21"/>
        </w:rPr>
        <w:t>法定身份证明：指依据法律规定，由有权机构制作颁发的证明身份的证件、文件等，如：居民身份证、户口簿、护照、军人证等。</w:t>
      </w:r>
    </w:p>
    <w:p>
      <w:pPr>
        <w:spacing w:line="360" w:lineRule="auto"/>
        <w:ind w:firstLine="420" w:firstLineChars="200"/>
        <w:rPr>
          <w:rFonts w:ascii="宋体" w:hAnsi="宋体" w:cs="宋体"/>
          <w:szCs w:val="21"/>
        </w:rPr>
      </w:pPr>
      <w:r>
        <w:rPr>
          <w:rFonts w:hint="eastAsia" w:ascii="宋体" w:hAnsi="宋体" w:cs="宋体"/>
          <w:szCs w:val="21"/>
        </w:rPr>
        <w:t>现金价值：指最后一期已交付保险费×（1-手续费比例）×（1－该保险费所保障的已经过日数/该保险费所保障的日数）。经过日数不足一日的按一日计算。手续费比例由投保人在投保时与本公司协商确定并在保险单上载明，但最高不超过 25%。</w:t>
      </w:r>
    </w:p>
    <w:p>
      <w:pPr>
        <w:spacing w:line="360" w:lineRule="auto"/>
        <w:ind w:firstLine="420" w:firstLineChars="200"/>
        <w:rPr>
          <w:rFonts w:ascii="宋体" w:hAnsi="宋体" w:cs="宋体"/>
          <w:szCs w:val="21"/>
        </w:rPr>
      </w:pPr>
      <w:r>
        <w:rPr>
          <w:rFonts w:hint="eastAsia" w:ascii="宋体" w:hAnsi="宋体" w:cs="宋体"/>
          <w:szCs w:val="21"/>
        </w:rPr>
        <w:t>组织病理学检查：组织病理学检查是通过局部切除、钳取、穿刺等手术方法，从患者机体采取病变组织块，经过包埋、切片后，进行病理检查的方法。通过采集病变部位脱落细胞、细针吸取病变部位细胞、体腔积液分离病变细胞等方式获取病变细胞，制成涂片，进行病理检查的方法，属于细胞病理学检查，不属于组织病理学检查。</w:t>
      </w:r>
    </w:p>
    <w:p>
      <w:pPr>
        <w:spacing w:line="360" w:lineRule="auto"/>
        <w:ind w:firstLine="420" w:firstLineChars="200"/>
        <w:rPr>
          <w:rFonts w:ascii="宋体" w:hAnsi="宋体" w:cs="宋体"/>
          <w:szCs w:val="21"/>
        </w:rPr>
      </w:pPr>
      <w:r>
        <w:rPr>
          <w:rFonts w:hint="eastAsia" w:ascii="宋体" w:hAnsi="宋体" w:cs="宋体"/>
          <w:szCs w:val="21"/>
        </w:rPr>
        <w:t>ICD-10 与 ICD-O-3：《疾病和有关健康问题的国际统计分类》第十次修订版（ICD-10），是世界卫生组织（WHO）发布的国际通用的疾病分类方法。《国际疾病分类肿瘤学专辑》第三版（ICD-O-3），是 WHO 发布的针对 ICD 中肿瘤形态学组织学细胞类型、动态、分化程度的补充编码。其中形态学编码：0 代表良性肿瘤；1 代表动态未定性肿瘤；2 代表原位癌和非侵袭性癌；3 代表恶性肿瘤（原发性）；6 代表恶性肿瘤（转移性）；9 代表恶性肿瘤（原发性或转移性未肯定）。如果出现 ICD-10 与 ICD-O-3 不一致的情况，以 ICD-O-3 为准。</w:t>
      </w:r>
    </w:p>
    <w:p>
      <w:pPr>
        <w:spacing w:line="360" w:lineRule="auto"/>
        <w:ind w:firstLine="420" w:firstLineChars="200"/>
        <w:rPr>
          <w:rFonts w:ascii="宋体" w:hAnsi="宋体" w:cs="宋体"/>
          <w:szCs w:val="21"/>
        </w:rPr>
      </w:pPr>
      <w:r>
        <w:rPr>
          <w:rFonts w:hint="eastAsia" w:ascii="宋体" w:hAnsi="宋体" w:cs="宋体"/>
          <w:szCs w:val="21"/>
        </w:rPr>
        <w:t>TNM分期：TNM分期采用AJCC癌症分期手册标准。该标准由美国癌症联合委员会与国际抗癌联合会TNM委员会联合制定，是目前肿瘤医学分期的国际通用标准。T指原发肿瘤的大小、形态等；N指淋巴结的转移情况；M指有无其他脏器的转移情况。</w:t>
      </w:r>
    </w:p>
    <w:p>
      <w:pPr>
        <w:spacing w:line="360" w:lineRule="auto"/>
        <w:ind w:firstLine="420" w:firstLineChars="200"/>
        <w:rPr>
          <w:rFonts w:ascii="宋体" w:hAnsi="宋体" w:cs="宋体"/>
          <w:szCs w:val="21"/>
        </w:rPr>
      </w:pPr>
      <w:r>
        <w:rPr>
          <w:rFonts w:hint="eastAsia" w:ascii="宋体" w:hAnsi="宋体" w:cs="宋体"/>
          <w:szCs w:val="21"/>
        </w:rPr>
        <w:t>甲状腺癌的TNM分期：甲状腺癌的TNM分期采用目前现行的AJCC第八版定义标准，我国国家卫生健康委员会2018年发布的《甲状腺癌诊疗规范（2018年版）》也采用此定义标准，具体见下：</w:t>
      </w:r>
    </w:p>
    <w:p>
      <w:pPr>
        <w:spacing w:line="360" w:lineRule="auto"/>
        <w:ind w:firstLine="420" w:firstLineChars="200"/>
        <w:rPr>
          <w:rFonts w:ascii="宋体" w:hAnsi="宋体" w:cs="宋体"/>
          <w:szCs w:val="21"/>
        </w:rPr>
      </w:pPr>
      <w:r>
        <w:rPr>
          <w:rFonts w:hint="eastAsia" w:ascii="宋体" w:hAnsi="宋体" w:cs="宋体"/>
          <w:szCs w:val="21"/>
        </w:rPr>
        <w:t>甲状腺乳头状癌、滤泡癌、低分化癌、Hürthle 细胞癌和未分化癌</w:t>
      </w:r>
    </w:p>
    <w:p>
      <w:pPr>
        <w:spacing w:line="360" w:lineRule="auto"/>
        <w:ind w:firstLine="420" w:firstLineChars="200"/>
        <w:rPr>
          <w:rFonts w:ascii="宋体" w:hAnsi="宋体" w:cs="宋体"/>
          <w:szCs w:val="21"/>
        </w:rPr>
      </w:pPr>
      <w:r>
        <w:rPr>
          <w:rFonts w:hint="eastAsia" w:ascii="宋体" w:hAnsi="宋体" w:cs="宋体"/>
          <w:szCs w:val="21"/>
        </w:rPr>
        <w:t>pT X ：原发肿瘤不能评估</w:t>
      </w:r>
    </w:p>
    <w:p>
      <w:pPr>
        <w:spacing w:line="360" w:lineRule="auto"/>
        <w:ind w:firstLine="420" w:firstLineChars="200"/>
        <w:rPr>
          <w:rFonts w:ascii="宋体" w:hAnsi="宋体" w:cs="宋体"/>
          <w:szCs w:val="21"/>
        </w:rPr>
      </w:pPr>
      <w:r>
        <w:rPr>
          <w:rFonts w:hint="eastAsia" w:ascii="宋体" w:hAnsi="宋体" w:cs="宋体"/>
          <w:szCs w:val="21"/>
        </w:rPr>
        <w:t>pT 0 ：无肿瘤证据</w:t>
      </w:r>
    </w:p>
    <w:p>
      <w:pPr>
        <w:spacing w:line="360" w:lineRule="auto"/>
        <w:ind w:firstLine="420" w:firstLineChars="200"/>
        <w:rPr>
          <w:rFonts w:ascii="宋体" w:hAnsi="宋体" w:cs="宋体"/>
          <w:szCs w:val="21"/>
        </w:rPr>
      </w:pPr>
      <w:r>
        <w:rPr>
          <w:rFonts w:hint="eastAsia" w:ascii="宋体" w:hAnsi="宋体" w:cs="宋体"/>
          <w:szCs w:val="21"/>
        </w:rPr>
        <w:t>pT 1 ：肿瘤局限在甲状腺内，最大径≤2cm</w:t>
      </w:r>
    </w:p>
    <w:p>
      <w:pPr>
        <w:spacing w:line="360" w:lineRule="auto"/>
        <w:ind w:firstLine="420" w:firstLineChars="200"/>
        <w:rPr>
          <w:rFonts w:ascii="宋体" w:hAnsi="宋体" w:cs="宋体"/>
          <w:szCs w:val="21"/>
        </w:rPr>
      </w:pPr>
      <w:r>
        <w:rPr>
          <w:rFonts w:hint="eastAsia" w:ascii="宋体" w:hAnsi="宋体" w:cs="宋体"/>
          <w:szCs w:val="21"/>
        </w:rPr>
        <w:t>T 1a 肿瘤最大径≤1cm</w:t>
      </w:r>
    </w:p>
    <w:p>
      <w:pPr>
        <w:spacing w:line="360" w:lineRule="auto"/>
        <w:ind w:firstLine="420" w:firstLineChars="200"/>
        <w:rPr>
          <w:rFonts w:ascii="宋体" w:hAnsi="宋体" w:cs="宋体"/>
          <w:szCs w:val="21"/>
        </w:rPr>
      </w:pPr>
      <w:r>
        <w:rPr>
          <w:rFonts w:hint="eastAsia" w:ascii="宋体" w:hAnsi="宋体" w:cs="宋体"/>
          <w:szCs w:val="21"/>
        </w:rPr>
        <w:t>T 1b 肿瘤最大径＞1cm，≤2cm</w:t>
      </w:r>
    </w:p>
    <w:p>
      <w:pPr>
        <w:spacing w:line="360" w:lineRule="auto"/>
        <w:ind w:firstLine="420" w:firstLineChars="200"/>
        <w:rPr>
          <w:rFonts w:ascii="宋体" w:hAnsi="宋体" w:cs="宋体"/>
          <w:szCs w:val="21"/>
        </w:rPr>
      </w:pPr>
      <w:r>
        <w:rPr>
          <w:rFonts w:hint="eastAsia" w:ascii="宋体" w:hAnsi="宋体" w:cs="宋体"/>
          <w:szCs w:val="21"/>
        </w:rPr>
        <w:t>pT 2 ：肿瘤 2～4cm</w:t>
      </w:r>
    </w:p>
    <w:p>
      <w:pPr>
        <w:spacing w:line="360" w:lineRule="auto"/>
        <w:ind w:firstLine="420" w:firstLineChars="200"/>
        <w:rPr>
          <w:rFonts w:ascii="宋体" w:hAnsi="宋体" w:cs="宋体"/>
          <w:szCs w:val="21"/>
        </w:rPr>
      </w:pPr>
      <w:r>
        <w:rPr>
          <w:rFonts w:hint="eastAsia" w:ascii="宋体" w:hAnsi="宋体" w:cs="宋体"/>
          <w:szCs w:val="21"/>
        </w:rPr>
        <w:t>pT 3 ：肿瘤&gt;4cm，局限于甲状腺内或大体侵犯甲状腺外带状肌</w:t>
      </w:r>
    </w:p>
    <w:p>
      <w:pPr>
        <w:spacing w:line="360" w:lineRule="auto"/>
        <w:ind w:firstLine="420" w:firstLineChars="200"/>
        <w:rPr>
          <w:rFonts w:ascii="宋体" w:hAnsi="宋体" w:cs="宋体"/>
          <w:szCs w:val="21"/>
        </w:rPr>
      </w:pPr>
      <w:r>
        <w:rPr>
          <w:rFonts w:hint="eastAsia" w:ascii="宋体" w:hAnsi="宋体" w:cs="宋体"/>
          <w:szCs w:val="21"/>
        </w:rPr>
        <w:t>pT 3a ：肿瘤&gt;4cm，局限于甲状腺内</w:t>
      </w:r>
    </w:p>
    <w:p>
      <w:pPr>
        <w:spacing w:line="360" w:lineRule="auto"/>
        <w:ind w:firstLine="420" w:firstLineChars="200"/>
        <w:rPr>
          <w:rFonts w:ascii="宋体" w:hAnsi="宋体" w:cs="宋体"/>
          <w:szCs w:val="21"/>
        </w:rPr>
      </w:pPr>
      <w:r>
        <w:rPr>
          <w:rFonts w:hint="eastAsia" w:ascii="宋体" w:hAnsi="宋体" w:cs="宋体"/>
          <w:szCs w:val="21"/>
        </w:rPr>
        <w:t>pT 3b ：大体侵犯甲状腺外带状肌，无论肿瘤大小</w:t>
      </w:r>
    </w:p>
    <w:p>
      <w:pPr>
        <w:spacing w:line="360" w:lineRule="auto"/>
        <w:ind w:firstLine="420" w:firstLineChars="200"/>
        <w:rPr>
          <w:rFonts w:ascii="宋体" w:hAnsi="宋体" w:cs="宋体"/>
          <w:szCs w:val="21"/>
        </w:rPr>
      </w:pPr>
      <w:r>
        <w:rPr>
          <w:rFonts w:hint="eastAsia" w:ascii="宋体" w:hAnsi="宋体" w:cs="宋体"/>
          <w:szCs w:val="21"/>
        </w:rPr>
        <w:t>带状肌包括：胸骨舌骨肌、胸骨甲状肌、甲状舌骨肌、肩胛舌骨肌</w:t>
      </w:r>
    </w:p>
    <w:p>
      <w:pPr>
        <w:spacing w:line="360" w:lineRule="auto"/>
        <w:ind w:firstLine="420" w:firstLineChars="200"/>
        <w:rPr>
          <w:rFonts w:ascii="宋体" w:hAnsi="宋体" w:cs="宋体"/>
          <w:szCs w:val="21"/>
        </w:rPr>
      </w:pPr>
      <w:r>
        <w:rPr>
          <w:rFonts w:hint="eastAsia" w:ascii="宋体" w:hAnsi="宋体" w:cs="宋体"/>
          <w:szCs w:val="21"/>
        </w:rPr>
        <w:t>pT 4 ：大体侵犯甲状腺外带状肌外</w:t>
      </w:r>
    </w:p>
    <w:p>
      <w:pPr>
        <w:spacing w:line="360" w:lineRule="auto"/>
        <w:ind w:firstLine="420" w:firstLineChars="200"/>
        <w:rPr>
          <w:rFonts w:ascii="宋体" w:hAnsi="宋体" w:cs="宋体"/>
          <w:szCs w:val="21"/>
        </w:rPr>
      </w:pPr>
      <w:r>
        <w:rPr>
          <w:rFonts w:hint="eastAsia" w:ascii="宋体" w:hAnsi="宋体" w:cs="宋体"/>
          <w:szCs w:val="21"/>
        </w:rPr>
        <w:t>pT 4a ：侵犯喉、气管、食管、喉反神经及皮下软组织</w:t>
      </w:r>
    </w:p>
    <w:p>
      <w:pPr>
        <w:spacing w:line="360" w:lineRule="auto"/>
        <w:ind w:firstLine="420" w:firstLineChars="200"/>
        <w:rPr>
          <w:rFonts w:ascii="宋体" w:hAnsi="宋体" w:cs="宋体"/>
          <w:szCs w:val="21"/>
        </w:rPr>
      </w:pPr>
      <w:r>
        <w:rPr>
          <w:rFonts w:hint="eastAsia" w:ascii="宋体" w:hAnsi="宋体" w:cs="宋体"/>
          <w:szCs w:val="21"/>
        </w:rPr>
        <w:t>pT 4b ：侵犯椎前筋膜，或包裹颈动脉、纵隔血管</w:t>
      </w:r>
    </w:p>
    <w:p>
      <w:pPr>
        <w:spacing w:line="360" w:lineRule="auto"/>
        <w:ind w:firstLine="420" w:firstLineChars="200"/>
        <w:rPr>
          <w:rFonts w:ascii="宋体" w:hAnsi="宋体" w:cs="宋体"/>
          <w:szCs w:val="21"/>
        </w:rPr>
      </w:pPr>
      <w:r>
        <w:rPr>
          <w:rFonts w:hint="eastAsia" w:ascii="宋体" w:hAnsi="宋体" w:cs="宋体"/>
          <w:szCs w:val="21"/>
        </w:rPr>
        <w:t>甲状腺髓样癌</w:t>
      </w:r>
    </w:p>
    <w:p>
      <w:pPr>
        <w:spacing w:line="360" w:lineRule="auto"/>
        <w:ind w:firstLine="420" w:firstLineChars="200"/>
        <w:rPr>
          <w:rFonts w:ascii="宋体" w:hAnsi="宋体" w:cs="宋体"/>
          <w:szCs w:val="21"/>
        </w:rPr>
      </w:pPr>
      <w:r>
        <w:rPr>
          <w:rFonts w:hint="eastAsia" w:ascii="宋体" w:hAnsi="宋体" w:cs="宋体"/>
          <w:szCs w:val="21"/>
        </w:rPr>
        <w:t>pT X ：原发肿瘤不能评估</w:t>
      </w:r>
    </w:p>
    <w:p>
      <w:pPr>
        <w:spacing w:line="360" w:lineRule="auto"/>
        <w:ind w:firstLine="420" w:firstLineChars="200"/>
        <w:rPr>
          <w:rFonts w:ascii="宋体" w:hAnsi="宋体" w:cs="宋体"/>
          <w:szCs w:val="21"/>
        </w:rPr>
      </w:pPr>
      <w:r>
        <w:rPr>
          <w:rFonts w:hint="eastAsia" w:ascii="宋体" w:hAnsi="宋体" w:cs="宋体"/>
          <w:szCs w:val="21"/>
        </w:rPr>
        <w:t>pT 0 ：无肿瘤证据</w:t>
      </w:r>
    </w:p>
    <w:p>
      <w:pPr>
        <w:spacing w:line="360" w:lineRule="auto"/>
        <w:ind w:firstLine="420" w:firstLineChars="200"/>
        <w:rPr>
          <w:rFonts w:ascii="宋体" w:hAnsi="宋体" w:cs="宋体"/>
          <w:szCs w:val="21"/>
        </w:rPr>
      </w:pPr>
      <w:r>
        <w:rPr>
          <w:rFonts w:hint="eastAsia" w:ascii="宋体" w:hAnsi="宋体" w:cs="宋体"/>
          <w:szCs w:val="21"/>
        </w:rPr>
        <w:t>pT 1 ：肿瘤局限在甲状腺内，最大径≤2cm</w:t>
      </w:r>
    </w:p>
    <w:p>
      <w:pPr>
        <w:spacing w:line="360" w:lineRule="auto"/>
        <w:ind w:firstLine="420" w:firstLineChars="200"/>
        <w:rPr>
          <w:rFonts w:ascii="宋体" w:hAnsi="宋体" w:cs="宋体"/>
          <w:szCs w:val="21"/>
        </w:rPr>
      </w:pPr>
      <w:r>
        <w:rPr>
          <w:rFonts w:hint="eastAsia" w:ascii="宋体" w:hAnsi="宋体" w:cs="宋体"/>
          <w:szCs w:val="21"/>
        </w:rPr>
        <w:t>T 1a 肿瘤最大径≤1cm</w:t>
      </w:r>
    </w:p>
    <w:p>
      <w:pPr>
        <w:spacing w:line="360" w:lineRule="auto"/>
        <w:ind w:firstLine="420" w:firstLineChars="200"/>
        <w:rPr>
          <w:rFonts w:ascii="宋体" w:hAnsi="宋体" w:cs="宋体"/>
          <w:szCs w:val="21"/>
        </w:rPr>
      </w:pPr>
      <w:r>
        <w:rPr>
          <w:rFonts w:hint="eastAsia" w:ascii="宋体" w:hAnsi="宋体" w:cs="宋体"/>
          <w:szCs w:val="21"/>
        </w:rPr>
        <w:t>T 1b 肿瘤最大径＞1cm，≤2cm</w:t>
      </w:r>
    </w:p>
    <w:p>
      <w:pPr>
        <w:spacing w:line="360" w:lineRule="auto"/>
        <w:ind w:firstLine="420" w:firstLineChars="200"/>
        <w:rPr>
          <w:rFonts w:ascii="宋体" w:hAnsi="宋体" w:cs="宋体"/>
          <w:szCs w:val="21"/>
        </w:rPr>
      </w:pPr>
      <w:r>
        <w:rPr>
          <w:rFonts w:hint="eastAsia" w:ascii="宋体" w:hAnsi="宋体" w:cs="宋体"/>
          <w:szCs w:val="21"/>
        </w:rPr>
        <w:t>pT 2 ：肿瘤 2～4cm</w:t>
      </w:r>
    </w:p>
    <w:p>
      <w:pPr>
        <w:spacing w:line="360" w:lineRule="auto"/>
        <w:ind w:firstLine="420" w:firstLineChars="200"/>
        <w:rPr>
          <w:rFonts w:ascii="宋体" w:hAnsi="宋体" w:cs="宋体"/>
          <w:szCs w:val="21"/>
        </w:rPr>
      </w:pPr>
      <w:r>
        <w:rPr>
          <w:rFonts w:hint="eastAsia" w:ascii="宋体" w:hAnsi="宋体" w:cs="宋体"/>
          <w:szCs w:val="21"/>
        </w:rPr>
        <w:t>pT 3 ：肿瘤&gt;4cm，局限于甲状腺内或大体侵犯甲状腺外带状肌</w:t>
      </w:r>
    </w:p>
    <w:p>
      <w:pPr>
        <w:spacing w:line="360" w:lineRule="auto"/>
        <w:ind w:firstLine="420" w:firstLineChars="200"/>
        <w:rPr>
          <w:rFonts w:ascii="宋体" w:hAnsi="宋体" w:cs="宋体"/>
          <w:szCs w:val="21"/>
        </w:rPr>
      </w:pPr>
      <w:r>
        <w:rPr>
          <w:rFonts w:hint="eastAsia" w:ascii="宋体" w:hAnsi="宋体" w:cs="宋体"/>
          <w:szCs w:val="21"/>
        </w:rPr>
        <w:t>pT 3a ：肿瘤&gt;4cm，局限于甲状腺内</w:t>
      </w:r>
    </w:p>
    <w:p>
      <w:pPr>
        <w:spacing w:line="360" w:lineRule="auto"/>
        <w:ind w:firstLine="420" w:firstLineChars="200"/>
        <w:rPr>
          <w:rFonts w:ascii="宋体" w:hAnsi="宋体" w:cs="宋体"/>
          <w:szCs w:val="21"/>
        </w:rPr>
      </w:pPr>
      <w:r>
        <w:rPr>
          <w:rFonts w:hint="eastAsia" w:ascii="宋体" w:hAnsi="宋体" w:cs="宋体"/>
          <w:szCs w:val="21"/>
        </w:rPr>
        <w:t>pT 3b ：大体侵犯甲状腺外带状肌，无论肿瘤大小</w:t>
      </w:r>
    </w:p>
    <w:p>
      <w:pPr>
        <w:spacing w:line="360" w:lineRule="auto"/>
        <w:ind w:firstLine="420" w:firstLineChars="200"/>
        <w:rPr>
          <w:rFonts w:ascii="宋体" w:hAnsi="宋体" w:cs="宋体"/>
          <w:szCs w:val="21"/>
        </w:rPr>
      </w:pPr>
      <w:r>
        <w:rPr>
          <w:rFonts w:hint="eastAsia" w:ascii="宋体" w:hAnsi="宋体" w:cs="宋体"/>
          <w:szCs w:val="21"/>
        </w:rPr>
        <w:t>带状肌包括：胸骨舌骨肌、胸骨甲状肌、甲状舌骨肌、肩胛舌骨肌</w:t>
      </w:r>
    </w:p>
    <w:p>
      <w:pPr>
        <w:spacing w:line="360" w:lineRule="auto"/>
        <w:ind w:firstLine="420" w:firstLineChars="200"/>
        <w:rPr>
          <w:rFonts w:ascii="宋体" w:hAnsi="宋体" w:cs="宋体"/>
          <w:szCs w:val="21"/>
        </w:rPr>
      </w:pPr>
      <w:r>
        <w:rPr>
          <w:rFonts w:hint="eastAsia" w:ascii="宋体" w:hAnsi="宋体" w:cs="宋体"/>
          <w:szCs w:val="21"/>
        </w:rPr>
        <w:t>pT 4 ：进展期病变</w:t>
      </w:r>
    </w:p>
    <w:p>
      <w:pPr>
        <w:spacing w:line="360" w:lineRule="auto"/>
        <w:ind w:firstLine="420" w:firstLineChars="200"/>
        <w:rPr>
          <w:rFonts w:ascii="宋体" w:hAnsi="宋体" w:cs="宋体"/>
          <w:szCs w:val="21"/>
        </w:rPr>
      </w:pPr>
      <w:r>
        <w:rPr>
          <w:rFonts w:hint="eastAsia" w:ascii="宋体" w:hAnsi="宋体" w:cs="宋体"/>
          <w:szCs w:val="21"/>
        </w:rPr>
        <w:t>pT 4a ：中度进展，任何大小的肿瘤，侵犯甲状腺外颈部周围器官和软组织，如喉、气管、食管、喉反神经及皮下软组织</w:t>
      </w:r>
    </w:p>
    <w:p>
      <w:pPr>
        <w:spacing w:line="360" w:lineRule="auto"/>
        <w:ind w:firstLine="420" w:firstLineChars="200"/>
        <w:rPr>
          <w:rFonts w:ascii="宋体" w:hAnsi="宋体" w:cs="宋体"/>
          <w:szCs w:val="21"/>
        </w:rPr>
      </w:pPr>
      <w:r>
        <w:rPr>
          <w:rFonts w:hint="eastAsia" w:ascii="宋体" w:hAnsi="宋体" w:cs="宋体"/>
          <w:szCs w:val="21"/>
        </w:rPr>
        <w:t>pT 4b ：重度进展，任何大小的肿瘤，侵犯椎前筋膜，或包裹颈动脉、纵隔血管</w:t>
      </w:r>
    </w:p>
    <w:p>
      <w:pPr>
        <w:spacing w:line="360" w:lineRule="auto"/>
        <w:ind w:firstLine="420" w:firstLineChars="200"/>
        <w:rPr>
          <w:rFonts w:ascii="宋体" w:hAnsi="宋体" w:cs="宋体"/>
          <w:szCs w:val="21"/>
        </w:rPr>
      </w:pPr>
      <w:r>
        <w:rPr>
          <w:rFonts w:hint="eastAsia" w:ascii="宋体" w:hAnsi="宋体" w:cs="宋体"/>
          <w:szCs w:val="21"/>
        </w:rPr>
        <w:t>区域淋巴结：适用于所有甲状腺癌</w:t>
      </w:r>
    </w:p>
    <w:p>
      <w:pPr>
        <w:spacing w:line="360" w:lineRule="auto"/>
        <w:ind w:firstLine="420" w:firstLineChars="200"/>
        <w:rPr>
          <w:rFonts w:ascii="宋体" w:hAnsi="宋体" w:cs="宋体"/>
          <w:szCs w:val="21"/>
        </w:rPr>
      </w:pPr>
      <w:r>
        <w:rPr>
          <w:rFonts w:hint="eastAsia" w:ascii="宋体" w:hAnsi="宋体" w:cs="宋体"/>
          <w:szCs w:val="21"/>
        </w:rPr>
        <w:t>pN x ：区域淋巴结无法评估</w:t>
      </w:r>
    </w:p>
    <w:p>
      <w:pPr>
        <w:spacing w:line="360" w:lineRule="auto"/>
        <w:ind w:firstLine="420" w:firstLineChars="200"/>
        <w:rPr>
          <w:rFonts w:ascii="宋体" w:hAnsi="宋体" w:cs="宋体"/>
          <w:szCs w:val="21"/>
        </w:rPr>
      </w:pPr>
      <w:r>
        <w:rPr>
          <w:rFonts w:hint="eastAsia" w:ascii="宋体" w:hAnsi="宋体" w:cs="宋体"/>
          <w:szCs w:val="21"/>
        </w:rPr>
        <w:t>pN 0 ：无淋巴结转移证据</w:t>
      </w:r>
    </w:p>
    <w:p>
      <w:pPr>
        <w:spacing w:line="360" w:lineRule="auto"/>
        <w:ind w:firstLine="420" w:firstLineChars="200"/>
        <w:rPr>
          <w:rFonts w:ascii="宋体" w:hAnsi="宋体" w:cs="宋体"/>
          <w:szCs w:val="21"/>
        </w:rPr>
      </w:pPr>
      <w:r>
        <w:rPr>
          <w:rFonts w:hint="eastAsia" w:ascii="宋体" w:hAnsi="宋体" w:cs="宋体"/>
          <w:szCs w:val="21"/>
        </w:rPr>
        <w:t>pN 1 ：区域淋巴结转移</w:t>
      </w:r>
    </w:p>
    <w:p>
      <w:pPr>
        <w:spacing w:line="360" w:lineRule="auto"/>
        <w:ind w:firstLine="420" w:firstLineChars="200"/>
        <w:rPr>
          <w:rFonts w:ascii="宋体" w:hAnsi="宋体" w:cs="宋体"/>
          <w:szCs w:val="21"/>
        </w:rPr>
      </w:pPr>
      <w:r>
        <w:rPr>
          <w:rFonts w:hint="eastAsia" w:ascii="宋体" w:hAnsi="宋体" w:cs="宋体"/>
          <w:szCs w:val="21"/>
        </w:rPr>
        <w:t>pN 1a ：转移至Ⅵ、Ⅶ区（包括气管旁、气管前、喉前/Delphian 或上纵隔）淋巴结，可以为单侧或双侧。</w:t>
      </w:r>
    </w:p>
    <w:p>
      <w:pPr>
        <w:spacing w:line="360" w:lineRule="auto"/>
        <w:ind w:firstLine="420" w:firstLineChars="200"/>
        <w:rPr>
          <w:rFonts w:ascii="宋体" w:hAnsi="宋体" w:cs="宋体"/>
          <w:szCs w:val="21"/>
        </w:rPr>
      </w:pPr>
      <w:r>
        <w:rPr>
          <w:rFonts w:hint="eastAsia" w:ascii="宋体" w:hAnsi="宋体" w:cs="宋体"/>
          <w:szCs w:val="21"/>
        </w:rPr>
        <w:t>pN 1b ：单侧、双侧或对侧颈淋巴结转移（包括Ⅰ、Ⅱ、Ⅲ、Ⅳ或Ⅴ区）淋巴结或咽后淋巴结转移。</w:t>
      </w:r>
    </w:p>
    <w:p>
      <w:pPr>
        <w:spacing w:line="360" w:lineRule="auto"/>
        <w:ind w:firstLine="420" w:firstLineChars="200"/>
        <w:rPr>
          <w:rFonts w:ascii="宋体" w:hAnsi="宋体" w:cs="宋体"/>
          <w:szCs w:val="21"/>
        </w:rPr>
      </w:pPr>
      <w:r>
        <w:rPr>
          <w:rFonts w:hint="eastAsia" w:ascii="宋体" w:hAnsi="宋体" w:cs="宋体"/>
          <w:szCs w:val="21"/>
        </w:rPr>
        <w:t>远处转移：适用于所有甲状腺癌</w:t>
      </w:r>
    </w:p>
    <w:p>
      <w:pPr>
        <w:spacing w:line="360" w:lineRule="auto"/>
        <w:ind w:firstLine="420" w:firstLineChars="200"/>
        <w:rPr>
          <w:rFonts w:ascii="宋体" w:hAnsi="宋体" w:cs="宋体"/>
          <w:szCs w:val="21"/>
        </w:rPr>
      </w:pPr>
      <w:r>
        <w:rPr>
          <w:rFonts w:hint="eastAsia" w:ascii="宋体" w:hAnsi="宋体" w:cs="宋体"/>
          <w:szCs w:val="21"/>
        </w:rPr>
        <w:t>M 0 ：无远处转移</w:t>
      </w:r>
    </w:p>
    <w:p>
      <w:pPr>
        <w:spacing w:line="360" w:lineRule="auto"/>
        <w:ind w:firstLine="420" w:firstLineChars="200"/>
        <w:rPr>
          <w:rFonts w:ascii="宋体" w:hAnsi="宋体" w:cs="宋体"/>
          <w:szCs w:val="21"/>
        </w:rPr>
      </w:pPr>
      <w:r>
        <w:rPr>
          <w:rFonts w:hint="eastAsia" w:ascii="宋体" w:hAnsi="宋体" w:cs="宋体"/>
          <w:szCs w:val="21"/>
        </w:rPr>
        <w:t>M 1 ：有远处转移</w:t>
      </w:r>
    </w:p>
    <w:p>
      <w:pPr>
        <w:spacing w:line="360" w:lineRule="auto"/>
        <w:ind w:firstLine="420" w:firstLineChars="200"/>
        <w:rPr>
          <w:rFonts w:ascii="宋体" w:hAnsi="宋体" w:cs="宋体"/>
          <w:szCs w:val="21"/>
        </w:rPr>
      </w:pPr>
      <w:r>
        <w:rPr>
          <w:rFonts w:hint="eastAsia" w:ascii="宋体" w:hAnsi="宋体" w:cs="宋体"/>
          <w:szCs w:val="21"/>
        </w:rPr>
        <w:drawing>
          <wp:inline distT="0" distB="0" distL="114300" distR="114300">
            <wp:extent cx="5269230" cy="814070"/>
            <wp:effectExtent l="0" t="0" r="7620" b="5080"/>
            <wp:docPr id="1" name="图片 1" descr="16249550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24955023(1)"/>
                    <pic:cNvPicPr>
                      <a:picLocks noChangeAspect="1"/>
                    </pic:cNvPicPr>
                  </pic:nvPicPr>
                  <pic:blipFill>
                    <a:blip r:embed="rId8"/>
                    <a:stretch>
                      <a:fillRect/>
                    </a:stretch>
                  </pic:blipFill>
                  <pic:spPr>
                    <a:xfrm>
                      <a:off x="0" y="0"/>
                      <a:ext cx="5269230" cy="814070"/>
                    </a:xfrm>
                    <a:prstGeom prst="rect">
                      <a:avLst/>
                    </a:prstGeom>
                    <a:noFill/>
                    <a:ln>
                      <a:noFill/>
                    </a:ln>
                  </pic:spPr>
                </pic:pic>
              </a:graphicData>
            </a:graphic>
          </wp:inline>
        </w:drawing>
      </w:r>
    </w:p>
    <w:p>
      <w:pPr>
        <w:spacing w:line="360" w:lineRule="auto"/>
        <w:ind w:firstLine="420" w:firstLineChars="200"/>
        <w:rPr>
          <w:rFonts w:ascii="宋体" w:hAnsi="宋体" w:cs="宋体"/>
          <w:szCs w:val="21"/>
        </w:rPr>
      </w:pPr>
      <w:r>
        <w:rPr>
          <w:rFonts w:hint="eastAsia" w:ascii="宋体" w:hAnsi="宋体" w:cs="宋体"/>
          <w:szCs w:val="21"/>
        </w:rPr>
        <w:drawing>
          <wp:inline distT="0" distB="0" distL="114300" distR="114300">
            <wp:extent cx="5271770" cy="4420870"/>
            <wp:effectExtent l="0" t="0" r="5080" b="17780"/>
            <wp:docPr id="3" name="图片 2" descr="16249550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1624955048(1)"/>
                    <pic:cNvPicPr>
                      <a:picLocks noChangeAspect="1"/>
                    </pic:cNvPicPr>
                  </pic:nvPicPr>
                  <pic:blipFill>
                    <a:blip r:embed="rId9"/>
                    <a:stretch>
                      <a:fillRect/>
                    </a:stretch>
                  </pic:blipFill>
                  <pic:spPr>
                    <a:xfrm>
                      <a:off x="0" y="0"/>
                      <a:ext cx="5271770" cy="4420870"/>
                    </a:xfrm>
                    <a:prstGeom prst="rect">
                      <a:avLst/>
                    </a:prstGeom>
                    <a:noFill/>
                    <a:ln>
                      <a:noFill/>
                    </a:ln>
                  </pic:spPr>
                </pic:pic>
              </a:graphicData>
            </a:graphic>
          </wp:inline>
        </w:drawing>
      </w:r>
    </w:p>
    <w:p>
      <w:pPr>
        <w:spacing w:line="360" w:lineRule="auto"/>
        <w:ind w:firstLine="420" w:firstLineChars="200"/>
        <w:rPr>
          <w:rFonts w:ascii="宋体" w:hAnsi="宋体" w:cs="宋体"/>
          <w:szCs w:val="21"/>
        </w:rPr>
      </w:pPr>
      <w:r>
        <w:rPr>
          <w:rFonts w:hint="eastAsia" w:ascii="宋体" w:hAnsi="宋体" w:cs="宋体"/>
          <w:szCs w:val="21"/>
        </w:rPr>
        <w:t>注：以上表格中“年龄”指患者病理组织标本获取日期时的年龄。</w:t>
      </w:r>
    </w:p>
    <w:p>
      <w:pPr>
        <w:spacing w:line="360" w:lineRule="auto"/>
        <w:ind w:firstLine="420" w:firstLineChars="200"/>
        <w:rPr>
          <w:rFonts w:ascii="宋体" w:hAnsi="宋体" w:cs="宋体"/>
          <w:szCs w:val="21"/>
        </w:rPr>
      </w:pPr>
      <w:r>
        <w:rPr>
          <w:rFonts w:hint="eastAsia" w:ascii="宋体" w:hAnsi="宋体" w:cs="宋体"/>
          <w:szCs w:val="21"/>
        </w:rPr>
        <w:t>肢体：肢体是指包括肩关节的整个上肢或包括髋关节的整个下肢。</w:t>
      </w:r>
    </w:p>
    <w:p>
      <w:pPr>
        <w:spacing w:line="360" w:lineRule="auto"/>
        <w:ind w:firstLine="420" w:firstLineChars="200"/>
        <w:rPr>
          <w:rFonts w:ascii="宋体" w:hAnsi="宋体" w:cs="宋体"/>
          <w:szCs w:val="21"/>
        </w:rPr>
      </w:pPr>
      <w:r>
        <w:rPr>
          <w:rFonts w:hint="eastAsia" w:ascii="宋体" w:hAnsi="宋体" w:cs="宋体"/>
          <w:szCs w:val="21"/>
        </w:rPr>
        <w:t>肌力：指肌肉收缩时的力量。肌力划分为0-5级，具体为：</w:t>
      </w:r>
    </w:p>
    <w:p>
      <w:pPr>
        <w:spacing w:line="360" w:lineRule="auto"/>
        <w:ind w:firstLine="420" w:firstLineChars="200"/>
        <w:rPr>
          <w:rFonts w:ascii="宋体" w:hAnsi="宋体" w:cs="宋体"/>
          <w:szCs w:val="21"/>
        </w:rPr>
      </w:pPr>
      <w:r>
        <w:rPr>
          <w:rFonts w:hint="eastAsia" w:ascii="宋体" w:hAnsi="宋体" w:cs="宋体"/>
          <w:szCs w:val="21"/>
        </w:rPr>
        <w:t>0级：肌肉完全瘫痪，毫无收缩。</w:t>
      </w:r>
    </w:p>
    <w:p>
      <w:pPr>
        <w:spacing w:line="360" w:lineRule="auto"/>
        <w:ind w:firstLine="420" w:firstLineChars="200"/>
        <w:rPr>
          <w:rFonts w:ascii="宋体" w:hAnsi="宋体" w:cs="宋体"/>
          <w:szCs w:val="21"/>
        </w:rPr>
      </w:pPr>
      <w:r>
        <w:rPr>
          <w:rFonts w:hint="eastAsia" w:ascii="宋体" w:hAnsi="宋体" w:cs="宋体"/>
          <w:szCs w:val="21"/>
        </w:rPr>
        <w:t>1级：可看到或者触及肌肉轻微收缩，但不能产生动作。</w:t>
      </w:r>
    </w:p>
    <w:p>
      <w:pPr>
        <w:spacing w:line="360" w:lineRule="auto"/>
        <w:ind w:firstLine="420" w:firstLineChars="200"/>
        <w:rPr>
          <w:rFonts w:ascii="宋体" w:hAnsi="宋体" w:cs="宋体"/>
          <w:szCs w:val="21"/>
        </w:rPr>
      </w:pPr>
      <w:r>
        <w:rPr>
          <w:rFonts w:hint="eastAsia" w:ascii="宋体" w:hAnsi="宋体" w:cs="宋体"/>
          <w:szCs w:val="21"/>
        </w:rPr>
        <w:t>2级：肌肉在不受重力影响下，可进行运动，即肢体能在床面上移动，但不能抬高。</w:t>
      </w:r>
    </w:p>
    <w:p>
      <w:pPr>
        <w:spacing w:line="360" w:lineRule="auto"/>
        <w:ind w:firstLine="420" w:firstLineChars="200"/>
        <w:rPr>
          <w:rFonts w:ascii="宋体" w:hAnsi="宋体" w:cs="宋体"/>
          <w:szCs w:val="21"/>
        </w:rPr>
      </w:pPr>
      <w:r>
        <w:rPr>
          <w:rFonts w:hint="eastAsia" w:ascii="宋体" w:hAnsi="宋体" w:cs="宋体"/>
          <w:szCs w:val="21"/>
        </w:rPr>
        <w:t>3级：在和地心引力相反的方向中尚能完成其动作，但不能对抗外加阻力。</w:t>
      </w:r>
    </w:p>
    <w:p>
      <w:pPr>
        <w:spacing w:line="360" w:lineRule="auto"/>
        <w:ind w:firstLine="420" w:firstLineChars="200"/>
        <w:rPr>
          <w:rFonts w:ascii="宋体" w:hAnsi="宋体" w:cs="宋体"/>
          <w:szCs w:val="21"/>
        </w:rPr>
      </w:pPr>
      <w:r>
        <w:rPr>
          <w:rFonts w:hint="eastAsia" w:ascii="宋体" w:hAnsi="宋体" w:cs="宋体"/>
          <w:szCs w:val="21"/>
        </w:rPr>
        <w:t>4级：能对抗一定的阻力，但较正常人为低。</w:t>
      </w:r>
    </w:p>
    <w:p>
      <w:pPr>
        <w:spacing w:line="360" w:lineRule="auto"/>
        <w:ind w:firstLine="420" w:firstLineChars="200"/>
        <w:rPr>
          <w:rFonts w:ascii="宋体" w:hAnsi="宋体" w:cs="宋体"/>
          <w:szCs w:val="21"/>
        </w:rPr>
      </w:pPr>
      <w:r>
        <w:rPr>
          <w:rFonts w:hint="eastAsia" w:ascii="宋体" w:hAnsi="宋体" w:cs="宋体"/>
          <w:szCs w:val="21"/>
        </w:rPr>
        <w:t>5级：正常肌力。</w:t>
      </w:r>
    </w:p>
    <w:p>
      <w:pPr>
        <w:spacing w:line="360" w:lineRule="auto"/>
        <w:ind w:firstLine="420" w:firstLineChars="200"/>
        <w:rPr>
          <w:rFonts w:ascii="宋体" w:hAnsi="宋体" w:cs="宋体"/>
          <w:szCs w:val="21"/>
        </w:rPr>
      </w:pPr>
      <w:r>
        <w:rPr>
          <w:rFonts w:hint="eastAsia" w:ascii="宋体" w:hAnsi="宋体" w:cs="宋体"/>
          <w:szCs w:val="21"/>
        </w:rPr>
        <w:t>语言能力完全丧失或严重咀嚼吞咽功能障碍：语言能力完全丧失，指无法发出四种语音（包括口唇音、齿舌音、口盖音和喉头音）中的任何三种、或声带全部切除，或因大脑语言中枢受伤害而患失语症。</w:t>
      </w:r>
    </w:p>
    <w:p>
      <w:pPr>
        <w:spacing w:line="360" w:lineRule="auto"/>
        <w:ind w:firstLine="420" w:firstLineChars="200"/>
        <w:rPr>
          <w:rFonts w:ascii="宋体" w:hAnsi="宋体" w:cs="宋体"/>
          <w:szCs w:val="21"/>
        </w:rPr>
      </w:pPr>
      <w:r>
        <w:rPr>
          <w:rFonts w:hint="eastAsia" w:ascii="宋体" w:hAnsi="宋体" w:cs="宋体"/>
          <w:szCs w:val="21"/>
        </w:rPr>
        <w:t>严重咀嚼吞咽功能障碍，指因牙齿以外的原因导致器质障碍或机能障碍，以致不能作咀嚼吞咽运动，除流质食物外不能摄取或吞咽的状态。</w:t>
      </w:r>
    </w:p>
    <w:p>
      <w:pPr>
        <w:spacing w:line="360" w:lineRule="auto"/>
        <w:ind w:firstLine="420" w:firstLineChars="200"/>
        <w:rPr>
          <w:rFonts w:ascii="宋体" w:hAnsi="宋体" w:cs="宋体"/>
          <w:szCs w:val="21"/>
        </w:rPr>
      </w:pPr>
      <w:r>
        <w:rPr>
          <w:rFonts w:hint="eastAsia" w:ascii="宋体" w:hAnsi="宋体" w:cs="宋体"/>
          <w:szCs w:val="21"/>
        </w:rPr>
        <w:t>六项基本日常生活活动：六项基本日常生活活动是指：（1）穿衣：自己能够穿衣及脱衣；</w:t>
      </w:r>
    </w:p>
    <w:p>
      <w:pPr>
        <w:spacing w:line="360" w:lineRule="auto"/>
        <w:ind w:firstLine="420" w:firstLineChars="200"/>
        <w:rPr>
          <w:rFonts w:ascii="宋体" w:hAnsi="宋体" w:cs="宋体"/>
          <w:szCs w:val="21"/>
        </w:rPr>
      </w:pPr>
      <w:r>
        <w:rPr>
          <w:rFonts w:hint="eastAsia" w:ascii="宋体" w:hAnsi="宋体" w:cs="宋体"/>
          <w:szCs w:val="21"/>
        </w:rPr>
        <w:t>（2）移动：自己从一个房间到另一个房间；（3）行动：自己上下床或上下轮椅；（4）如厕：自己控制进行大小便；（5）进食：自己从已准备好的碗或碟中取食物放入口中；（6）洗澡：自己进行淋浴或盆浴。</w:t>
      </w:r>
    </w:p>
    <w:p>
      <w:pPr>
        <w:spacing w:line="360" w:lineRule="auto"/>
        <w:ind w:firstLine="420" w:firstLineChars="200"/>
        <w:rPr>
          <w:rFonts w:ascii="宋体" w:hAnsi="宋体" w:cs="宋体"/>
          <w:szCs w:val="21"/>
        </w:rPr>
      </w:pPr>
      <w:r>
        <w:rPr>
          <w:rFonts w:hint="eastAsia" w:ascii="宋体" w:hAnsi="宋体" w:cs="宋体"/>
          <w:szCs w:val="21"/>
        </w:rPr>
        <w:t>六项基本日常生活活动能力的鉴定不适用于0- -3周岁幼儿。</w:t>
      </w:r>
    </w:p>
    <w:p>
      <w:pPr>
        <w:spacing w:line="360" w:lineRule="auto"/>
        <w:ind w:firstLine="420" w:firstLineChars="200"/>
        <w:rPr>
          <w:rFonts w:ascii="宋体" w:hAnsi="宋体" w:cs="宋体"/>
          <w:szCs w:val="21"/>
        </w:rPr>
      </w:pPr>
      <w:r>
        <w:rPr>
          <w:rFonts w:hint="eastAsia" w:ascii="宋体" w:hAnsi="宋体" w:cs="宋体"/>
          <w:szCs w:val="21"/>
        </w:rPr>
        <w:t>永久不可逆：指自疾病确诊或意外伤害发生之日起，经过积极治疗180天后，仍无法通过现有医疗手段恢复。</w:t>
      </w:r>
    </w:p>
    <w:p>
      <w:pPr>
        <w:spacing w:line="360" w:lineRule="auto"/>
        <w:ind w:firstLine="420" w:firstLineChars="200"/>
        <w:rPr>
          <w:rFonts w:ascii="宋体" w:hAnsi="宋体" w:cs="宋体"/>
          <w:szCs w:val="21"/>
        </w:rPr>
      </w:pPr>
      <w:r>
        <w:rPr>
          <w:rFonts w:hint="eastAsia" w:ascii="宋体" w:hAnsi="宋体" w:cs="宋体"/>
          <w:szCs w:val="21"/>
        </w:rPr>
        <w:t>美国纽约心脏病学会（New York Heart Association，NYHA）心功能状态分级：美国纽约心脏病学会（New York Heart Association，NYHA）将心功能状态分为四级：</w:t>
      </w:r>
    </w:p>
    <w:p>
      <w:pPr>
        <w:spacing w:line="360" w:lineRule="auto"/>
        <w:ind w:firstLine="420" w:firstLineChars="200"/>
        <w:rPr>
          <w:rFonts w:ascii="宋体" w:hAnsi="宋体" w:cs="宋体"/>
          <w:szCs w:val="21"/>
        </w:rPr>
      </w:pPr>
      <w:r>
        <w:rPr>
          <w:rFonts w:hint="eastAsia" w:ascii="宋体" w:hAnsi="宋体" w:cs="宋体"/>
          <w:szCs w:val="21"/>
        </w:rPr>
        <w:t>Ⅰ级：心脏病病人日常活动量不受限制，一般活动不引起乏力、呼吸困难等心衰症状。</w:t>
      </w:r>
    </w:p>
    <w:p>
      <w:pPr>
        <w:spacing w:line="360" w:lineRule="auto"/>
        <w:ind w:firstLine="420" w:firstLineChars="200"/>
        <w:rPr>
          <w:rFonts w:ascii="宋体" w:hAnsi="宋体" w:cs="宋体"/>
          <w:szCs w:val="21"/>
        </w:rPr>
      </w:pPr>
      <w:r>
        <w:rPr>
          <w:rFonts w:hint="eastAsia" w:ascii="宋体" w:hAnsi="宋体" w:cs="宋体"/>
          <w:szCs w:val="21"/>
        </w:rPr>
        <w:t>Ⅱ级：心脏病病人体力活动轻度受限制，休息时无自觉症状，一般活动下可出现心衰症状。</w:t>
      </w:r>
    </w:p>
    <w:p>
      <w:pPr>
        <w:spacing w:line="360" w:lineRule="auto"/>
        <w:ind w:firstLine="420" w:firstLineChars="200"/>
        <w:rPr>
          <w:rFonts w:ascii="宋体" w:hAnsi="宋体" w:cs="宋体"/>
          <w:szCs w:val="21"/>
        </w:rPr>
      </w:pPr>
      <w:r>
        <w:rPr>
          <w:rFonts w:hint="eastAsia" w:ascii="宋体" w:hAnsi="宋体" w:cs="宋体"/>
          <w:szCs w:val="21"/>
        </w:rPr>
        <w:t>Ⅲ级：心脏病病人体力活动明显受限，低于平时一般活动即引起心衰症状。</w:t>
      </w:r>
    </w:p>
    <w:p>
      <w:pPr>
        <w:spacing w:line="360" w:lineRule="auto"/>
        <w:ind w:firstLine="420" w:firstLineChars="200"/>
        <w:rPr>
          <w:rFonts w:ascii="宋体" w:hAnsi="宋体" w:cs="宋体"/>
          <w:szCs w:val="21"/>
        </w:rPr>
      </w:pPr>
      <w:r>
        <w:rPr>
          <w:rFonts w:hint="eastAsia" w:ascii="宋体" w:hAnsi="宋体" w:cs="宋体"/>
          <w:szCs w:val="21"/>
        </w:rPr>
        <w:t>Ⅳ级：心脏病病人不能从事任何体力活动，休息状态下也存在心衰症状，活动后加重。</w:t>
      </w:r>
    </w:p>
    <w:p>
      <w:pPr>
        <w:spacing w:line="360" w:lineRule="auto"/>
        <w:ind w:firstLine="420" w:firstLineChars="200"/>
        <w:rPr>
          <w:rFonts w:ascii="宋体" w:hAnsi="宋体" w:cs="宋体"/>
          <w:szCs w:val="21"/>
        </w:rPr>
      </w:pPr>
    </w:p>
    <w:p>
      <w:pPr>
        <w:widowControl/>
        <w:numPr>
          <w:ilvl w:val="1"/>
          <w:numId w:val="10"/>
        </w:numPr>
        <w:adjustRightInd w:val="0"/>
        <w:snapToGrid w:val="0"/>
        <w:spacing w:line="360" w:lineRule="auto"/>
        <w:ind w:firstLine="420" w:firstLineChars="200"/>
        <w:jc w:val="center"/>
        <w:textAlignment w:val="baseline"/>
        <w:outlineLvl w:val="1"/>
        <w:rPr>
          <w:rFonts w:ascii="宋体" w:hAnsi="宋体" w:cs="宋体"/>
          <w:kern w:val="0"/>
          <w:szCs w:val="21"/>
        </w:rPr>
      </w:pPr>
      <w:bookmarkStart w:id="14" w:name="_Toc449012771"/>
      <w:bookmarkStart w:id="15" w:name="_Toc448944192"/>
      <w:r>
        <w:rPr>
          <w:rFonts w:hint="eastAsia" w:ascii="宋体" w:hAnsi="宋体" w:cs="宋体"/>
          <w:szCs w:val="21"/>
        </w:rPr>
        <w:t>（六）附加疾病身故与全残保险条款</w:t>
      </w:r>
      <w:bookmarkEnd w:id="14"/>
      <w:bookmarkEnd w:id="15"/>
    </w:p>
    <w:p>
      <w:pPr>
        <w:widowControl/>
        <w:adjustRightInd w:val="0"/>
        <w:snapToGrid w:val="0"/>
        <w:spacing w:line="360" w:lineRule="auto"/>
        <w:ind w:firstLine="422" w:firstLineChars="200"/>
        <w:jc w:val="center"/>
        <w:rPr>
          <w:rFonts w:ascii="宋体" w:hAnsi="宋体" w:cs="宋体"/>
          <w:b/>
          <w:bCs/>
          <w:szCs w:val="21"/>
        </w:rPr>
      </w:pPr>
      <w:r>
        <w:rPr>
          <w:rFonts w:hint="eastAsia" w:ascii="宋体" w:hAnsi="宋体" w:cs="宋体"/>
          <w:b/>
          <w:bCs/>
          <w:kern w:val="0"/>
          <w:szCs w:val="21"/>
        </w:rPr>
        <w:t>总则</w:t>
      </w:r>
    </w:p>
    <w:p>
      <w:pPr>
        <w:widowControl/>
        <w:adjustRightInd w:val="0"/>
        <w:snapToGrid w:val="0"/>
        <w:spacing w:line="360" w:lineRule="auto"/>
        <w:ind w:firstLine="422" w:firstLineChars="200"/>
        <w:rPr>
          <w:rFonts w:ascii="宋体" w:hAnsi="宋体" w:cs="宋体"/>
          <w:color w:val="000000"/>
          <w:szCs w:val="21"/>
        </w:rPr>
      </w:pPr>
      <w:r>
        <w:rPr>
          <w:rFonts w:hint="eastAsia" w:ascii="宋体" w:hAnsi="宋体" w:cs="宋体"/>
          <w:b/>
          <w:bCs/>
          <w:color w:val="000000"/>
          <w:kern w:val="0"/>
          <w:szCs w:val="21"/>
        </w:rPr>
        <w:t xml:space="preserve">第一条 </w:t>
      </w:r>
      <w:r>
        <w:rPr>
          <w:rFonts w:hint="eastAsia" w:ascii="宋体" w:hAnsi="宋体" w:cs="宋体"/>
          <w:color w:val="000000"/>
          <w:kern w:val="0"/>
          <w:szCs w:val="21"/>
        </w:rPr>
        <w:t>本附加保险合同（以下简称“本附加合同”）附加于主险合同。凡主险合同内容与本附加合同相关者及本保险条款，均为本附加合同的组成部分。</w:t>
      </w:r>
    </w:p>
    <w:p>
      <w:pPr>
        <w:widowControl/>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kern w:val="0"/>
          <w:szCs w:val="21"/>
        </w:rPr>
        <w:t>本保险条款未尽事项，以主险保险条款为准；若主险保险条款与本保险条款内容冲突，则以本保险条款为准。</w:t>
      </w:r>
    </w:p>
    <w:p>
      <w:pPr>
        <w:widowControl/>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kern w:val="0"/>
          <w:szCs w:val="21"/>
        </w:rPr>
        <w:t>主险合同效力终止，本附加合同效力亦同时终止。</w:t>
      </w:r>
    </w:p>
    <w:p>
      <w:pPr>
        <w:widowControl/>
        <w:adjustRightInd w:val="0"/>
        <w:snapToGrid w:val="0"/>
        <w:spacing w:line="360" w:lineRule="auto"/>
        <w:ind w:firstLine="422" w:firstLineChars="200"/>
        <w:rPr>
          <w:rFonts w:ascii="宋体" w:hAnsi="宋体" w:cs="宋体"/>
          <w:color w:val="000000"/>
          <w:szCs w:val="21"/>
        </w:rPr>
      </w:pPr>
      <w:r>
        <w:rPr>
          <w:rFonts w:hint="eastAsia" w:ascii="宋体" w:hAnsi="宋体" w:cs="宋体"/>
          <w:b/>
          <w:bCs/>
          <w:color w:val="000000"/>
          <w:kern w:val="0"/>
          <w:szCs w:val="21"/>
        </w:rPr>
        <w:t xml:space="preserve">第二条 </w:t>
      </w:r>
      <w:r>
        <w:rPr>
          <w:rFonts w:hint="eastAsia" w:ascii="宋体" w:hAnsi="宋体" w:cs="宋体"/>
          <w:color w:val="000000"/>
          <w:kern w:val="0"/>
          <w:szCs w:val="21"/>
        </w:rPr>
        <w:t>投保人、被保险人同主险合同。</w:t>
      </w:r>
    </w:p>
    <w:p>
      <w:pPr>
        <w:widowControl/>
        <w:adjustRightInd w:val="0"/>
        <w:snapToGrid w:val="0"/>
        <w:spacing w:line="360" w:lineRule="auto"/>
        <w:ind w:firstLine="422" w:firstLineChars="200"/>
        <w:rPr>
          <w:rFonts w:ascii="宋体" w:hAnsi="宋体" w:cs="宋体"/>
          <w:color w:val="000000"/>
          <w:szCs w:val="21"/>
        </w:rPr>
      </w:pPr>
      <w:r>
        <w:rPr>
          <w:rFonts w:hint="eastAsia" w:ascii="宋体" w:hAnsi="宋体" w:cs="宋体"/>
          <w:b/>
          <w:bCs/>
          <w:kern w:val="0"/>
          <w:szCs w:val="21"/>
        </w:rPr>
        <w:t xml:space="preserve">第三条 </w:t>
      </w:r>
      <w:r>
        <w:rPr>
          <w:rFonts w:hint="eastAsia" w:ascii="宋体" w:hAnsi="宋体" w:cs="宋体"/>
          <w:color w:val="000000"/>
          <w:kern w:val="0"/>
          <w:szCs w:val="21"/>
        </w:rPr>
        <w:t>受益人包括：</w:t>
      </w:r>
    </w:p>
    <w:p>
      <w:pPr>
        <w:widowControl/>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kern w:val="0"/>
          <w:szCs w:val="21"/>
        </w:rPr>
        <w:t>（一）疾病身故保险金受益人</w:t>
      </w:r>
    </w:p>
    <w:p>
      <w:pPr>
        <w:widowControl/>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kern w:val="0"/>
          <w:szCs w:val="21"/>
        </w:rPr>
        <w:t>订立本附加合同时，被保险人或者投保人可指定一人或者数人为疾病身故保险金受益人，但投保人指定疾病身故保险金受益人时须经被保险人同意。投保人为与其有劳动关系的劳动者投保的，不得指定被保险人及其近亲属以外的人为受益人。</w:t>
      </w:r>
    </w:p>
    <w:p>
      <w:pPr>
        <w:widowControl/>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kern w:val="0"/>
          <w:szCs w:val="21"/>
        </w:rPr>
        <w:t>被保险人或者投保人经被保险人同意可以变更疾病身故保险金受益人，但需书面通知保险人，由保险人在本附加合同上批注或者附贴批单。</w:t>
      </w:r>
    </w:p>
    <w:p>
      <w:pPr>
        <w:widowControl/>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kern w:val="0"/>
          <w:szCs w:val="21"/>
        </w:rPr>
        <w:t>疾病身故保险金受益人为数人的，应当确定受益顺序和受益份额；未确定受益份额的，各受益人按照相等份额享有受益权。</w:t>
      </w:r>
    </w:p>
    <w:p>
      <w:pPr>
        <w:widowControl/>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kern w:val="0"/>
          <w:szCs w:val="21"/>
        </w:rPr>
        <w:t>被保险人死亡后，有下列情形之一的，疾病身故保险金作为被保险人的遗产，由保险人依照《中华人民共和国继承法》的规定履行给付保险金的义务：</w:t>
      </w:r>
    </w:p>
    <w:p>
      <w:pPr>
        <w:widowControl/>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kern w:val="0"/>
          <w:szCs w:val="21"/>
        </w:rPr>
        <w:t>1.没有指定受益人，或者受益人指定不明无法确定的；</w:t>
      </w:r>
    </w:p>
    <w:p>
      <w:pPr>
        <w:widowControl/>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kern w:val="0"/>
          <w:szCs w:val="21"/>
        </w:rPr>
        <w:t>2.受益人先于被保险人死亡，没有其他受益人的；</w:t>
      </w:r>
    </w:p>
    <w:p>
      <w:pPr>
        <w:widowControl/>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kern w:val="0"/>
          <w:szCs w:val="21"/>
        </w:rPr>
        <w:t>3.受益人依法丧失受益权或者放弃受益权，没有其他受益人的。</w:t>
      </w:r>
    </w:p>
    <w:p>
      <w:pPr>
        <w:pStyle w:val="3"/>
        <w:widowControl/>
        <w:adjustRightInd w:val="0"/>
        <w:snapToGrid w:val="0"/>
        <w:spacing w:after="0" w:line="360" w:lineRule="auto"/>
        <w:ind w:left="0" w:leftChars="0" w:firstLine="420" w:firstLineChars="200"/>
        <w:rPr>
          <w:rFonts w:ascii="宋体" w:hAnsi="宋体" w:cs="宋体"/>
          <w:szCs w:val="21"/>
        </w:rPr>
      </w:pPr>
      <w:r>
        <w:rPr>
          <w:rFonts w:hint="eastAsia" w:ascii="宋体" w:hAnsi="宋体" w:cs="宋体"/>
          <w:szCs w:val="21"/>
        </w:rPr>
        <w:t>受益人与被保险人在同一事件中死亡，且不能确定死亡先后顺序的，推定受益人死亡</w:t>
      </w:r>
    </w:p>
    <w:p>
      <w:pPr>
        <w:pStyle w:val="3"/>
        <w:widowControl/>
        <w:adjustRightInd w:val="0"/>
        <w:snapToGrid w:val="0"/>
        <w:spacing w:after="0" w:line="360" w:lineRule="auto"/>
        <w:ind w:left="0" w:leftChars="0" w:firstLine="420" w:firstLineChars="200"/>
        <w:rPr>
          <w:rFonts w:ascii="宋体" w:hAnsi="宋体" w:cs="宋体"/>
          <w:szCs w:val="21"/>
        </w:rPr>
      </w:pPr>
      <w:r>
        <w:rPr>
          <w:rFonts w:hint="eastAsia" w:ascii="宋体" w:hAnsi="宋体" w:cs="宋体"/>
          <w:szCs w:val="21"/>
        </w:rPr>
        <w:t>在先。</w:t>
      </w:r>
    </w:p>
    <w:p>
      <w:pPr>
        <w:pStyle w:val="3"/>
        <w:widowControl/>
        <w:adjustRightInd w:val="0"/>
        <w:snapToGrid w:val="0"/>
        <w:spacing w:after="0" w:line="360" w:lineRule="auto"/>
        <w:ind w:left="0" w:leftChars="0" w:firstLine="420" w:firstLineChars="200"/>
        <w:rPr>
          <w:rFonts w:ascii="宋体" w:hAnsi="宋体" w:cs="宋体"/>
          <w:szCs w:val="21"/>
        </w:rPr>
      </w:pPr>
      <w:r>
        <w:rPr>
          <w:rFonts w:hint="eastAsia" w:ascii="宋体" w:hAnsi="宋体" w:cs="宋体"/>
          <w:szCs w:val="21"/>
        </w:rPr>
        <w:t>（二）疾病全残保险金受益人</w:t>
      </w:r>
    </w:p>
    <w:p>
      <w:pPr>
        <w:widowControl/>
        <w:adjustRightInd w:val="0"/>
        <w:snapToGrid w:val="0"/>
        <w:spacing w:line="360" w:lineRule="auto"/>
        <w:ind w:firstLine="420" w:firstLineChars="200"/>
        <w:rPr>
          <w:rFonts w:ascii="宋体" w:hAnsi="宋体" w:cs="宋体"/>
          <w:szCs w:val="21"/>
        </w:rPr>
      </w:pPr>
      <w:r>
        <w:rPr>
          <w:rFonts w:hint="eastAsia" w:ascii="宋体" w:hAnsi="宋体" w:cs="宋体"/>
          <w:color w:val="000000"/>
          <w:kern w:val="0"/>
          <w:szCs w:val="21"/>
        </w:rPr>
        <w:t>除另有依法指定外，</w:t>
      </w:r>
      <w:r>
        <w:rPr>
          <w:rFonts w:hint="eastAsia" w:ascii="宋体" w:hAnsi="宋体" w:cs="宋体"/>
          <w:kern w:val="0"/>
          <w:szCs w:val="21"/>
        </w:rPr>
        <w:t>疾病全残保险金</w:t>
      </w:r>
      <w:r>
        <w:rPr>
          <w:rFonts w:hint="eastAsia" w:ascii="宋体" w:hAnsi="宋体" w:cs="宋体"/>
          <w:color w:val="000000"/>
          <w:kern w:val="0"/>
          <w:szCs w:val="21"/>
        </w:rPr>
        <w:t>受益人为被保险人本人。</w:t>
      </w:r>
    </w:p>
    <w:p>
      <w:pPr>
        <w:widowControl/>
        <w:adjustRightInd w:val="0"/>
        <w:snapToGrid w:val="0"/>
        <w:spacing w:line="360" w:lineRule="auto"/>
        <w:ind w:firstLine="422" w:firstLineChars="200"/>
        <w:jc w:val="center"/>
        <w:rPr>
          <w:rFonts w:ascii="宋体" w:hAnsi="宋体" w:cs="宋体"/>
          <w:b/>
          <w:bCs/>
          <w:szCs w:val="21"/>
        </w:rPr>
      </w:pPr>
      <w:r>
        <w:rPr>
          <w:rFonts w:hint="eastAsia" w:ascii="宋体" w:hAnsi="宋体" w:cs="宋体"/>
          <w:b/>
          <w:bCs/>
          <w:kern w:val="0"/>
          <w:szCs w:val="21"/>
        </w:rPr>
        <w:t>保险责任</w:t>
      </w:r>
    </w:p>
    <w:p>
      <w:pPr>
        <w:widowControl/>
        <w:adjustRightInd w:val="0"/>
        <w:snapToGrid w:val="0"/>
        <w:spacing w:line="360" w:lineRule="auto"/>
        <w:ind w:firstLine="422" w:firstLineChars="200"/>
        <w:rPr>
          <w:rFonts w:ascii="宋体" w:hAnsi="宋体" w:cs="宋体"/>
          <w:szCs w:val="21"/>
        </w:rPr>
      </w:pPr>
      <w:r>
        <w:rPr>
          <w:rFonts w:hint="eastAsia" w:ascii="宋体" w:hAnsi="宋体" w:cs="宋体"/>
          <w:b/>
          <w:bCs/>
          <w:kern w:val="0"/>
          <w:szCs w:val="21"/>
        </w:rPr>
        <w:t>第四条</w:t>
      </w:r>
      <w:r>
        <w:rPr>
          <w:rFonts w:hint="eastAsia" w:ascii="宋体" w:hAnsi="宋体" w:cs="宋体"/>
          <w:kern w:val="0"/>
          <w:szCs w:val="21"/>
        </w:rPr>
        <w:t xml:space="preserve"> 本附加保险分设疾病身故保险责任、疾病全残保险责任，供选择投保，但投保疾病全残保险责任的，须同时投保疾病身故保险责任。</w:t>
      </w:r>
    </w:p>
    <w:p>
      <w:pPr>
        <w:widowControl/>
        <w:adjustRightInd w:val="0"/>
        <w:snapToGrid w:val="0"/>
        <w:spacing w:line="360" w:lineRule="auto"/>
        <w:ind w:firstLine="420" w:firstLineChars="200"/>
        <w:rPr>
          <w:rFonts w:ascii="宋体" w:hAnsi="宋体" w:cs="宋体"/>
          <w:szCs w:val="21"/>
        </w:rPr>
      </w:pPr>
      <w:r>
        <w:rPr>
          <w:rFonts w:hint="eastAsia" w:ascii="宋体" w:hAnsi="宋体" w:cs="宋体"/>
          <w:kern w:val="0"/>
          <w:szCs w:val="21"/>
        </w:rPr>
        <w:t>与疾病身故保险责任对应的保险事故为：在保险期间内, 被保险人在自保险人对其保险责任生效之日起经过三十日的等待期后（在身体健康的条件下连续续保的或者本附加合同另有约定的不在此限）因患疾病而身故。</w:t>
      </w:r>
    </w:p>
    <w:p>
      <w:pPr>
        <w:widowControl/>
        <w:adjustRightInd w:val="0"/>
        <w:snapToGrid w:val="0"/>
        <w:spacing w:line="360" w:lineRule="auto"/>
        <w:ind w:firstLine="420" w:firstLineChars="200"/>
        <w:rPr>
          <w:rFonts w:ascii="宋体" w:hAnsi="宋体" w:cs="宋体"/>
          <w:szCs w:val="21"/>
        </w:rPr>
      </w:pPr>
      <w:r>
        <w:rPr>
          <w:rFonts w:hint="eastAsia" w:ascii="宋体" w:hAnsi="宋体" w:cs="宋体"/>
          <w:kern w:val="0"/>
          <w:szCs w:val="21"/>
        </w:rPr>
        <w:t>与疾病全残保险责任对应的保险事故为：在保险期间内, 被保险人在自保险人对其保险责任生效之日起经过三十日的等待期后（在身体健康的条件下连续续保的或者本附加合同另有约定的不在此限）因患疾病而全残。</w:t>
      </w:r>
    </w:p>
    <w:p>
      <w:pPr>
        <w:widowControl/>
        <w:adjustRightInd w:val="0"/>
        <w:snapToGrid w:val="0"/>
        <w:spacing w:line="360" w:lineRule="auto"/>
        <w:ind w:firstLine="422" w:firstLineChars="200"/>
        <w:rPr>
          <w:rFonts w:ascii="宋体" w:hAnsi="宋体" w:cs="宋体"/>
          <w:szCs w:val="21"/>
        </w:rPr>
      </w:pPr>
      <w:r>
        <w:rPr>
          <w:rFonts w:hint="eastAsia" w:ascii="宋体" w:hAnsi="宋体" w:cs="宋体"/>
          <w:b/>
          <w:bCs/>
          <w:kern w:val="0"/>
          <w:szCs w:val="21"/>
        </w:rPr>
        <w:t xml:space="preserve">第五条 </w:t>
      </w:r>
      <w:r>
        <w:rPr>
          <w:rFonts w:hint="eastAsia" w:ascii="宋体" w:hAnsi="宋体" w:cs="宋体"/>
          <w:kern w:val="0"/>
          <w:szCs w:val="21"/>
        </w:rPr>
        <w:t>在保险期间内, 被保险人发生与其享有的保险责任保障对应的保险事故的，保险人按本附加合同载明的该被保险人的保险金额给付保险金，同时本附加合同约定的对该被保险人的保险责任终止。</w:t>
      </w:r>
    </w:p>
    <w:p>
      <w:pPr>
        <w:widowControl/>
        <w:adjustRightInd w:val="0"/>
        <w:snapToGrid w:val="0"/>
        <w:spacing w:line="360" w:lineRule="auto"/>
        <w:ind w:firstLine="422" w:firstLineChars="200"/>
        <w:jc w:val="center"/>
        <w:rPr>
          <w:rFonts w:ascii="宋体" w:hAnsi="宋体" w:cs="宋体"/>
          <w:b/>
          <w:bCs/>
          <w:szCs w:val="21"/>
        </w:rPr>
      </w:pPr>
      <w:r>
        <w:rPr>
          <w:rFonts w:hint="eastAsia" w:ascii="宋体" w:hAnsi="宋体" w:cs="宋体"/>
          <w:b/>
          <w:bCs/>
          <w:kern w:val="0"/>
          <w:szCs w:val="21"/>
        </w:rPr>
        <w:t>责任免除</w:t>
      </w:r>
    </w:p>
    <w:p>
      <w:pPr>
        <w:widowControl/>
        <w:adjustRightInd w:val="0"/>
        <w:snapToGrid w:val="0"/>
        <w:spacing w:line="360" w:lineRule="auto"/>
        <w:ind w:firstLine="422" w:firstLineChars="200"/>
        <w:rPr>
          <w:rFonts w:ascii="宋体" w:hAnsi="宋体" w:cs="宋体"/>
          <w:b/>
          <w:bCs/>
          <w:szCs w:val="21"/>
        </w:rPr>
      </w:pPr>
      <w:r>
        <w:rPr>
          <w:rFonts w:hint="eastAsia" w:ascii="宋体" w:hAnsi="宋体" w:cs="宋体"/>
          <w:b/>
          <w:bCs/>
          <w:kern w:val="0"/>
          <w:szCs w:val="21"/>
        </w:rPr>
        <w:t>第六条 由于下列任何原因，造成被保险人身故或者全残的，保险人不承担给付保险金的责任：</w:t>
      </w:r>
    </w:p>
    <w:p>
      <w:pPr>
        <w:widowControl/>
        <w:adjustRightInd w:val="0"/>
        <w:snapToGrid w:val="0"/>
        <w:spacing w:line="360" w:lineRule="auto"/>
        <w:ind w:firstLine="422" w:firstLineChars="200"/>
        <w:rPr>
          <w:rFonts w:ascii="宋体" w:hAnsi="宋体" w:cs="宋体"/>
          <w:b/>
          <w:bCs/>
          <w:szCs w:val="21"/>
        </w:rPr>
      </w:pPr>
      <w:r>
        <w:rPr>
          <w:rFonts w:hint="eastAsia" w:ascii="宋体" w:hAnsi="宋体" w:cs="宋体"/>
          <w:b/>
          <w:bCs/>
          <w:kern w:val="0"/>
          <w:szCs w:val="21"/>
        </w:rPr>
        <w:t>（一）投保人的故意行为，被保险人自致伤害或者自杀；</w:t>
      </w:r>
    </w:p>
    <w:p>
      <w:pPr>
        <w:widowControl/>
        <w:adjustRightInd w:val="0"/>
        <w:snapToGrid w:val="0"/>
        <w:spacing w:line="360" w:lineRule="auto"/>
        <w:ind w:firstLine="422" w:firstLineChars="200"/>
        <w:rPr>
          <w:rFonts w:ascii="宋体" w:hAnsi="宋体" w:cs="宋体"/>
          <w:b/>
          <w:bCs/>
          <w:szCs w:val="21"/>
        </w:rPr>
      </w:pPr>
      <w:r>
        <w:rPr>
          <w:rFonts w:hint="eastAsia" w:ascii="宋体" w:hAnsi="宋体" w:cs="宋体"/>
          <w:b/>
          <w:bCs/>
          <w:kern w:val="0"/>
          <w:szCs w:val="21"/>
        </w:rPr>
        <w:t>（二）保险人要求告知但未告知的既往症；</w:t>
      </w:r>
    </w:p>
    <w:p>
      <w:pPr>
        <w:widowControl/>
        <w:adjustRightInd w:val="0"/>
        <w:snapToGrid w:val="0"/>
        <w:spacing w:line="360" w:lineRule="auto"/>
        <w:ind w:firstLine="422" w:firstLineChars="200"/>
        <w:rPr>
          <w:rFonts w:ascii="宋体" w:hAnsi="宋体" w:cs="宋体"/>
          <w:b/>
          <w:bCs/>
          <w:szCs w:val="21"/>
        </w:rPr>
      </w:pPr>
      <w:r>
        <w:rPr>
          <w:rFonts w:hint="eastAsia" w:ascii="宋体" w:hAnsi="宋体" w:cs="宋体"/>
          <w:b/>
          <w:bCs/>
          <w:kern w:val="0"/>
          <w:szCs w:val="21"/>
        </w:rPr>
        <w:t>（三）任何生物武器、化学武器、核武器、核能装置造成的爆炸、灼伤、污染或者辐射，恐怖活动，邪教组织活动，战争，军事行动，暴动或者武装叛乱。</w:t>
      </w:r>
    </w:p>
    <w:p>
      <w:pPr>
        <w:widowControl/>
        <w:adjustRightInd w:val="0"/>
        <w:snapToGrid w:val="0"/>
        <w:spacing w:line="360" w:lineRule="auto"/>
        <w:ind w:firstLine="422" w:firstLineChars="200"/>
        <w:rPr>
          <w:rFonts w:ascii="宋体" w:hAnsi="宋体" w:cs="宋体"/>
          <w:b/>
          <w:bCs/>
          <w:szCs w:val="21"/>
        </w:rPr>
      </w:pPr>
      <w:r>
        <w:rPr>
          <w:rFonts w:hint="eastAsia" w:ascii="宋体" w:hAnsi="宋体" w:cs="宋体"/>
          <w:b/>
          <w:bCs/>
          <w:kern w:val="0"/>
          <w:szCs w:val="21"/>
        </w:rPr>
        <w:t>第七条 在下列任何情形下，被保险人身故或者全残的，保险人不承担给付保险金的责任：</w:t>
      </w:r>
    </w:p>
    <w:p>
      <w:pPr>
        <w:widowControl/>
        <w:adjustRightInd w:val="0"/>
        <w:snapToGrid w:val="0"/>
        <w:spacing w:line="360" w:lineRule="auto"/>
        <w:ind w:firstLine="422" w:firstLineChars="200"/>
        <w:rPr>
          <w:rFonts w:ascii="宋体" w:hAnsi="宋体" w:cs="宋体"/>
          <w:b/>
          <w:bCs/>
          <w:szCs w:val="21"/>
        </w:rPr>
      </w:pPr>
      <w:r>
        <w:rPr>
          <w:rFonts w:hint="eastAsia" w:ascii="宋体" w:hAnsi="宋体" w:cs="宋体"/>
          <w:b/>
          <w:bCs/>
          <w:kern w:val="0"/>
          <w:szCs w:val="21"/>
        </w:rPr>
        <w:t>（一）精神和行为障碍(以世界卫生组织颁布的《疾病和有关健康问题的国际统计分类(ICD-10)》为准)或者癫痫发作期间，感染艾滋病（AIDS）或者感染艾滋病病毒（HIV阳性）期间；</w:t>
      </w:r>
    </w:p>
    <w:p>
      <w:pPr>
        <w:widowControl/>
        <w:adjustRightInd w:val="0"/>
        <w:snapToGrid w:val="0"/>
        <w:spacing w:line="360" w:lineRule="auto"/>
        <w:ind w:firstLine="422" w:firstLineChars="200"/>
        <w:rPr>
          <w:rFonts w:ascii="宋体" w:hAnsi="宋体" w:cs="宋体"/>
          <w:b/>
          <w:bCs/>
          <w:szCs w:val="21"/>
        </w:rPr>
      </w:pPr>
      <w:r>
        <w:rPr>
          <w:rFonts w:hint="eastAsia" w:ascii="宋体" w:hAnsi="宋体" w:cs="宋体"/>
          <w:b/>
          <w:bCs/>
          <w:kern w:val="0"/>
          <w:szCs w:val="21"/>
        </w:rPr>
        <w:t>（二）醉酒或者受酒精、毒品或者管制药品的影响期间。</w:t>
      </w:r>
    </w:p>
    <w:p>
      <w:pPr>
        <w:widowControl/>
        <w:adjustRightInd w:val="0"/>
        <w:snapToGrid w:val="0"/>
        <w:spacing w:line="360" w:lineRule="auto"/>
        <w:ind w:firstLine="422" w:firstLineChars="200"/>
        <w:rPr>
          <w:rFonts w:ascii="宋体" w:hAnsi="宋体" w:cs="宋体"/>
          <w:b/>
          <w:bCs/>
          <w:szCs w:val="21"/>
        </w:rPr>
      </w:pPr>
      <w:r>
        <w:rPr>
          <w:rFonts w:hint="eastAsia" w:ascii="宋体" w:hAnsi="宋体" w:cs="宋体"/>
          <w:b/>
          <w:bCs/>
          <w:kern w:val="0"/>
          <w:szCs w:val="21"/>
        </w:rPr>
        <w:t>第八条 若发生归于本保险条款“责任免除”部分的被保险人身故，本附加合同约定的对该被保险人的保险责任终止，除因“投保人的故意行为”造成被保险人身故外，保险人退还相应未满期保险费。</w:t>
      </w:r>
    </w:p>
    <w:p>
      <w:pPr>
        <w:widowControl/>
        <w:adjustRightInd w:val="0"/>
        <w:snapToGrid w:val="0"/>
        <w:spacing w:line="360" w:lineRule="auto"/>
        <w:ind w:firstLine="422" w:firstLineChars="200"/>
        <w:jc w:val="center"/>
        <w:rPr>
          <w:rFonts w:ascii="宋体" w:hAnsi="宋体" w:cs="宋体"/>
          <w:b/>
          <w:bCs/>
          <w:color w:val="000000"/>
          <w:szCs w:val="21"/>
        </w:rPr>
      </w:pPr>
      <w:r>
        <w:rPr>
          <w:rStyle w:val="61"/>
          <w:rFonts w:hint="eastAsia" w:ascii="宋体" w:hAnsi="宋体" w:cs="宋体"/>
          <w:b/>
          <w:bCs/>
          <w:color w:val="000000"/>
          <w:sz w:val="21"/>
          <w:szCs w:val="21"/>
        </w:rPr>
        <w:t>保险金额</w:t>
      </w:r>
    </w:p>
    <w:p>
      <w:pPr>
        <w:widowControl/>
        <w:adjustRightInd w:val="0"/>
        <w:snapToGrid w:val="0"/>
        <w:spacing w:line="360" w:lineRule="auto"/>
        <w:ind w:firstLine="422" w:firstLineChars="200"/>
        <w:rPr>
          <w:rFonts w:ascii="宋体" w:hAnsi="宋体" w:cs="宋体"/>
          <w:szCs w:val="21"/>
        </w:rPr>
      </w:pPr>
      <w:r>
        <w:rPr>
          <w:rStyle w:val="61"/>
          <w:rFonts w:hint="eastAsia" w:ascii="宋体" w:hAnsi="宋体" w:cs="宋体"/>
          <w:b/>
          <w:bCs/>
          <w:color w:val="000000"/>
          <w:sz w:val="21"/>
          <w:szCs w:val="21"/>
        </w:rPr>
        <w:t>第九条</w:t>
      </w:r>
      <w:r>
        <w:rPr>
          <w:rStyle w:val="61"/>
          <w:rFonts w:hint="eastAsia" w:ascii="宋体" w:hAnsi="宋体" w:cs="宋体"/>
          <w:color w:val="000000"/>
          <w:sz w:val="21"/>
          <w:szCs w:val="21"/>
        </w:rPr>
        <w:t>每一</w:t>
      </w:r>
      <w:r>
        <w:rPr>
          <w:rFonts w:hint="eastAsia" w:ascii="宋体" w:hAnsi="宋体" w:cs="宋体"/>
          <w:color w:val="000000"/>
          <w:kern w:val="0"/>
          <w:szCs w:val="21"/>
        </w:rPr>
        <w:t>被保险人的保险金额由投保人与保险人约定，并于本附加合同中载明。</w:t>
      </w:r>
    </w:p>
    <w:p>
      <w:pPr>
        <w:widowControl/>
        <w:adjustRightInd w:val="0"/>
        <w:snapToGrid w:val="0"/>
        <w:spacing w:line="360" w:lineRule="auto"/>
        <w:ind w:firstLine="422" w:firstLineChars="200"/>
        <w:jc w:val="center"/>
        <w:rPr>
          <w:rFonts w:ascii="宋体" w:hAnsi="宋体" w:cs="宋体"/>
          <w:b/>
          <w:bCs/>
          <w:color w:val="000000"/>
          <w:szCs w:val="21"/>
        </w:rPr>
      </w:pPr>
      <w:r>
        <w:rPr>
          <w:rFonts w:hint="eastAsia" w:ascii="宋体" w:hAnsi="宋体" w:cs="宋体"/>
          <w:b/>
          <w:bCs/>
          <w:color w:val="000000"/>
          <w:kern w:val="0"/>
          <w:szCs w:val="21"/>
        </w:rPr>
        <w:t>保险金申请与给付</w:t>
      </w:r>
    </w:p>
    <w:p>
      <w:pPr>
        <w:widowControl/>
        <w:adjustRightInd w:val="0"/>
        <w:snapToGrid w:val="0"/>
        <w:spacing w:line="360" w:lineRule="auto"/>
        <w:ind w:firstLine="422" w:firstLineChars="200"/>
        <w:rPr>
          <w:rFonts w:ascii="宋体" w:hAnsi="宋体" w:cs="宋体"/>
          <w:b/>
          <w:bCs/>
          <w:color w:val="000000"/>
          <w:szCs w:val="21"/>
        </w:rPr>
      </w:pPr>
      <w:r>
        <w:rPr>
          <w:rFonts w:hint="eastAsia" w:ascii="宋体" w:hAnsi="宋体" w:cs="宋体"/>
          <w:b/>
          <w:bCs/>
          <w:color w:val="000000"/>
          <w:kern w:val="0"/>
          <w:szCs w:val="21"/>
        </w:rPr>
        <w:t xml:space="preserve">第十条 </w:t>
      </w:r>
      <w:r>
        <w:rPr>
          <w:rFonts w:hint="eastAsia" w:ascii="宋体" w:hAnsi="宋体" w:cs="宋体"/>
          <w:color w:val="000000"/>
          <w:kern w:val="0"/>
          <w:szCs w:val="21"/>
        </w:rPr>
        <w:t>保险金申请人向保险人申请给付保险金时，应当以书面形式提交下列证明和资料：</w:t>
      </w:r>
    </w:p>
    <w:p>
      <w:pPr>
        <w:widowControl/>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kern w:val="0"/>
          <w:szCs w:val="21"/>
        </w:rPr>
        <w:t>（一）保险金给付申请书；</w:t>
      </w:r>
    </w:p>
    <w:p>
      <w:pPr>
        <w:widowControl/>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kern w:val="0"/>
          <w:szCs w:val="21"/>
        </w:rPr>
        <w:t>（二）保险单或者其他保险凭证；</w:t>
      </w:r>
    </w:p>
    <w:p>
      <w:pPr>
        <w:widowControl/>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kern w:val="0"/>
          <w:szCs w:val="21"/>
        </w:rPr>
        <w:t>（三）保险金申请人的身份证明，若保险金申请人委托他人申请，还须提供受托人身份证明、授权委托书；</w:t>
      </w:r>
    </w:p>
    <w:p>
      <w:pPr>
        <w:widowControl/>
        <w:adjustRightInd w:val="0"/>
        <w:snapToGrid w:val="0"/>
        <w:spacing w:line="360" w:lineRule="auto"/>
        <w:ind w:firstLine="420" w:firstLineChars="200"/>
        <w:rPr>
          <w:rFonts w:ascii="宋体" w:hAnsi="宋体" w:cs="宋体"/>
          <w:szCs w:val="21"/>
        </w:rPr>
      </w:pPr>
      <w:r>
        <w:rPr>
          <w:rFonts w:hint="eastAsia" w:ascii="宋体" w:hAnsi="宋体" w:cs="宋体"/>
          <w:kern w:val="0"/>
          <w:szCs w:val="21"/>
        </w:rPr>
        <w:t>（四）申请身故保险金的，除第（一）至（三）项约定的证明和资料外，还须提供还须提供</w:t>
      </w:r>
      <w:r>
        <w:rPr>
          <w:rFonts w:hint="eastAsia" w:ascii="宋体" w:hAnsi="宋体" w:cs="宋体"/>
          <w:color w:val="000000"/>
          <w:kern w:val="0"/>
          <w:szCs w:val="21"/>
        </w:rPr>
        <w:t>公安机关或者保险人认可的其他机构</w:t>
      </w:r>
      <w:r>
        <w:rPr>
          <w:rFonts w:hint="eastAsia" w:ascii="宋体" w:hAnsi="宋体" w:cs="宋体"/>
          <w:kern w:val="0"/>
          <w:szCs w:val="21"/>
        </w:rPr>
        <w:t>出具的被保险人疾病身故证明。</w:t>
      </w:r>
    </w:p>
    <w:p>
      <w:pPr>
        <w:widowControl/>
        <w:adjustRightInd w:val="0"/>
        <w:snapToGrid w:val="0"/>
        <w:spacing w:line="360" w:lineRule="auto"/>
        <w:ind w:firstLine="420" w:firstLineChars="200"/>
        <w:rPr>
          <w:rFonts w:ascii="宋体" w:hAnsi="宋体" w:cs="宋体"/>
          <w:szCs w:val="21"/>
        </w:rPr>
      </w:pPr>
      <w:r>
        <w:rPr>
          <w:rFonts w:hint="eastAsia" w:ascii="宋体" w:hAnsi="宋体" w:cs="宋体"/>
          <w:kern w:val="0"/>
          <w:szCs w:val="21"/>
        </w:rPr>
        <w:t>（五）申请全残保险金的，除第（一）至（三）项约定的证明和资料外，须提供二级以上（含）医疗机构或者司法鉴定机构出具的被保险人残疾程度鉴定书；</w:t>
      </w:r>
    </w:p>
    <w:p>
      <w:pPr>
        <w:widowControl/>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kern w:val="0"/>
          <w:szCs w:val="21"/>
        </w:rPr>
        <w:t>（六）投保人、被保险人、保险金申请人所能提供的其他与确认事故的性质、原因、伤害程度等有关的证明和资料。</w:t>
      </w:r>
    </w:p>
    <w:p>
      <w:pPr>
        <w:widowControl/>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kern w:val="0"/>
          <w:szCs w:val="21"/>
        </w:rPr>
        <w:t>保险金申请人因特殊原因不能提供前款约定的证明和资料的，应当提供其他合法、有效的证明和资料。</w:t>
      </w:r>
      <w:r>
        <w:rPr>
          <w:rFonts w:hint="eastAsia" w:ascii="宋体" w:hAnsi="宋体" w:cs="宋体"/>
          <w:b/>
          <w:bCs/>
          <w:color w:val="000000"/>
          <w:kern w:val="0"/>
          <w:szCs w:val="21"/>
        </w:rPr>
        <w:t>保险金申请人未能提供有关证明和资料，导致保险人无法核实该申请内容的真实性的，保险人对无法核实部分不承担给付保险金的责任</w:t>
      </w:r>
      <w:r>
        <w:rPr>
          <w:rFonts w:hint="eastAsia" w:ascii="宋体" w:hAnsi="宋体" w:cs="宋体"/>
          <w:color w:val="000000"/>
          <w:kern w:val="0"/>
          <w:szCs w:val="21"/>
        </w:rPr>
        <w:t>。</w:t>
      </w:r>
    </w:p>
    <w:p>
      <w:pPr>
        <w:widowControl/>
        <w:adjustRightInd w:val="0"/>
        <w:snapToGrid w:val="0"/>
        <w:spacing w:line="360" w:lineRule="auto"/>
        <w:ind w:firstLine="422" w:firstLineChars="200"/>
        <w:rPr>
          <w:rFonts w:ascii="宋体" w:hAnsi="宋体" w:cs="宋体"/>
          <w:color w:val="000000"/>
          <w:szCs w:val="21"/>
        </w:rPr>
      </w:pPr>
      <w:r>
        <w:rPr>
          <w:rFonts w:hint="eastAsia" w:ascii="宋体" w:hAnsi="宋体" w:cs="宋体"/>
          <w:b/>
          <w:bCs/>
          <w:color w:val="000000"/>
          <w:kern w:val="0"/>
          <w:szCs w:val="21"/>
        </w:rPr>
        <w:t>第十一条</w:t>
      </w:r>
      <w:r>
        <w:rPr>
          <w:rFonts w:hint="eastAsia" w:ascii="宋体" w:hAnsi="宋体" w:cs="宋体"/>
          <w:color w:val="000000"/>
          <w:kern w:val="0"/>
          <w:szCs w:val="21"/>
        </w:rPr>
        <w:t xml:space="preserve"> 被保险人遭受保险事故的，保险人有权对投保人、被保险人、保险金申请人等进行调查和检查（包括提请作必要、合理的解剖检验），投保人、被保险人、保险金申请人等应当予以充分配合。</w:t>
      </w:r>
    </w:p>
    <w:p>
      <w:pPr>
        <w:widowControl/>
        <w:adjustRightInd w:val="0"/>
        <w:snapToGrid w:val="0"/>
        <w:spacing w:line="360" w:lineRule="auto"/>
        <w:ind w:firstLine="422" w:firstLineChars="200"/>
        <w:rPr>
          <w:rFonts w:ascii="宋体" w:hAnsi="宋体" w:cs="宋体"/>
          <w:color w:val="000000"/>
          <w:szCs w:val="21"/>
        </w:rPr>
      </w:pPr>
      <w:r>
        <w:rPr>
          <w:rFonts w:hint="eastAsia" w:ascii="宋体" w:hAnsi="宋体" w:cs="宋体"/>
          <w:b/>
          <w:bCs/>
          <w:color w:val="000000"/>
          <w:kern w:val="0"/>
          <w:szCs w:val="21"/>
        </w:rPr>
        <w:t xml:space="preserve">第十二条 </w:t>
      </w:r>
      <w:r>
        <w:rPr>
          <w:rFonts w:hint="eastAsia" w:ascii="宋体" w:hAnsi="宋体" w:cs="宋体"/>
          <w:color w:val="000000"/>
          <w:kern w:val="0"/>
          <w:szCs w:val="21"/>
        </w:rPr>
        <w:t>保险金申请人向保险人请求给付保险金的诉讼时效期间为二年，自其知道或者应当知道保险事故发生之日起计算。</w:t>
      </w:r>
    </w:p>
    <w:p>
      <w:pPr>
        <w:widowControl/>
        <w:adjustRightInd w:val="0"/>
        <w:snapToGrid w:val="0"/>
        <w:spacing w:line="360" w:lineRule="auto"/>
        <w:ind w:firstLine="422" w:firstLineChars="200"/>
        <w:jc w:val="center"/>
        <w:rPr>
          <w:rFonts w:ascii="宋体" w:hAnsi="宋体" w:cs="宋体"/>
          <w:b/>
          <w:bCs/>
          <w:szCs w:val="21"/>
        </w:rPr>
      </w:pPr>
      <w:r>
        <w:rPr>
          <w:rFonts w:hint="eastAsia" w:ascii="宋体" w:hAnsi="宋体" w:cs="宋体"/>
          <w:b/>
          <w:bCs/>
          <w:kern w:val="0"/>
          <w:szCs w:val="21"/>
        </w:rPr>
        <w:t>释义</w:t>
      </w:r>
    </w:p>
    <w:p>
      <w:pPr>
        <w:widowControl/>
        <w:adjustRightInd w:val="0"/>
        <w:snapToGrid w:val="0"/>
        <w:spacing w:line="360" w:lineRule="auto"/>
        <w:ind w:firstLine="422" w:firstLineChars="200"/>
        <w:textAlignment w:val="bottom"/>
        <w:rPr>
          <w:rFonts w:ascii="宋体" w:hAnsi="宋体" w:cs="宋体"/>
          <w:color w:val="000000"/>
          <w:szCs w:val="21"/>
        </w:rPr>
      </w:pPr>
      <w:r>
        <w:rPr>
          <w:rFonts w:hint="eastAsia" w:ascii="宋体" w:hAnsi="宋体" w:cs="宋体"/>
          <w:b/>
          <w:bCs/>
          <w:color w:val="000000"/>
          <w:kern w:val="0"/>
          <w:szCs w:val="21"/>
        </w:rPr>
        <w:t>连续续保：</w:t>
      </w:r>
      <w:r>
        <w:rPr>
          <w:rFonts w:hint="eastAsia" w:ascii="宋体" w:hAnsi="宋体" w:cs="宋体"/>
          <w:color w:val="000000"/>
          <w:kern w:val="0"/>
          <w:szCs w:val="21"/>
        </w:rPr>
        <w:t>指在本附加合同保险期间届满前后各十五日内，投保人与保险人就本保险继续订立下一年度保险合同，前后保险期间之间连续不断，以使被保险人继续参加本保险的行为。</w:t>
      </w:r>
    </w:p>
    <w:p>
      <w:pPr>
        <w:widowControl/>
        <w:adjustRightInd w:val="0"/>
        <w:snapToGrid w:val="0"/>
        <w:spacing w:line="360" w:lineRule="auto"/>
        <w:ind w:firstLine="422" w:firstLineChars="200"/>
        <w:rPr>
          <w:rFonts w:ascii="宋体" w:hAnsi="宋体" w:cs="宋体"/>
          <w:color w:val="000000"/>
          <w:szCs w:val="21"/>
        </w:rPr>
      </w:pPr>
      <w:r>
        <w:rPr>
          <w:rFonts w:hint="eastAsia" w:ascii="宋体" w:hAnsi="宋体" w:cs="宋体"/>
          <w:b/>
          <w:bCs/>
          <w:color w:val="000000"/>
          <w:kern w:val="0"/>
          <w:szCs w:val="21"/>
        </w:rPr>
        <w:t>保险责任生效之日：</w:t>
      </w:r>
      <w:r>
        <w:rPr>
          <w:rFonts w:hint="eastAsia" w:ascii="宋体" w:hAnsi="宋体" w:cs="宋体"/>
          <w:color w:val="000000"/>
          <w:kern w:val="0"/>
          <w:szCs w:val="21"/>
        </w:rPr>
        <w:t>指本附加合同保险期间起始之日或者保险人开始对相应被保险人承担保险责任之日（以较晚者为准）。</w:t>
      </w:r>
    </w:p>
    <w:p>
      <w:pPr>
        <w:widowControl/>
        <w:adjustRightInd w:val="0"/>
        <w:snapToGrid w:val="0"/>
        <w:spacing w:line="360" w:lineRule="auto"/>
        <w:ind w:firstLine="422" w:firstLineChars="200"/>
        <w:textAlignment w:val="bottom"/>
        <w:rPr>
          <w:rFonts w:ascii="宋体" w:hAnsi="宋体" w:cs="宋体"/>
          <w:color w:val="000000"/>
          <w:szCs w:val="21"/>
        </w:rPr>
      </w:pPr>
      <w:r>
        <w:rPr>
          <w:rFonts w:hint="eastAsia" w:ascii="宋体" w:hAnsi="宋体" w:cs="宋体"/>
          <w:b/>
          <w:bCs/>
          <w:color w:val="000000"/>
          <w:kern w:val="0"/>
          <w:szCs w:val="21"/>
        </w:rPr>
        <w:t>既往症</w:t>
      </w:r>
      <w:r>
        <w:rPr>
          <w:rFonts w:hint="eastAsia" w:ascii="宋体" w:hAnsi="宋体" w:cs="宋体"/>
          <w:color w:val="000000"/>
          <w:kern w:val="0"/>
          <w:szCs w:val="21"/>
        </w:rPr>
        <w:t>：指在保险人对其保险责任生效之日前被保险人已患有的疾病和症状，以及与此相关的任何疾病和症状。</w:t>
      </w:r>
    </w:p>
    <w:p>
      <w:pPr>
        <w:widowControl/>
        <w:adjustRightInd w:val="0"/>
        <w:snapToGrid w:val="0"/>
        <w:spacing w:line="360" w:lineRule="auto"/>
        <w:ind w:firstLine="422" w:firstLineChars="200"/>
        <w:rPr>
          <w:rFonts w:ascii="宋体" w:hAnsi="宋体" w:cs="宋体"/>
          <w:b/>
          <w:bCs/>
          <w:color w:val="000000"/>
          <w:szCs w:val="21"/>
        </w:rPr>
      </w:pPr>
      <w:r>
        <w:rPr>
          <w:rFonts w:hint="eastAsia" w:ascii="宋体" w:hAnsi="宋体" w:cs="宋体"/>
          <w:b/>
          <w:bCs/>
          <w:color w:val="000000"/>
          <w:kern w:val="0"/>
          <w:szCs w:val="21"/>
        </w:rPr>
        <w:t>管制药品：</w:t>
      </w:r>
      <w:r>
        <w:rPr>
          <w:rFonts w:hint="eastAsia" w:ascii="宋体" w:hAnsi="宋体" w:cs="宋体"/>
          <w:color w:val="000000"/>
          <w:kern w:val="0"/>
          <w:szCs w:val="21"/>
        </w:rPr>
        <w:t>指根据《中华人民共和国药品管理法》及有关法规被列为特殊管理的药品，包括麻醉药品、精神药品、毒性药品及放射性药品。</w:t>
      </w:r>
    </w:p>
    <w:p>
      <w:pPr>
        <w:widowControl/>
        <w:adjustRightInd w:val="0"/>
        <w:snapToGrid w:val="0"/>
        <w:spacing w:line="360" w:lineRule="auto"/>
        <w:ind w:firstLine="422" w:firstLineChars="200"/>
        <w:rPr>
          <w:rFonts w:ascii="宋体" w:hAnsi="宋体" w:cs="宋体"/>
          <w:szCs w:val="21"/>
        </w:rPr>
      </w:pPr>
      <w:r>
        <w:rPr>
          <w:rFonts w:hint="eastAsia" w:ascii="宋体" w:hAnsi="宋体" w:cs="宋体"/>
          <w:b/>
          <w:bCs/>
          <w:color w:val="000000"/>
          <w:kern w:val="0"/>
          <w:szCs w:val="21"/>
        </w:rPr>
        <w:t>毒品：</w:t>
      </w:r>
      <w:r>
        <w:rPr>
          <w:rFonts w:hint="eastAsia" w:ascii="宋体" w:hAnsi="宋体" w:cs="宋体"/>
          <w:color w:val="000000"/>
          <w:kern w:val="0"/>
          <w:szCs w:val="21"/>
        </w:rPr>
        <w:t>指鸦片、海洛因、甲基苯丙胺（冰毒）、吗啡、大麻、可卡因以及国家规定管制的其他能够使人形成瘾癖的麻醉药品和精神药品。</w:t>
      </w:r>
    </w:p>
    <w:p>
      <w:pPr>
        <w:widowControl/>
        <w:adjustRightInd w:val="0"/>
        <w:snapToGrid w:val="0"/>
        <w:spacing w:line="360" w:lineRule="auto"/>
        <w:ind w:firstLine="422" w:firstLineChars="200"/>
        <w:rPr>
          <w:rFonts w:ascii="宋体" w:hAnsi="宋体" w:cs="宋体"/>
          <w:szCs w:val="21"/>
        </w:rPr>
      </w:pPr>
      <w:r>
        <w:rPr>
          <w:rFonts w:hint="eastAsia" w:ascii="宋体" w:hAnsi="宋体" w:cs="宋体"/>
          <w:b/>
          <w:bCs/>
          <w:kern w:val="0"/>
          <w:szCs w:val="21"/>
        </w:rPr>
        <w:t>艾滋病：</w:t>
      </w:r>
      <w:r>
        <w:rPr>
          <w:rFonts w:hint="eastAsia" w:ascii="宋体" w:hAnsi="宋体" w:cs="宋体"/>
          <w:kern w:val="0"/>
          <w:szCs w:val="21"/>
        </w:rPr>
        <w:t>指获得性免疫缺陷综合症的简称。</w:t>
      </w:r>
    </w:p>
    <w:p>
      <w:pPr>
        <w:widowControl/>
        <w:adjustRightInd w:val="0"/>
        <w:snapToGrid w:val="0"/>
        <w:spacing w:line="360" w:lineRule="auto"/>
        <w:ind w:firstLine="422" w:firstLineChars="200"/>
        <w:rPr>
          <w:rFonts w:ascii="宋体" w:hAnsi="宋体" w:cs="宋体"/>
          <w:szCs w:val="21"/>
        </w:rPr>
      </w:pPr>
      <w:r>
        <w:rPr>
          <w:rFonts w:hint="eastAsia" w:ascii="宋体" w:hAnsi="宋体" w:cs="宋体"/>
          <w:b/>
          <w:bCs/>
          <w:kern w:val="0"/>
          <w:szCs w:val="21"/>
        </w:rPr>
        <w:t>艾滋病病毒：</w:t>
      </w:r>
      <w:r>
        <w:rPr>
          <w:rFonts w:hint="eastAsia" w:ascii="宋体" w:hAnsi="宋体" w:cs="宋体"/>
          <w:kern w:val="0"/>
          <w:szCs w:val="21"/>
        </w:rPr>
        <w:t>指获得性免疫缺陷病毒的简称。</w:t>
      </w:r>
    </w:p>
    <w:p>
      <w:pPr>
        <w:widowControl/>
        <w:adjustRightInd w:val="0"/>
        <w:snapToGrid w:val="0"/>
        <w:spacing w:line="360" w:lineRule="auto"/>
        <w:ind w:firstLine="422" w:firstLineChars="200"/>
        <w:rPr>
          <w:rFonts w:ascii="宋体" w:hAnsi="宋体" w:cs="宋体"/>
          <w:szCs w:val="21"/>
        </w:rPr>
      </w:pPr>
      <w:r>
        <w:rPr>
          <w:rFonts w:hint="eastAsia" w:ascii="宋体" w:hAnsi="宋体" w:cs="宋体"/>
          <w:b/>
          <w:bCs/>
          <w:kern w:val="0"/>
          <w:szCs w:val="21"/>
        </w:rPr>
        <w:t>获得性免疫缺陷综合症（AIDS）：</w:t>
      </w:r>
      <w:r>
        <w:rPr>
          <w:rFonts w:hint="eastAsia" w:ascii="宋体" w:hAnsi="宋体" w:cs="宋体"/>
          <w:kern w:val="0"/>
          <w:szCs w:val="21"/>
        </w:rPr>
        <w:t>其定义按世界卫生组织制定的定义为准。若在被保险人的血液样本中发现上述病毒或者其抗体，则认定被保险人已感染艾滋病毒或者患艾滋病。</w:t>
      </w:r>
    </w:p>
    <w:p>
      <w:pPr>
        <w:widowControl/>
        <w:adjustRightInd w:val="0"/>
        <w:snapToGrid w:val="0"/>
        <w:spacing w:line="360" w:lineRule="auto"/>
        <w:ind w:firstLine="422" w:firstLineChars="200"/>
        <w:rPr>
          <w:rFonts w:ascii="宋体" w:hAnsi="宋体" w:cs="宋体"/>
          <w:szCs w:val="21"/>
        </w:rPr>
      </w:pPr>
      <w:r>
        <w:rPr>
          <w:rFonts w:hint="eastAsia" w:ascii="宋体" w:hAnsi="宋体" w:cs="宋体"/>
          <w:b/>
          <w:bCs/>
          <w:kern w:val="0"/>
          <w:szCs w:val="21"/>
        </w:rPr>
        <w:t>全残：</w:t>
      </w:r>
      <w:r>
        <w:rPr>
          <w:rFonts w:hint="eastAsia" w:ascii="宋体" w:hAnsi="宋体" w:cs="宋体"/>
          <w:kern w:val="0"/>
          <w:szCs w:val="21"/>
        </w:rPr>
        <w:t>指下列八项残疾中任一残疾：</w:t>
      </w:r>
    </w:p>
    <w:tbl>
      <w:tblPr>
        <w:tblStyle w:val="23"/>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735"/>
        <w:gridCol w:w="6740"/>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72" w:hRule="atLeast"/>
          <w:jc w:val="center"/>
        </w:trPr>
        <w:tc>
          <w:tcPr>
            <w:tcW w:w="735" w:type="dxa"/>
            <w:tcBorders>
              <w:top w:val="single" w:color="000000" w:sz="12" w:space="0"/>
              <w:bottom w:val="single" w:color="000000" w:sz="12" w:space="0"/>
            </w:tcBorders>
            <w:noWrap/>
            <w:vAlign w:val="center"/>
          </w:tcPr>
          <w:p>
            <w:pPr>
              <w:widowControl/>
              <w:adjustRightInd w:val="0"/>
              <w:snapToGrid w:val="0"/>
              <w:spacing w:line="360" w:lineRule="auto"/>
              <w:jc w:val="center"/>
              <w:rPr>
                <w:rFonts w:ascii="宋体" w:hAnsi="宋体" w:cs="宋体"/>
                <w:b/>
                <w:bCs/>
                <w:color w:val="000000"/>
                <w:szCs w:val="21"/>
              </w:rPr>
            </w:pPr>
            <w:r>
              <w:rPr>
                <w:rFonts w:hint="eastAsia" w:ascii="宋体" w:hAnsi="宋体" w:cs="宋体"/>
                <w:b/>
                <w:bCs/>
                <w:color w:val="000000"/>
                <w:kern w:val="0"/>
                <w:szCs w:val="21"/>
              </w:rPr>
              <w:t>项目</w:t>
            </w:r>
          </w:p>
        </w:tc>
        <w:tc>
          <w:tcPr>
            <w:tcW w:w="6740" w:type="dxa"/>
            <w:tcBorders>
              <w:top w:val="single" w:color="000000" w:sz="12" w:space="0"/>
              <w:bottom w:val="single" w:color="000000" w:sz="12" w:space="0"/>
            </w:tcBorders>
            <w:noWrap/>
            <w:vAlign w:val="center"/>
          </w:tcPr>
          <w:p>
            <w:pPr>
              <w:widowControl/>
              <w:adjustRightInd w:val="0"/>
              <w:snapToGrid w:val="0"/>
              <w:spacing w:line="360" w:lineRule="auto"/>
              <w:jc w:val="center"/>
              <w:rPr>
                <w:rFonts w:ascii="宋体" w:hAnsi="宋体" w:cs="宋体"/>
                <w:b/>
                <w:bCs/>
                <w:color w:val="000000"/>
                <w:szCs w:val="21"/>
              </w:rPr>
            </w:pPr>
            <w:r>
              <w:rPr>
                <w:rFonts w:hint="eastAsia" w:ascii="宋体" w:hAnsi="宋体" w:cs="宋体"/>
                <w:b/>
                <w:bCs/>
                <w:color w:val="000000"/>
                <w:kern w:val="0"/>
                <w:szCs w:val="21"/>
              </w:rPr>
              <w:t>残  疾  程  度</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1246" w:hRule="atLeast"/>
          <w:jc w:val="center"/>
        </w:trPr>
        <w:tc>
          <w:tcPr>
            <w:tcW w:w="735" w:type="dxa"/>
            <w:tcBorders>
              <w:bottom w:val="single" w:color="000000" w:sz="12" w:space="0"/>
            </w:tcBorders>
            <w:noWrap/>
            <w:vAlign w:val="center"/>
          </w:tcPr>
          <w:p>
            <w:pPr>
              <w:widowControl/>
              <w:adjustRightInd w:val="0"/>
              <w:snapToGrid w:val="0"/>
              <w:spacing w:line="360" w:lineRule="auto"/>
              <w:jc w:val="center"/>
              <w:rPr>
                <w:rFonts w:ascii="宋体" w:hAnsi="宋体" w:cs="宋体"/>
                <w:color w:val="000000"/>
                <w:szCs w:val="21"/>
              </w:rPr>
            </w:pPr>
            <w:r>
              <w:rPr>
                <w:rFonts w:hint="eastAsia" w:ascii="宋体" w:hAnsi="宋体" w:cs="宋体"/>
                <w:color w:val="000000"/>
                <w:kern w:val="0"/>
                <w:szCs w:val="21"/>
              </w:rPr>
              <w:t>一</w:t>
            </w:r>
          </w:p>
          <w:p>
            <w:pPr>
              <w:widowControl/>
              <w:adjustRightInd w:val="0"/>
              <w:snapToGrid w:val="0"/>
              <w:spacing w:line="360" w:lineRule="auto"/>
              <w:jc w:val="center"/>
              <w:rPr>
                <w:rFonts w:ascii="宋体" w:hAnsi="宋体" w:cs="宋体"/>
                <w:color w:val="000000"/>
                <w:szCs w:val="21"/>
              </w:rPr>
            </w:pPr>
            <w:r>
              <w:rPr>
                <w:rFonts w:hint="eastAsia" w:ascii="宋体" w:hAnsi="宋体" w:cs="宋体"/>
                <w:color w:val="000000"/>
                <w:kern w:val="0"/>
                <w:szCs w:val="21"/>
              </w:rPr>
              <w:t>二</w:t>
            </w:r>
          </w:p>
          <w:p>
            <w:pPr>
              <w:widowControl/>
              <w:adjustRightInd w:val="0"/>
              <w:snapToGrid w:val="0"/>
              <w:spacing w:line="360" w:lineRule="auto"/>
              <w:jc w:val="center"/>
              <w:rPr>
                <w:rFonts w:ascii="宋体" w:hAnsi="宋体" w:cs="宋体"/>
                <w:color w:val="000000"/>
                <w:szCs w:val="21"/>
              </w:rPr>
            </w:pPr>
            <w:r>
              <w:rPr>
                <w:rFonts w:hint="eastAsia" w:ascii="宋体" w:hAnsi="宋体" w:cs="宋体"/>
                <w:color w:val="000000"/>
                <w:kern w:val="0"/>
                <w:szCs w:val="21"/>
              </w:rPr>
              <w:t>三</w:t>
            </w:r>
          </w:p>
          <w:p>
            <w:pPr>
              <w:widowControl/>
              <w:adjustRightInd w:val="0"/>
              <w:snapToGrid w:val="0"/>
              <w:spacing w:line="360" w:lineRule="auto"/>
              <w:jc w:val="center"/>
              <w:rPr>
                <w:rFonts w:ascii="宋体" w:hAnsi="宋体" w:cs="宋体"/>
                <w:color w:val="000000"/>
                <w:szCs w:val="21"/>
              </w:rPr>
            </w:pPr>
            <w:r>
              <w:rPr>
                <w:rFonts w:hint="eastAsia" w:ascii="宋体" w:hAnsi="宋体" w:cs="宋体"/>
                <w:color w:val="000000"/>
                <w:kern w:val="0"/>
                <w:szCs w:val="21"/>
              </w:rPr>
              <w:t>四</w:t>
            </w:r>
          </w:p>
          <w:p>
            <w:pPr>
              <w:widowControl/>
              <w:adjustRightInd w:val="0"/>
              <w:snapToGrid w:val="0"/>
              <w:spacing w:line="360" w:lineRule="auto"/>
              <w:jc w:val="center"/>
              <w:rPr>
                <w:rFonts w:ascii="宋体" w:hAnsi="宋体" w:cs="宋体"/>
                <w:color w:val="000000"/>
                <w:szCs w:val="21"/>
              </w:rPr>
            </w:pPr>
            <w:r>
              <w:rPr>
                <w:rFonts w:hint="eastAsia" w:ascii="宋体" w:hAnsi="宋体" w:cs="宋体"/>
                <w:color w:val="000000"/>
                <w:kern w:val="0"/>
                <w:szCs w:val="21"/>
              </w:rPr>
              <w:t>五</w:t>
            </w:r>
          </w:p>
          <w:p>
            <w:pPr>
              <w:widowControl/>
              <w:adjustRightInd w:val="0"/>
              <w:snapToGrid w:val="0"/>
              <w:spacing w:line="360" w:lineRule="auto"/>
              <w:jc w:val="center"/>
              <w:rPr>
                <w:rFonts w:ascii="宋体" w:hAnsi="宋体" w:cs="宋体"/>
                <w:color w:val="000000"/>
                <w:szCs w:val="21"/>
              </w:rPr>
            </w:pPr>
            <w:r>
              <w:rPr>
                <w:rFonts w:hint="eastAsia" w:ascii="宋体" w:hAnsi="宋体" w:cs="宋体"/>
                <w:color w:val="000000"/>
                <w:kern w:val="0"/>
                <w:szCs w:val="21"/>
              </w:rPr>
              <w:t>六</w:t>
            </w:r>
          </w:p>
          <w:p>
            <w:pPr>
              <w:widowControl/>
              <w:adjustRightInd w:val="0"/>
              <w:snapToGrid w:val="0"/>
              <w:spacing w:line="360" w:lineRule="auto"/>
              <w:jc w:val="center"/>
              <w:rPr>
                <w:rFonts w:ascii="宋体" w:hAnsi="宋体" w:cs="宋体"/>
                <w:color w:val="000000"/>
                <w:szCs w:val="21"/>
              </w:rPr>
            </w:pPr>
            <w:r>
              <w:rPr>
                <w:rFonts w:hint="eastAsia" w:ascii="宋体" w:hAnsi="宋体" w:cs="宋体"/>
                <w:color w:val="000000"/>
                <w:kern w:val="0"/>
                <w:szCs w:val="21"/>
              </w:rPr>
              <w:t>七</w:t>
            </w:r>
          </w:p>
          <w:p>
            <w:pPr>
              <w:widowControl/>
              <w:adjustRightInd w:val="0"/>
              <w:snapToGrid w:val="0"/>
              <w:spacing w:line="360" w:lineRule="auto"/>
              <w:jc w:val="center"/>
              <w:rPr>
                <w:rFonts w:ascii="宋体" w:hAnsi="宋体" w:cs="宋体"/>
                <w:color w:val="000000"/>
                <w:szCs w:val="21"/>
              </w:rPr>
            </w:pPr>
            <w:r>
              <w:rPr>
                <w:rFonts w:hint="eastAsia" w:ascii="宋体" w:hAnsi="宋体" w:cs="宋体"/>
                <w:color w:val="000000"/>
                <w:kern w:val="0"/>
                <w:szCs w:val="21"/>
              </w:rPr>
              <w:t>八</w:t>
            </w:r>
          </w:p>
        </w:tc>
        <w:tc>
          <w:tcPr>
            <w:tcW w:w="6740" w:type="dxa"/>
            <w:tcBorders>
              <w:bottom w:val="single" w:color="000000" w:sz="12" w:space="0"/>
            </w:tcBorders>
            <w:noWrap/>
            <w:vAlign w:val="center"/>
          </w:tcPr>
          <w:p>
            <w:pPr>
              <w:widowControl/>
              <w:adjustRightInd w:val="0"/>
              <w:snapToGrid w:val="0"/>
              <w:spacing w:line="360" w:lineRule="auto"/>
              <w:jc w:val="left"/>
              <w:rPr>
                <w:rFonts w:ascii="宋体" w:hAnsi="宋体" w:cs="宋体"/>
                <w:color w:val="000000"/>
                <w:szCs w:val="21"/>
              </w:rPr>
            </w:pPr>
            <w:r>
              <w:rPr>
                <w:rFonts w:hint="eastAsia" w:ascii="宋体" w:hAnsi="宋体" w:cs="宋体"/>
                <w:color w:val="000000"/>
                <w:kern w:val="0"/>
                <w:szCs w:val="21"/>
              </w:rPr>
              <w:t>双目永久完全失明的（注1）</w:t>
            </w:r>
          </w:p>
          <w:p>
            <w:pPr>
              <w:widowControl/>
              <w:adjustRightInd w:val="0"/>
              <w:snapToGrid w:val="0"/>
              <w:spacing w:line="360" w:lineRule="auto"/>
              <w:jc w:val="left"/>
              <w:rPr>
                <w:rFonts w:ascii="宋体" w:hAnsi="宋体" w:cs="宋体"/>
                <w:color w:val="000000"/>
                <w:szCs w:val="21"/>
              </w:rPr>
            </w:pPr>
            <w:r>
              <w:rPr>
                <w:rFonts w:hint="eastAsia" w:ascii="宋体" w:hAnsi="宋体" w:cs="宋体"/>
                <w:color w:val="000000"/>
                <w:kern w:val="0"/>
                <w:szCs w:val="21"/>
              </w:rPr>
              <w:t>两上肢腕关节以上或两下肢踝关节以上缺失的</w:t>
            </w:r>
          </w:p>
          <w:p>
            <w:pPr>
              <w:widowControl/>
              <w:adjustRightInd w:val="0"/>
              <w:snapToGrid w:val="0"/>
              <w:spacing w:line="360" w:lineRule="auto"/>
              <w:jc w:val="left"/>
              <w:rPr>
                <w:rFonts w:ascii="宋体" w:hAnsi="宋体" w:cs="宋体"/>
                <w:color w:val="000000"/>
                <w:szCs w:val="21"/>
              </w:rPr>
            </w:pPr>
            <w:r>
              <w:rPr>
                <w:rFonts w:hint="eastAsia" w:ascii="宋体" w:hAnsi="宋体" w:cs="宋体"/>
                <w:color w:val="000000"/>
                <w:kern w:val="0"/>
                <w:szCs w:val="21"/>
              </w:rPr>
              <w:t>一上肢腕关节以上及一下肢踝关节以上缺失的</w:t>
            </w:r>
          </w:p>
          <w:p>
            <w:pPr>
              <w:widowControl/>
              <w:adjustRightInd w:val="0"/>
              <w:snapToGrid w:val="0"/>
              <w:spacing w:line="360" w:lineRule="auto"/>
              <w:jc w:val="left"/>
              <w:rPr>
                <w:rFonts w:ascii="宋体" w:hAnsi="宋体" w:cs="宋体"/>
                <w:color w:val="000000"/>
                <w:szCs w:val="21"/>
              </w:rPr>
            </w:pPr>
            <w:r>
              <w:rPr>
                <w:rFonts w:hint="eastAsia" w:ascii="宋体" w:hAnsi="宋体" w:cs="宋体"/>
                <w:color w:val="000000"/>
                <w:kern w:val="0"/>
                <w:szCs w:val="21"/>
              </w:rPr>
              <w:t>一目永久完全失明及一上肢腕关节以上缺失的</w:t>
            </w:r>
          </w:p>
          <w:p>
            <w:pPr>
              <w:widowControl/>
              <w:adjustRightInd w:val="0"/>
              <w:snapToGrid w:val="0"/>
              <w:spacing w:line="360" w:lineRule="auto"/>
              <w:jc w:val="left"/>
              <w:rPr>
                <w:rFonts w:ascii="宋体" w:hAnsi="宋体" w:cs="宋体"/>
                <w:color w:val="000000"/>
                <w:szCs w:val="21"/>
              </w:rPr>
            </w:pPr>
            <w:r>
              <w:rPr>
                <w:rFonts w:hint="eastAsia" w:ascii="宋体" w:hAnsi="宋体" w:cs="宋体"/>
                <w:color w:val="000000"/>
                <w:kern w:val="0"/>
                <w:szCs w:val="21"/>
              </w:rPr>
              <w:t>一目永久完全失明及一下肢踝关节以上缺失的</w:t>
            </w:r>
          </w:p>
          <w:p>
            <w:pPr>
              <w:widowControl/>
              <w:adjustRightInd w:val="0"/>
              <w:snapToGrid w:val="0"/>
              <w:spacing w:line="360" w:lineRule="auto"/>
              <w:jc w:val="left"/>
              <w:rPr>
                <w:rFonts w:ascii="宋体" w:hAnsi="宋体" w:cs="宋体"/>
                <w:color w:val="000000"/>
                <w:szCs w:val="21"/>
              </w:rPr>
            </w:pPr>
            <w:r>
              <w:rPr>
                <w:rFonts w:hint="eastAsia" w:ascii="宋体" w:hAnsi="宋体" w:cs="宋体"/>
                <w:color w:val="000000"/>
                <w:kern w:val="0"/>
                <w:szCs w:val="21"/>
              </w:rPr>
              <w:t>四肢关节机能永久完全丧失的（注2）</w:t>
            </w:r>
          </w:p>
          <w:p>
            <w:pPr>
              <w:widowControl/>
              <w:adjustRightInd w:val="0"/>
              <w:snapToGrid w:val="0"/>
              <w:spacing w:line="360" w:lineRule="auto"/>
              <w:jc w:val="left"/>
              <w:rPr>
                <w:rFonts w:ascii="宋体" w:hAnsi="宋体" w:cs="宋体"/>
                <w:color w:val="000000"/>
                <w:szCs w:val="21"/>
              </w:rPr>
            </w:pPr>
            <w:r>
              <w:rPr>
                <w:rFonts w:hint="eastAsia" w:ascii="宋体" w:hAnsi="宋体" w:cs="宋体"/>
                <w:color w:val="000000"/>
                <w:kern w:val="0"/>
                <w:szCs w:val="21"/>
              </w:rPr>
              <w:t>咀嚼、吞咽机能永久完全丧失的（注3）</w:t>
            </w:r>
          </w:p>
          <w:p>
            <w:pPr>
              <w:widowControl/>
              <w:adjustRightInd w:val="0"/>
              <w:snapToGrid w:val="0"/>
              <w:spacing w:line="360" w:lineRule="auto"/>
              <w:jc w:val="left"/>
              <w:textAlignment w:val="bottom"/>
              <w:rPr>
                <w:rFonts w:ascii="宋体" w:hAnsi="宋体" w:cs="宋体"/>
                <w:color w:val="000000"/>
                <w:szCs w:val="21"/>
              </w:rPr>
            </w:pPr>
            <w:r>
              <w:rPr>
                <w:rFonts w:hint="eastAsia" w:ascii="宋体" w:hAnsi="宋体" w:cs="宋体"/>
                <w:color w:val="000000"/>
                <w:kern w:val="0"/>
                <w:szCs w:val="21"/>
              </w:rPr>
              <w:t>中枢神经系统机能或胸、腹部脏器机能极度障碍，终身不能从事任何工作，为维持生命必要的日常生活活动，全需他人扶助的（注4）</w:t>
            </w:r>
          </w:p>
        </w:tc>
      </w:tr>
    </w:tbl>
    <w:p>
      <w:pPr>
        <w:widowControl/>
        <w:adjustRightInd w:val="0"/>
        <w:snapToGrid w:val="0"/>
        <w:spacing w:line="360" w:lineRule="auto"/>
        <w:ind w:firstLine="422" w:firstLineChars="200"/>
        <w:textAlignment w:val="bottom"/>
        <w:rPr>
          <w:rFonts w:ascii="宋体" w:hAnsi="宋体" w:cs="宋体"/>
          <w:b/>
          <w:bCs/>
          <w:color w:val="000000"/>
          <w:szCs w:val="21"/>
        </w:rPr>
      </w:pPr>
    </w:p>
    <w:p>
      <w:pPr>
        <w:widowControl/>
        <w:adjustRightInd w:val="0"/>
        <w:snapToGrid w:val="0"/>
        <w:spacing w:line="360" w:lineRule="auto"/>
        <w:ind w:firstLine="422" w:firstLineChars="200"/>
        <w:textAlignment w:val="bottom"/>
        <w:rPr>
          <w:rFonts w:ascii="宋体" w:hAnsi="宋体" w:cs="宋体"/>
          <w:b/>
          <w:bCs/>
          <w:color w:val="000000"/>
          <w:szCs w:val="21"/>
        </w:rPr>
      </w:pPr>
      <w:r>
        <w:rPr>
          <w:rFonts w:hint="eastAsia" w:ascii="宋体" w:hAnsi="宋体" w:cs="宋体"/>
          <w:b/>
          <w:bCs/>
          <w:color w:val="000000"/>
          <w:kern w:val="0"/>
          <w:szCs w:val="21"/>
        </w:rPr>
        <w:t>注：</w:t>
      </w:r>
    </w:p>
    <w:p>
      <w:pPr>
        <w:widowControl/>
        <w:adjustRightInd w:val="0"/>
        <w:snapToGrid w:val="0"/>
        <w:spacing w:line="360" w:lineRule="auto"/>
        <w:ind w:firstLine="420" w:firstLineChars="200"/>
        <w:textAlignment w:val="bottom"/>
        <w:rPr>
          <w:rFonts w:ascii="宋体" w:hAnsi="宋体" w:cs="宋体"/>
          <w:b/>
          <w:bCs/>
          <w:color w:val="000000"/>
          <w:szCs w:val="21"/>
        </w:rPr>
      </w:pPr>
      <w:r>
        <w:rPr>
          <w:rFonts w:hint="eastAsia" w:ascii="宋体" w:hAnsi="宋体" w:cs="宋体"/>
          <w:color w:val="000000"/>
          <w:kern w:val="0"/>
          <w:szCs w:val="21"/>
        </w:rPr>
        <w:t>（1）失明包括眼球缺失或摘除、或不能辨别明暗、或仅能辨别眼前手动者，最佳矫正视力低于国际标准视力表0.02，或视野半径小于5度，并由有资格的眼科医师出具医疗诊断证明。</w:t>
      </w:r>
    </w:p>
    <w:p>
      <w:pPr>
        <w:widowControl/>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kern w:val="0"/>
          <w:szCs w:val="21"/>
        </w:rPr>
        <w:t>（2）关节机能的丧失指关节永久完全僵硬或麻痹，或关节不能随意识活动。</w:t>
      </w:r>
    </w:p>
    <w:p>
      <w:pPr>
        <w:widowControl/>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kern w:val="0"/>
          <w:szCs w:val="21"/>
        </w:rPr>
        <w:t>（3）咀嚼、吞咽机能的丧失指由于牙齿以外的原因引起器质障碍或机能障碍，以致不能作咀嚼、吞咽运动，除流质食物外不能摄取或吞咽的状态。</w:t>
      </w:r>
    </w:p>
    <w:p>
      <w:pPr>
        <w:widowControl/>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kern w:val="0"/>
          <w:szCs w:val="21"/>
        </w:rPr>
        <w:t>（4）为维持生命必要之日常生活活动，全需他人扶助指食物摄取、大小便始末、穿脱衣服、起居、步行、入浴等皆不能自己为之，需要他人帮助。</w:t>
      </w:r>
    </w:p>
    <w:p>
      <w:pPr>
        <w:widowControl/>
        <w:adjustRightInd w:val="0"/>
        <w:snapToGrid w:val="0"/>
        <w:spacing w:line="360" w:lineRule="auto"/>
        <w:ind w:firstLine="422" w:firstLineChars="200"/>
        <w:rPr>
          <w:rFonts w:ascii="宋体" w:hAnsi="宋体" w:cs="宋体"/>
          <w:b/>
          <w:bCs/>
          <w:color w:val="000000"/>
          <w:szCs w:val="21"/>
        </w:rPr>
      </w:pPr>
      <w:r>
        <w:rPr>
          <w:rFonts w:hint="eastAsia" w:ascii="宋体" w:hAnsi="宋体" w:cs="宋体"/>
          <w:b/>
          <w:bCs/>
          <w:color w:val="000000"/>
          <w:kern w:val="0"/>
          <w:szCs w:val="21"/>
        </w:rPr>
        <w:t>恐怖活动：</w:t>
      </w:r>
      <w:r>
        <w:rPr>
          <w:rFonts w:hint="eastAsia" w:ascii="宋体" w:hAnsi="宋体" w:cs="宋体"/>
          <w:color w:val="000000"/>
          <w:kern w:val="0"/>
          <w:szCs w:val="21"/>
        </w:rPr>
        <w:t>指任何人或者团伙出于政治、宗教、思想意识或者类似目的，为对政府施加影响和（或者）使全体或者部分公众处于恐惧、不安状态的行为。恐怖活动包括但不限于实际使用或者威胁使用武力或者暴力。恐怖活动，可仅为实施该活动者本身行为，或者代表某一机构、政府，或者与某一机构、政府相关。</w:t>
      </w:r>
    </w:p>
    <w:p>
      <w:pPr>
        <w:pStyle w:val="20"/>
        <w:widowControl/>
        <w:adjustRightInd w:val="0"/>
        <w:snapToGrid w:val="0"/>
        <w:ind w:firstLine="422"/>
        <w:rPr>
          <w:rFonts w:hAnsi="宋体" w:cs="宋体"/>
          <w:sz w:val="21"/>
          <w:szCs w:val="21"/>
        </w:rPr>
      </w:pPr>
      <w:r>
        <w:rPr>
          <w:rFonts w:hint="eastAsia" w:hAnsi="宋体" w:cs="宋体"/>
          <w:sz w:val="21"/>
          <w:szCs w:val="21"/>
        </w:rPr>
        <w:t>保险金申请人：指受益人或者依法享有保险金请求权的其他人。</w:t>
      </w:r>
    </w:p>
    <w:p>
      <w:pPr>
        <w:spacing w:line="360" w:lineRule="auto"/>
        <w:rPr>
          <w:rFonts w:ascii="宋体" w:hAnsi="宋体" w:cs="宋体"/>
          <w:szCs w:val="21"/>
        </w:rPr>
      </w:pPr>
      <w:bookmarkStart w:id="16" w:name="_Toc449012772"/>
      <w:bookmarkStart w:id="17" w:name="_Toc448944193"/>
    </w:p>
    <w:p>
      <w:pPr>
        <w:widowControl/>
        <w:tabs>
          <w:tab w:val="left" w:pos="0"/>
        </w:tabs>
        <w:adjustRightInd w:val="0"/>
        <w:snapToGrid w:val="0"/>
        <w:spacing w:line="360" w:lineRule="auto"/>
        <w:ind w:firstLine="420" w:firstLineChars="200"/>
        <w:jc w:val="center"/>
        <w:textAlignment w:val="baseline"/>
        <w:outlineLvl w:val="1"/>
        <w:rPr>
          <w:rFonts w:ascii="宋体" w:hAnsi="宋体" w:cs="宋体"/>
          <w:szCs w:val="21"/>
        </w:rPr>
      </w:pPr>
      <w:r>
        <w:rPr>
          <w:rFonts w:hint="eastAsia" w:ascii="宋体" w:hAnsi="宋体" w:cs="宋体"/>
          <w:szCs w:val="21"/>
        </w:rPr>
        <w:t>（七）</w:t>
      </w:r>
      <w:bookmarkEnd w:id="16"/>
      <w:bookmarkEnd w:id="17"/>
      <w:r>
        <w:rPr>
          <w:rFonts w:hint="eastAsia" w:ascii="宋体" w:hAnsi="宋体" w:cs="宋体"/>
          <w:szCs w:val="21"/>
        </w:rPr>
        <w:t>团体补充医疗保险条款</w:t>
      </w:r>
    </w:p>
    <w:p>
      <w:pPr>
        <w:widowControl/>
        <w:adjustRightInd w:val="0"/>
        <w:snapToGrid w:val="0"/>
        <w:spacing w:line="360" w:lineRule="auto"/>
        <w:ind w:firstLine="422" w:firstLineChars="200"/>
        <w:rPr>
          <w:rFonts w:ascii="宋体" w:hAnsi="宋体" w:cs="宋体"/>
          <w:b/>
          <w:bCs/>
          <w:color w:val="000000"/>
          <w:kern w:val="0"/>
          <w:szCs w:val="21"/>
        </w:rPr>
      </w:pPr>
      <w:r>
        <w:rPr>
          <w:rFonts w:hint="eastAsia" w:ascii="宋体" w:hAnsi="宋体" w:cs="宋体"/>
          <w:b/>
          <w:bCs/>
          <w:color w:val="000000"/>
          <w:kern w:val="0"/>
          <w:szCs w:val="21"/>
        </w:rPr>
        <w:t>第一条 保险合同构成</w:t>
      </w:r>
    </w:p>
    <w:p>
      <w:pPr>
        <w:widowControl/>
        <w:adjustRightInd w:val="0"/>
        <w:snapToGrid w:val="0"/>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团体补充医疗保险合同（以下简称本合同）由保险单及所附条款、批注、批单、以及与本合同有关的投保单、健康声明书和其他书面协议共同构成。</w:t>
      </w:r>
    </w:p>
    <w:p>
      <w:pPr>
        <w:widowControl/>
        <w:adjustRightInd w:val="0"/>
        <w:snapToGrid w:val="0"/>
        <w:spacing w:line="360" w:lineRule="auto"/>
        <w:ind w:firstLine="422" w:firstLineChars="200"/>
        <w:rPr>
          <w:rFonts w:ascii="宋体" w:hAnsi="宋体" w:cs="宋体"/>
          <w:b/>
          <w:bCs/>
          <w:color w:val="000000"/>
          <w:kern w:val="0"/>
          <w:szCs w:val="21"/>
        </w:rPr>
      </w:pPr>
      <w:r>
        <w:rPr>
          <w:rFonts w:hint="eastAsia" w:ascii="宋体" w:hAnsi="宋体" w:cs="宋体"/>
          <w:b/>
          <w:bCs/>
          <w:color w:val="000000"/>
          <w:kern w:val="0"/>
          <w:szCs w:val="21"/>
        </w:rPr>
        <w:t>第二条 投保范围</w:t>
      </w:r>
    </w:p>
    <w:p>
      <w:pPr>
        <w:widowControl/>
        <w:adjustRightInd w:val="0"/>
        <w:snapToGrid w:val="0"/>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凡机关、团体、企事业单位的在职职工、退休职工，在参加当地城镇职工基本医疗保险后，均可作为被保险人，由其所在单位作为投保人向本公司投保本保险。投保应符合国务院保险监督管理机构的相关规定。</w:t>
      </w:r>
    </w:p>
    <w:p>
      <w:pPr>
        <w:widowControl/>
        <w:adjustRightInd w:val="0"/>
        <w:snapToGrid w:val="0"/>
        <w:spacing w:line="360" w:lineRule="auto"/>
        <w:ind w:firstLine="422" w:firstLineChars="200"/>
        <w:rPr>
          <w:rFonts w:ascii="宋体" w:hAnsi="宋体" w:cs="宋体"/>
          <w:b/>
          <w:bCs/>
          <w:color w:val="000000"/>
          <w:kern w:val="0"/>
          <w:szCs w:val="21"/>
        </w:rPr>
      </w:pPr>
      <w:r>
        <w:rPr>
          <w:rFonts w:hint="eastAsia" w:ascii="宋体" w:hAnsi="宋体" w:cs="宋体"/>
          <w:b/>
          <w:bCs/>
          <w:color w:val="000000"/>
          <w:kern w:val="0"/>
          <w:szCs w:val="21"/>
        </w:rPr>
        <w:t>第三条 保险 合同成立、生效和保险责任开始</w:t>
      </w:r>
    </w:p>
    <w:p>
      <w:pPr>
        <w:widowControl/>
        <w:adjustRightInd w:val="0"/>
        <w:snapToGrid w:val="0"/>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投保人提出保险申请、本公司同意承保，本合同成立。自本合同成立、本公司收取保险费并签发保险单的次日零时起本合同生效，合同生效日期在保险单上载明。生效对应日以该日期计算。</w:t>
      </w:r>
    </w:p>
    <w:p>
      <w:pPr>
        <w:widowControl/>
        <w:adjustRightInd w:val="0"/>
        <w:snapToGrid w:val="0"/>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除另有约定外，本合同生效的日期为本公司开始承担保险责任的日期。</w:t>
      </w:r>
    </w:p>
    <w:p>
      <w:pPr>
        <w:widowControl/>
        <w:adjustRightInd w:val="0"/>
        <w:snapToGrid w:val="0"/>
        <w:spacing w:line="360" w:lineRule="auto"/>
        <w:ind w:firstLine="422" w:firstLineChars="200"/>
        <w:rPr>
          <w:rFonts w:ascii="宋体" w:hAnsi="宋体" w:cs="宋体"/>
          <w:b/>
          <w:bCs/>
          <w:color w:val="000000"/>
          <w:kern w:val="0"/>
          <w:szCs w:val="21"/>
        </w:rPr>
      </w:pPr>
      <w:r>
        <w:rPr>
          <w:rFonts w:hint="eastAsia" w:ascii="宋体" w:hAnsi="宋体" w:cs="宋体"/>
          <w:b/>
          <w:bCs/>
          <w:color w:val="000000"/>
          <w:kern w:val="0"/>
          <w:szCs w:val="21"/>
        </w:rPr>
        <w:t>第四条 保险期间</w:t>
      </w:r>
    </w:p>
    <w:p>
      <w:pPr>
        <w:widowControl/>
        <w:adjustRightInd w:val="0"/>
        <w:snapToGrid w:val="0"/>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本合同保险期间为一年，除另有约定外，自本合同生效之日起至本合同约定终止日二十四时止，由投保人与本公司在投保时协商确定。</w:t>
      </w:r>
    </w:p>
    <w:p>
      <w:pPr>
        <w:widowControl/>
        <w:adjustRightInd w:val="0"/>
        <w:snapToGrid w:val="0"/>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保险期间届满后，投保人可以继续投保本保险，但本公司有权根据经营情况调整本保险的保险费率。</w:t>
      </w:r>
    </w:p>
    <w:p>
      <w:pPr>
        <w:widowControl/>
        <w:adjustRightInd w:val="0"/>
        <w:snapToGrid w:val="0"/>
        <w:spacing w:line="360" w:lineRule="auto"/>
        <w:ind w:firstLine="422" w:firstLineChars="200"/>
        <w:rPr>
          <w:rFonts w:ascii="宋体" w:hAnsi="宋体" w:cs="宋体"/>
          <w:b/>
          <w:bCs/>
          <w:color w:val="000000"/>
          <w:kern w:val="0"/>
          <w:szCs w:val="21"/>
        </w:rPr>
      </w:pPr>
      <w:r>
        <w:rPr>
          <w:rFonts w:hint="eastAsia" w:ascii="宋体" w:hAnsi="宋体" w:cs="宋体"/>
          <w:b/>
          <w:bCs/>
          <w:color w:val="000000"/>
          <w:kern w:val="0"/>
          <w:szCs w:val="21"/>
        </w:rPr>
        <w:t>第五条 保险责任</w:t>
      </w:r>
    </w:p>
    <w:p>
      <w:pPr>
        <w:widowControl/>
        <w:adjustRightInd w:val="0"/>
        <w:snapToGrid w:val="0"/>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在本合同保险期间内，本公司依下列约定承担保险责任：</w:t>
      </w:r>
    </w:p>
    <w:p>
      <w:pPr>
        <w:widowControl/>
        <w:adjustRightInd w:val="0"/>
        <w:snapToGrid w:val="0"/>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一、对于被保险人在指定医疗服务提供单位就医或者配药所支出的、并在当地社会医疗保险部门规定的基本医疗保险范围内应由被保险人自理的医疗费用，按照下列规定给付保险金:</w:t>
      </w:r>
    </w:p>
    <w:p>
      <w:pPr>
        <w:widowControl/>
        <w:adjustRightInd w:val="0"/>
        <w:snapToGrid w:val="0"/>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1. 当累计发生的门诊、急诊医疗费用（以下简称门诊医疗费用）超过门诊免赔额时，本公司在扣除门诊免赔额后，将其余额按本合同约定的给付比例给付门诊保险金。门诊免赔额和门诊医疗费用给付比例由投保人在投保时与本公司协商确定，并在保险单上载明。</w:t>
      </w:r>
    </w:p>
    <w:p>
      <w:pPr>
        <w:widowControl/>
        <w:adjustRightInd w:val="0"/>
        <w:snapToGrid w:val="0"/>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2. 当累计发生的住院、急诊观察室医疗费用（以下简称住院医疗费用）超过住院免赔额时，本公司在扣除住院免赔额后，将其余额按本合同约定的给付比例给付住院保险金。住院免赔额和住院医疗费用给付比例由投保人在投保时与本公司协商确定，并在保险单上载明。</w:t>
      </w:r>
    </w:p>
    <w:p>
      <w:pPr>
        <w:widowControl/>
        <w:adjustRightInd w:val="0"/>
        <w:snapToGrid w:val="0"/>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二、对于被保险人因道路交通事故导致意外伤害，在指定医疗服务提供单位就医或者配药所支出的、并在当地社会医疗保险部门规定的基本医疗保险范围内可予支付的医疗费用，本公司在扣除人民币一百元免赔额后，将其余额按百分之九十的比例给付交通意外医疗保险金。</w:t>
      </w:r>
    </w:p>
    <w:p>
      <w:pPr>
        <w:widowControl/>
        <w:adjustRightInd w:val="0"/>
        <w:snapToGrid w:val="0"/>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三、当本公司累计给付的各项保险金达到被保险人个人名下的保险金额时，本合同对该被保险人所承担的保险责任终止，但有本条第四款规定的情形除外。</w:t>
      </w:r>
    </w:p>
    <w:p>
      <w:pPr>
        <w:widowControl/>
        <w:adjustRightInd w:val="0"/>
        <w:snapToGrid w:val="0"/>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四、（可选择项目）投保人设立公共保险金额时，当本公司累计给付的保险金达到被保险人个人名下的保险金额时，经投保人同意，本公司按照本条第一、二款的规定在公共保险金额范围内给付保险金，但最高不超过该被保险人个人名下保险金额的一倍。</w:t>
      </w:r>
    </w:p>
    <w:p>
      <w:pPr>
        <w:widowControl/>
        <w:adjustRightInd w:val="0"/>
        <w:snapToGrid w:val="0"/>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无论一个或多个被保险人使用公共保险金额，本公司累计给付的金额以公共保险金额为限。</w:t>
      </w:r>
    </w:p>
    <w:p>
      <w:pPr>
        <w:widowControl/>
        <w:adjustRightInd w:val="0"/>
        <w:snapToGrid w:val="0"/>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本款所述的累计给付包括对全部被保险人所发生的保险金给付。</w:t>
      </w:r>
    </w:p>
    <w:p>
      <w:pPr>
        <w:widowControl/>
        <w:adjustRightInd w:val="0"/>
        <w:snapToGrid w:val="0"/>
        <w:spacing w:line="360" w:lineRule="auto"/>
        <w:ind w:firstLine="422" w:firstLineChars="200"/>
        <w:rPr>
          <w:rFonts w:ascii="宋体" w:hAnsi="宋体" w:cs="宋体"/>
          <w:b/>
          <w:bCs/>
          <w:color w:val="000000"/>
          <w:kern w:val="0"/>
          <w:szCs w:val="21"/>
        </w:rPr>
      </w:pPr>
      <w:r>
        <w:rPr>
          <w:rFonts w:hint="eastAsia" w:ascii="宋体" w:hAnsi="宋体" w:cs="宋体"/>
          <w:b/>
          <w:bCs/>
          <w:color w:val="000000"/>
          <w:kern w:val="0"/>
          <w:szCs w:val="21"/>
        </w:rPr>
        <w:t>第六条 责任免除</w:t>
      </w:r>
    </w:p>
    <w:p>
      <w:pPr>
        <w:widowControl/>
        <w:adjustRightInd w:val="0"/>
        <w:snapToGrid w:val="0"/>
        <w:spacing w:line="360" w:lineRule="auto"/>
        <w:ind w:firstLine="422" w:firstLineChars="200"/>
        <w:rPr>
          <w:rFonts w:ascii="宋体" w:hAnsi="宋体" w:cs="宋体"/>
          <w:b/>
          <w:bCs/>
          <w:color w:val="000000"/>
          <w:kern w:val="0"/>
          <w:szCs w:val="21"/>
        </w:rPr>
      </w:pPr>
      <w:bookmarkStart w:id="18" w:name="_Toc448944194"/>
      <w:bookmarkStart w:id="19" w:name="_Toc449012773"/>
      <w:r>
        <w:rPr>
          <w:rFonts w:hint="eastAsia" w:ascii="宋体" w:hAnsi="宋体" w:cs="宋体"/>
          <w:b/>
          <w:bCs/>
          <w:color w:val="000000"/>
          <w:kern w:val="0"/>
          <w:szCs w:val="21"/>
        </w:rPr>
        <w:t>因下列情形之一，导致被保险人支出医疗费用的，本公司不承担给付保险金的责任：</w:t>
      </w:r>
    </w:p>
    <w:p>
      <w:pPr>
        <w:widowControl/>
        <w:adjustRightInd w:val="0"/>
        <w:snapToGrid w:val="0"/>
        <w:spacing w:line="360" w:lineRule="auto"/>
        <w:ind w:firstLine="422" w:firstLineChars="200"/>
        <w:rPr>
          <w:rFonts w:ascii="宋体" w:hAnsi="宋体" w:cs="宋体"/>
          <w:b/>
          <w:bCs/>
          <w:color w:val="000000"/>
          <w:kern w:val="0"/>
          <w:szCs w:val="21"/>
        </w:rPr>
      </w:pPr>
      <w:r>
        <w:rPr>
          <w:rFonts w:hint="eastAsia" w:ascii="宋体" w:hAnsi="宋体" w:cs="宋体"/>
          <w:b/>
          <w:bCs/>
          <w:color w:val="000000"/>
          <w:kern w:val="0"/>
          <w:szCs w:val="21"/>
        </w:rPr>
        <w:t>一、不在当地社会医疗保险部门规定的基本医疗保险范围内的医疗费用；</w:t>
      </w:r>
    </w:p>
    <w:p>
      <w:pPr>
        <w:widowControl/>
        <w:adjustRightInd w:val="0"/>
        <w:snapToGrid w:val="0"/>
        <w:spacing w:line="360" w:lineRule="auto"/>
        <w:ind w:firstLine="422" w:firstLineChars="200"/>
        <w:rPr>
          <w:rFonts w:ascii="宋体" w:hAnsi="宋体" w:cs="宋体"/>
          <w:b/>
          <w:bCs/>
          <w:color w:val="000000"/>
          <w:kern w:val="0"/>
          <w:szCs w:val="21"/>
        </w:rPr>
      </w:pPr>
      <w:r>
        <w:rPr>
          <w:rFonts w:hint="eastAsia" w:ascii="宋体" w:hAnsi="宋体" w:cs="宋体"/>
          <w:b/>
          <w:bCs/>
          <w:color w:val="000000"/>
          <w:kern w:val="0"/>
          <w:szCs w:val="21"/>
        </w:rPr>
        <w:t>二、当地社会医疗保险部门规定的基本医疗保险范围内的非处方药；</w:t>
      </w:r>
    </w:p>
    <w:p>
      <w:pPr>
        <w:widowControl/>
        <w:adjustRightInd w:val="0"/>
        <w:snapToGrid w:val="0"/>
        <w:spacing w:line="360" w:lineRule="auto"/>
        <w:ind w:firstLine="422" w:firstLineChars="200"/>
        <w:rPr>
          <w:rFonts w:ascii="宋体" w:hAnsi="宋体" w:cs="宋体"/>
          <w:b/>
          <w:bCs/>
          <w:color w:val="000000"/>
          <w:kern w:val="0"/>
          <w:szCs w:val="21"/>
        </w:rPr>
      </w:pPr>
      <w:r>
        <w:rPr>
          <w:rFonts w:hint="eastAsia" w:ascii="宋体" w:hAnsi="宋体" w:cs="宋体"/>
          <w:b/>
          <w:bCs/>
          <w:color w:val="000000"/>
          <w:kern w:val="0"/>
          <w:szCs w:val="21"/>
        </w:rPr>
        <w:t>三、健康护理等非治疗性行为；</w:t>
      </w:r>
    </w:p>
    <w:p>
      <w:pPr>
        <w:widowControl/>
        <w:adjustRightInd w:val="0"/>
        <w:snapToGrid w:val="0"/>
        <w:spacing w:line="360" w:lineRule="auto"/>
        <w:ind w:firstLine="422" w:firstLineChars="200"/>
        <w:rPr>
          <w:rFonts w:ascii="宋体" w:hAnsi="宋体" w:cs="宋体"/>
          <w:b/>
          <w:bCs/>
          <w:color w:val="000000"/>
          <w:kern w:val="0"/>
          <w:szCs w:val="21"/>
        </w:rPr>
      </w:pPr>
      <w:r>
        <w:rPr>
          <w:rFonts w:hint="eastAsia" w:ascii="宋体" w:hAnsi="宋体" w:cs="宋体"/>
          <w:b/>
          <w:bCs/>
          <w:color w:val="000000"/>
          <w:kern w:val="0"/>
          <w:szCs w:val="21"/>
        </w:rPr>
        <w:t>四、在康复医院、联合诊所、民办医院、私人诊所或挂床等治疗；</w:t>
      </w:r>
    </w:p>
    <w:p>
      <w:pPr>
        <w:widowControl/>
        <w:adjustRightInd w:val="0"/>
        <w:snapToGrid w:val="0"/>
        <w:spacing w:line="360" w:lineRule="auto"/>
        <w:ind w:firstLine="422" w:firstLineChars="200"/>
        <w:rPr>
          <w:rFonts w:ascii="宋体" w:hAnsi="宋体" w:cs="宋体"/>
          <w:b/>
          <w:bCs/>
          <w:color w:val="000000"/>
          <w:kern w:val="0"/>
          <w:szCs w:val="21"/>
        </w:rPr>
      </w:pPr>
      <w:r>
        <w:rPr>
          <w:rFonts w:hint="eastAsia" w:ascii="宋体" w:hAnsi="宋体" w:cs="宋体"/>
          <w:b/>
          <w:bCs/>
          <w:color w:val="000000"/>
          <w:kern w:val="0"/>
          <w:szCs w:val="21"/>
        </w:rPr>
        <w:t>五、洗牙、洁齿、整容、矫形、验眼配镜、装配假眼、假牙、假肢或者助听器等；</w:t>
      </w:r>
    </w:p>
    <w:p>
      <w:pPr>
        <w:widowControl/>
        <w:adjustRightInd w:val="0"/>
        <w:snapToGrid w:val="0"/>
        <w:spacing w:line="360" w:lineRule="auto"/>
        <w:ind w:firstLine="422" w:firstLineChars="200"/>
        <w:rPr>
          <w:rFonts w:ascii="宋体" w:hAnsi="宋体" w:cs="宋体"/>
          <w:b/>
          <w:bCs/>
          <w:color w:val="000000"/>
          <w:kern w:val="0"/>
          <w:szCs w:val="21"/>
        </w:rPr>
      </w:pPr>
      <w:r>
        <w:rPr>
          <w:rFonts w:hint="eastAsia" w:ascii="宋体" w:hAnsi="宋体" w:cs="宋体"/>
          <w:b/>
          <w:bCs/>
          <w:color w:val="000000"/>
          <w:kern w:val="0"/>
          <w:szCs w:val="21"/>
        </w:rPr>
        <w:t>六、非应由本人支付的医疗费用；</w:t>
      </w:r>
    </w:p>
    <w:p>
      <w:pPr>
        <w:widowControl/>
        <w:adjustRightInd w:val="0"/>
        <w:snapToGrid w:val="0"/>
        <w:spacing w:line="360" w:lineRule="auto"/>
        <w:ind w:firstLine="422" w:firstLineChars="200"/>
        <w:rPr>
          <w:rFonts w:ascii="宋体" w:hAnsi="宋体" w:cs="宋体"/>
          <w:b/>
          <w:bCs/>
          <w:color w:val="000000"/>
          <w:kern w:val="0"/>
          <w:szCs w:val="21"/>
        </w:rPr>
      </w:pPr>
      <w:r>
        <w:rPr>
          <w:rFonts w:hint="eastAsia" w:ascii="宋体" w:hAnsi="宋体" w:cs="宋体"/>
          <w:b/>
          <w:bCs/>
          <w:color w:val="000000"/>
          <w:kern w:val="0"/>
          <w:szCs w:val="21"/>
        </w:rPr>
        <w:t>七、在本合同有效期外发生的医疗费用；</w:t>
      </w:r>
    </w:p>
    <w:p>
      <w:pPr>
        <w:widowControl/>
        <w:adjustRightInd w:val="0"/>
        <w:snapToGrid w:val="0"/>
        <w:spacing w:line="360" w:lineRule="auto"/>
        <w:ind w:firstLine="422" w:firstLineChars="200"/>
        <w:rPr>
          <w:rFonts w:ascii="宋体" w:hAnsi="宋体" w:cs="宋体"/>
          <w:b/>
          <w:bCs/>
          <w:color w:val="000000"/>
          <w:kern w:val="0"/>
          <w:szCs w:val="21"/>
        </w:rPr>
      </w:pPr>
      <w:r>
        <w:rPr>
          <w:rFonts w:hint="eastAsia" w:ascii="宋体" w:hAnsi="宋体" w:cs="宋体"/>
          <w:b/>
          <w:bCs/>
          <w:color w:val="000000"/>
          <w:kern w:val="0"/>
          <w:szCs w:val="21"/>
        </w:rPr>
        <w:t>八、在香港特别行政区、澳门特别行政区、台湾地区或中国境外发生的医疗费用；</w:t>
      </w:r>
    </w:p>
    <w:p>
      <w:pPr>
        <w:widowControl/>
        <w:adjustRightInd w:val="0"/>
        <w:snapToGrid w:val="0"/>
        <w:spacing w:line="360" w:lineRule="auto"/>
        <w:ind w:firstLine="422" w:firstLineChars="200"/>
        <w:rPr>
          <w:rFonts w:ascii="宋体" w:hAnsi="宋体" w:cs="宋体"/>
          <w:b/>
          <w:bCs/>
          <w:color w:val="000000"/>
          <w:kern w:val="0"/>
          <w:szCs w:val="21"/>
        </w:rPr>
      </w:pPr>
      <w:r>
        <w:rPr>
          <w:rFonts w:hint="eastAsia" w:ascii="宋体" w:hAnsi="宋体" w:cs="宋体"/>
          <w:b/>
          <w:bCs/>
          <w:color w:val="000000"/>
          <w:kern w:val="0"/>
          <w:szCs w:val="21"/>
        </w:rPr>
        <w:t>九、战争、军事冲突、暴乱或者武装叛乱；</w:t>
      </w:r>
    </w:p>
    <w:p>
      <w:pPr>
        <w:widowControl/>
        <w:adjustRightInd w:val="0"/>
        <w:snapToGrid w:val="0"/>
        <w:spacing w:line="360" w:lineRule="auto"/>
        <w:ind w:firstLine="422" w:firstLineChars="200"/>
        <w:rPr>
          <w:rFonts w:ascii="宋体" w:hAnsi="宋体" w:cs="宋体"/>
          <w:szCs w:val="21"/>
        </w:rPr>
      </w:pPr>
      <w:r>
        <w:rPr>
          <w:rFonts w:hint="eastAsia" w:ascii="宋体" w:hAnsi="宋体" w:cs="宋体"/>
          <w:b/>
          <w:bCs/>
          <w:color w:val="000000"/>
          <w:kern w:val="0"/>
          <w:szCs w:val="21"/>
        </w:rPr>
        <w:t>十、核爆炸、核辐射或者核污染。</w:t>
      </w:r>
    </w:p>
    <w:p>
      <w:pPr>
        <w:pStyle w:val="14"/>
        <w:tabs>
          <w:tab w:val="left" w:pos="562"/>
          <w:tab w:val="left" w:pos="3372"/>
          <w:tab w:val="left" w:pos="3653"/>
        </w:tabs>
        <w:spacing w:after="0" w:line="360" w:lineRule="auto"/>
        <w:ind w:firstLine="422" w:firstLineChars="200"/>
        <w:rPr>
          <w:rFonts w:ascii="宋体" w:hAnsi="宋体" w:cs="宋体"/>
          <w:b/>
          <w:bCs/>
          <w:szCs w:val="21"/>
        </w:rPr>
      </w:pPr>
      <w:r>
        <w:rPr>
          <w:rFonts w:hint="eastAsia" w:ascii="宋体" w:hAnsi="宋体" w:cs="宋体"/>
          <w:b/>
          <w:bCs/>
          <w:szCs w:val="21"/>
        </w:rPr>
        <w:t>第七条 保险金额和保险费</w:t>
      </w:r>
    </w:p>
    <w:p>
      <w:pPr>
        <w:pStyle w:val="14"/>
        <w:tabs>
          <w:tab w:val="left" w:pos="562"/>
          <w:tab w:val="left" w:pos="3372"/>
          <w:tab w:val="left" w:pos="3653"/>
        </w:tabs>
        <w:spacing w:after="0" w:line="360" w:lineRule="auto"/>
        <w:ind w:firstLine="420" w:firstLineChars="200"/>
        <w:rPr>
          <w:rFonts w:ascii="宋体" w:hAnsi="宋体" w:cs="宋体"/>
          <w:szCs w:val="21"/>
        </w:rPr>
      </w:pPr>
      <w:r>
        <w:rPr>
          <w:rFonts w:hint="eastAsia" w:ascii="宋体" w:hAnsi="宋体" w:cs="宋体"/>
          <w:szCs w:val="21"/>
        </w:rPr>
        <w:t>投保人可与本公司商定设立公共保险金额，该保险金额不记入被保险人个人名下。投保人设立的公共保险金额最低为全部被保险人保险金额总和的百分之一，最高为百分之三。</w:t>
      </w:r>
    </w:p>
    <w:p>
      <w:pPr>
        <w:pStyle w:val="14"/>
        <w:tabs>
          <w:tab w:val="left" w:pos="562"/>
          <w:tab w:val="left" w:pos="3372"/>
          <w:tab w:val="left" w:pos="3653"/>
        </w:tabs>
        <w:spacing w:after="0" w:line="360" w:lineRule="auto"/>
        <w:ind w:firstLine="420" w:firstLineChars="200"/>
        <w:rPr>
          <w:rFonts w:ascii="宋体" w:hAnsi="宋体" w:cs="宋体"/>
          <w:b/>
          <w:bCs/>
          <w:szCs w:val="21"/>
        </w:rPr>
      </w:pPr>
      <w:r>
        <w:rPr>
          <w:rFonts w:hint="eastAsia" w:ascii="宋体" w:hAnsi="宋体" w:cs="宋体"/>
          <w:szCs w:val="21"/>
        </w:rPr>
        <w:t>本合同的交费方式分为年交和月交，并在保险单上载明。月交保险费首期后的分期保险费的交费日期为本合同每月生效对应日。投保人如未按上述规定日期交付保险费，自次日起本合同效力中止。</w:t>
      </w:r>
    </w:p>
    <w:p>
      <w:pPr>
        <w:pStyle w:val="14"/>
        <w:tabs>
          <w:tab w:val="left" w:pos="562"/>
          <w:tab w:val="left" w:pos="3372"/>
          <w:tab w:val="left" w:pos="3653"/>
        </w:tabs>
        <w:spacing w:after="0" w:line="360" w:lineRule="auto"/>
        <w:ind w:firstLine="422" w:firstLineChars="200"/>
        <w:rPr>
          <w:rFonts w:ascii="宋体" w:hAnsi="宋体" w:cs="宋体"/>
          <w:b/>
          <w:bCs/>
          <w:szCs w:val="21"/>
        </w:rPr>
      </w:pPr>
      <w:r>
        <w:rPr>
          <w:rFonts w:hint="eastAsia" w:ascii="宋体" w:hAnsi="宋体" w:cs="宋体"/>
          <w:b/>
          <w:bCs/>
          <w:szCs w:val="21"/>
        </w:rPr>
        <w:t>第八条 合同效力恢复</w:t>
      </w:r>
    </w:p>
    <w:p>
      <w:pPr>
        <w:pStyle w:val="14"/>
        <w:tabs>
          <w:tab w:val="left" w:pos="562"/>
          <w:tab w:val="left" w:pos="3372"/>
          <w:tab w:val="left" w:pos="3653"/>
        </w:tabs>
        <w:spacing w:after="0" w:line="360" w:lineRule="auto"/>
        <w:ind w:firstLine="420" w:firstLineChars="200"/>
        <w:rPr>
          <w:rFonts w:ascii="宋体" w:hAnsi="宋体" w:cs="宋体"/>
          <w:szCs w:val="21"/>
        </w:rPr>
      </w:pPr>
      <w:r>
        <w:rPr>
          <w:rFonts w:hint="eastAsia" w:ascii="宋体" w:hAnsi="宋体" w:cs="宋体"/>
          <w:szCs w:val="21"/>
        </w:rPr>
        <w:t>本合同效力中止的，投保人可填写复效申请书，申请恢复合同效力，经本公司审核同意，自投保人补交所欠保险费的次日起，本合同效力恢复。</w:t>
      </w:r>
    </w:p>
    <w:p>
      <w:pPr>
        <w:pStyle w:val="14"/>
        <w:tabs>
          <w:tab w:val="left" w:pos="562"/>
          <w:tab w:val="left" w:pos="3372"/>
          <w:tab w:val="left" w:pos="3653"/>
        </w:tabs>
        <w:spacing w:after="0" w:line="360" w:lineRule="auto"/>
        <w:ind w:firstLine="422" w:firstLineChars="200"/>
        <w:rPr>
          <w:rFonts w:ascii="宋体" w:hAnsi="宋体" w:cs="宋体"/>
          <w:b/>
          <w:bCs/>
          <w:szCs w:val="21"/>
        </w:rPr>
      </w:pPr>
      <w:r>
        <w:rPr>
          <w:rFonts w:hint="eastAsia" w:ascii="宋体" w:hAnsi="宋体" w:cs="宋体"/>
          <w:b/>
          <w:bCs/>
          <w:szCs w:val="21"/>
        </w:rPr>
        <w:t>第九条 指定医疗服务提供单位</w:t>
      </w:r>
    </w:p>
    <w:p>
      <w:pPr>
        <w:pStyle w:val="14"/>
        <w:tabs>
          <w:tab w:val="left" w:pos="562"/>
          <w:tab w:val="left" w:pos="3372"/>
          <w:tab w:val="left" w:pos="3653"/>
        </w:tabs>
        <w:spacing w:after="0" w:line="360" w:lineRule="auto"/>
        <w:ind w:firstLine="420" w:firstLineChars="200"/>
        <w:rPr>
          <w:rFonts w:ascii="宋体" w:hAnsi="宋体" w:cs="宋体"/>
          <w:szCs w:val="21"/>
        </w:rPr>
      </w:pPr>
      <w:r>
        <w:rPr>
          <w:rFonts w:hint="eastAsia" w:ascii="宋体" w:hAnsi="宋体" w:cs="宋体"/>
          <w:szCs w:val="21"/>
        </w:rPr>
        <w:t>投保人可在本公司给出的指定医疗服务提供单位中为被保险人任意选择其中的指定医院或者指定零售药店进行就医、配药。若因指定医院条件限制，被保险人需转至非指定医院治疗时，必须经原治病医院会诊，出具转院证明并经本公司同意。</w:t>
      </w:r>
    </w:p>
    <w:p>
      <w:pPr>
        <w:pStyle w:val="14"/>
        <w:tabs>
          <w:tab w:val="left" w:pos="562"/>
          <w:tab w:val="left" w:pos="3372"/>
          <w:tab w:val="left" w:pos="3653"/>
        </w:tabs>
        <w:spacing w:after="0" w:line="360" w:lineRule="auto"/>
        <w:ind w:firstLine="420" w:firstLineChars="200"/>
        <w:rPr>
          <w:rFonts w:ascii="宋体" w:hAnsi="宋体" w:cs="宋体"/>
          <w:szCs w:val="21"/>
        </w:rPr>
      </w:pPr>
      <w:r>
        <w:rPr>
          <w:rFonts w:hint="eastAsia" w:ascii="宋体" w:hAnsi="宋体" w:cs="宋体"/>
          <w:szCs w:val="21"/>
        </w:rPr>
        <w:t>被保险人工作或者居住在外省市的，经投保人和本公司同意，可以到当地基本医疗保险予以定点的医疗服务提供单位进行治疗。</w:t>
      </w:r>
    </w:p>
    <w:p>
      <w:pPr>
        <w:pStyle w:val="14"/>
        <w:tabs>
          <w:tab w:val="left" w:pos="562"/>
          <w:tab w:val="left" w:pos="3372"/>
          <w:tab w:val="left" w:pos="3653"/>
        </w:tabs>
        <w:spacing w:after="0" w:line="360" w:lineRule="auto"/>
        <w:ind w:firstLine="420" w:firstLineChars="200"/>
        <w:rPr>
          <w:rFonts w:ascii="宋体" w:hAnsi="宋体" w:cs="宋体"/>
          <w:b/>
          <w:bCs/>
          <w:szCs w:val="21"/>
        </w:rPr>
      </w:pPr>
      <w:r>
        <w:rPr>
          <w:rFonts w:hint="eastAsia" w:ascii="宋体" w:hAnsi="宋体" w:cs="宋体"/>
          <w:szCs w:val="21"/>
        </w:rPr>
        <w:t>若指定医疗服务提供单位有不合理收费行为或者违反当地社会医疗主管部门的有关规定，本公司有权取消该医院或零售药店的指定资格，并通知投保人。</w:t>
      </w:r>
    </w:p>
    <w:p>
      <w:pPr>
        <w:pStyle w:val="14"/>
        <w:tabs>
          <w:tab w:val="left" w:pos="562"/>
          <w:tab w:val="left" w:pos="3372"/>
          <w:tab w:val="left" w:pos="3653"/>
        </w:tabs>
        <w:spacing w:after="0" w:line="360" w:lineRule="auto"/>
        <w:ind w:firstLine="422" w:firstLineChars="200"/>
        <w:rPr>
          <w:rFonts w:ascii="宋体" w:hAnsi="宋体" w:cs="宋体"/>
          <w:b/>
          <w:bCs/>
          <w:szCs w:val="21"/>
        </w:rPr>
      </w:pPr>
      <w:r>
        <w:rPr>
          <w:rFonts w:hint="eastAsia" w:ascii="宋体" w:hAnsi="宋体" w:cs="宋体"/>
          <w:b/>
          <w:bCs/>
          <w:szCs w:val="21"/>
        </w:rPr>
        <w:t>第十条 明确说明与如实告知</w:t>
      </w:r>
    </w:p>
    <w:p>
      <w:pPr>
        <w:pStyle w:val="14"/>
        <w:tabs>
          <w:tab w:val="left" w:pos="562"/>
          <w:tab w:val="left" w:pos="3372"/>
          <w:tab w:val="left" w:pos="3653"/>
        </w:tabs>
        <w:spacing w:after="0" w:line="360" w:lineRule="auto"/>
        <w:ind w:firstLine="420" w:firstLineChars="200"/>
        <w:rPr>
          <w:rFonts w:ascii="宋体" w:hAnsi="宋体" w:cs="宋体"/>
          <w:szCs w:val="21"/>
        </w:rPr>
      </w:pPr>
      <w:r>
        <w:rPr>
          <w:rFonts w:hint="eastAsia" w:ascii="宋体" w:hAnsi="宋体" w:cs="宋体"/>
          <w:szCs w:val="21"/>
        </w:rPr>
        <w:t>订立本合同时，本公司应向投保人明确说明本合同的内容。对保险条款中免除本公司责任的条款，本公司在订立合同时应当在投保单、保险单或者其他保险凭证上作出足以引起投保人注意的提示，并对该条款的内容以书面或者口头形式向投保人作出明确说明。</w:t>
      </w:r>
    </w:p>
    <w:p>
      <w:pPr>
        <w:pStyle w:val="14"/>
        <w:tabs>
          <w:tab w:val="left" w:pos="562"/>
          <w:tab w:val="left" w:pos="3372"/>
          <w:tab w:val="left" w:pos="3653"/>
        </w:tabs>
        <w:spacing w:after="0" w:line="360" w:lineRule="auto"/>
        <w:ind w:firstLine="420" w:firstLineChars="200"/>
        <w:rPr>
          <w:rFonts w:ascii="宋体" w:hAnsi="宋体" w:cs="宋体"/>
          <w:szCs w:val="21"/>
        </w:rPr>
      </w:pPr>
      <w:r>
        <w:rPr>
          <w:rFonts w:hint="eastAsia" w:ascii="宋体" w:hAnsi="宋体" w:cs="宋体"/>
          <w:szCs w:val="21"/>
        </w:rPr>
        <w:t>本公司可以就投保人、被保险人的有关情况提出询问，投保人应当如实告知。</w:t>
      </w:r>
    </w:p>
    <w:p>
      <w:pPr>
        <w:pStyle w:val="14"/>
        <w:tabs>
          <w:tab w:val="left" w:pos="562"/>
          <w:tab w:val="left" w:pos="3372"/>
          <w:tab w:val="left" w:pos="3653"/>
        </w:tabs>
        <w:spacing w:after="0" w:line="360" w:lineRule="auto"/>
        <w:ind w:firstLine="422" w:firstLineChars="200"/>
        <w:rPr>
          <w:rFonts w:ascii="宋体" w:hAnsi="宋体" w:cs="宋体"/>
          <w:b/>
          <w:bCs/>
          <w:szCs w:val="21"/>
        </w:rPr>
      </w:pPr>
      <w:r>
        <w:rPr>
          <w:rFonts w:hint="eastAsia" w:ascii="宋体" w:hAnsi="宋体" w:cs="宋体"/>
          <w:b/>
          <w:bCs/>
          <w:szCs w:val="21"/>
        </w:rPr>
        <w:t>投保人故意或者因重大过失未履行前款规定的如实告知义务，足以影响本公司决定是否同意 承保或者提高保险费率的，本公司有权解除合同。</w:t>
      </w:r>
    </w:p>
    <w:p>
      <w:pPr>
        <w:pStyle w:val="14"/>
        <w:tabs>
          <w:tab w:val="left" w:pos="562"/>
          <w:tab w:val="left" w:pos="3372"/>
          <w:tab w:val="left" w:pos="3653"/>
        </w:tabs>
        <w:spacing w:after="0" w:line="360" w:lineRule="auto"/>
        <w:ind w:firstLine="420" w:firstLineChars="200"/>
        <w:rPr>
          <w:rFonts w:ascii="宋体" w:hAnsi="宋体" w:cs="宋体"/>
          <w:szCs w:val="21"/>
        </w:rPr>
      </w:pPr>
      <w:r>
        <w:rPr>
          <w:rFonts w:hint="eastAsia" w:ascii="宋体" w:hAnsi="宋体" w:cs="宋体"/>
          <w:szCs w:val="21"/>
        </w:rPr>
        <w:t>前款规定的合同解除权，自本公司知道有解除事由之日起，超过三十日不行使而消灭。</w:t>
      </w:r>
    </w:p>
    <w:p>
      <w:pPr>
        <w:pStyle w:val="14"/>
        <w:tabs>
          <w:tab w:val="left" w:pos="562"/>
          <w:tab w:val="left" w:pos="3372"/>
          <w:tab w:val="left" w:pos="3653"/>
        </w:tabs>
        <w:spacing w:after="0" w:line="360" w:lineRule="auto"/>
        <w:ind w:firstLine="422" w:firstLineChars="200"/>
        <w:rPr>
          <w:rFonts w:ascii="宋体" w:hAnsi="宋体" w:cs="宋体"/>
          <w:b/>
          <w:bCs/>
          <w:szCs w:val="21"/>
        </w:rPr>
      </w:pPr>
      <w:r>
        <w:rPr>
          <w:rFonts w:hint="eastAsia" w:ascii="宋体" w:hAnsi="宋体" w:cs="宋体"/>
          <w:b/>
          <w:bCs/>
          <w:szCs w:val="21"/>
        </w:rPr>
        <w:t>投保人故意不履行如实告知义务的，本公司对于合同解除前发生的保险事故，不承担给付保险金的责任，并不退还保险费。</w:t>
      </w:r>
    </w:p>
    <w:p>
      <w:pPr>
        <w:pStyle w:val="14"/>
        <w:tabs>
          <w:tab w:val="left" w:pos="562"/>
          <w:tab w:val="left" w:pos="3372"/>
          <w:tab w:val="left" w:pos="3653"/>
        </w:tabs>
        <w:spacing w:after="0" w:line="360" w:lineRule="auto"/>
        <w:ind w:firstLine="422" w:firstLineChars="200"/>
        <w:rPr>
          <w:rFonts w:ascii="宋体" w:hAnsi="宋体" w:cs="宋体"/>
          <w:b/>
          <w:bCs/>
          <w:szCs w:val="21"/>
        </w:rPr>
      </w:pPr>
      <w:r>
        <w:rPr>
          <w:rFonts w:hint="eastAsia" w:ascii="宋体" w:hAnsi="宋体" w:cs="宋体"/>
          <w:b/>
          <w:bCs/>
          <w:szCs w:val="21"/>
        </w:rPr>
        <w:t>投保人因重大过失未履行如实告知义务，对保险事故的发生有严重影响的，本公司对于合同解除 前发生的保险事故，不承担给付保险金的责任，但退还保险费。</w:t>
      </w:r>
    </w:p>
    <w:p>
      <w:pPr>
        <w:pStyle w:val="14"/>
        <w:tabs>
          <w:tab w:val="left" w:pos="562"/>
          <w:tab w:val="left" w:pos="3372"/>
          <w:tab w:val="left" w:pos="3653"/>
        </w:tabs>
        <w:spacing w:after="0" w:line="360" w:lineRule="auto"/>
        <w:ind w:firstLine="420" w:firstLineChars="200"/>
        <w:rPr>
          <w:rFonts w:ascii="宋体" w:hAnsi="宋体" w:cs="宋体"/>
          <w:b/>
          <w:bCs/>
          <w:szCs w:val="21"/>
        </w:rPr>
      </w:pPr>
      <w:r>
        <w:rPr>
          <w:rFonts w:hint="eastAsia" w:ascii="宋体" w:hAnsi="宋体" w:cs="宋体"/>
          <w:szCs w:val="21"/>
        </w:rPr>
        <w:t>本公司在本合同订立时已经知道投保人未如实告知的情况的，本公司不得解除合同；发生保险事故的，本公司承担给付保险金的责任。</w:t>
      </w:r>
    </w:p>
    <w:p>
      <w:pPr>
        <w:pStyle w:val="14"/>
        <w:tabs>
          <w:tab w:val="left" w:pos="562"/>
          <w:tab w:val="left" w:pos="3372"/>
          <w:tab w:val="left" w:pos="3653"/>
        </w:tabs>
        <w:spacing w:after="0" w:line="360" w:lineRule="auto"/>
        <w:ind w:firstLine="422" w:firstLineChars="200"/>
        <w:rPr>
          <w:rFonts w:ascii="宋体" w:hAnsi="宋体" w:cs="宋体"/>
          <w:b/>
          <w:bCs/>
          <w:szCs w:val="21"/>
        </w:rPr>
      </w:pPr>
      <w:r>
        <w:rPr>
          <w:rFonts w:hint="eastAsia" w:ascii="宋体" w:hAnsi="宋体" w:cs="宋体"/>
          <w:b/>
          <w:bCs/>
          <w:szCs w:val="21"/>
        </w:rPr>
        <w:t>第十一条 受益人</w:t>
      </w:r>
    </w:p>
    <w:p>
      <w:pPr>
        <w:pStyle w:val="14"/>
        <w:tabs>
          <w:tab w:val="left" w:pos="562"/>
          <w:tab w:val="left" w:pos="3372"/>
          <w:tab w:val="left" w:pos="3653"/>
        </w:tabs>
        <w:spacing w:after="0" w:line="360" w:lineRule="auto"/>
        <w:ind w:firstLine="420" w:firstLineChars="200"/>
        <w:rPr>
          <w:rFonts w:ascii="宋体" w:hAnsi="宋体" w:cs="宋体"/>
          <w:szCs w:val="21"/>
        </w:rPr>
      </w:pPr>
      <w:r>
        <w:rPr>
          <w:rFonts w:hint="eastAsia" w:ascii="宋体" w:hAnsi="宋体" w:cs="宋体"/>
          <w:szCs w:val="21"/>
        </w:rPr>
        <w:t>除另有指定外，本合同各项保险金的受益人均为被保险人本人。</w:t>
      </w:r>
    </w:p>
    <w:p>
      <w:pPr>
        <w:pStyle w:val="14"/>
        <w:tabs>
          <w:tab w:val="left" w:pos="562"/>
          <w:tab w:val="left" w:pos="3372"/>
          <w:tab w:val="left" w:pos="3653"/>
        </w:tabs>
        <w:spacing w:after="0" w:line="360" w:lineRule="auto"/>
        <w:ind w:firstLine="420" w:firstLineChars="200"/>
        <w:rPr>
          <w:rFonts w:ascii="宋体" w:hAnsi="宋体" w:cs="宋体"/>
          <w:szCs w:val="21"/>
        </w:rPr>
      </w:pPr>
      <w:r>
        <w:rPr>
          <w:rFonts w:hint="eastAsia" w:ascii="宋体" w:hAnsi="宋体" w:cs="宋体"/>
          <w:szCs w:val="21"/>
        </w:rPr>
        <w:t>投保人为与其有劳动关系的劳动者投保本保险的，不得指定被保险人及其近亲属以外的人为受益人。</w:t>
      </w:r>
    </w:p>
    <w:p>
      <w:pPr>
        <w:spacing w:line="360" w:lineRule="auto"/>
        <w:ind w:firstLine="420" w:firstLineChars="200"/>
        <w:rPr>
          <w:rFonts w:ascii="宋体" w:hAnsi="宋体" w:cs="宋体"/>
          <w:szCs w:val="21"/>
        </w:rPr>
      </w:pPr>
      <w:r>
        <w:rPr>
          <w:rFonts w:hint="eastAsia" w:ascii="宋体" w:hAnsi="宋体" w:cs="宋体"/>
          <w:szCs w:val="21"/>
        </w:rPr>
        <w:t>受益人为数人的，被保险人或投保人可以确定受益顺序和受益份额；未确定受益份额的，</w:t>
      </w:r>
    </w:p>
    <w:p>
      <w:pPr>
        <w:spacing w:line="360" w:lineRule="auto"/>
        <w:ind w:firstLine="420" w:firstLineChars="200"/>
        <w:rPr>
          <w:rFonts w:ascii="宋体" w:hAnsi="宋体" w:cs="宋体"/>
          <w:szCs w:val="21"/>
        </w:rPr>
      </w:pPr>
      <w:r>
        <w:rPr>
          <w:rFonts w:hint="eastAsia" w:ascii="宋体" w:hAnsi="宋体" w:cs="宋体"/>
          <w:szCs w:val="21"/>
        </w:rPr>
        <w:t>受益人按照相等份额享有受益权。</w:t>
      </w:r>
    </w:p>
    <w:p>
      <w:pPr>
        <w:spacing w:line="360" w:lineRule="auto"/>
        <w:ind w:firstLine="420" w:firstLineChars="200"/>
        <w:rPr>
          <w:rFonts w:ascii="宋体" w:hAnsi="宋体" w:cs="宋体"/>
          <w:szCs w:val="21"/>
        </w:rPr>
      </w:pPr>
      <w:r>
        <w:rPr>
          <w:rFonts w:hint="eastAsia" w:ascii="宋体" w:hAnsi="宋体" w:cs="宋体"/>
          <w:szCs w:val="21"/>
        </w:rPr>
        <w:t>受益人故意造成被保险人死亡、伤残、疾病的，或者故意杀害被保险人未遂的，该受益人丧失受益权。</w:t>
      </w:r>
    </w:p>
    <w:p>
      <w:pPr>
        <w:spacing w:line="360" w:lineRule="auto"/>
        <w:ind w:firstLine="422" w:firstLineChars="200"/>
        <w:rPr>
          <w:rFonts w:ascii="宋体" w:hAnsi="宋体" w:cs="宋体"/>
          <w:b/>
          <w:bCs/>
          <w:szCs w:val="21"/>
        </w:rPr>
      </w:pPr>
      <w:r>
        <w:rPr>
          <w:rFonts w:hint="eastAsia" w:ascii="宋体" w:hAnsi="宋体" w:cs="宋体"/>
          <w:b/>
          <w:bCs/>
          <w:szCs w:val="21"/>
        </w:rPr>
        <w:t>第十二条 保险事故的通知</w:t>
      </w:r>
    </w:p>
    <w:p>
      <w:pPr>
        <w:spacing w:line="360" w:lineRule="auto"/>
        <w:ind w:firstLine="420" w:firstLineChars="200"/>
        <w:rPr>
          <w:rFonts w:ascii="宋体" w:hAnsi="宋体" w:cs="宋体"/>
          <w:b/>
          <w:bCs/>
          <w:szCs w:val="21"/>
        </w:rPr>
      </w:pPr>
      <w:r>
        <w:rPr>
          <w:rFonts w:hint="eastAsia" w:ascii="宋体" w:hAnsi="宋体" w:cs="宋体"/>
          <w:szCs w:val="21"/>
        </w:rPr>
        <w:t xml:space="preserve">投保人、被保险人应于被保险人治疗结束后三十日内，及时通知本公司。 </w:t>
      </w:r>
      <w:r>
        <w:rPr>
          <w:rFonts w:hint="eastAsia" w:ascii="宋体" w:hAnsi="宋体" w:cs="宋体"/>
          <w:b/>
          <w:bCs/>
          <w:szCs w:val="21"/>
        </w:rPr>
        <w:t>若因故意或者因重大过失未及时通知，致使保险事故 的性质、原因、损失程度等难以确定的，本公司对无法确定的部分，不承担给付保险金的责任，但本公司通过其他途径已经及时知道或者应当及时知道保险事故发生的除外。</w:t>
      </w:r>
    </w:p>
    <w:p>
      <w:pPr>
        <w:spacing w:line="360" w:lineRule="auto"/>
        <w:ind w:firstLine="422" w:firstLineChars="200"/>
        <w:rPr>
          <w:rFonts w:ascii="宋体" w:hAnsi="宋体" w:cs="宋体"/>
          <w:b/>
          <w:bCs/>
          <w:szCs w:val="21"/>
        </w:rPr>
      </w:pPr>
      <w:r>
        <w:rPr>
          <w:rFonts w:hint="eastAsia" w:ascii="宋体" w:hAnsi="宋体" w:cs="宋体"/>
          <w:b/>
          <w:bCs/>
          <w:szCs w:val="21"/>
        </w:rPr>
        <w:t>第十三条 保险金的申请与给付</w:t>
      </w:r>
    </w:p>
    <w:p>
      <w:pPr>
        <w:spacing w:line="360" w:lineRule="auto"/>
        <w:ind w:firstLine="420" w:firstLineChars="200"/>
        <w:rPr>
          <w:rFonts w:ascii="宋体" w:hAnsi="宋体" w:cs="宋体"/>
          <w:szCs w:val="21"/>
        </w:rPr>
      </w:pPr>
      <w:r>
        <w:rPr>
          <w:rFonts w:hint="eastAsia" w:ascii="宋体" w:hAnsi="宋体" w:cs="宋体"/>
          <w:szCs w:val="21"/>
        </w:rPr>
        <w:t>一、被保险人支出医疗费用的，由受益人作为申请人，填写保险金给付申请书，并凭下列证明和资料向本公司申请给付保险金：</w:t>
      </w:r>
    </w:p>
    <w:p>
      <w:pPr>
        <w:spacing w:line="360" w:lineRule="auto"/>
        <w:ind w:firstLine="420" w:firstLineChars="200"/>
        <w:rPr>
          <w:rFonts w:ascii="宋体" w:hAnsi="宋体" w:cs="宋体"/>
          <w:szCs w:val="21"/>
        </w:rPr>
      </w:pPr>
      <w:r>
        <w:rPr>
          <w:rFonts w:hint="eastAsia" w:ascii="宋体" w:hAnsi="宋体" w:cs="宋体"/>
          <w:szCs w:val="21"/>
        </w:rPr>
        <w:t>1．保险单或投保人证明；</w:t>
      </w:r>
    </w:p>
    <w:p>
      <w:pPr>
        <w:spacing w:line="360" w:lineRule="auto"/>
        <w:ind w:firstLine="420" w:firstLineChars="200"/>
        <w:rPr>
          <w:rFonts w:ascii="宋体" w:hAnsi="宋体" w:cs="宋体"/>
          <w:szCs w:val="21"/>
        </w:rPr>
      </w:pPr>
      <w:r>
        <w:rPr>
          <w:rFonts w:hint="eastAsia" w:ascii="宋体" w:hAnsi="宋体" w:cs="宋体"/>
          <w:szCs w:val="21"/>
        </w:rPr>
        <w:t>2．申请人的法定身份证明；</w:t>
      </w:r>
    </w:p>
    <w:p>
      <w:pPr>
        <w:spacing w:line="360" w:lineRule="auto"/>
        <w:ind w:firstLine="420" w:firstLineChars="200"/>
        <w:rPr>
          <w:rFonts w:ascii="宋体" w:hAnsi="宋体" w:cs="宋体"/>
          <w:szCs w:val="21"/>
        </w:rPr>
      </w:pPr>
      <w:r>
        <w:rPr>
          <w:rFonts w:hint="eastAsia" w:ascii="宋体" w:hAnsi="宋体" w:cs="宋体"/>
          <w:szCs w:val="21"/>
        </w:rPr>
        <w:t>3．指定医疗服务提供单位出具的医疗费用收据、诊断证明及病历；</w:t>
      </w:r>
    </w:p>
    <w:p>
      <w:pPr>
        <w:spacing w:line="360" w:lineRule="auto"/>
        <w:ind w:firstLine="420" w:firstLineChars="200"/>
        <w:rPr>
          <w:rFonts w:ascii="宋体" w:hAnsi="宋体" w:cs="宋体"/>
          <w:szCs w:val="21"/>
        </w:rPr>
      </w:pPr>
      <w:r>
        <w:rPr>
          <w:rFonts w:hint="eastAsia" w:ascii="宋体" w:hAnsi="宋体" w:cs="宋体"/>
          <w:szCs w:val="21"/>
        </w:rPr>
        <w:t>4．本公司要求的申请人所能提供的与确认保险事故的性质、原因等相关的证明、资料。</w:t>
      </w:r>
    </w:p>
    <w:p>
      <w:pPr>
        <w:spacing w:line="360" w:lineRule="auto"/>
        <w:ind w:firstLine="420" w:firstLineChars="200"/>
        <w:rPr>
          <w:rFonts w:ascii="宋体" w:hAnsi="宋体" w:cs="宋体"/>
          <w:szCs w:val="21"/>
        </w:rPr>
      </w:pPr>
      <w:r>
        <w:rPr>
          <w:rFonts w:hint="eastAsia" w:ascii="宋体" w:hAnsi="宋体" w:cs="宋体"/>
          <w:szCs w:val="21"/>
        </w:rPr>
        <w:t>二、上述证明和资料不完整的，本公司将及时一次性通知申请人补充提供有关证明和资料。</w:t>
      </w:r>
    </w:p>
    <w:p>
      <w:pPr>
        <w:spacing w:line="360" w:lineRule="auto"/>
        <w:ind w:firstLine="420" w:firstLineChars="200"/>
        <w:rPr>
          <w:rFonts w:ascii="宋体" w:hAnsi="宋体" w:cs="宋体"/>
          <w:szCs w:val="21"/>
        </w:rPr>
      </w:pPr>
      <w:r>
        <w:rPr>
          <w:rFonts w:hint="eastAsia" w:ascii="宋体" w:hAnsi="宋体" w:cs="宋体"/>
          <w:szCs w:val="21"/>
        </w:rPr>
        <w:t>三、本公司收到申请人的保险金给付申请书及本条第一款所列证明和资料后，将及时作出核定；情形复杂的，将在三十日内作出核定，但本合同另有约定的除外。经核定后确定属于保险责任的，本公司在与申请人达成给付保险金的协议后十日内，履行给付保险金的义务；不属于保险责任的，本公司将自作出核定之日起三日内向申请人发出拒绝给付保险金通知书，并说明理由。</w:t>
      </w:r>
    </w:p>
    <w:p>
      <w:pPr>
        <w:spacing w:line="360" w:lineRule="auto"/>
        <w:ind w:firstLine="420" w:firstLineChars="200"/>
        <w:rPr>
          <w:rFonts w:ascii="宋体" w:hAnsi="宋体" w:cs="宋体"/>
          <w:szCs w:val="21"/>
        </w:rPr>
      </w:pPr>
      <w:r>
        <w:rPr>
          <w:rFonts w:hint="eastAsia" w:ascii="宋体" w:hAnsi="宋体" w:cs="宋体"/>
          <w:szCs w:val="21"/>
        </w:rPr>
        <w:t>四、本公司自收到申请人的保险金给付申请书及上述证明和资料之日起六十日内，对属于保险责任而给付保险金的数额不能确定的，根据已有证明和资料，按可以确定的数额先予支付，本公司最终确定给付保险金的数额后，支付相应的差额。</w:t>
      </w:r>
    </w:p>
    <w:p>
      <w:pPr>
        <w:spacing w:line="360" w:lineRule="auto"/>
        <w:ind w:firstLine="420" w:firstLineChars="200"/>
        <w:rPr>
          <w:rFonts w:ascii="宋体" w:hAnsi="宋体" w:cs="宋体"/>
          <w:szCs w:val="21"/>
        </w:rPr>
      </w:pPr>
      <w:r>
        <w:rPr>
          <w:rFonts w:hint="eastAsia" w:ascii="宋体" w:hAnsi="宋体" w:cs="宋体"/>
          <w:szCs w:val="21"/>
        </w:rPr>
        <w:t>五、申请人向本公司请求给付保险金的诉讼时效期间为二年，自其知道或者应当知道保险事故发生之日起计算。</w:t>
      </w:r>
    </w:p>
    <w:p>
      <w:pPr>
        <w:spacing w:line="360" w:lineRule="auto"/>
        <w:ind w:firstLine="422" w:firstLineChars="200"/>
        <w:rPr>
          <w:rFonts w:ascii="宋体" w:hAnsi="宋体" w:cs="宋体"/>
          <w:b/>
          <w:bCs/>
          <w:szCs w:val="21"/>
        </w:rPr>
      </w:pPr>
      <w:r>
        <w:rPr>
          <w:rFonts w:hint="eastAsia" w:ascii="宋体" w:hAnsi="宋体" w:cs="宋体"/>
          <w:b/>
          <w:bCs/>
          <w:szCs w:val="21"/>
        </w:rPr>
        <w:t>第十四条 被保险人变动</w:t>
      </w:r>
    </w:p>
    <w:p>
      <w:pPr>
        <w:spacing w:line="360" w:lineRule="auto"/>
        <w:ind w:firstLine="420" w:firstLineChars="200"/>
        <w:rPr>
          <w:rFonts w:ascii="宋体" w:hAnsi="宋体" w:cs="宋体"/>
          <w:szCs w:val="21"/>
        </w:rPr>
      </w:pPr>
      <w:r>
        <w:rPr>
          <w:rFonts w:hint="eastAsia" w:ascii="宋体" w:hAnsi="宋体" w:cs="宋体"/>
          <w:szCs w:val="21"/>
        </w:rPr>
        <w:t>一、投保人因所属人员变动需要增加被保险人的，应书面通知本公司，经本公司审核同意，于收取本公司规定的保险费的次日起开始承担保险责任。新增加的被保险人的保险期间届满日与本合同的保险期间届满日相同。</w:t>
      </w:r>
    </w:p>
    <w:p>
      <w:pPr>
        <w:spacing w:line="360" w:lineRule="auto"/>
        <w:ind w:firstLine="420" w:firstLineChars="200"/>
        <w:rPr>
          <w:rFonts w:ascii="宋体" w:hAnsi="宋体" w:cs="宋体"/>
          <w:szCs w:val="21"/>
        </w:rPr>
      </w:pPr>
      <w:r>
        <w:rPr>
          <w:rFonts w:hint="eastAsia" w:ascii="宋体" w:hAnsi="宋体" w:cs="宋体"/>
          <w:szCs w:val="21"/>
        </w:rPr>
        <w:t>二、投保人因被保险人离职或其他原因需要减少被保险人的，应书面通知本公司，本合同对该被保险人所承担的保险责任自通知到达之日起终止。对于未发生保险金给付的，本公司向投保人退还该被保险人对应的现金价值；对于已发生保险金给付或已发生本合同约定的保险事故但尚未给付保险金的，本公司不退还现金价值。</w:t>
      </w:r>
    </w:p>
    <w:p>
      <w:pPr>
        <w:spacing w:line="360" w:lineRule="auto"/>
        <w:ind w:firstLine="420" w:firstLineChars="200"/>
        <w:rPr>
          <w:rFonts w:ascii="宋体" w:hAnsi="宋体" w:cs="宋体"/>
          <w:szCs w:val="21"/>
        </w:rPr>
      </w:pPr>
      <w:r>
        <w:rPr>
          <w:rFonts w:hint="eastAsia" w:ascii="宋体" w:hAnsi="宋体" w:cs="宋体"/>
          <w:szCs w:val="21"/>
        </w:rPr>
        <w:t>三、如果由于被保险人变动，导致本合同不再满足国务院保险监督管理机构的相关投保规定时，本公司有权解除本合同，并向投保人退还本合同的现金价值。</w:t>
      </w:r>
    </w:p>
    <w:p>
      <w:pPr>
        <w:spacing w:line="360" w:lineRule="auto"/>
        <w:ind w:firstLine="422" w:firstLineChars="200"/>
        <w:rPr>
          <w:rFonts w:ascii="宋体" w:hAnsi="宋体" w:cs="宋体"/>
          <w:b/>
          <w:bCs/>
          <w:szCs w:val="21"/>
        </w:rPr>
      </w:pPr>
      <w:r>
        <w:rPr>
          <w:rFonts w:hint="eastAsia" w:ascii="宋体" w:hAnsi="宋体" w:cs="宋体"/>
          <w:b/>
          <w:bCs/>
          <w:szCs w:val="21"/>
        </w:rPr>
        <w:t>第十五条 合同内容的变更</w:t>
      </w:r>
    </w:p>
    <w:p>
      <w:pPr>
        <w:spacing w:line="360" w:lineRule="auto"/>
        <w:ind w:firstLine="420" w:firstLineChars="200"/>
        <w:rPr>
          <w:rFonts w:ascii="宋体" w:hAnsi="宋体" w:cs="宋体"/>
          <w:szCs w:val="21"/>
        </w:rPr>
      </w:pPr>
      <w:r>
        <w:rPr>
          <w:rFonts w:hint="eastAsia" w:ascii="宋体" w:hAnsi="宋体" w:cs="宋体"/>
          <w:szCs w:val="21"/>
        </w:rPr>
        <w:t>投保人和本公司可以协商变更本合同的内容。变更本合同时，投保人应填写变更合同申请书，经本公司审核同意后，由本公司在保险单或者其他保险凭证上批注或者附贴批单，或由投保人和本公司订立变更的书面协议。</w:t>
      </w:r>
    </w:p>
    <w:p>
      <w:pPr>
        <w:spacing w:line="360" w:lineRule="auto"/>
        <w:ind w:firstLine="422" w:firstLineChars="200"/>
        <w:rPr>
          <w:rFonts w:ascii="宋体" w:hAnsi="宋体" w:cs="宋体"/>
          <w:b/>
          <w:bCs/>
          <w:szCs w:val="21"/>
        </w:rPr>
      </w:pPr>
      <w:r>
        <w:rPr>
          <w:rFonts w:hint="eastAsia" w:ascii="宋体" w:hAnsi="宋体" w:cs="宋体"/>
          <w:b/>
          <w:bCs/>
          <w:szCs w:val="21"/>
        </w:rPr>
        <w:t>第十六条 投保人解除合同的处理</w:t>
      </w:r>
    </w:p>
    <w:p>
      <w:pPr>
        <w:spacing w:line="360" w:lineRule="auto"/>
        <w:ind w:firstLine="420" w:firstLineChars="200"/>
        <w:rPr>
          <w:rFonts w:ascii="宋体" w:hAnsi="宋体" w:cs="宋体"/>
          <w:szCs w:val="21"/>
        </w:rPr>
      </w:pPr>
      <w:r>
        <w:rPr>
          <w:rFonts w:hint="eastAsia" w:ascii="宋体" w:hAnsi="宋体" w:cs="宋体"/>
          <w:szCs w:val="21"/>
        </w:rPr>
        <w:t>投保人于本合同成立后，可以要求解除本合同。但已发生任何保险金给付或已发生本合同约定的保险事故但尚未给付保险金的，投保人不得要求解除本合同。投保人要求解除本合同时，应填写解除合同申请书，并提交保险合同和投保人证明。</w:t>
      </w:r>
    </w:p>
    <w:p>
      <w:pPr>
        <w:spacing w:line="360" w:lineRule="auto"/>
        <w:ind w:firstLine="420" w:firstLineChars="200"/>
        <w:rPr>
          <w:rFonts w:ascii="宋体" w:hAnsi="宋体" w:cs="宋体"/>
          <w:b/>
          <w:bCs/>
          <w:szCs w:val="21"/>
        </w:rPr>
      </w:pPr>
      <w:r>
        <w:rPr>
          <w:rFonts w:hint="eastAsia" w:ascii="宋体" w:hAnsi="宋体" w:cs="宋体"/>
          <w:szCs w:val="21"/>
        </w:rPr>
        <w:t>本合同自本公司接到解除合同申请书时终止，本公司于接到解除合同申请书之日起三十日内向投保人退还本合同的现金价值。</w:t>
      </w:r>
    </w:p>
    <w:p>
      <w:pPr>
        <w:spacing w:line="360" w:lineRule="auto"/>
        <w:ind w:firstLine="422" w:firstLineChars="200"/>
        <w:rPr>
          <w:rFonts w:ascii="宋体" w:hAnsi="宋体" w:cs="宋体"/>
          <w:b/>
          <w:bCs/>
          <w:szCs w:val="21"/>
        </w:rPr>
      </w:pPr>
      <w:r>
        <w:rPr>
          <w:rFonts w:hint="eastAsia" w:ascii="宋体" w:hAnsi="宋体" w:cs="宋体"/>
          <w:b/>
          <w:bCs/>
          <w:szCs w:val="21"/>
        </w:rPr>
        <w:t>第十七条 争议处理</w:t>
      </w:r>
    </w:p>
    <w:p>
      <w:pPr>
        <w:spacing w:line="360" w:lineRule="auto"/>
        <w:ind w:firstLine="420" w:firstLineChars="200"/>
        <w:rPr>
          <w:rFonts w:ascii="宋体" w:hAnsi="宋体" w:cs="宋体"/>
          <w:szCs w:val="21"/>
        </w:rPr>
      </w:pPr>
      <w:r>
        <w:rPr>
          <w:rFonts w:hint="eastAsia" w:ascii="宋体" w:hAnsi="宋体" w:cs="宋体"/>
          <w:szCs w:val="21"/>
        </w:rPr>
        <w:t>本合同争议的解决方式，由当事人在合同中约定从下列两种方式中选择一种：</w:t>
      </w:r>
    </w:p>
    <w:p>
      <w:pPr>
        <w:spacing w:line="360" w:lineRule="auto"/>
        <w:ind w:firstLine="420" w:firstLineChars="200"/>
        <w:rPr>
          <w:rFonts w:ascii="宋体" w:hAnsi="宋体" w:cs="宋体"/>
          <w:szCs w:val="21"/>
        </w:rPr>
      </w:pPr>
      <w:r>
        <w:rPr>
          <w:rFonts w:hint="eastAsia" w:ascii="宋体" w:hAnsi="宋体" w:cs="宋体"/>
          <w:szCs w:val="21"/>
        </w:rPr>
        <w:t>一、因履行本合同发生的争议，由当事人协商解决，协商不成的，提交×××仲裁委员会仲裁；</w:t>
      </w:r>
    </w:p>
    <w:p>
      <w:pPr>
        <w:spacing w:line="360" w:lineRule="auto"/>
        <w:ind w:firstLine="420" w:firstLineChars="200"/>
        <w:rPr>
          <w:rFonts w:ascii="宋体" w:hAnsi="宋体" w:cs="宋体"/>
          <w:b/>
          <w:bCs/>
          <w:szCs w:val="21"/>
        </w:rPr>
      </w:pPr>
      <w:r>
        <w:rPr>
          <w:rFonts w:hint="eastAsia" w:ascii="宋体" w:hAnsi="宋体" w:cs="宋体"/>
          <w:szCs w:val="21"/>
        </w:rPr>
        <w:t>二、因履行本合同发生的争议，由当事人协商解决，协商不成的，依法向人民法院提起诉讼。</w:t>
      </w:r>
    </w:p>
    <w:p>
      <w:pPr>
        <w:spacing w:line="360" w:lineRule="auto"/>
        <w:ind w:firstLine="422" w:firstLineChars="200"/>
        <w:rPr>
          <w:rFonts w:ascii="宋体" w:hAnsi="宋体" w:cs="宋体"/>
          <w:b/>
          <w:bCs/>
          <w:szCs w:val="21"/>
        </w:rPr>
      </w:pPr>
      <w:r>
        <w:rPr>
          <w:rFonts w:hint="eastAsia" w:ascii="宋体" w:hAnsi="宋体" w:cs="宋体"/>
          <w:b/>
          <w:bCs/>
          <w:szCs w:val="21"/>
        </w:rPr>
        <w:t>第十八条 释义</w:t>
      </w:r>
    </w:p>
    <w:p>
      <w:pPr>
        <w:spacing w:line="360" w:lineRule="auto"/>
        <w:ind w:firstLine="420" w:firstLineChars="200"/>
        <w:rPr>
          <w:rFonts w:ascii="宋体" w:hAnsi="宋体" w:cs="宋体"/>
          <w:szCs w:val="21"/>
        </w:rPr>
      </w:pPr>
      <w:r>
        <w:rPr>
          <w:rFonts w:hint="eastAsia" w:ascii="宋体" w:hAnsi="宋体" w:cs="宋体"/>
          <w:szCs w:val="21"/>
        </w:rPr>
        <w:t>本条款有关名词释义如下：</w:t>
      </w:r>
    </w:p>
    <w:p>
      <w:pPr>
        <w:spacing w:line="360" w:lineRule="auto"/>
        <w:ind w:firstLine="420" w:firstLineChars="200"/>
        <w:rPr>
          <w:rFonts w:ascii="宋体" w:hAnsi="宋体" w:cs="宋体"/>
          <w:szCs w:val="21"/>
        </w:rPr>
      </w:pPr>
      <w:r>
        <w:rPr>
          <w:rFonts w:hint="eastAsia" w:ascii="宋体" w:hAnsi="宋体" w:cs="宋体"/>
          <w:szCs w:val="21"/>
        </w:rPr>
        <w:t>生效对应日：指本合同生效日每年、月的对应日。</w:t>
      </w:r>
    </w:p>
    <w:p>
      <w:pPr>
        <w:spacing w:line="360" w:lineRule="auto"/>
        <w:ind w:firstLine="420" w:firstLineChars="200"/>
        <w:rPr>
          <w:rFonts w:ascii="宋体" w:hAnsi="宋体" w:cs="宋体"/>
          <w:szCs w:val="21"/>
        </w:rPr>
      </w:pPr>
      <w:r>
        <w:rPr>
          <w:rFonts w:hint="eastAsia" w:ascii="宋体" w:hAnsi="宋体" w:cs="宋体"/>
          <w:szCs w:val="21"/>
        </w:rPr>
        <w:t>指定医疗服务提供单位：指当地社会医疗保险部门规定的基本医疗保险予以定点的医疗机构和零售药店。</w:t>
      </w:r>
    </w:p>
    <w:p>
      <w:pPr>
        <w:spacing w:line="360" w:lineRule="auto"/>
        <w:ind w:firstLine="420" w:firstLineChars="200"/>
        <w:rPr>
          <w:rFonts w:ascii="宋体" w:hAnsi="宋体" w:cs="宋体"/>
          <w:szCs w:val="21"/>
        </w:rPr>
      </w:pPr>
      <w:r>
        <w:rPr>
          <w:rFonts w:hint="eastAsia" w:ascii="宋体" w:hAnsi="宋体" w:cs="宋体"/>
          <w:szCs w:val="21"/>
        </w:rPr>
        <w:t>社会医疗保险部门：指当地负责基本医疗保险的行政主管部门。</w:t>
      </w:r>
    </w:p>
    <w:p>
      <w:pPr>
        <w:spacing w:line="360" w:lineRule="auto"/>
        <w:ind w:firstLine="420" w:firstLineChars="200"/>
        <w:rPr>
          <w:rFonts w:ascii="宋体" w:hAnsi="宋体" w:cs="宋体"/>
          <w:szCs w:val="21"/>
        </w:rPr>
      </w:pPr>
      <w:r>
        <w:rPr>
          <w:rFonts w:hint="eastAsia" w:ascii="宋体" w:hAnsi="宋体" w:cs="宋体"/>
          <w:szCs w:val="21"/>
        </w:rPr>
        <w:t>被保险人自理的医疗费用：指被保险人发生的符合当地社会医疗保险部门规定的基本医疗保险可报销范围内的医疗费用，并扣除可由当地社会医疗保险部门按比例承担的费用后，应由被保险人个人按比例分担的医疗费用。</w:t>
      </w:r>
    </w:p>
    <w:p>
      <w:pPr>
        <w:spacing w:line="360" w:lineRule="auto"/>
        <w:ind w:firstLine="420" w:firstLineChars="200"/>
        <w:rPr>
          <w:rFonts w:ascii="宋体" w:hAnsi="宋体" w:cs="宋体"/>
          <w:szCs w:val="21"/>
        </w:rPr>
      </w:pPr>
      <w:r>
        <w:rPr>
          <w:rFonts w:hint="eastAsia" w:ascii="宋体" w:hAnsi="宋体" w:cs="宋体"/>
          <w:szCs w:val="21"/>
        </w:rPr>
        <w:t>道路交通事故：指车辆驾驶人员、行人、乘车人以及其他在道路上进行与交通有关活动的人员，因违反《中华人民共和国道路交通管理条例》或其他交通管理法规、规章的行为，过失造成人身伤亡或者财产损失的事故。</w:t>
      </w:r>
    </w:p>
    <w:p>
      <w:pPr>
        <w:spacing w:line="360" w:lineRule="auto"/>
        <w:ind w:firstLine="420" w:firstLineChars="200"/>
        <w:rPr>
          <w:rFonts w:ascii="宋体" w:hAnsi="宋体" w:cs="宋体"/>
          <w:szCs w:val="21"/>
        </w:rPr>
      </w:pPr>
      <w:r>
        <w:rPr>
          <w:rFonts w:hint="eastAsia" w:ascii="宋体" w:hAnsi="宋体" w:cs="宋体"/>
          <w:szCs w:val="21"/>
        </w:rPr>
        <w:t>意外伤害：指遭受外来的、突发的、非本意的、非疾病的客观事件直接致使身体受到的伤害。</w:t>
      </w:r>
    </w:p>
    <w:p>
      <w:pPr>
        <w:spacing w:line="360" w:lineRule="auto"/>
        <w:ind w:firstLine="420" w:firstLineChars="200"/>
        <w:rPr>
          <w:rFonts w:ascii="宋体" w:hAnsi="宋体" w:cs="宋体"/>
          <w:szCs w:val="21"/>
        </w:rPr>
      </w:pPr>
      <w:r>
        <w:rPr>
          <w:rFonts w:hint="eastAsia" w:ascii="宋体" w:hAnsi="宋体" w:cs="宋体"/>
          <w:szCs w:val="21"/>
        </w:rPr>
        <w:t>本合同有效期外发生的医疗费用：指实际发生的医疗费用×医疗费用发生在合同有效期外的天数/医疗费用发生的实际天数。</w:t>
      </w:r>
    </w:p>
    <w:p>
      <w:pPr>
        <w:spacing w:line="360" w:lineRule="auto"/>
        <w:ind w:firstLine="420" w:firstLineChars="200"/>
        <w:rPr>
          <w:rFonts w:ascii="宋体" w:hAnsi="宋体" w:cs="宋体"/>
          <w:szCs w:val="21"/>
        </w:rPr>
      </w:pPr>
      <w:r>
        <w:rPr>
          <w:rFonts w:hint="eastAsia" w:ascii="宋体" w:hAnsi="宋体" w:cs="宋体"/>
          <w:szCs w:val="21"/>
        </w:rPr>
        <w:t>中国境外：指非中华人民共和国的其它国家和地区。</w:t>
      </w:r>
    </w:p>
    <w:p>
      <w:pPr>
        <w:spacing w:line="360" w:lineRule="auto"/>
        <w:ind w:firstLine="420" w:firstLineChars="200"/>
        <w:rPr>
          <w:rFonts w:ascii="宋体" w:hAnsi="宋体" w:cs="宋体"/>
          <w:szCs w:val="21"/>
        </w:rPr>
      </w:pPr>
      <w:r>
        <w:rPr>
          <w:rFonts w:hint="eastAsia" w:ascii="宋体" w:hAnsi="宋体" w:cs="宋体"/>
          <w:szCs w:val="21"/>
        </w:rPr>
        <w:t>战争：指国家与国家、民族与民族、政治集团与政治集团之间为了一定的政治、经济目的而进行的武装斗争，以政府宣布为准。</w:t>
      </w:r>
    </w:p>
    <w:p>
      <w:pPr>
        <w:spacing w:line="360" w:lineRule="auto"/>
        <w:ind w:firstLine="420" w:firstLineChars="200"/>
        <w:rPr>
          <w:rFonts w:ascii="宋体" w:hAnsi="宋体" w:cs="宋体"/>
          <w:szCs w:val="21"/>
        </w:rPr>
      </w:pPr>
      <w:r>
        <w:rPr>
          <w:rFonts w:hint="eastAsia" w:ascii="宋体" w:hAnsi="宋体" w:cs="宋体"/>
          <w:szCs w:val="21"/>
        </w:rPr>
        <w:t>军事冲突：指国家或民族之间在一定范围内的武装对抗，以政府宣布为准。</w:t>
      </w:r>
    </w:p>
    <w:p>
      <w:pPr>
        <w:spacing w:line="360" w:lineRule="auto"/>
        <w:ind w:firstLine="420" w:firstLineChars="200"/>
        <w:rPr>
          <w:rFonts w:ascii="宋体" w:hAnsi="宋体" w:cs="宋体"/>
          <w:szCs w:val="21"/>
        </w:rPr>
      </w:pPr>
      <w:r>
        <w:rPr>
          <w:rFonts w:hint="eastAsia" w:ascii="宋体" w:hAnsi="宋体" w:cs="宋体"/>
          <w:szCs w:val="21"/>
        </w:rPr>
        <w:t>暴乱：指破坏社会秩序的武装骚动，以政府宣布为准。</w:t>
      </w:r>
    </w:p>
    <w:p>
      <w:pPr>
        <w:spacing w:line="360" w:lineRule="auto"/>
        <w:ind w:firstLine="420" w:firstLineChars="200"/>
        <w:rPr>
          <w:rFonts w:ascii="宋体" w:hAnsi="宋体" w:cs="宋体"/>
          <w:szCs w:val="21"/>
        </w:rPr>
      </w:pPr>
      <w:r>
        <w:rPr>
          <w:rFonts w:hint="eastAsia" w:ascii="宋体" w:hAnsi="宋体" w:cs="宋体"/>
          <w:szCs w:val="21"/>
        </w:rPr>
        <w:t>法定身份证明：指依据法律规定，由有权机构制作颁发的证明身份的证件、文件等，如：</w:t>
      </w:r>
    </w:p>
    <w:p>
      <w:pPr>
        <w:spacing w:line="360" w:lineRule="auto"/>
        <w:ind w:firstLine="420" w:firstLineChars="200"/>
        <w:rPr>
          <w:rFonts w:ascii="宋体" w:hAnsi="宋体" w:cs="宋体"/>
          <w:szCs w:val="21"/>
        </w:rPr>
      </w:pPr>
      <w:r>
        <w:rPr>
          <w:rFonts w:hint="eastAsia" w:ascii="宋体" w:hAnsi="宋体" w:cs="宋体"/>
          <w:szCs w:val="21"/>
        </w:rPr>
        <w:t>居民身份证、户口簿、护照、军人证等。</w:t>
      </w:r>
    </w:p>
    <w:p>
      <w:pPr>
        <w:spacing w:line="360" w:lineRule="auto"/>
        <w:ind w:firstLine="420" w:firstLineChars="200"/>
        <w:rPr>
          <w:rFonts w:ascii="宋体" w:hAnsi="宋体" w:cs="宋体"/>
          <w:szCs w:val="21"/>
        </w:rPr>
      </w:pPr>
      <w:r>
        <w:rPr>
          <w:rFonts w:hint="eastAsia" w:ascii="宋体" w:hAnsi="宋体" w:cs="宋体"/>
          <w:szCs w:val="21"/>
        </w:rPr>
        <w:t>现金价值：指最后一期已交付保险费×（1-25%）×（1－该保险费所保障的已经过日数/该保险费所保障的日数）。经过日数不足一日的按一日计算。</w:t>
      </w:r>
    </w:p>
    <w:p>
      <w:pPr>
        <w:pStyle w:val="14"/>
        <w:tabs>
          <w:tab w:val="left" w:pos="562"/>
          <w:tab w:val="left" w:pos="3372"/>
          <w:tab w:val="left" w:pos="3653"/>
        </w:tabs>
        <w:spacing w:after="0" w:line="360" w:lineRule="auto"/>
        <w:rPr>
          <w:rFonts w:ascii="宋体" w:hAnsi="宋体" w:cs="宋体"/>
          <w:szCs w:val="21"/>
        </w:rPr>
      </w:pPr>
    </w:p>
    <w:p>
      <w:pPr>
        <w:widowControl/>
        <w:adjustRightInd w:val="0"/>
        <w:snapToGrid w:val="0"/>
        <w:spacing w:line="360" w:lineRule="auto"/>
        <w:ind w:firstLine="422" w:firstLineChars="200"/>
        <w:jc w:val="center"/>
        <w:outlineLvl w:val="1"/>
        <w:rPr>
          <w:rFonts w:ascii="宋体" w:hAnsi="宋体" w:cs="宋体"/>
          <w:b/>
          <w:bCs/>
          <w:color w:val="000000"/>
          <w:kern w:val="0"/>
          <w:szCs w:val="21"/>
        </w:rPr>
      </w:pPr>
      <w:r>
        <w:rPr>
          <w:rFonts w:hint="eastAsia" w:ascii="宋体" w:hAnsi="宋体" w:cs="宋体"/>
          <w:b/>
          <w:bCs/>
          <w:szCs w:val="21"/>
        </w:rPr>
        <w:t>（八）住院津贴医疗保险条款</w:t>
      </w:r>
      <w:bookmarkEnd w:id="18"/>
      <w:bookmarkEnd w:id="19"/>
    </w:p>
    <w:p>
      <w:pPr>
        <w:widowControl/>
        <w:adjustRightInd w:val="0"/>
        <w:snapToGrid w:val="0"/>
        <w:spacing w:line="360" w:lineRule="auto"/>
        <w:ind w:firstLine="422" w:firstLineChars="200"/>
        <w:jc w:val="center"/>
        <w:rPr>
          <w:rFonts w:ascii="宋体" w:hAnsi="宋体" w:cs="宋体"/>
          <w:b/>
          <w:bCs/>
          <w:color w:val="000000"/>
          <w:szCs w:val="21"/>
        </w:rPr>
      </w:pPr>
      <w:r>
        <w:rPr>
          <w:rFonts w:hint="eastAsia" w:ascii="宋体" w:hAnsi="宋体" w:cs="宋体"/>
          <w:b/>
          <w:bCs/>
          <w:color w:val="000000"/>
          <w:kern w:val="0"/>
          <w:szCs w:val="21"/>
        </w:rPr>
        <w:t>总则</w:t>
      </w:r>
    </w:p>
    <w:p>
      <w:pPr>
        <w:widowControl/>
        <w:adjustRightInd w:val="0"/>
        <w:snapToGrid w:val="0"/>
        <w:spacing w:line="360" w:lineRule="auto"/>
        <w:ind w:firstLine="422" w:firstLineChars="200"/>
        <w:rPr>
          <w:rFonts w:ascii="宋体" w:hAnsi="宋体" w:cs="宋体"/>
          <w:color w:val="000000"/>
          <w:szCs w:val="21"/>
        </w:rPr>
      </w:pPr>
      <w:r>
        <w:rPr>
          <w:rFonts w:hint="eastAsia" w:ascii="宋体" w:hAnsi="宋体" w:cs="宋体"/>
          <w:b/>
          <w:bCs/>
          <w:color w:val="000000"/>
          <w:kern w:val="0"/>
          <w:szCs w:val="21"/>
        </w:rPr>
        <w:t xml:space="preserve">第一条  </w:t>
      </w:r>
      <w:r>
        <w:rPr>
          <w:rFonts w:hint="eastAsia" w:ascii="宋体" w:hAnsi="宋体" w:cs="宋体"/>
          <w:color w:val="000000"/>
          <w:kern w:val="0"/>
          <w:szCs w:val="21"/>
        </w:rPr>
        <w:t>本保险合同（以下简称“本合同”）由保险条款、投保单、保险单或者其他保险凭证、声明、批注、附贴批单以及其他有效文件等构成。凡涉及本合同的约定，均应当采用书面形式。</w:t>
      </w:r>
    </w:p>
    <w:p>
      <w:pPr>
        <w:widowControl/>
        <w:adjustRightInd w:val="0"/>
        <w:snapToGrid w:val="0"/>
        <w:spacing w:line="360" w:lineRule="auto"/>
        <w:ind w:firstLine="422" w:firstLineChars="200"/>
        <w:rPr>
          <w:rFonts w:ascii="宋体" w:hAnsi="宋体" w:cs="宋体"/>
          <w:color w:val="000000"/>
          <w:szCs w:val="21"/>
        </w:rPr>
      </w:pPr>
      <w:r>
        <w:rPr>
          <w:rFonts w:hint="eastAsia" w:ascii="宋体" w:hAnsi="宋体" w:cs="宋体"/>
          <w:b/>
          <w:bCs/>
          <w:color w:val="000000"/>
          <w:kern w:val="0"/>
          <w:szCs w:val="21"/>
        </w:rPr>
        <w:t xml:space="preserve">第二条  </w:t>
      </w:r>
      <w:r>
        <w:rPr>
          <w:rFonts w:hint="eastAsia" w:ascii="宋体" w:hAnsi="宋体" w:cs="宋体"/>
          <w:color w:val="000000"/>
          <w:kern w:val="0"/>
          <w:szCs w:val="21"/>
        </w:rPr>
        <w:t>除本合同另有约定外，投保时年龄在出生满六十日至六十五周岁间，身体健康，能正常工作或者正常生活的自然人，可作为本合同的被保险人。</w:t>
      </w:r>
    </w:p>
    <w:p>
      <w:pPr>
        <w:widowControl/>
        <w:adjustRightInd w:val="0"/>
        <w:snapToGrid w:val="0"/>
        <w:spacing w:line="360" w:lineRule="auto"/>
        <w:ind w:firstLine="422" w:firstLineChars="200"/>
        <w:rPr>
          <w:rFonts w:ascii="宋体" w:hAnsi="宋体" w:cs="宋体"/>
          <w:color w:val="000000"/>
          <w:szCs w:val="21"/>
        </w:rPr>
      </w:pPr>
      <w:r>
        <w:rPr>
          <w:rFonts w:hint="eastAsia" w:ascii="宋体" w:hAnsi="宋体" w:cs="宋体"/>
          <w:b/>
          <w:bCs/>
          <w:color w:val="000000"/>
          <w:kern w:val="0"/>
          <w:szCs w:val="21"/>
        </w:rPr>
        <w:t>第三条</w:t>
      </w:r>
      <w:r>
        <w:rPr>
          <w:rFonts w:hint="eastAsia" w:ascii="宋体" w:hAnsi="宋体" w:cs="宋体"/>
          <w:color w:val="000000"/>
          <w:kern w:val="0"/>
          <w:szCs w:val="21"/>
        </w:rPr>
        <w:t xml:space="preserve">  具有完全民事行为能力的被保险人本人或者对被保险人有保险利益的其他人或者组织，可作为本合同的投保人。</w:t>
      </w:r>
    </w:p>
    <w:p>
      <w:pPr>
        <w:widowControl/>
        <w:adjustRightInd w:val="0"/>
        <w:snapToGrid w:val="0"/>
        <w:spacing w:line="360" w:lineRule="auto"/>
        <w:ind w:firstLine="422" w:firstLineChars="200"/>
        <w:rPr>
          <w:rFonts w:ascii="宋体" w:hAnsi="宋体" w:cs="宋体"/>
          <w:color w:val="000000"/>
          <w:szCs w:val="21"/>
        </w:rPr>
      </w:pPr>
      <w:r>
        <w:rPr>
          <w:rFonts w:hint="eastAsia" w:ascii="宋体" w:hAnsi="宋体" w:cs="宋体"/>
          <w:b/>
          <w:bCs/>
          <w:color w:val="000000"/>
          <w:kern w:val="0"/>
          <w:szCs w:val="21"/>
        </w:rPr>
        <w:t xml:space="preserve">第四条  </w:t>
      </w:r>
      <w:r>
        <w:rPr>
          <w:rFonts w:hint="eastAsia" w:ascii="宋体" w:hAnsi="宋体" w:cs="宋体"/>
          <w:color w:val="000000"/>
          <w:kern w:val="0"/>
          <w:szCs w:val="21"/>
        </w:rPr>
        <w:t>除本合同另有约定外，本合同保险金的受益人为被保险人本人。</w:t>
      </w:r>
    </w:p>
    <w:p>
      <w:pPr>
        <w:widowControl/>
        <w:adjustRightInd w:val="0"/>
        <w:snapToGrid w:val="0"/>
        <w:spacing w:line="360" w:lineRule="auto"/>
        <w:ind w:firstLine="422" w:firstLineChars="200"/>
        <w:jc w:val="center"/>
        <w:rPr>
          <w:rFonts w:ascii="宋体" w:hAnsi="宋体" w:cs="宋体"/>
          <w:b/>
          <w:bCs/>
          <w:color w:val="000000"/>
          <w:szCs w:val="21"/>
        </w:rPr>
      </w:pPr>
      <w:r>
        <w:rPr>
          <w:rFonts w:hint="eastAsia" w:ascii="宋体" w:hAnsi="宋体" w:cs="宋体"/>
          <w:b/>
          <w:bCs/>
          <w:color w:val="000000"/>
          <w:kern w:val="0"/>
          <w:szCs w:val="21"/>
        </w:rPr>
        <w:t>保险责任</w:t>
      </w:r>
    </w:p>
    <w:p>
      <w:pPr>
        <w:widowControl/>
        <w:adjustRightInd w:val="0"/>
        <w:snapToGrid w:val="0"/>
        <w:spacing w:line="360" w:lineRule="auto"/>
        <w:ind w:firstLine="422" w:firstLineChars="200"/>
        <w:rPr>
          <w:rFonts w:ascii="宋体" w:hAnsi="宋体" w:cs="宋体"/>
          <w:szCs w:val="21"/>
        </w:rPr>
      </w:pPr>
      <w:r>
        <w:rPr>
          <w:rFonts w:hint="eastAsia" w:ascii="宋体" w:hAnsi="宋体" w:cs="宋体"/>
          <w:b/>
          <w:bCs/>
          <w:kern w:val="0"/>
          <w:szCs w:val="21"/>
        </w:rPr>
        <w:t xml:space="preserve">第五条  </w:t>
      </w:r>
      <w:r>
        <w:rPr>
          <w:rFonts w:hint="eastAsia" w:ascii="宋体" w:hAnsi="宋体" w:cs="宋体"/>
          <w:kern w:val="0"/>
          <w:szCs w:val="21"/>
        </w:rPr>
        <w:t>本保险分设一般住院津贴、重症监护住院津贴、癌症住院津贴和住院手术津贴等四项保险责任，供投保人选择投保。具体投保的保险责任由投保人选定并于本合同中载明。</w:t>
      </w:r>
    </w:p>
    <w:p>
      <w:pPr>
        <w:widowControl/>
        <w:adjustRightInd w:val="0"/>
        <w:snapToGrid w:val="0"/>
        <w:spacing w:line="360" w:lineRule="auto"/>
        <w:ind w:firstLine="420" w:firstLineChars="200"/>
        <w:rPr>
          <w:rFonts w:ascii="宋体" w:hAnsi="宋体" w:cs="宋体"/>
          <w:szCs w:val="21"/>
        </w:rPr>
      </w:pPr>
      <w:r>
        <w:rPr>
          <w:rFonts w:hint="eastAsia" w:ascii="宋体" w:hAnsi="宋体" w:cs="宋体"/>
          <w:kern w:val="0"/>
          <w:szCs w:val="21"/>
        </w:rPr>
        <w:t>（一）一般住院津贴保险责任</w:t>
      </w:r>
    </w:p>
    <w:p>
      <w:pPr>
        <w:widowControl/>
        <w:adjustRightInd w:val="0"/>
        <w:snapToGrid w:val="0"/>
        <w:spacing w:line="360" w:lineRule="auto"/>
        <w:ind w:firstLine="420" w:firstLineChars="200"/>
        <w:rPr>
          <w:rFonts w:ascii="宋体" w:hAnsi="宋体" w:cs="宋体"/>
          <w:szCs w:val="21"/>
        </w:rPr>
      </w:pPr>
      <w:r>
        <w:rPr>
          <w:rFonts w:hint="eastAsia" w:ascii="宋体" w:hAnsi="宋体" w:cs="宋体"/>
          <w:kern w:val="0"/>
          <w:szCs w:val="21"/>
        </w:rPr>
        <w:t>在保险期间内，被保险人因遭受意外伤害事故或者在为期三十日的等待期届满后（在身体健康的条件下连续续保的或者本合同另有约定的不在此限）患疾病，经保险人指定或者认可的医疗机构的医生诊断必须住院接受治疗的，保险人按被保险人每次实际住院天数减去保险单载明的绝对免赔天数，乘以保险单载明的一般住院津贴日补贴金额，给付“一般住院津贴保险金”。保险期间内一般住院津贴累计给付天数最多为一百八十日。</w:t>
      </w:r>
    </w:p>
    <w:p>
      <w:pPr>
        <w:widowControl/>
        <w:adjustRightInd w:val="0"/>
        <w:snapToGrid w:val="0"/>
        <w:spacing w:line="360" w:lineRule="auto"/>
        <w:ind w:firstLine="420" w:firstLineChars="200"/>
        <w:rPr>
          <w:rFonts w:ascii="宋体" w:hAnsi="宋体" w:cs="宋体"/>
          <w:szCs w:val="21"/>
        </w:rPr>
      </w:pPr>
      <w:r>
        <w:rPr>
          <w:rFonts w:hint="eastAsia" w:ascii="宋体" w:hAnsi="宋体" w:cs="宋体"/>
          <w:kern w:val="0"/>
          <w:szCs w:val="21"/>
        </w:rPr>
        <w:t>（二）重症监护住院津贴保险责任</w:t>
      </w:r>
    </w:p>
    <w:p>
      <w:pPr>
        <w:widowControl/>
        <w:adjustRightInd w:val="0"/>
        <w:snapToGrid w:val="0"/>
        <w:spacing w:line="360" w:lineRule="auto"/>
        <w:ind w:firstLine="420" w:firstLineChars="200"/>
        <w:rPr>
          <w:rFonts w:ascii="宋体" w:hAnsi="宋体" w:cs="宋体"/>
          <w:szCs w:val="21"/>
        </w:rPr>
      </w:pPr>
      <w:r>
        <w:rPr>
          <w:rFonts w:hint="eastAsia" w:ascii="宋体" w:hAnsi="宋体" w:cs="宋体"/>
          <w:kern w:val="0"/>
          <w:szCs w:val="21"/>
        </w:rPr>
        <w:t>在保险期间内，被保险人因遭受意外伤害事故或在为期三十日的等待期届满后（在身体健康的条件下连续续保的或者本合同另有约定的不在此限）患疾病，经保险人指定或者认可的医疗机构的医生诊断必须入住重症监护病房的，保险人按被保险人每次实际住院天数减去保险单载明的绝对免赔天数，乘以保险单载明的重症监护住院津贴日补贴金额，给付“重症监护住院津贴保险金”。保险期间内重症监护住院津贴累计给付天数最多为六十日。</w:t>
      </w:r>
    </w:p>
    <w:p>
      <w:pPr>
        <w:widowControl/>
        <w:adjustRightInd w:val="0"/>
        <w:snapToGrid w:val="0"/>
        <w:spacing w:line="360" w:lineRule="auto"/>
        <w:ind w:firstLine="420" w:firstLineChars="200"/>
        <w:rPr>
          <w:rFonts w:ascii="宋体" w:hAnsi="宋体" w:cs="宋体"/>
          <w:szCs w:val="21"/>
        </w:rPr>
      </w:pPr>
      <w:r>
        <w:rPr>
          <w:rFonts w:hint="eastAsia" w:ascii="宋体" w:hAnsi="宋体" w:cs="宋体"/>
          <w:kern w:val="0"/>
          <w:szCs w:val="21"/>
        </w:rPr>
        <w:t>（三）癌症住院津贴保险责任</w:t>
      </w:r>
    </w:p>
    <w:p>
      <w:pPr>
        <w:widowControl/>
        <w:adjustRightInd w:val="0"/>
        <w:snapToGrid w:val="0"/>
        <w:spacing w:line="360" w:lineRule="auto"/>
        <w:ind w:firstLine="420" w:firstLineChars="200"/>
        <w:rPr>
          <w:rFonts w:ascii="宋体" w:hAnsi="宋体" w:cs="宋体"/>
          <w:szCs w:val="21"/>
        </w:rPr>
      </w:pPr>
      <w:r>
        <w:rPr>
          <w:rFonts w:hint="eastAsia" w:ascii="宋体" w:hAnsi="宋体" w:cs="宋体"/>
          <w:kern w:val="0"/>
          <w:szCs w:val="21"/>
        </w:rPr>
        <w:t>在保险期间内，被保险人在为期九十日的等待期届满后（在身体健康的条件下连续续保的或者本合同另有约定的不在此限）因初次罹患恶性肿瘤，经保险人指定或者认可的医疗机构的医生诊断必须住院接受治疗的，保险人按被保险人每次实际住院天数减去保险单载明的绝对免赔天数，乘以保险单载明的癌症住院津贴日补贴金额，给付“癌症住院津贴保险金”。保险期间内癌症住院津贴累计给付天数最多为一百八十日。</w:t>
      </w:r>
    </w:p>
    <w:p>
      <w:pPr>
        <w:widowControl/>
        <w:adjustRightInd w:val="0"/>
        <w:snapToGrid w:val="0"/>
        <w:spacing w:line="360" w:lineRule="auto"/>
        <w:ind w:firstLine="420" w:firstLineChars="200"/>
        <w:rPr>
          <w:rFonts w:ascii="宋体" w:hAnsi="宋体" w:cs="宋体"/>
          <w:szCs w:val="21"/>
        </w:rPr>
      </w:pPr>
      <w:r>
        <w:rPr>
          <w:rFonts w:hint="eastAsia" w:ascii="宋体" w:hAnsi="宋体" w:cs="宋体"/>
          <w:kern w:val="0"/>
          <w:szCs w:val="21"/>
        </w:rPr>
        <w:t>（四）住院手术津贴保险责任</w:t>
      </w:r>
    </w:p>
    <w:p>
      <w:pPr>
        <w:widowControl/>
        <w:adjustRightInd w:val="0"/>
        <w:snapToGrid w:val="0"/>
        <w:spacing w:line="360" w:lineRule="auto"/>
        <w:ind w:firstLine="420" w:firstLineChars="200"/>
        <w:rPr>
          <w:rFonts w:ascii="宋体" w:hAnsi="宋体" w:cs="宋体"/>
          <w:szCs w:val="21"/>
        </w:rPr>
      </w:pPr>
      <w:r>
        <w:rPr>
          <w:rFonts w:hint="eastAsia" w:ascii="宋体" w:hAnsi="宋体" w:cs="宋体"/>
          <w:kern w:val="0"/>
          <w:szCs w:val="21"/>
        </w:rPr>
        <w:t>在保险期间内，被保险人因遭受意外伤害事故或在为期三十日的等待期届满后（在身体健康的条件下连续续保的或者本合同另有约定的不在此限）患疾病，经保险人指定或者认可的医疗机构诊断必须施行手术的，保险人根据本保险条款所附《住院手术津贴等级标准表》的规定，按该手术项目所对应的比例乘以保险单载明的住院手术津贴保险金额，给付“住院手术津贴保险金”。</w:t>
      </w:r>
    </w:p>
    <w:p>
      <w:pPr>
        <w:widowControl/>
        <w:adjustRightInd w:val="0"/>
        <w:snapToGrid w:val="0"/>
        <w:spacing w:line="360" w:lineRule="auto"/>
        <w:ind w:firstLine="420" w:firstLineChars="200"/>
        <w:rPr>
          <w:rFonts w:ascii="宋体" w:hAnsi="宋体" w:cs="宋体"/>
          <w:szCs w:val="21"/>
        </w:rPr>
      </w:pPr>
      <w:r>
        <w:rPr>
          <w:rFonts w:hint="eastAsia" w:ascii="宋体" w:hAnsi="宋体" w:cs="宋体"/>
          <w:kern w:val="0"/>
          <w:szCs w:val="21"/>
        </w:rPr>
        <w:t>被保险人所施行的手术不在《住院手术津贴等级标准表》所列范围内的，保险人将根据手术所属科别和手术部位参照《住院手术津贴等级标准表》中相近项目确定给付手术医疗津贴等级，但给付金额不超过该科手术最高津贴的50%。</w:t>
      </w:r>
    </w:p>
    <w:p>
      <w:pPr>
        <w:widowControl/>
        <w:adjustRightInd w:val="0"/>
        <w:snapToGrid w:val="0"/>
        <w:spacing w:line="360" w:lineRule="auto"/>
        <w:ind w:firstLine="420" w:firstLineChars="200"/>
        <w:rPr>
          <w:rFonts w:ascii="宋体" w:hAnsi="宋体" w:cs="宋体"/>
          <w:szCs w:val="21"/>
        </w:rPr>
      </w:pPr>
      <w:r>
        <w:rPr>
          <w:rFonts w:hint="eastAsia" w:ascii="宋体" w:hAnsi="宋体" w:cs="宋体"/>
          <w:kern w:val="0"/>
          <w:szCs w:val="21"/>
        </w:rPr>
        <w:t>被保险人一次住院施行多次手术的，各次手术可累计给付，但保险期间内最高累计给付金额不超过本保险合同中列明的住院手术津贴保险金额。被保险人因一次手术涉及多个手术项目时，按各手术项目中等级最高之标准给付，不可累计计算。</w:t>
      </w:r>
    </w:p>
    <w:p>
      <w:pPr>
        <w:widowControl/>
        <w:adjustRightInd w:val="0"/>
        <w:snapToGrid w:val="0"/>
        <w:spacing w:line="360" w:lineRule="auto"/>
        <w:ind w:firstLine="422" w:firstLineChars="200"/>
        <w:jc w:val="center"/>
        <w:rPr>
          <w:rFonts w:ascii="宋体" w:hAnsi="宋体" w:cs="宋体"/>
          <w:b/>
          <w:bCs/>
          <w:color w:val="000000"/>
          <w:szCs w:val="21"/>
        </w:rPr>
      </w:pPr>
      <w:r>
        <w:rPr>
          <w:rFonts w:hint="eastAsia" w:ascii="宋体" w:hAnsi="宋体" w:cs="宋体"/>
          <w:b/>
          <w:bCs/>
          <w:color w:val="000000"/>
          <w:kern w:val="0"/>
          <w:szCs w:val="21"/>
        </w:rPr>
        <w:t>责任免除</w:t>
      </w:r>
    </w:p>
    <w:p>
      <w:pPr>
        <w:widowControl/>
        <w:adjustRightInd w:val="0"/>
        <w:snapToGrid w:val="0"/>
        <w:spacing w:line="360" w:lineRule="auto"/>
        <w:ind w:firstLine="422" w:firstLineChars="200"/>
        <w:rPr>
          <w:rFonts w:ascii="宋体" w:hAnsi="宋体" w:cs="宋体"/>
          <w:b/>
          <w:bCs/>
          <w:color w:val="000000"/>
          <w:szCs w:val="21"/>
        </w:rPr>
      </w:pPr>
      <w:r>
        <w:rPr>
          <w:rFonts w:hint="eastAsia" w:ascii="宋体" w:hAnsi="宋体" w:cs="宋体"/>
          <w:b/>
          <w:bCs/>
          <w:color w:val="000000"/>
          <w:kern w:val="0"/>
          <w:szCs w:val="21"/>
        </w:rPr>
        <w:t>第六条  由于下列任何原因，被保险人住院接受治疗的，保险人不承担保险责任：</w:t>
      </w:r>
    </w:p>
    <w:p>
      <w:pPr>
        <w:widowControl/>
        <w:adjustRightInd w:val="0"/>
        <w:snapToGrid w:val="0"/>
        <w:spacing w:line="360" w:lineRule="auto"/>
        <w:ind w:firstLine="422" w:firstLineChars="200"/>
        <w:rPr>
          <w:rFonts w:ascii="宋体" w:hAnsi="宋体" w:cs="宋体"/>
          <w:b/>
          <w:bCs/>
          <w:color w:val="000000"/>
          <w:szCs w:val="21"/>
        </w:rPr>
      </w:pPr>
      <w:r>
        <w:rPr>
          <w:rFonts w:hint="eastAsia" w:ascii="宋体" w:hAnsi="宋体" w:cs="宋体"/>
          <w:b/>
          <w:bCs/>
          <w:color w:val="000000"/>
          <w:kern w:val="0"/>
          <w:szCs w:val="21"/>
        </w:rPr>
        <w:t>（一）既往症，先天性畸形、变形和染色体异常，遗传性疾病，性传播疾病；</w:t>
      </w:r>
    </w:p>
    <w:p>
      <w:pPr>
        <w:widowControl/>
        <w:adjustRightInd w:val="0"/>
        <w:snapToGrid w:val="0"/>
        <w:spacing w:line="360" w:lineRule="auto"/>
        <w:ind w:firstLine="422" w:firstLineChars="200"/>
        <w:rPr>
          <w:rFonts w:ascii="宋体" w:hAnsi="宋体" w:cs="宋体"/>
          <w:b/>
          <w:bCs/>
          <w:color w:val="000000"/>
          <w:szCs w:val="21"/>
        </w:rPr>
      </w:pPr>
      <w:r>
        <w:rPr>
          <w:rFonts w:hint="eastAsia" w:ascii="宋体" w:hAnsi="宋体" w:cs="宋体"/>
          <w:b/>
          <w:bCs/>
          <w:color w:val="000000"/>
          <w:kern w:val="0"/>
          <w:szCs w:val="21"/>
        </w:rPr>
        <w:t>（二）投保人的故意行为，自致伤害；</w:t>
      </w:r>
    </w:p>
    <w:p>
      <w:pPr>
        <w:widowControl/>
        <w:adjustRightInd w:val="0"/>
        <w:snapToGrid w:val="0"/>
        <w:spacing w:line="360" w:lineRule="auto"/>
        <w:ind w:firstLine="422" w:firstLineChars="200"/>
        <w:rPr>
          <w:rFonts w:ascii="宋体" w:hAnsi="宋体" w:cs="宋体"/>
          <w:b/>
          <w:bCs/>
          <w:color w:val="000000"/>
          <w:szCs w:val="21"/>
        </w:rPr>
      </w:pPr>
      <w:r>
        <w:rPr>
          <w:rFonts w:hint="eastAsia" w:ascii="宋体" w:hAnsi="宋体" w:cs="宋体"/>
          <w:b/>
          <w:bCs/>
          <w:color w:val="000000"/>
          <w:kern w:val="0"/>
          <w:szCs w:val="21"/>
        </w:rPr>
        <w:t>（三）从事违法犯罪活动或者拒捕，因被保险人挑衅或者故意行为导致争执、打斗而引发意外或者因此被攻击或者被伤害；</w:t>
      </w:r>
    </w:p>
    <w:p>
      <w:pPr>
        <w:widowControl/>
        <w:adjustRightInd w:val="0"/>
        <w:snapToGrid w:val="0"/>
        <w:spacing w:line="360" w:lineRule="auto"/>
        <w:ind w:firstLine="422" w:firstLineChars="200"/>
        <w:rPr>
          <w:rFonts w:ascii="宋体" w:hAnsi="宋体" w:cs="宋体"/>
          <w:b/>
          <w:bCs/>
          <w:color w:val="000000"/>
          <w:szCs w:val="21"/>
        </w:rPr>
      </w:pPr>
      <w:r>
        <w:rPr>
          <w:rFonts w:hint="eastAsia" w:ascii="宋体" w:hAnsi="宋体" w:cs="宋体"/>
          <w:b/>
          <w:bCs/>
          <w:color w:val="000000"/>
          <w:kern w:val="0"/>
          <w:szCs w:val="21"/>
        </w:rPr>
        <w:t>（四）未遵医嘱而私自服用、涂用或者注射药物，医疗事故；</w:t>
      </w:r>
    </w:p>
    <w:p>
      <w:pPr>
        <w:widowControl/>
        <w:adjustRightInd w:val="0"/>
        <w:snapToGrid w:val="0"/>
        <w:spacing w:line="360" w:lineRule="auto"/>
        <w:ind w:firstLine="422" w:firstLineChars="200"/>
        <w:rPr>
          <w:rFonts w:ascii="宋体" w:hAnsi="宋体" w:cs="宋体"/>
          <w:b/>
          <w:bCs/>
          <w:color w:val="000000"/>
          <w:szCs w:val="21"/>
        </w:rPr>
      </w:pPr>
      <w:r>
        <w:rPr>
          <w:rFonts w:hint="eastAsia" w:ascii="宋体" w:hAnsi="宋体" w:cs="宋体"/>
          <w:b/>
          <w:bCs/>
          <w:color w:val="000000"/>
          <w:kern w:val="0"/>
          <w:szCs w:val="21"/>
        </w:rPr>
        <w:t>（五）怀孕（含宫外孕）、流产、分娩（含剖腹产）、避孕、绝育手术、治疗不孕症、人工受孕以及由此导致的并发症，但意外所致的流产、分娩不在此限；</w:t>
      </w:r>
    </w:p>
    <w:p>
      <w:pPr>
        <w:widowControl/>
        <w:adjustRightInd w:val="0"/>
        <w:snapToGrid w:val="0"/>
        <w:spacing w:line="360" w:lineRule="auto"/>
        <w:ind w:firstLine="422" w:firstLineChars="200"/>
        <w:rPr>
          <w:rFonts w:ascii="宋体" w:hAnsi="宋体" w:cs="宋体"/>
          <w:b/>
          <w:bCs/>
          <w:color w:val="000000"/>
          <w:szCs w:val="21"/>
        </w:rPr>
      </w:pPr>
      <w:r>
        <w:rPr>
          <w:rFonts w:hint="eastAsia" w:ascii="宋体" w:hAnsi="宋体" w:cs="宋体"/>
          <w:b/>
          <w:bCs/>
          <w:color w:val="000000"/>
          <w:kern w:val="0"/>
          <w:szCs w:val="21"/>
        </w:rPr>
        <w:t>（六）战争、军事行动、暴乱、武装叛乱、恐怖活动或者邪教组织活动，任何生物武器、化学武器、核武器，核能装置造成的爆炸、辐射、灼伤或者污染。</w:t>
      </w:r>
    </w:p>
    <w:p>
      <w:pPr>
        <w:widowControl/>
        <w:adjustRightInd w:val="0"/>
        <w:snapToGrid w:val="0"/>
        <w:spacing w:line="360" w:lineRule="auto"/>
        <w:ind w:firstLine="422" w:firstLineChars="200"/>
        <w:rPr>
          <w:rFonts w:ascii="宋体" w:hAnsi="宋体" w:cs="宋体"/>
          <w:b/>
          <w:bCs/>
          <w:color w:val="000000"/>
          <w:szCs w:val="21"/>
        </w:rPr>
      </w:pPr>
      <w:r>
        <w:rPr>
          <w:rFonts w:hint="eastAsia" w:ascii="宋体" w:hAnsi="宋体" w:cs="宋体"/>
          <w:b/>
          <w:bCs/>
          <w:color w:val="000000"/>
          <w:kern w:val="0"/>
          <w:szCs w:val="21"/>
        </w:rPr>
        <w:t>第七条  在下列任何情形下，被保险人发生事故从而接受住院治疗的，保险人不承担保险责任：</w:t>
      </w:r>
    </w:p>
    <w:p>
      <w:pPr>
        <w:widowControl/>
        <w:adjustRightInd w:val="0"/>
        <w:snapToGrid w:val="0"/>
        <w:spacing w:line="360" w:lineRule="auto"/>
        <w:ind w:firstLine="422" w:firstLineChars="200"/>
        <w:rPr>
          <w:rFonts w:ascii="宋体" w:hAnsi="宋体" w:cs="宋体"/>
          <w:b/>
          <w:bCs/>
          <w:color w:val="000000"/>
          <w:szCs w:val="21"/>
        </w:rPr>
      </w:pPr>
      <w:r>
        <w:rPr>
          <w:rFonts w:hint="eastAsia" w:ascii="宋体" w:hAnsi="宋体" w:cs="宋体"/>
          <w:b/>
          <w:bCs/>
          <w:color w:val="000000"/>
          <w:kern w:val="0"/>
          <w:szCs w:val="21"/>
        </w:rPr>
        <w:t>（一）被司法机关采取强制措施期间或者被判入狱期间；</w:t>
      </w:r>
    </w:p>
    <w:p>
      <w:pPr>
        <w:widowControl/>
        <w:adjustRightInd w:val="0"/>
        <w:snapToGrid w:val="0"/>
        <w:spacing w:line="360" w:lineRule="auto"/>
        <w:ind w:firstLine="422" w:firstLineChars="200"/>
        <w:rPr>
          <w:rFonts w:ascii="宋体" w:hAnsi="宋体" w:cs="宋体"/>
          <w:b/>
          <w:bCs/>
          <w:color w:val="000000"/>
          <w:szCs w:val="21"/>
        </w:rPr>
      </w:pPr>
      <w:r>
        <w:rPr>
          <w:rFonts w:hint="eastAsia" w:ascii="宋体" w:hAnsi="宋体" w:cs="宋体"/>
          <w:b/>
          <w:bCs/>
          <w:color w:val="000000"/>
          <w:kern w:val="0"/>
          <w:szCs w:val="21"/>
        </w:rPr>
        <w:t>（二）精神和行为障碍(以世界卫生组织颁布的《疾病和有关健康问题的国际统计分类(ICD-10)》为准)或者癫痫发作期间，被保险人感染艾滋病（AIDS）或者感染艾滋病病毒（HIV阳性）期间；</w:t>
      </w:r>
    </w:p>
    <w:p>
      <w:pPr>
        <w:widowControl/>
        <w:adjustRightInd w:val="0"/>
        <w:snapToGrid w:val="0"/>
        <w:spacing w:line="360" w:lineRule="auto"/>
        <w:ind w:firstLine="422" w:firstLineChars="200"/>
        <w:rPr>
          <w:rFonts w:ascii="宋体" w:hAnsi="宋体" w:cs="宋体"/>
          <w:b/>
          <w:bCs/>
          <w:color w:val="000000"/>
          <w:szCs w:val="21"/>
        </w:rPr>
      </w:pPr>
      <w:r>
        <w:rPr>
          <w:rFonts w:hint="eastAsia" w:ascii="宋体" w:hAnsi="宋体" w:cs="宋体"/>
          <w:b/>
          <w:bCs/>
          <w:color w:val="000000"/>
          <w:kern w:val="0"/>
          <w:szCs w:val="21"/>
        </w:rPr>
        <w:t>（三）醉酒或者受酒精、毒品或者管制药品的影响期间；</w:t>
      </w:r>
    </w:p>
    <w:p>
      <w:pPr>
        <w:widowControl/>
        <w:adjustRightInd w:val="0"/>
        <w:snapToGrid w:val="0"/>
        <w:spacing w:line="360" w:lineRule="auto"/>
        <w:ind w:firstLine="422" w:firstLineChars="200"/>
        <w:rPr>
          <w:rFonts w:ascii="宋体" w:hAnsi="宋体" w:cs="宋体"/>
          <w:b/>
          <w:bCs/>
          <w:color w:val="000000"/>
          <w:szCs w:val="21"/>
        </w:rPr>
      </w:pPr>
      <w:r>
        <w:rPr>
          <w:rFonts w:hint="eastAsia" w:ascii="宋体" w:hAnsi="宋体" w:cs="宋体"/>
          <w:b/>
          <w:bCs/>
          <w:color w:val="000000"/>
          <w:kern w:val="0"/>
          <w:szCs w:val="21"/>
        </w:rPr>
        <w:t>（四）酒后驾驶、无有效驾驶证驾驶或者驾驶无有效行驶证的机动交通工具期间；</w:t>
      </w:r>
    </w:p>
    <w:p>
      <w:pPr>
        <w:widowControl/>
        <w:adjustRightInd w:val="0"/>
        <w:snapToGrid w:val="0"/>
        <w:spacing w:line="360" w:lineRule="auto"/>
        <w:ind w:firstLine="422" w:firstLineChars="200"/>
        <w:rPr>
          <w:rFonts w:ascii="宋体" w:hAnsi="宋体" w:cs="宋体"/>
          <w:b/>
          <w:bCs/>
          <w:color w:val="000000"/>
          <w:szCs w:val="21"/>
        </w:rPr>
      </w:pPr>
      <w:r>
        <w:rPr>
          <w:rFonts w:hint="eastAsia" w:ascii="宋体" w:hAnsi="宋体" w:cs="宋体"/>
          <w:b/>
          <w:bCs/>
          <w:color w:val="000000"/>
          <w:kern w:val="0"/>
          <w:szCs w:val="21"/>
        </w:rPr>
        <w:t>（五）被保险人以非乘客身份搭乘航空器具或者搭乘非经当地政府登记许可的航空器具期间；</w:t>
      </w:r>
    </w:p>
    <w:p>
      <w:pPr>
        <w:widowControl/>
        <w:adjustRightInd w:val="0"/>
        <w:snapToGrid w:val="0"/>
        <w:spacing w:line="360" w:lineRule="auto"/>
        <w:ind w:firstLine="422" w:firstLineChars="200"/>
        <w:rPr>
          <w:rFonts w:ascii="宋体" w:hAnsi="宋体" w:cs="宋体"/>
          <w:b/>
          <w:bCs/>
          <w:color w:val="000000"/>
          <w:szCs w:val="21"/>
        </w:rPr>
      </w:pPr>
      <w:r>
        <w:rPr>
          <w:rFonts w:hint="eastAsia" w:ascii="宋体" w:hAnsi="宋体" w:cs="宋体"/>
          <w:b/>
          <w:bCs/>
          <w:color w:val="000000"/>
          <w:kern w:val="0"/>
          <w:szCs w:val="21"/>
        </w:rPr>
        <w:t>（六）从事潜水、跳伞、攀岩、探险、武术比赛、摔跤、特技、赛马、赛车、蹦极以及其他风险程度类似的高风险活动，竞技性、职业性运动，设有奖金或者报酬的体育运动。</w:t>
      </w:r>
    </w:p>
    <w:p>
      <w:pPr>
        <w:widowControl/>
        <w:adjustRightInd w:val="0"/>
        <w:snapToGrid w:val="0"/>
        <w:spacing w:line="360" w:lineRule="auto"/>
        <w:ind w:firstLine="422" w:firstLineChars="200"/>
        <w:rPr>
          <w:rFonts w:ascii="宋体" w:hAnsi="宋体" w:cs="宋体"/>
          <w:b/>
          <w:bCs/>
          <w:color w:val="000000"/>
          <w:szCs w:val="21"/>
        </w:rPr>
      </w:pPr>
      <w:r>
        <w:rPr>
          <w:rFonts w:hint="eastAsia" w:ascii="宋体" w:hAnsi="宋体" w:cs="宋体"/>
          <w:b/>
          <w:bCs/>
          <w:color w:val="000000"/>
          <w:kern w:val="0"/>
          <w:szCs w:val="21"/>
        </w:rPr>
        <w:t>第八条  对于下列任何住院治疗，保险人不承担保险责任：</w:t>
      </w:r>
    </w:p>
    <w:p>
      <w:pPr>
        <w:widowControl/>
        <w:adjustRightInd w:val="0"/>
        <w:snapToGrid w:val="0"/>
        <w:spacing w:line="360" w:lineRule="auto"/>
        <w:ind w:firstLine="422" w:firstLineChars="200"/>
        <w:rPr>
          <w:rFonts w:ascii="宋体" w:hAnsi="宋体" w:cs="宋体"/>
          <w:b/>
          <w:bCs/>
          <w:color w:val="000000"/>
          <w:szCs w:val="21"/>
        </w:rPr>
      </w:pPr>
      <w:r>
        <w:rPr>
          <w:rFonts w:hint="eastAsia" w:ascii="宋体" w:hAnsi="宋体" w:cs="宋体"/>
          <w:b/>
          <w:bCs/>
          <w:color w:val="000000"/>
          <w:kern w:val="0"/>
          <w:szCs w:val="21"/>
        </w:rPr>
        <w:t>（一）首次参加本保险或者非连续续保的，在保险人对其保险责任生效之日起等待期内患疾病住院接受治疗，以及等待期后因与该被保险人等待期内所患病症相关病症住院接受治疗，本附加合同另有约定的不在此限；</w:t>
      </w:r>
    </w:p>
    <w:p>
      <w:pPr>
        <w:widowControl/>
        <w:adjustRightInd w:val="0"/>
        <w:snapToGrid w:val="0"/>
        <w:spacing w:line="360" w:lineRule="auto"/>
        <w:ind w:firstLine="422" w:firstLineChars="200"/>
        <w:rPr>
          <w:rFonts w:ascii="宋体" w:hAnsi="宋体" w:cs="宋体"/>
          <w:b/>
          <w:bCs/>
          <w:color w:val="000000"/>
          <w:szCs w:val="21"/>
        </w:rPr>
      </w:pPr>
      <w:r>
        <w:rPr>
          <w:rFonts w:hint="eastAsia" w:ascii="宋体" w:hAnsi="宋体" w:cs="宋体"/>
          <w:b/>
          <w:bCs/>
          <w:color w:val="000000"/>
          <w:kern w:val="0"/>
          <w:szCs w:val="21"/>
        </w:rPr>
        <w:t>（二）不在保险人指定或者认可的医疗机构住院接受治疗；</w:t>
      </w:r>
    </w:p>
    <w:p>
      <w:pPr>
        <w:widowControl/>
        <w:adjustRightInd w:val="0"/>
        <w:snapToGrid w:val="0"/>
        <w:spacing w:line="360" w:lineRule="auto"/>
        <w:ind w:firstLine="422" w:firstLineChars="200"/>
        <w:rPr>
          <w:rFonts w:ascii="宋体" w:hAnsi="宋体" w:cs="宋体"/>
          <w:b/>
          <w:bCs/>
          <w:color w:val="000000"/>
          <w:szCs w:val="21"/>
        </w:rPr>
      </w:pPr>
      <w:r>
        <w:rPr>
          <w:rFonts w:hint="eastAsia" w:ascii="宋体" w:hAnsi="宋体" w:cs="宋体"/>
          <w:b/>
          <w:bCs/>
          <w:color w:val="000000"/>
          <w:kern w:val="0"/>
          <w:szCs w:val="21"/>
        </w:rPr>
        <w:t>（三）被保险人在家自设病床治疗；</w:t>
      </w:r>
    </w:p>
    <w:p>
      <w:pPr>
        <w:widowControl/>
        <w:adjustRightInd w:val="0"/>
        <w:snapToGrid w:val="0"/>
        <w:spacing w:line="360" w:lineRule="auto"/>
        <w:ind w:firstLine="422" w:firstLineChars="200"/>
        <w:rPr>
          <w:rFonts w:ascii="宋体" w:hAnsi="宋体" w:cs="宋体"/>
          <w:b/>
          <w:bCs/>
          <w:color w:val="000000"/>
          <w:szCs w:val="21"/>
        </w:rPr>
      </w:pPr>
      <w:r>
        <w:rPr>
          <w:rFonts w:hint="eastAsia" w:ascii="宋体" w:hAnsi="宋体" w:cs="宋体"/>
          <w:b/>
          <w:bCs/>
          <w:color w:val="000000"/>
          <w:kern w:val="0"/>
          <w:szCs w:val="21"/>
        </w:rPr>
        <w:t>（四）非因意外伤害而进行的牙科治疗或手术以及任何原因导致的牙齿修复或整形；</w:t>
      </w:r>
    </w:p>
    <w:p>
      <w:pPr>
        <w:widowControl/>
        <w:adjustRightInd w:val="0"/>
        <w:snapToGrid w:val="0"/>
        <w:spacing w:line="360" w:lineRule="auto"/>
        <w:ind w:firstLine="422" w:firstLineChars="200"/>
        <w:rPr>
          <w:rFonts w:ascii="宋体" w:hAnsi="宋体" w:cs="宋体"/>
          <w:b/>
          <w:bCs/>
          <w:color w:val="000000"/>
          <w:szCs w:val="21"/>
        </w:rPr>
      </w:pPr>
      <w:r>
        <w:rPr>
          <w:rFonts w:hint="eastAsia" w:ascii="宋体" w:hAnsi="宋体" w:cs="宋体"/>
          <w:b/>
          <w:bCs/>
          <w:color w:val="000000"/>
          <w:kern w:val="0"/>
          <w:szCs w:val="21"/>
        </w:rPr>
        <w:t>（五）无医学必要的住院，包括但不限于美容手术，外科整形，视力矫正手术，预防性手术，以疗养、康复为主要目的的医疗行为。</w:t>
      </w:r>
    </w:p>
    <w:p>
      <w:pPr>
        <w:widowControl/>
        <w:adjustRightInd w:val="0"/>
        <w:snapToGrid w:val="0"/>
        <w:spacing w:line="360" w:lineRule="auto"/>
        <w:ind w:firstLine="422" w:firstLineChars="200"/>
        <w:jc w:val="center"/>
        <w:rPr>
          <w:rFonts w:ascii="宋体" w:hAnsi="宋体" w:cs="宋体"/>
          <w:b/>
          <w:bCs/>
          <w:szCs w:val="21"/>
        </w:rPr>
      </w:pPr>
      <w:r>
        <w:rPr>
          <w:rFonts w:hint="eastAsia" w:ascii="宋体" w:hAnsi="宋体" w:cs="宋体"/>
          <w:b/>
          <w:bCs/>
          <w:kern w:val="0"/>
          <w:szCs w:val="21"/>
        </w:rPr>
        <w:t>保险金额和保险费</w:t>
      </w:r>
    </w:p>
    <w:p>
      <w:pPr>
        <w:widowControl/>
        <w:adjustRightInd w:val="0"/>
        <w:snapToGrid w:val="0"/>
        <w:spacing w:line="360" w:lineRule="auto"/>
        <w:ind w:firstLine="422" w:firstLineChars="200"/>
        <w:rPr>
          <w:rFonts w:ascii="宋体" w:hAnsi="宋体" w:cs="宋体"/>
          <w:szCs w:val="21"/>
        </w:rPr>
      </w:pPr>
      <w:r>
        <w:rPr>
          <w:rFonts w:hint="eastAsia" w:ascii="宋体" w:hAnsi="宋体" w:cs="宋体"/>
          <w:b/>
          <w:bCs/>
          <w:kern w:val="0"/>
          <w:szCs w:val="21"/>
        </w:rPr>
        <w:t>第九条</w:t>
      </w:r>
      <w:r>
        <w:rPr>
          <w:rFonts w:hint="eastAsia" w:ascii="宋体" w:hAnsi="宋体" w:cs="宋体"/>
          <w:kern w:val="0"/>
          <w:szCs w:val="21"/>
        </w:rPr>
        <w:t xml:space="preserve">  被保险人的一般住院津贴日补贴金额、重症监护住院津贴日补贴金额、癌症住院津贴日补贴金额、住院手术津贴保险金额由投保人与保险人约定，并于本合同中载明。</w:t>
      </w:r>
    </w:p>
    <w:p>
      <w:pPr>
        <w:widowControl/>
        <w:adjustRightInd w:val="0"/>
        <w:snapToGrid w:val="0"/>
        <w:spacing w:line="360" w:lineRule="auto"/>
        <w:ind w:firstLine="422" w:firstLineChars="200"/>
        <w:rPr>
          <w:rFonts w:ascii="宋体" w:hAnsi="宋体" w:cs="宋体"/>
          <w:szCs w:val="21"/>
        </w:rPr>
      </w:pPr>
      <w:r>
        <w:rPr>
          <w:rFonts w:hint="eastAsia" w:ascii="宋体" w:hAnsi="宋体" w:cs="宋体"/>
          <w:b/>
          <w:bCs/>
          <w:kern w:val="0"/>
          <w:szCs w:val="21"/>
        </w:rPr>
        <w:t>第十条</w:t>
      </w:r>
      <w:r>
        <w:rPr>
          <w:rFonts w:hint="eastAsia" w:ascii="宋体" w:hAnsi="宋体" w:cs="宋体"/>
          <w:kern w:val="0"/>
          <w:szCs w:val="21"/>
        </w:rPr>
        <w:t xml:space="preserve">  除另有约定外，保险费应当由投保人于订立本合同时一次交清。投保人未按照本合同的约定交清保险费的，保险人有权解除本合同。</w:t>
      </w:r>
    </w:p>
    <w:p>
      <w:pPr>
        <w:widowControl/>
        <w:adjustRightInd w:val="0"/>
        <w:snapToGrid w:val="0"/>
        <w:spacing w:line="360" w:lineRule="auto"/>
        <w:ind w:firstLine="422" w:firstLineChars="200"/>
        <w:jc w:val="center"/>
        <w:rPr>
          <w:rFonts w:ascii="宋体" w:hAnsi="宋体" w:cs="宋体"/>
          <w:b/>
          <w:bCs/>
          <w:szCs w:val="21"/>
        </w:rPr>
      </w:pPr>
      <w:r>
        <w:rPr>
          <w:rFonts w:hint="eastAsia" w:ascii="宋体" w:hAnsi="宋体" w:cs="宋体"/>
          <w:b/>
          <w:bCs/>
          <w:kern w:val="0"/>
          <w:szCs w:val="21"/>
        </w:rPr>
        <w:t>保险期间</w:t>
      </w:r>
    </w:p>
    <w:p>
      <w:pPr>
        <w:widowControl/>
        <w:adjustRightInd w:val="0"/>
        <w:snapToGrid w:val="0"/>
        <w:spacing w:line="360" w:lineRule="auto"/>
        <w:ind w:firstLine="422" w:firstLineChars="200"/>
        <w:rPr>
          <w:rFonts w:ascii="宋体" w:hAnsi="宋体" w:cs="宋体"/>
          <w:szCs w:val="21"/>
        </w:rPr>
      </w:pPr>
      <w:r>
        <w:rPr>
          <w:rFonts w:hint="eastAsia" w:ascii="宋体" w:hAnsi="宋体" w:cs="宋体"/>
          <w:b/>
          <w:bCs/>
          <w:kern w:val="0"/>
          <w:szCs w:val="21"/>
        </w:rPr>
        <w:t>第十一条</w:t>
      </w:r>
      <w:r>
        <w:rPr>
          <w:rFonts w:hint="eastAsia" w:ascii="宋体" w:hAnsi="宋体" w:cs="宋体"/>
          <w:kern w:val="0"/>
          <w:szCs w:val="21"/>
        </w:rPr>
        <w:t xml:space="preserve">  除另有约定外，本合同保险期间为一年，具体起讫时间由投保人与保险人约定，并于本合同中载明。</w:t>
      </w:r>
    </w:p>
    <w:p>
      <w:pPr>
        <w:widowControl/>
        <w:adjustRightInd w:val="0"/>
        <w:snapToGrid w:val="0"/>
        <w:spacing w:line="360" w:lineRule="auto"/>
        <w:ind w:firstLine="422" w:firstLineChars="200"/>
        <w:rPr>
          <w:rFonts w:ascii="宋体" w:hAnsi="宋体" w:cs="宋体"/>
          <w:b/>
          <w:bCs/>
          <w:szCs w:val="21"/>
        </w:rPr>
      </w:pPr>
      <w:r>
        <w:rPr>
          <w:rFonts w:hint="eastAsia" w:ascii="宋体" w:hAnsi="宋体" w:cs="宋体"/>
          <w:b/>
          <w:bCs/>
          <w:kern w:val="0"/>
          <w:szCs w:val="21"/>
        </w:rPr>
        <w:t>保险人义务</w:t>
      </w:r>
    </w:p>
    <w:p>
      <w:pPr>
        <w:widowControl/>
        <w:adjustRightInd w:val="0"/>
        <w:snapToGrid w:val="0"/>
        <w:spacing w:line="360" w:lineRule="auto"/>
        <w:ind w:firstLine="422" w:firstLineChars="200"/>
        <w:rPr>
          <w:rFonts w:ascii="宋体" w:hAnsi="宋体" w:cs="宋体"/>
          <w:szCs w:val="21"/>
        </w:rPr>
      </w:pPr>
      <w:r>
        <w:rPr>
          <w:rFonts w:hint="eastAsia" w:ascii="宋体" w:hAnsi="宋体" w:cs="宋体"/>
          <w:b/>
          <w:bCs/>
          <w:kern w:val="0"/>
          <w:szCs w:val="21"/>
        </w:rPr>
        <w:t>第十二条</w:t>
      </w:r>
      <w:r>
        <w:rPr>
          <w:rFonts w:hint="eastAsia" w:ascii="宋体" w:hAnsi="宋体" w:cs="宋体"/>
          <w:kern w:val="0"/>
          <w:szCs w:val="21"/>
        </w:rPr>
        <w:t xml:space="preserve">  保险人同意承保的，应当及时向投保人签发保险单或者其他保险凭证。</w:t>
      </w:r>
    </w:p>
    <w:p>
      <w:pPr>
        <w:widowControl/>
        <w:adjustRightInd w:val="0"/>
        <w:snapToGrid w:val="0"/>
        <w:spacing w:line="360" w:lineRule="auto"/>
        <w:ind w:firstLine="422" w:firstLineChars="200"/>
        <w:rPr>
          <w:rFonts w:ascii="宋体" w:hAnsi="宋体" w:cs="宋体"/>
          <w:szCs w:val="21"/>
        </w:rPr>
      </w:pPr>
      <w:r>
        <w:rPr>
          <w:rFonts w:hint="eastAsia" w:ascii="宋体" w:hAnsi="宋体" w:cs="宋体"/>
          <w:b/>
          <w:bCs/>
          <w:kern w:val="0"/>
          <w:szCs w:val="21"/>
        </w:rPr>
        <w:t>第十三条</w:t>
      </w:r>
      <w:r>
        <w:rPr>
          <w:rFonts w:hint="eastAsia" w:ascii="宋体" w:hAnsi="宋体" w:cs="宋体"/>
          <w:kern w:val="0"/>
          <w:szCs w:val="21"/>
        </w:rPr>
        <w:t xml:space="preserve">  保险人认为保险金申请人提供的有关索赔的证明和资料不完整的，应当及时一次性通知保险金申请人补充提供。</w:t>
      </w:r>
    </w:p>
    <w:p>
      <w:pPr>
        <w:widowControl/>
        <w:adjustRightInd w:val="0"/>
        <w:snapToGrid w:val="0"/>
        <w:spacing w:line="360" w:lineRule="auto"/>
        <w:ind w:firstLine="422" w:firstLineChars="200"/>
        <w:rPr>
          <w:rFonts w:ascii="宋体" w:hAnsi="宋体" w:cs="宋体"/>
          <w:szCs w:val="21"/>
        </w:rPr>
      </w:pPr>
      <w:r>
        <w:rPr>
          <w:rFonts w:hint="eastAsia" w:ascii="宋体" w:hAnsi="宋体" w:cs="宋体"/>
          <w:b/>
          <w:bCs/>
          <w:kern w:val="0"/>
          <w:szCs w:val="21"/>
        </w:rPr>
        <w:t>第十四条</w:t>
      </w:r>
      <w:r>
        <w:rPr>
          <w:rFonts w:hint="eastAsia" w:ascii="宋体" w:hAnsi="宋体" w:cs="宋体"/>
          <w:kern w:val="0"/>
          <w:szCs w:val="21"/>
        </w:rPr>
        <w:t xml:space="preserve">  保险人收到保险金申请人提供的本保险条款“保险金申请与给付”部分约定的保险金申请证明和资料后，应当及时作出是否属于保险责任的核定；情形复杂的，应当在六十日内作出核定。</w:t>
      </w:r>
    </w:p>
    <w:p>
      <w:pPr>
        <w:widowControl/>
        <w:adjustRightInd w:val="0"/>
        <w:snapToGrid w:val="0"/>
        <w:spacing w:line="360" w:lineRule="auto"/>
        <w:ind w:firstLine="420" w:firstLineChars="200"/>
        <w:rPr>
          <w:rFonts w:ascii="宋体" w:hAnsi="宋体" w:cs="宋体"/>
          <w:szCs w:val="21"/>
        </w:rPr>
      </w:pPr>
      <w:r>
        <w:rPr>
          <w:rFonts w:hint="eastAsia" w:ascii="宋体" w:hAnsi="宋体" w:cs="宋体"/>
          <w:kern w:val="0"/>
          <w:szCs w:val="21"/>
        </w:rPr>
        <w:t>保险人应当将核定结果通知保险金申请人。对属于保险责任的，在与保险金申请人达成给付保险金的协议后十日内，履行给付保险金的义务；对不属于保险责任的，应当自作出核定之日起三日内向保险金申请人发出拒绝给付保险金通知书，并说明理由。</w:t>
      </w:r>
    </w:p>
    <w:p>
      <w:pPr>
        <w:widowControl/>
        <w:adjustRightInd w:val="0"/>
        <w:snapToGrid w:val="0"/>
        <w:spacing w:line="360" w:lineRule="auto"/>
        <w:ind w:firstLine="422" w:firstLineChars="200"/>
        <w:rPr>
          <w:rFonts w:ascii="宋体" w:hAnsi="宋体" w:cs="宋体"/>
          <w:szCs w:val="21"/>
        </w:rPr>
      </w:pPr>
      <w:r>
        <w:rPr>
          <w:rFonts w:hint="eastAsia" w:ascii="宋体" w:hAnsi="宋体" w:cs="宋体"/>
          <w:b/>
          <w:bCs/>
          <w:kern w:val="0"/>
          <w:szCs w:val="21"/>
        </w:rPr>
        <w:t>第十五条</w:t>
      </w:r>
      <w:r>
        <w:rPr>
          <w:rFonts w:hint="eastAsia" w:ascii="宋体" w:hAnsi="宋体" w:cs="宋体"/>
          <w:kern w:val="0"/>
          <w:szCs w:val="21"/>
        </w:rPr>
        <w:t xml:space="preserve">  保险人自收到保险金申请人提供的本保险条款“保险金申请与给付”部分约定的保险金申请证明和资料之日起六十日内，对其给付保险金的数额不能确定的，应当按根据已有证明和资料可以确定的数额先予支付；保险人最终确定给付保险金的数额后，支付相应的差额。</w:t>
      </w:r>
    </w:p>
    <w:p>
      <w:pPr>
        <w:widowControl/>
        <w:adjustRightInd w:val="0"/>
        <w:snapToGrid w:val="0"/>
        <w:spacing w:line="360" w:lineRule="auto"/>
        <w:ind w:firstLine="422" w:firstLineChars="200"/>
        <w:jc w:val="center"/>
        <w:rPr>
          <w:rFonts w:ascii="宋体" w:hAnsi="宋体" w:cs="宋体"/>
          <w:b/>
          <w:bCs/>
          <w:szCs w:val="21"/>
        </w:rPr>
      </w:pPr>
      <w:r>
        <w:rPr>
          <w:rFonts w:hint="eastAsia" w:ascii="宋体" w:hAnsi="宋体" w:cs="宋体"/>
          <w:b/>
          <w:bCs/>
          <w:kern w:val="0"/>
          <w:szCs w:val="21"/>
        </w:rPr>
        <w:t>投保人、被保险人义务</w:t>
      </w:r>
    </w:p>
    <w:p>
      <w:pPr>
        <w:widowControl/>
        <w:adjustRightInd w:val="0"/>
        <w:snapToGrid w:val="0"/>
        <w:spacing w:line="360" w:lineRule="auto"/>
        <w:ind w:firstLine="422" w:firstLineChars="200"/>
        <w:rPr>
          <w:rFonts w:ascii="宋体" w:hAnsi="宋体" w:cs="宋体"/>
          <w:szCs w:val="21"/>
        </w:rPr>
      </w:pPr>
      <w:r>
        <w:rPr>
          <w:rFonts w:hint="eastAsia" w:ascii="宋体" w:hAnsi="宋体" w:cs="宋体"/>
          <w:b/>
          <w:bCs/>
          <w:kern w:val="0"/>
          <w:szCs w:val="21"/>
        </w:rPr>
        <w:t>第十六条</w:t>
      </w:r>
      <w:r>
        <w:rPr>
          <w:rFonts w:hint="eastAsia" w:ascii="宋体" w:hAnsi="宋体" w:cs="宋体"/>
          <w:kern w:val="0"/>
          <w:szCs w:val="21"/>
        </w:rPr>
        <w:t xml:space="preserve">  投保人应当按照本合同的约定及时支付保险费。</w:t>
      </w:r>
    </w:p>
    <w:p>
      <w:pPr>
        <w:widowControl/>
        <w:adjustRightInd w:val="0"/>
        <w:snapToGrid w:val="0"/>
        <w:spacing w:line="360" w:lineRule="auto"/>
        <w:ind w:firstLine="422" w:firstLineChars="200"/>
        <w:rPr>
          <w:rFonts w:ascii="宋体" w:hAnsi="宋体" w:cs="宋体"/>
          <w:szCs w:val="21"/>
        </w:rPr>
      </w:pPr>
      <w:r>
        <w:rPr>
          <w:rFonts w:hint="eastAsia" w:ascii="宋体" w:hAnsi="宋体" w:cs="宋体"/>
          <w:b/>
          <w:bCs/>
          <w:kern w:val="0"/>
          <w:szCs w:val="21"/>
        </w:rPr>
        <w:t>第十七条</w:t>
      </w:r>
      <w:r>
        <w:rPr>
          <w:rFonts w:hint="eastAsia" w:ascii="宋体" w:hAnsi="宋体" w:cs="宋体"/>
          <w:kern w:val="0"/>
          <w:szCs w:val="21"/>
        </w:rPr>
        <w:t xml:space="preserve">  订立本合同时，保险人就保险标的或者被保险人的有关情况提出询问的，投保人应当如实告知。</w:t>
      </w:r>
    </w:p>
    <w:p>
      <w:pPr>
        <w:widowControl/>
        <w:adjustRightInd w:val="0"/>
        <w:snapToGrid w:val="0"/>
        <w:spacing w:line="360" w:lineRule="auto"/>
        <w:ind w:firstLine="422" w:firstLineChars="200"/>
        <w:rPr>
          <w:rFonts w:ascii="宋体" w:hAnsi="宋体" w:cs="宋体"/>
          <w:b/>
          <w:bCs/>
          <w:szCs w:val="21"/>
        </w:rPr>
      </w:pPr>
      <w:r>
        <w:rPr>
          <w:rFonts w:hint="eastAsia" w:ascii="宋体" w:hAnsi="宋体" w:cs="宋体"/>
          <w:b/>
          <w:bCs/>
          <w:kern w:val="0"/>
          <w:szCs w:val="21"/>
        </w:rPr>
        <w:t>投保人故意或者因重大过失未履行前款规定的义务，足以影响保险人决定是否同意承保或者提高保险费率的，保险人有权解除本合同。</w:t>
      </w:r>
    </w:p>
    <w:p>
      <w:pPr>
        <w:widowControl/>
        <w:adjustRightInd w:val="0"/>
        <w:snapToGrid w:val="0"/>
        <w:spacing w:line="360" w:lineRule="auto"/>
        <w:ind w:firstLine="420" w:firstLineChars="200"/>
        <w:rPr>
          <w:rFonts w:ascii="宋体" w:hAnsi="宋体" w:cs="宋体"/>
          <w:szCs w:val="21"/>
        </w:rPr>
      </w:pPr>
      <w:r>
        <w:rPr>
          <w:rFonts w:hint="eastAsia" w:ascii="宋体" w:hAnsi="宋体" w:cs="宋体"/>
          <w:kern w:val="0"/>
          <w:szCs w:val="21"/>
        </w:rPr>
        <w:t>前款规定的合同解除权，自保险人知道有解除事由之日起，超过三十日不行使而消灭。自本合同成立之日起超过二年的，保险人不得解除合同；发生保险事故的，保险人应当承担给付保险金的责任。</w:t>
      </w:r>
    </w:p>
    <w:p>
      <w:pPr>
        <w:widowControl/>
        <w:adjustRightInd w:val="0"/>
        <w:snapToGrid w:val="0"/>
        <w:spacing w:line="360" w:lineRule="auto"/>
        <w:ind w:firstLine="422" w:firstLineChars="200"/>
        <w:rPr>
          <w:rFonts w:ascii="宋体" w:hAnsi="宋体" w:cs="宋体"/>
          <w:b/>
          <w:bCs/>
          <w:szCs w:val="21"/>
        </w:rPr>
      </w:pPr>
      <w:r>
        <w:rPr>
          <w:rFonts w:hint="eastAsia" w:ascii="宋体" w:hAnsi="宋体" w:cs="宋体"/>
          <w:b/>
          <w:bCs/>
          <w:kern w:val="0"/>
          <w:szCs w:val="21"/>
        </w:rPr>
        <w:t>投保人故意不履行如实告知义务的，保险人对于本合同解除前发生的保险事故，不承担给付保险金的责任，并不退还保险费。</w:t>
      </w:r>
    </w:p>
    <w:p>
      <w:pPr>
        <w:widowControl/>
        <w:adjustRightInd w:val="0"/>
        <w:snapToGrid w:val="0"/>
        <w:spacing w:line="360" w:lineRule="auto"/>
        <w:ind w:firstLine="422" w:firstLineChars="200"/>
        <w:rPr>
          <w:rFonts w:ascii="宋体" w:hAnsi="宋体" w:cs="宋体"/>
          <w:b/>
          <w:bCs/>
          <w:szCs w:val="21"/>
        </w:rPr>
      </w:pPr>
      <w:r>
        <w:rPr>
          <w:rFonts w:hint="eastAsia" w:ascii="宋体" w:hAnsi="宋体" w:cs="宋体"/>
          <w:b/>
          <w:bCs/>
          <w:kern w:val="0"/>
          <w:szCs w:val="21"/>
        </w:rPr>
        <w:t>投保人因重大过失未履行如实告知义务，对保险事故的发生有严重影响的，保险人对于本合同解除前发生的保险事故，不承担给付保险金的责任，但退还保险费。</w:t>
      </w:r>
    </w:p>
    <w:p>
      <w:pPr>
        <w:widowControl/>
        <w:adjustRightInd w:val="0"/>
        <w:snapToGrid w:val="0"/>
        <w:spacing w:line="360" w:lineRule="auto"/>
        <w:ind w:firstLine="420" w:firstLineChars="200"/>
        <w:rPr>
          <w:rFonts w:ascii="宋体" w:hAnsi="宋体" w:cs="宋体"/>
          <w:szCs w:val="21"/>
        </w:rPr>
      </w:pPr>
      <w:r>
        <w:rPr>
          <w:rFonts w:hint="eastAsia" w:ascii="宋体" w:hAnsi="宋体" w:cs="宋体"/>
          <w:kern w:val="0"/>
          <w:szCs w:val="21"/>
        </w:rPr>
        <w:t>保险人在本合同订立时已经知道投保人、被保险人未如实告知的情况的，保险人不得解除本合同；发生保险事故的，保险人承担给付保险金的责任。</w:t>
      </w:r>
    </w:p>
    <w:p>
      <w:pPr>
        <w:widowControl/>
        <w:adjustRightInd w:val="0"/>
        <w:snapToGrid w:val="0"/>
        <w:spacing w:line="360" w:lineRule="auto"/>
        <w:ind w:firstLine="422" w:firstLineChars="200"/>
        <w:rPr>
          <w:rFonts w:ascii="宋体" w:hAnsi="宋体" w:cs="宋体"/>
          <w:szCs w:val="21"/>
        </w:rPr>
      </w:pPr>
      <w:r>
        <w:rPr>
          <w:rFonts w:hint="eastAsia" w:ascii="宋体" w:hAnsi="宋体" w:cs="宋体"/>
          <w:b/>
          <w:bCs/>
          <w:kern w:val="0"/>
          <w:szCs w:val="21"/>
        </w:rPr>
        <w:t>第十八条</w:t>
      </w:r>
      <w:r>
        <w:rPr>
          <w:rFonts w:hint="eastAsia" w:ascii="宋体" w:hAnsi="宋体" w:cs="宋体"/>
          <w:kern w:val="0"/>
          <w:szCs w:val="21"/>
        </w:rPr>
        <w:t xml:space="preserve">  投保人、被保险人或者保险金申请人应于被保险人每次住院治疗开始后及时通知保险人。</w:t>
      </w:r>
      <w:r>
        <w:rPr>
          <w:rFonts w:hint="eastAsia" w:ascii="宋体" w:hAnsi="宋体" w:cs="宋体"/>
          <w:b/>
          <w:bCs/>
          <w:kern w:val="0"/>
          <w:szCs w:val="21"/>
        </w:rPr>
        <w:t>故意或者因重大过失未及时予以通知，致使保险事故的性质、原因、损失程度等难以确定的，保险人对无法确定的部分，不承担给付保险金的责任，</w:t>
      </w:r>
      <w:r>
        <w:rPr>
          <w:rFonts w:hint="eastAsia" w:ascii="宋体" w:hAnsi="宋体" w:cs="宋体"/>
          <w:kern w:val="0"/>
          <w:szCs w:val="21"/>
        </w:rPr>
        <w:t>但保险人通过其他途径已经及时知道或者应当及时知道保险事故发生的不在此限。</w:t>
      </w:r>
    </w:p>
    <w:p>
      <w:pPr>
        <w:widowControl/>
        <w:adjustRightInd w:val="0"/>
        <w:snapToGrid w:val="0"/>
        <w:spacing w:line="360" w:lineRule="auto"/>
        <w:ind w:firstLine="420" w:firstLineChars="200"/>
        <w:rPr>
          <w:rFonts w:ascii="宋体" w:hAnsi="宋体" w:cs="宋体"/>
          <w:szCs w:val="21"/>
        </w:rPr>
      </w:pPr>
      <w:r>
        <w:rPr>
          <w:rFonts w:hint="eastAsia" w:ascii="宋体" w:hAnsi="宋体" w:cs="宋体"/>
          <w:kern w:val="0"/>
          <w:szCs w:val="21"/>
        </w:rPr>
        <w:t>上述约定，不包括因不可抗力而导致的迟延。</w:t>
      </w:r>
    </w:p>
    <w:p>
      <w:pPr>
        <w:widowControl/>
        <w:adjustRightInd w:val="0"/>
        <w:snapToGrid w:val="0"/>
        <w:spacing w:line="360" w:lineRule="auto"/>
        <w:ind w:firstLine="422" w:firstLineChars="200"/>
        <w:rPr>
          <w:rFonts w:ascii="宋体" w:hAnsi="宋体" w:cs="宋体"/>
          <w:szCs w:val="21"/>
        </w:rPr>
      </w:pPr>
      <w:r>
        <w:rPr>
          <w:rFonts w:hint="eastAsia" w:ascii="宋体" w:hAnsi="宋体" w:cs="宋体"/>
          <w:b/>
          <w:bCs/>
          <w:kern w:val="0"/>
          <w:szCs w:val="21"/>
        </w:rPr>
        <w:t>第十九条</w:t>
      </w:r>
      <w:r>
        <w:rPr>
          <w:rFonts w:hint="eastAsia" w:ascii="宋体" w:hAnsi="宋体" w:cs="宋体"/>
          <w:kern w:val="0"/>
          <w:szCs w:val="21"/>
        </w:rPr>
        <w:t xml:space="preserve">  投保人住所或者通讯地址变更时，应当及时以书面形式通知保险人。投保人未及时通知的，保险人按本合同所载的最后住所或者通讯地址发送的有关通知，均视为已发送给投保人。</w:t>
      </w:r>
    </w:p>
    <w:p>
      <w:pPr>
        <w:widowControl/>
        <w:adjustRightInd w:val="0"/>
        <w:snapToGrid w:val="0"/>
        <w:spacing w:line="360" w:lineRule="auto"/>
        <w:ind w:firstLine="422" w:firstLineChars="200"/>
        <w:jc w:val="center"/>
        <w:rPr>
          <w:rFonts w:ascii="宋体" w:hAnsi="宋体" w:cs="宋体"/>
          <w:b/>
          <w:bCs/>
          <w:szCs w:val="21"/>
        </w:rPr>
      </w:pPr>
      <w:r>
        <w:rPr>
          <w:rFonts w:hint="eastAsia" w:ascii="宋体" w:hAnsi="宋体" w:cs="宋体"/>
          <w:b/>
          <w:bCs/>
          <w:kern w:val="0"/>
          <w:szCs w:val="21"/>
        </w:rPr>
        <w:t>保险金申请与给付</w:t>
      </w:r>
    </w:p>
    <w:p>
      <w:pPr>
        <w:widowControl/>
        <w:adjustRightInd w:val="0"/>
        <w:snapToGrid w:val="0"/>
        <w:spacing w:line="360" w:lineRule="auto"/>
        <w:ind w:firstLine="422" w:firstLineChars="200"/>
        <w:rPr>
          <w:rFonts w:ascii="宋体" w:hAnsi="宋体" w:cs="宋体"/>
          <w:b/>
          <w:bCs/>
          <w:szCs w:val="21"/>
        </w:rPr>
      </w:pPr>
      <w:r>
        <w:rPr>
          <w:rFonts w:hint="eastAsia" w:ascii="宋体" w:hAnsi="宋体" w:cs="宋体"/>
          <w:b/>
          <w:bCs/>
          <w:kern w:val="0"/>
          <w:szCs w:val="21"/>
        </w:rPr>
        <w:t xml:space="preserve">第二十条 </w:t>
      </w:r>
      <w:r>
        <w:rPr>
          <w:rFonts w:hint="eastAsia" w:ascii="宋体" w:hAnsi="宋体" w:cs="宋体"/>
          <w:kern w:val="0"/>
          <w:szCs w:val="21"/>
        </w:rPr>
        <w:t xml:space="preserve"> 保险金申请人向保险人申请给付保险金时，应当提交下列证明和资料。</w:t>
      </w:r>
      <w:r>
        <w:rPr>
          <w:rFonts w:hint="eastAsia" w:ascii="宋体" w:hAnsi="宋体" w:cs="宋体"/>
          <w:b/>
          <w:bCs/>
          <w:kern w:val="0"/>
          <w:szCs w:val="21"/>
        </w:rPr>
        <w:t>保险金申请人未能提供有关证明和资料，导致保险人无法核实保险事故的性质、原因、损失程度的，保险人对无法核实部分不承担给付保险金的责任。</w:t>
      </w:r>
    </w:p>
    <w:p>
      <w:pPr>
        <w:widowControl/>
        <w:adjustRightInd w:val="0"/>
        <w:snapToGrid w:val="0"/>
        <w:spacing w:line="360" w:lineRule="auto"/>
        <w:ind w:firstLine="420" w:firstLineChars="200"/>
        <w:rPr>
          <w:rFonts w:ascii="宋体" w:hAnsi="宋体" w:cs="宋体"/>
          <w:szCs w:val="21"/>
        </w:rPr>
      </w:pPr>
      <w:r>
        <w:rPr>
          <w:rFonts w:hint="eastAsia" w:ascii="宋体" w:hAnsi="宋体" w:cs="宋体"/>
          <w:kern w:val="0"/>
          <w:szCs w:val="21"/>
        </w:rPr>
        <w:t>1．保险金给付申请书；</w:t>
      </w:r>
    </w:p>
    <w:p>
      <w:pPr>
        <w:widowControl/>
        <w:adjustRightInd w:val="0"/>
        <w:snapToGrid w:val="0"/>
        <w:spacing w:line="360" w:lineRule="auto"/>
        <w:ind w:firstLine="420" w:firstLineChars="200"/>
        <w:rPr>
          <w:rFonts w:ascii="宋体" w:hAnsi="宋体" w:cs="宋体"/>
          <w:szCs w:val="21"/>
        </w:rPr>
      </w:pPr>
      <w:r>
        <w:rPr>
          <w:rFonts w:hint="eastAsia" w:ascii="宋体" w:hAnsi="宋体" w:cs="宋体"/>
          <w:kern w:val="0"/>
          <w:szCs w:val="21"/>
        </w:rPr>
        <w:t>2．保险单或者其他保险凭证、批单；</w:t>
      </w:r>
    </w:p>
    <w:p>
      <w:pPr>
        <w:widowControl/>
        <w:adjustRightInd w:val="0"/>
        <w:snapToGrid w:val="0"/>
        <w:spacing w:line="360" w:lineRule="auto"/>
        <w:ind w:firstLine="420" w:firstLineChars="200"/>
        <w:rPr>
          <w:rFonts w:ascii="宋体" w:hAnsi="宋体" w:cs="宋体"/>
          <w:szCs w:val="21"/>
        </w:rPr>
      </w:pPr>
      <w:r>
        <w:rPr>
          <w:rFonts w:hint="eastAsia" w:ascii="宋体" w:hAnsi="宋体" w:cs="宋体"/>
          <w:kern w:val="0"/>
          <w:szCs w:val="21"/>
        </w:rPr>
        <w:t>3．保险金申请人的身份证明，若保险金申请人系受托申请，还须提供授权委托书；</w:t>
      </w:r>
    </w:p>
    <w:p>
      <w:pPr>
        <w:widowControl/>
        <w:adjustRightInd w:val="0"/>
        <w:snapToGrid w:val="0"/>
        <w:spacing w:line="360" w:lineRule="auto"/>
        <w:ind w:firstLine="420" w:firstLineChars="200"/>
        <w:rPr>
          <w:rFonts w:ascii="宋体" w:hAnsi="宋体" w:cs="宋体"/>
          <w:szCs w:val="21"/>
        </w:rPr>
      </w:pPr>
      <w:r>
        <w:rPr>
          <w:rFonts w:hint="eastAsia" w:ascii="宋体" w:hAnsi="宋体" w:cs="宋体"/>
          <w:kern w:val="0"/>
          <w:szCs w:val="21"/>
        </w:rPr>
        <w:t>4．保险人指定或认可的医疗机构出具的疾病诊断证明书、病历、出院小结及医疗费用原始收据；</w:t>
      </w:r>
    </w:p>
    <w:p>
      <w:pPr>
        <w:widowControl/>
        <w:adjustRightInd w:val="0"/>
        <w:snapToGrid w:val="0"/>
        <w:spacing w:line="360" w:lineRule="auto"/>
        <w:ind w:firstLine="420" w:firstLineChars="200"/>
        <w:rPr>
          <w:rFonts w:ascii="宋体" w:hAnsi="宋体" w:cs="宋体"/>
          <w:szCs w:val="21"/>
        </w:rPr>
      </w:pPr>
      <w:r>
        <w:rPr>
          <w:rFonts w:hint="eastAsia" w:ascii="宋体" w:hAnsi="宋体" w:cs="宋体"/>
          <w:kern w:val="0"/>
          <w:szCs w:val="21"/>
        </w:rPr>
        <w:t>5．如被保险人因意外伤害住院治疗，须提供保险人认可的机构（包括但不限于公安部门）出具的意外事故证明；</w:t>
      </w:r>
    </w:p>
    <w:p>
      <w:pPr>
        <w:widowControl/>
        <w:adjustRightInd w:val="0"/>
        <w:snapToGrid w:val="0"/>
        <w:spacing w:line="360" w:lineRule="auto"/>
        <w:ind w:firstLine="420" w:firstLineChars="200"/>
        <w:rPr>
          <w:rFonts w:ascii="宋体" w:hAnsi="宋体" w:cs="宋体"/>
          <w:szCs w:val="21"/>
        </w:rPr>
      </w:pPr>
      <w:r>
        <w:rPr>
          <w:rFonts w:hint="eastAsia" w:ascii="宋体" w:hAnsi="宋体" w:cs="宋体"/>
          <w:kern w:val="0"/>
          <w:szCs w:val="21"/>
        </w:rPr>
        <w:t>6．申请重症监护津贴时应提供入住重症病房的病历或重症监护病房记录及收费证明；</w:t>
      </w:r>
    </w:p>
    <w:p>
      <w:pPr>
        <w:widowControl/>
        <w:adjustRightInd w:val="0"/>
        <w:snapToGrid w:val="0"/>
        <w:spacing w:line="360" w:lineRule="auto"/>
        <w:ind w:firstLine="420" w:firstLineChars="200"/>
        <w:rPr>
          <w:rFonts w:ascii="宋体" w:hAnsi="宋体" w:cs="宋体"/>
          <w:szCs w:val="21"/>
        </w:rPr>
      </w:pPr>
      <w:r>
        <w:rPr>
          <w:rFonts w:hint="eastAsia" w:ascii="宋体" w:hAnsi="宋体" w:cs="宋体"/>
          <w:kern w:val="0"/>
          <w:szCs w:val="21"/>
        </w:rPr>
        <w:t>7．申请癌症住院医疗津贴时应提供医院出具的有病理组织报告的疾病诊断证明书；</w:t>
      </w:r>
    </w:p>
    <w:p>
      <w:pPr>
        <w:widowControl/>
        <w:adjustRightInd w:val="0"/>
        <w:snapToGrid w:val="0"/>
        <w:spacing w:line="360" w:lineRule="auto"/>
        <w:ind w:firstLine="420" w:firstLineChars="200"/>
        <w:rPr>
          <w:rFonts w:ascii="宋体" w:hAnsi="宋体" w:cs="宋体"/>
          <w:szCs w:val="21"/>
        </w:rPr>
      </w:pPr>
      <w:r>
        <w:rPr>
          <w:rFonts w:hint="eastAsia" w:ascii="宋体" w:hAnsi="宋体" w:cs="宋体"/>
          <w:kern w:val="0"/>
          <w:szCs w:val="21"/>
        </w:rPr>
        <w:t>8．申请住院手术医疗津贴时应提供医院出具的手术证明；</w:t>
      </w:r>
    </w:p>
    <w:p>
      <w:pPr>
        <w:widowControl/>
        <w:adjustRightInd w:val="0"/>
        <w:snapToGrid w:val="0"/>
        <w:spacing w:line="360" w:lineRule="auto"/>
        <w:ind w:firstLine="420" w:firstLineChars="200"/>
        <w:rPr>
          <w:rFonts w:ascii="宋体" w:hAnsi="宋体" w:cs="宋体"/>
          <w:szCs w:val="21"/>
        </w:rPr>
      </w:pPr>
      <w:r>
        <w:rPr>
          <w:rFonts w:hint="eastAsia" w:ascii="宋体" w:hAnsi="宋体" w:cs="宋体"/>
          <w:kern w:val="0"/>
          <w:szCs w:val="21"/>
        </w:rPr>
        <w:t>9．投保人、被保险人或者受益人所能提供的与确认保险事故的性质、原因、损失程度等有关的其他证明和资料。</w:t>
      </w:r>
    </w:p>
    <w:p>
      <w:pPr>
        <w:widowControl/>
        <w:adjustRightInd w:val="0"/>
        <w:snapToGrid w:val="0"/>
        <w:spacing w:line="360" w:lineRule="auto"/>
        <w:ind w:firstLine="422" w:firstLineChars="200"/>
        <w:rPr>
          <w:rFonts w:ascii="宋体" w:hAnsi="宋体" w:cs="宋体"/>
          <w:szCs w:val="21"/>
        </w:rPr>
      </w:pPr>
      <w:r>
        <w:rPr>
          <w:rFonts w:hint="eastAsia" w:ascii="宋体" w:hAnsi="宋体" w:cs="宋体"/>
          <w:b/>
          <w:bCs/>
          <w:kern w:val="0"/>
          <w:szCs w:val="21"/>
        </w:rPr>
        <w:t>第二十一条</w:t>
      </w:r>
      <w:r>
        <w:rPr>
          <w:rFonts w:hint="eastAsia" w:ascii="宋体" w:hAnsi="宋体" w:cs="宋体"/>
          <w:kern w:val="0"/>
          <w:szCs w:val="21"/>
        </w:rPr>
        <w:t xml:space="preserve">  被保险人遭受保险事故的，保险人有权对投保人、被保险人、受益人和有关医疗机构等进行调查和检查，投保人、被保险人、受益人等应当予以充分配合。</w:t>
      </w:r>
    </w:p>
    <w:p>
      <w:pPr>
        <w:widowControl/>
        <w:adjustRightInd w:val="0"/>
        <w:snapToGrid w:val="0"/>
        <w:spacing w:line="360" w:lineRule="auto"/>
        <w:ind w:firstLine="422" w:firstLineChars="200"/>
        <w:rPr>
          <w:rFonts w:ascii="宋体" w:hAnsi="宋体" w:cs="宋体"/>
          <w:szCs w:val="21"/>
        </w:rPr>
      </w:pPr>
      <w:r>
        <w:rPr>
          <w:rFonts w:hint="eastAsia" w:ascii="宋体" w:hAnsi="宋体" w:cs="宋体"/>
          <w:b/>
          <w:bCs/>
          <w:kern w:val="0"/>
          <w:szCs w:val="21"/>
        </w:rPr>
        <w:t>第二十二条</w:t>
      </w:r>
      <w:r>
        <w:rPr>
          <w:rFonts w:hint="eastAsia" w:ascii="宋体" w:hAnsi="宋体" w:cs="宋体"/>
          <w:kern w:val="0"/>
          <w:szCs w:val="21"/>
        </w:rPr>
        <w:t xml:space="preserve">  保险金申请人向保险人请求给付保险金的诉讼时效期间为二年，自其知道或者应当知道保险事故发生之日起计算。</w:t>
      </w:r>
    </w:p>
    <w:p>
      <w:pPr>
        <w:widowControl/>
        <w:adjustRightInd w:val="0"/>
        <w:snapToGrid w:val="0"/>
        <w:spacing w:line="360" w:lineRule="auto"/>
        <w:ind w:firstLine="422" w:firstLineChars="200"/>
        <w:jc w:val="center"/>
        <w:rPr>
          <w:rFonts w:ascii="宋体" w:hAnsi="宋体" w:cs="宋体"/>
          <w:b/>
          <w:bCs/>
          <w:szCs w:val="21"/>
        </w:rPr>
      </w:pPr>
      <w:r>
        <w:rPr>
          <w:rFonts w:hint="eastAsia" w:ascii="宋体" w:hAnsi="宋体" w:cs="宋体"/>
          <w:b/>
          <w:bCs/>
          <w:kern w:val="0"/>
          <w:szCs w:val="21"/>
        </w:rPr>
        <w:t>保险合同的变更与解除</w:t>
      </w:r>
    </w:p>
    <w:p>
      <w:pPr>
        <w:widowControl/>
        <w:adjustRightInd w:val="0"/>
        <w:snapToGrid w:val="0"/>
        <w:spacing w:line="360" w:lineRule="auto"/>
        <w:ind w:firstLine="422" w:firstLineChars="200"/>
        <w:rPr>
          <w:rFonts w:ascii="宋体" w:hAnsi="宋体" w:cs="宋体"/>
          <w:szCs w:val="21"/>
        </w:rPr>
      </w:pPr>
      <w:r>
        <w:rPr>
          <w:rFonts w:hint="eastAsia" w:ascii="宋体" w:hAnsi="宋体" w:cs="宋体"/>
          <w:b/>
          <w:bCs/>
          <w:kern w:val="0"/>
          <w:szCs w:val="21"/>
        </w:rPr>
        <w:t>第二十三条</w:t>
      </w:r>
      <w:r>
        <w:rPr>
          <w:rFonts w:hint="eastAsia" w:ascii="宋体" w:hAnsi="宋体" w:cs="宋体"/>
          <w:kern w:val="0"/>
          <w:szCs w:val="21"/>
        </w:rPr>
        <w:t xml:space="preserve">  除本合同另有约定外，经投保人、保险人双方协商同意后，可变更本合同的有关内容，在本合同保险单或者其他保险凭证上加以批注或者附贴批单后生效，或者由投保人和保险人订立合同变更书面协议后生效。</w:t>
      </w:r>
    </w:p>
    <w:p>
      <w:pPr>
        <w:widowControl/>
        <w:adjustRightInd w:val="0"/>
        <w:snapToGrid w:val="0"/>
        <w:spacing w:line="360" w:lineRule="auto"/>
        <w:ind w:firstLine="422" w:firstLineChars="200"/>
        <w:rPr>
          <w:rFonts w:ascii="宋体" w:hAnsi="宋体" w:cs="宋体"/>
          <w:szCs w:val="21"/>
        </w:rPr>
      </w:pPr>
      <w:r>
        <w:rPr>
          <w:rFonts w:hint="eastAsia" w:ascii="宋体" w:hAnsi="宋体" w:cs="宋体"/>
          <w:b/>
          <w:bCs/>
          <w:kern w:val="0"/>
          <w:szCs w:val="21"/>
        </w:rPr>
        <w:t>第二十四条</w:t>
      </w:r>
      <w:r>
        <w:rPr>
          <w:rFonts w:hint="eastAsia" w:ascii="宋体" w:hAnsi="宋体" w:cs="宋体"/>
          <w:kern w:val="0"/>
          <w:szCs w:val="21"/>
        </w:rPr>
        <w:t xml:space="preserve"> 发生以下任何情形的，保险人有权解除本合同，并不退还保险费：</w:t>
      </w:r>
    </w:p>
    <w:p>
      <w:pPr>
        <w:widowControl/>
        <w:adjustRightInd w:val="0"/>
        <w:snapToGrid w:val="0"/>
        <w:spacing w:line="360" w:lineRule="auto"/>
        <w:ind w:firstLine="420" w:firstLineChars="200"/>
        <w:rPr>
          <w:rFonts w:ascii="宋体" w:hAnsi="宋体" w:cs="宋体"/>
          <w:szCs w:val="21"/>
        </w:rPr>
      </w:pPr>
      <w:r>
        <w:rPr>
          <w:rFonts w:hint="eastAsia" w:ascii="宋体" w:hAnsi="宋体" w:cs="宋体"/>
          <w:kern w:val="0"/>
          <w:szCs w:val="21"/>
        </w:rPr>
        <w:t>1．未发生保险事故，保险金申请人谎称发生了保险事故，向保险人提出给付保险金请求；</w:t>
      </w:r>
    </w:p>
    <w:p>
      <w:pPr>
        <w:widowControl/>
        <w:adjustRightInd w:val="0"/>
        <w:snapToGrid w:val="0"/>
        <w:spacing w:line="360" w:lineRule="auto"/>
        <w:ind w:firstLine="420" w:firstLineChars="200"/>
        <w:rPr>
          <w:rFonts w:ascii="宋体" w:hAnsi="宋体" w:cs="宋体"/>
          <w:szCs w:val="21"/>
        </w:rPr>
      </w:pPr>
      <w:r>
        <w:rPr>
          <w:rFonts w:hint="eastAsia" w:ascii="宋体" w:hAnsi="宋体" w:cs="宋体"/>
          <w:kern w:val="0"/>
          <w:szCs w:val="21"/>
        </w:rPr>
        <w:t>2．投保人、被保险人故意制造保险事故。</w:t>
      </w:r>
    </w:p>
    <w:p>
      <w:pPr>
        <w:widowControl/>
        <w:adjustRightInd w:val="0"/>
        <w:snapToGrid w:val="0"/>
        <w:spacing w:line="360" w:lineRule="auto"/>
        <w:ind w:firstLine="420" w:firstLineChars="200"/>
        <w:rPr>
          <w:rFonts w:ascii="宋体" w:hAnsi="宋体" w:cs="宋体"/>
          <w:szCs w:val="21"/>
        </w:rPr>
      </w:pPr>
      <w:r>
        <w:rPr>
          <w:rFonts w:hint="eastAsia" w:ascii="宋体" w:hAnsi="宋体" w:cs="宋体"/>
          <w:kern w:val="0"/>
          <w:szCs w:val="21"/>
        </w:rPr>
        <w:t>前款约定的任何情形致使保险人给付保险金或者支出费用的，投保人、被保险人或者保险金申请人应当退回或者赔偿。</w:t>
      </w:r>
    </w:p>
    <w:p>
      <w:pPr>
        <w:widowControl/>
        <w:adjustRightInd w:val="0"/>
        <w:snapToGrid w:val="0"/>
        <w:spacing w:line="360" w:lineRule="auto"/>
        <w:ind w:firstLine="422" w:firstLineChars="200"/>
        <w:rPr>
          <w:rFonts w:ascii="宋体" w:hAnsi="宋体" w:cs="宋体"/>
          <w:szCs w:val="21"/>
        </w:rPr>
      </w:pPr>
      <w:r>
        <w:rPr>
          <w:rFonts w:hint="eastAsia" w:ascii="宋体" w:hAnsi="宋体" w:cs="宋体"/>
          <w:b/>
          <w:bCs/>
          <w:kern w:val="0"/>
          <w:szCs w:val="21"/>
        </w:rPr>
        <w:t>第二十五条</w:t>
      </w:r>
      <w:r>
        <w:rPr>
          <w:rFonts w:hint="eastAsia" w:ascii="宋体" w:hAnsi="宋体" w:cs="宋体"/>
          <w:kern w:val="0"/>
          <w:szCs w:val="21"/>
        </w:rPr>
        <w:t xml:space="preserve">  在本合同成立后，投保人可以书面形式通知保险人解除本合同，但保险人根据本合同约定已给付保险金的除外。</w:t>
      </w:r>
    </w:p>
    <w:p>
      <w:pPr>
        <w:widowControl/>
        <w:adjustRightInd w:val="0"/>
        <w:snapToGrid w:val="0"/>
        <w:spacing w:line="360" w:lineRule="auto"/>
        <w:ind w:firstLine="420" w:firstLineChars="200"/>
        <w:rPr>
          <w:rFonts w:ascii="宋体" w:hAnsi="宋体" w:cs="宋体"/>
          <w:szCs w:val="21"/>
        </w:rPr>
      </w:pPr>
      <w:r>
        <w:rPr>
          <w:rFonts w:hint="eastAsia" w:ascii="宋体" w:hAnsi="宋体" w:cs="宋体"/>
          <w:kern w:val="0"/>
          <w:szCs w:val="21"/>
        </w:rPr>
        <w:t>投保人解除本保险合同时，应当提供下列证明和资料：</w:t>
      </w:r>
    </w:p>
    <w:p>
      <w:pPr>
        <w:widowControl/>
        <w:adjustRightInd w:val="0"/>
        <w:snapToGrid w:val="0"/>
        <w:spacing w:line="360" w:lineRule="auto"/>
        <w:ind w:firstLine="420" w:firstLineChars="200"/>
        <w:rPr>
          <w:rFonts w:ascii="宋体" w:hAnsi="宋体" w:cs="宋体"/>
          <w:szCs w:val="21"/>
        </w:rPr>
      </w:pPr>
      <w:r>
        <w:rPr>
          <w:rFonts w:hint="eastAsia" w:ascii="宋体" w:hAnsi="宋体" w:cs="宋体"/>
          <w:kern w:val="0"/>
          <w:szCs w:val="21"/>
        </w:rPr>
        <w:t>1．解除合同通知书；</w:t>
      </w:r>
    </w:p>
    <w:p>
      <w:pPr>
        <w:widowControl/>
        <w:adjustRightInd w:val="0"/>
        <w:snapToGrid w:val="0"/>
        <w:spacing w:line="360" w:lineRule="auto"/>
        <w:ind w:firstLine="420" w:firstLineChars="200"/>
        <w:rPr>
          <w:rFonts w:ascii="宋体" w:hAnsi="宋体" w:cs="宋体"/>
          <w:szCs w:val="21"/>
        </w:rPr>
      </w:pPr>
      <w:r>
        <w:rPr>
          <w:rFonts w:hint="eastAsia" w:ascii="宋体" w:hAnsi="宋体" w:cs="宋体"/>
          <w:kern w:val="0"/>
          <w:szCs w:val="21"/>
        </w:rPr>
        <w:t>2．保险单或者其他保险凭证、批单正本（原件）；</w:t>
      </w:r>
    </w:p>
    <w:p>
      <w:pPr>
        <w:widowControl/>
        <w:adjustRightInd w:val="0"/>
        <w:snapToGrid w:val="0"/>
        <w:spacing w:line="360" w:lineRule="auto"/>
        <w:ind w:firstLine="420" w:firstLineChars="200"/>
        <w:rPr>
          <w:rFonts w:ascii="宋体" w:hAnsi="宋体" w:cs="宋体"/>
          <w:szCs w:val="21"/>
        </w:rPr>
      </w:pPr>
      <w:r>
        <w:rPr>
          <w:rFonts w:hint="eastAsia" w:ascii="宋体" w:hAnsi="宋体" w:cs="宋体"/>
          <w:kern w:val="0"/>
          <w:szCs w:val="21"/>
        </w:rPr>
        <w:t>3．投保人身份证明；</w:t>
      </w:r>
    </w:p>
    <w:p>
      <w:pPr>
        <w:widowControl/>
        <w:adjustRightInd w:val="0"/>
        <w:snapToGrid w:val="0"/>
        <w:spacing w:line="360" w:lineRule="auto"/>
        <w:ind w:firstLine="420" w:firstLineChars="200"/>
        <w:rPr>
          <w:rFonts w:ascii="宋体" w:hAnsi="宋体" w:cs="宋体"/>
          <w:szCs w:val="21"/>
        </w:rPr>
      </w:pPr>
      <w:r>
        <w:rPr>
          <w:rFonts w:hint="eastAsia" w:ascii="宋体" w:hAnsi="宋体" w:cs="宋体"/>
          <w:kern w:val="0"/>
          <w:szCs w:val="21"/>
        </w:rPr>
        <w:t>4．保险费发票或者收据；</w:t>
      </w:r>
    </w:p>
    <w:p>
      <w:pPr>
        <w:widowControl/>
        <w:adjustRightInd w:val="0"/>
        <w:snapToGrid w:val="0"/>
        <w:spacing w:line="360" w:lineRule="auto"/>
        <w:ind w:firstLine="420" w:firstLineChars="200"/>
        <w:rPr>
          <w:rFonts w:ascii="宋体" w:hAnsi="宋体" w:cs="宋体"/>
          <w:szCs w:val="21"/>
        </w:rPr>
      </w:pPr>
      <w:r>
        <w:rPr>
          <w:rFonts w:hint="eastAsia" w:ascii="宋体" w:hAnsi="宋体" w:cs="宋体"/>
          <w:kern w:val="0"/>
          <w:szCs w:val="21"/>
        </w:rPr>
        <w:t>5．保险人要求的其他有关证明和资料。</w:t>
      </w:r>
    </w:p>
    <w:p>
      <w:pPr>
        <w:widowControl/>
        <w:adjustRightInd w:val="0"/>
        <w:snapToGrid w:val="0"/>
        <w:spacing w:line="360" w:lineRule="auto"/>
        <w:ind w:firstLine="420" w:firstLineChars="200"/>
        <w:rPr>
          <w:rFonts w:ascii="宋体" w:hAnsi="宋体" w:cs="宋体"/>
          <w:szCs w:val="21"/>
        </w:rPr>
      </w:pPr>
      <w:r>
        <w:rPr>
          <w:rFonts w:hint="eastAsia" w:ascii="宋体" w:hAnsi="宋体" w:cs="宋体"/>
          <w:kern w:val="0"/>
          <w:szCs w:val="21"/>
        </w:rPr>
        <w:t>本合同的效力至保险人接到解除合同通知书之日二十四时或者通知书上载明的合同终止时间（以较晚者为准）终止。自收到前款约定的证明和资料之日起三十日内，保险人退还相应未满期净保险费。</w:t>
      </w:r>
    </w:p>
    <w:p>
      <w:pPr>
        <w:widowControl/>
        <w:adjustRightInd w:val="0"/>
        <w:snapToGrid w:val="0"/>
        <w:spacing w:line="360" w:lineRule="auto"/>
        <w:ind w:firstLine="422" w:firstLineChars="200"/>
        <w:jc w:val="center"/>
        <w:rPr>
          <w:rFonts w:ascii="宋体" w:hAnsi="宋体" w:cs="宋体"/>
          <w:b/>
          <w:bCs/>
          <w:szCs w:val="21"/>
        </w:rPr>
      </w:pPr>
      <w:r>
        <w:rPr>
          <w:rFonts w:hint="eastAsia" w:ascii="宋体" w:hAnsi="宋体" w:cs="宋体"/>
          <w:b/>
          <w:bCs/>
          <w:kern w:val="0"/>
          <w:szCs w:val="21"/>
        </w:rPr>
        <w:t>争议处理与法律适用</w:t>
      </w:r>
    </w:p>
    <w:p>
      <w:pPr>
        <w:widowControl/>
        <w:adjustRightInd w:val="0"/>
        <w:snapToGrid w:val="0"/>
        <w:spacing w:line="360" w:lineRule="auto"/>
        <w:ind w:firstLine="422" w:firstLineChars="200"/>
        <w:rPr>
          <w:rFonts w:ascii="宋体" w:hAnsi="宋体" w:cs="宋体"/>
          <w:szCs w:val="21"/>
        </w:rPr>
      </w:pPr>
      <w:r>
        <w:rPr>
          <w:rFonts w:hint="eastAsia" w:ascii="宋体" w:hAnsi="宋体" w:cs="宋体"/>
          <w:b/>
          <w:bCs/>
          <w:kern w:val="0"/>
          <w:szCs w:val="21"/>
        </w:rPr>
        <w:t>第二十六条</w:t>
      </w:r>
      <w:r>
        <w:rPr>
          <w:rFonts w:hint="eastAsia" w:ascii="宋体" w:hAnsi="宋体" w:cs="宋体"/>
          <w:kern w:val="0"/>
          <w:szCs w:val="21"/>
        </w:rPr>
        <w:t xml:space="preserve">  因履行本合同发生的争议，由当事人协商解决。协商不成的，提交本合同载明的仲裁机构仲裁；本合同未载明仲裁机构或者争议发生后未达成仲裁协议的，依法向人民法院起诉。</w:t>
      </w:r>
    </w:p>
    <w:p>
      <w:pPr>
        <w:widowControl/>
        <w:adjustRightInd w:val="0"/>
        <w:snapToGrid w:val="0"/>
        <w:spacing w:line="360" w:lineRule="auto"/>
        <w:ind w:firstLine="422" w:firstLineChars="200"/>
        <w:rPr>
          <w:rFonts w:ascii="宋体" w:hAnsi="宋体" w:cs="宋体"/>
          <w:szCs w:val="21"/>
        </w:rPr>
      </w:pPr>
      <w:r>
        <w:rPr>
          <w:rFonts w:hint="eastAsia" w:ascii="宋体" w:hAnsi="宋体" w:cs="宋体"/>
          <w:b/>
          <w:bCs/>
          <w:kern w:val="0"/>
          <w:szCs w:val="21"/>
        </w:rPr>
        <w:t>第二十七条</w:t>
      </w:r>
      <w:r>
        <w:rPr>
          <w:rFonts w:hint="eastAsia" w:ascii="宋体" w:hAnsi="宋体" w:cs="宋体"/>
          <w:kern w:val="0"/>
          <w:szCs w:val="21"/>
        </w:rPr>
        <w:t xml:space="preserve">  与本合同有关的以及履行本合同产生的一切争议处理适用中华人民共和国法律（不包括港澳台地区法律）。</w:t>
      </w:r>
    </w:p>
    <w:p>
      <w:pPr>
        <w:widowControl/>
        <w:adjustRightInd w:val="0"/>
        <w:snapToGrid w:val="0"/>
        <w:spacing w:line="360" w:lineRule="auto"/>
        <w:ind w:firstLine="422" w:firstLineChars="200"/>
        <w:rPr>
          <w:rFonts w:ascii="宋体" w:hAnsi="宋体" w:cs="宋体"/>
          <w:b/>
          <w:bCs/>
          <w:szCs w:val="21"/>
        </w:rPr>
      </w:pPr>
      <w:r>
        <w:rPr>
          <w:rFonts w:hint="eastAsia" w:ascii="宋体" w:hAnsi="宋体" w:cs="宋体"/>
          <w:b/>
          <w:bCs/>
          <w:kern w:val="0"/>
          <w:szCs w:val="21"/>
        </w:rPr>
        <w:t>释义</w:t>
      </w:r>
    </w:p>
    <w:p>
      <w:pPr>
        <w:widowControl/>
        <w:adjustRightInd w:val="0"/>
        <w:snapToGrid w:val="0"/>
        <w:spacing w:line="360" w:lineRule="auto"/>
        <w:ind w:firstLine="422" w:firstLineChars="200"/>
        <w:rPr>
          <w:rFonts w:ascii="宋体" w:hAnsi="宋体" w:cs="宋体"/>
          <w:szCs w:val="21"/>
        </w:rPr>
      </w:pPr>
      <w:r>
        <w:rPr>
          <w:rFonts w:hint="eastAsia" w:ascii="宋体" w:hAnsi="宋体" w:cs="宋体"/>
          <w:b/>
          <w:bCs/>
          <w:kern w:val="0"/>
          <w:szCs w:val="21"/>
        </w:rPr>
        <w:t>周岁：</w:t>
      </w:r>
      <w:r>
        <w:rPr>
          <w:rFonts w:hint="eastAsia" w:ascii="宋体" w:hAnsi="宋体" w:cs="宋体"/>
          <w:kern w:val="0"/>
          <w:szCs w:val="21"/>
        </w:rPr>
        <w:t>以法定身份证明文件中记载的出生日期为基础计算的实足年龄。</w:t>
      </w:r>
    </w:p>
    <w:p>
      <w:pPr>
        <w:widowControl/>
        <w:adjustRightInd w:val="0"/>
        <w:snapToGrid w:val="0"/>
        <w:spacing w:line="360" w:lineRule="auto"/>
        <w:ind w:firstLine="422" w:firstLineChars="200"/>
        <w:rPr>
          <w:rFonts w:ascii="宋体" w:hAnsi="宋体" w:cs="宋体"/>
          <w:szCs w:val="21"/>
        </w:rPr>
      </w:pPr>
      <w:r>
        <w:rPr>
          <w:rFonts w:hint="eastAsia" w:ascii="宋体" w:hAnsi="宋体" w:cs="宋体"/>
          <w:b/>
          <w:bCs/>
          <w:kern w:val="0"/>
          <w:szCs w:val="21"/>
        </w:rPr>
        <w:t>意外：</w:t>
      </w:r>
      <w:r>
        <w:rPr>
          <w:rFonts w:hint="eastAsia" w:ascii="宋体" w:hAnsi="宋体" w:cs="宋体"/>
          <w:kern w:val="0"/>
          <w:szCs w:val="21"/>
        </w:rPr>
        <w:t>指外来的、突发的、非本意的、非疾病的使身体受到伤害的客观事件。</w:t>
      </w:r>
    </w:p>
    <w:p>
      <w:pPr>
        <w:widowControl/>
        <w:adjustRightInd w:val="0"/>
        <w:snapToGrid w:val="0"/>
        <w:spacing w:line="360" w:lineRule="auto"/>
        <w:ind w:firstLine="422" w:firstLineChars="200"/>
        <w:rPr>
          <w:rFonts w:ascii="宋体" w:hAnsi="宋体" w:cs="宋体"/>
          <w:szCs w:val="21"/>
        </w:rPr>
      </w:pPr>
      <w:r>
        <w:rPr>
          <w:rFonts w:hint="eastAsia" w:ascii="宋体" w:hAnsi="宋体" w:cs="宋体"/>
          <w:b/>
          <w:bCs/>
          <w:kern w:val="0"/>
          <w:szCs w:val="21"/>
        </w:rPr>
        <w:t>保险合同生效之日：</w:t>
      </w:r>
      <w:r>
        <w:rPr>
          <w:rFonts w:hint="eastAsia" w:ascii="宋体" w:hAnsi="宋体" w:cs="宋体"/>
          <w:kern w:val="0"/>
          <w:szCs w:val="21"/>
        </w:rPr>
        <w:t>指本附加合同保险期间起始之日或者保险人开始对被保险人承担保险责任之日（以较晚者为准）。</w:t>
      </w:r>
    </w:p>
    <w:p>
      <w:pPr>
        <w:widowControl/>
        <w:adjustRightInd w:val="0"/>
        <w:snapToGrid w:val="0"/>
        <w:spacing w:line="360" w:lineRule="auto"/>
        <w:ind w:firstLine="422" w:firstLineChars="200"/>
        <w:rPr>
          <w:rFonts w:ascii="宋体" w:hAnsi="宋体" w:cs="宋体"/>
          <w:szCs w:val="21"/>
        </w:rPr>
      </w:pPr>
      <w:r>
        <w:rPr>
          <w:rFonts w:hint="eastAsia" w:ascii="宋体" w:hAnsi="宋体" w:cs="宋体"/>
          <w:b/>
          <w:bCs/>
          <w:kern w:val="0"/>
          <w:szCs w:val="21"/>
        </w:rPr>
        <w:t>等待期：</w:t>
      </w:r>
      <w:r>
        <w:rPr>
          <w:rFonts w:hint="eastAsia" w:ascii="宋体" w:hAnsi="宋体" w:cs="宋体"/>
          <w:kern w:val="0"/>
          <w:szCs w:val="21"/>
        </w:rPr>
        <w:t>指保险合同约定的自保险期间开始之日起连续计算的一段时间。</w:t>
      </w:r>
    </w:p>
    <w:p>
      <w:pPr>
        <w:widowControl/>
        <w:adjustRightInd w:val="0"/>
        <w:snapToGrid w:val="0"/>
        <w:spacing w:line="360" w:lineRule="auto"/>
        <w:ind w:firstLine="422" w:firstLineChars="200"/>
        <w:rPr>
          <w:rFonts w:ascii="宋体" w:hAnsi="宋体" w:cs="宋体"/>
          <w:szCs w:val="21"/>
        </w:rPr>
      </w:pPr>
      <w:r>
        <w:rPr>
          <w:rFonts w:hint="eastAsia" w:ascii="宋体" w:hAnsi="宋体" w:cs="宋体"/>
          <w:b/>
          <w:bCs/>
          <w:kern w:val="0"/>
          <w:szCs w:val="21"/>
        </w:rPr>
        <w:t>连续续保：</w:t>
      </w:r>
      <w:r>
        <w:rPr>
          <w:rFonts w:hint="eastAsia" w:ascii="宋体" w:hAnsi="宋体" w:cs="宋体"/>
          <w:kern w:val="0"/>
          <w:szCs w:val="21"/>
        </w:rPr>
        <w:t>指在本附加合同保险期间届满前后十五日内，投保人与保险人就本保险继续订立下一年度保险合同，前后保险期间之间连续不断，以使被保险人继续参加本保险的行为。</w:t>
      </w:r>
    </w:p>
    <w:p>
      <w:pPr>
        <w:widowControl/>
        <w:adjustRightInd w:val="0"/>
        <w:snapToGrid w:val="0"/>
        <w:spacing w:line="360" w:lineRule="auto"/>
        <w:ind w:firstLine="422" w:firstLineChars="200"/>
        <w:rPr>
          <w:rFonts w:ascii="宋体" w:hAnsi="宋体" w:cs="宋体"/>
          <w:szCs w:val="21"/>
        </w:rPr>
      </w:pPr>
      <w:r>
        <w:rPr>
          <w:rFonts w:hint="eastAsia" w:ascii="宋体" w:hAnsi="宋体" w:cs="宋体"/>
          <w:b/>
          <w:bCs/>
          <w:kern w:val="0"/>
          <w:szCs w:val="21"/>
        </w:rPr>
        <w:t>保险人指定或认可的医疗机构：</w:t>
      </w:r>
      <w:r>
        <w:rPr>
          <w:rFonts w:hint="eastAsia" w:ascii="宋体" w:hAnsi="宋体" w:cs="宋体"/>
          <w:kern w:val="0"/>
          <w:szCs w:val="21"/>
        </w:rPr>
        <w:t>包括保险人指定医疗机构，以及符合下列条件的医疗机构：境内二级以上（含），具有符合有关医院管理规定设置标准的医疗设备，并且提供二十四小时有合格医师及护士的医疗和护理等服务的医疗机构，但不包括主要为康复、护理、疗养、戒酒、戒毒或者相类似目的的医疗机构。</w:t>
      </w:r>
    </w:p>
    <w:p>
      <w:pPr>
        <w:widowControl/>
        <w:adjustRightInd w:val="0"/>
        <w:snapToGrid w:val="0"/>
        <w:spacing w:line="360" w:lineRule="auto"/>
        <w:ind w:firstLine="422" w:firstLineChars="200"/>
        <w:rPr>
          <w:rFonts w:ascii="宋体" w:hAnsi="宋体" w:cs="宋体"/>
          <w:szCs w:val="21"/>
        </w:rPr>
      </w:pPr>
      <w:r>
        <w:rPr>
          <w:rFonts w:hint="eastAsia" w:ascii="宋体" w:hAnsi="宋体" w:cs="宋体"/>
          <w:b/>
          <w:bCs/>
          <w:kern w:val="0"/>
          <w:szCs w:val="21"/>
        </w:rPr>
        <w:t>住院：</w:t>
      </w:r>
      <w:r>
        <w:rPr>
          <w:rFonts w:hint="eastAsia" w:ascii="宋体" w:hAnsi="宋体" w:cs="宋体"/>
          <w:kern w:val="0"/>
          <w:szCs w:val="21"/>
        </w:rPr>
        <w:t>指入住保险人指定或者认可的医疗机构的正式病房，并办理入出院手续，不包括门（急）诊观察室诊疗、家庭病床、挂床住院、其他非正式的病床住院及不合理住院。被保险人因非医疗目的自行离开病房十二小时以上（含）的，视为自动出院。</w:t>
      </w:r>
    </w:p>
    <w:p>
      <w:pPr>
        <w:widowControl/>
        <w:adjustRightInd w:val="0"/>
        <w:snapToGrid w:val="0"/>
        <w:spacing w:line="360" w:lineRule="auto"/>
        <w:ind w:firstLine="422" w:firstLineChars="200"/>
        <w:rPr>
          <w:rFonts w:ascii="宋体" w:hAnsi="宋体" w:cs="宋体"/>
          <w:szCs w:val="21"/>
        </w:rPr>
      </w:pPr>
      <w:r>
        <w:rPr>
          <w:rFonts w:hint="eastAsia" w:ascii="宋体" w:hAnsi="宋体" w:cs="宋体"/>
          <w:b/>
          <w:bCs/>
          <w:kern w:val="0"/>
          <w:szCs w:val="21"/>
        </w:rPr>
        <w:t>每次实际住院日数：</w:t>
      </w:r>
      <w:r>
        <w:rPr>
          <w:rFonts w:hint="eastAsia" w:ascii="宋体" w:hAnsi="宋体" w:cs="宋体"/>
          <w:kern w:val="0"/>
          <w:szCs w:val="21"/>
        </w:rPr>
        <w:t>指自入院日至当次住院出院日间经过日数（不含出院当日），不包括在住院治疗期间有擅自离院情形的日数。</w:t>
      </w:r>
    </w:p>
    <w:p>
      <w:pPr>
        <w:widowControl/>
        <w:adjustRightInd w:val="0"/>
        <w:snapToGrid w:val="0"/>
        <w:spacing w:line="360" w:lineRule="auto"/>
        <w:ind w:firstLine="422" w:firstLineChars="200"/>
        <w:rPr>
          <w:rFonts w:ascii="宋体" w:hAnsi="宋体" w:cs="宋体"/>
          <w:szCs w:val="21"/>
        </w:rPr>
      </w:pPr>
      <w:r>
        <w:rPr>
          <w:rFonts w:hint="eastAsia" w:ascii="宋体" w:hAnsi="宋体" w:cs="宋体"/>
          <w:b/>
          <w:bCs/>
          <w:kern w:val="0"/>
          <w:szCs w:val="21"/>
        </w:rPr>
        <w:t>既往症：</w:t>
      </w:r>
      <w:r>
        <w:rPr>
          <w:rFonts w:hint="eastAsia" w:ascii="宋体" w:hAnsi="宋体" w:cs="宋体"/>
          <w:kern w:val="0"/>
          <w:szCs w:val="21"/>
        </w:rPr>
        <w:t>指被保险人在其保险责任生效之日前已患有的疾病和症状，以及与此相关的任何疾病和症状。</w:t>
      </w:r>
    </w:p>
    <w:p>
      <w:pPr>
        <w:widowControl/>
        <w:adjustRightInd w:val="0"/>
        <w:snapToGrid w:val="0"/>
        <w:spacing w:line="360" w:lineRule="auto"/>
        <w:ind w:firstLine="422" w:firstLineChars="200"/>
        <w:rPr>
          <w:rFonts w:ascii="宋体" w:hAnsi="宋体" w:cs="宋体"/>
          <w:szCs w:val="21"/>
        </w:rPr>
      </w:pPr>
      <w:r>
        <w:rPr>
          <w:rFonts w:hint="eastAsia" w:ascii="宋体" w:hAnsi="宋体" w:cs="宋体"/>
          <w:b/>
          <w:bCs/>
          <w:kern w:val="0"/>
          <w:szCs w:val="21"/>
        </w:rPr>
        <w:t>先天性畸形、变形和染色体异常：</w:t>
      </w:r>
      <w:r>
        <w:rPr>
          <w:rFonts w:hint="eastAsia" w:ascii="宋体" w:hAnsi="宋体" w:cs="宋体"/>
          <w:kern w:val="0"/>
          <w:szCs w:val="21"/>
        </w:rPr>
        <w:t>指被保险人出生时就具有的畸形、变形或者染色体异常。先天性畸形、变形和染色体异常确定依照世界卫生组织《疾病和有关健康问题的国际分类》（ICD－10）确定。先天性畸形、变形和染色体异常可能来自于父母遗传，或者因胎儿在子宫内时受到伤害或者感染，或者因胎儿在出生时发生异常或者受到伤害。</w:t>
      </w:r>
    </w:p>
    <w:p>
      <w:pPr>
        <w:widowControl/>
        <w:adjustRightInd w:val="0"/>
        <w:snapToGrid w:val="0"/>
        <w:spacing w:line="360" w:lineRule="auto"/>
        <w:ind w:firstLine="422" w:firstLineChars="200"/>
        <w:rPr>
          <w:rFonts w:ascii="宋体" w:hAnsi="宋体" w:cs="宋体"/>
          <w:szCs w:val="21"/>
        </w:rPr>
      </w:pPr>
      <w:r>
        <w:rPr>
          <w:rFonts w:hint="eastAsia" w:ascii="宋体" w:hAnsi="宋体" w:cs="宋体"/>
          <w:b/>
          <w:bCs/>
          <w:kern w:val="0"/>
          <w:szCs w:val="21"/>
        </w:rPr>
        <w:t>遗传性疾病：</w:t>
      </w:r>
      <w:r>
        <w:rPr>
          <w:rFonts w:hint="eastAsia" w:ascii="宋体" w:hAnsi="宋体" w:cs="宋体"/>
          <w:kern w:val="0"/>
          <w:szCs w:val="21"/>
        </w:rPr>
        <w:t>指生殖细胞或者受精卵的遗传物质（染色体和基因）发生突变或者畸变所引起的疾病，通常具有由亲代传至后代的垂直传递的特征。许多遗传性疾病在出生时并未显现。</w:t>
      </w:r>
    </w:p>
    <w:p>
      <w:pPr>
        <w:widowControl/>
        <w:adjustRightInd w:val="0"/>
        <w:snapToGrid w:val="0"/>
        <w:spacing w:line="360" w:lineRule="auto"/>
        <w:ind w:firstLine="422" w:firstLineChars="200"/>
        <w:rPr>
          <w:rFonts w:ascii="宋体" w:hAnsi="宋体" w:cs="宋体"/>
          <w:szCs w:val="21"/>
        </w:rPr>
      </w:pPr>
      <w:r>
        <w:rPr>
          <w:rFonts w:hint="eastAsia" w:ascii="宋体" w:hAnsi="宋体" w:cs="宋体"/>
          <w:b/>
          <w:bCs/>
          <w:kern w:val="0"/>
          <w:szCs w:val="21"/>
        </w:rPr>
        <w:t>性传播疾病：</w:t>
      </w:r>
      <w:r>
        <w:rPr>
          <w:rFonts w:hint="eastAsia" w:ascii="宋体" w:hAnsi="宋体" w:cs="宋体"/>
          <w:kern w:val="0"/>
          <w:szCs w:val="21"/>
        </w:rPr>
        <w:t>指发生在生殖器官的内源性或者外源性通过性行为或者非性行为传播的传播性疾病，包括但不限于梅毒、淋病、尖锐湿疣、疱疹、软下疳、淋巴肉牙肿、非淋菌性尿道炎（包括支原体、衣原体阳性）。</w:t>
      </w:r>
    </w:p>
    <w:p>
      <w:pPr>
        <w:widowControl/>
        <w:adjustRightInd w:val="0"/>
        <w:snapToGrid w:val="0"/>
        <w:spacing w:line="360" w:lineRule="auto"/>
        <w:ind w:firstLine="422" w:firstLineChars="200"/>
        <w:rPr>
          <w:rFonts w:ascii="宋体" w:hAnsi="宋体" w:cs="宋体"/>
          <w:szCs w:val="21"/>
        </w:rPr>
      </w:pPr>
      <w:r>
        <w:rPr>
          <w:rFonts w:hint="eastAsia" w:ascii="宋体" w:hAnsi="宋体" w:cs="宋体"/>
          <w:b/>
          <w:bCs/>
          <w:kern w:val="0"/>
          <w:szCs w:val="21"/>
        </w:rPr>
        <w:t>医疗事故：</w:t>
      </w:r>
      <w:r>
        <w:rPr>
          <w:rFonts w:hint="eastAsia" w:ascii="宋体" w:hAnsi="宋体" w:cs="宋体"/>
          <w:kern w:val="0"/>
          <w:szCs w:val="21"/>
        </w:rPr>
        <w:t>指医疗机构及其医务人员在医疗活动中，违反医疗卫生管理法律、行政法规、部门规章和诊疗护理规范、常规，过失造成患者人身伤害的事故。</w:t>
      </w:r>
    </w:p>
    <w:p>
      <w:pPr>
        <w:widowControl/>
        <w:adjustRightInd w:val="0"/>
        <w:snapToGrid w:val="0"/>
        <w:spacing w:line="360" w:lineRule="auto"/>
        <w:ind w:firstLine="422" w:firstLineChars="200"/>
        <w:rPr>
          <w:rFonts w:ascii="宋体" w:hAnsi="宋体" w:cs="宋体"/>
          <w:szCs w:val="21"/>
        </w:rPr>
      </w:pPr>
      <w:r>
        <w:rPr>
          <w:rFonts w:hint="eastAsia" w:ascii="宋体" w:hAnsi="宋体" w:cs="宋体"/>
          <w:b/>
          <w:bCs/>
          <w:kern w:val="0"/>
          <w:szCs w:val="21"/>
        </w:rPr>
        <w:t>潜水：</w:t>
      </w:r>
      <w:r>
        <w:rPr>
          <w:rFonts w:hint="eastAsia" w:ascii="宋体" w:hAnsi="宋体" w:cs="宋体"/>
          <w:kern w:val="0"/>
          <w:szCs w:val="21"/>
        </w:rPr>
        <w:t>指以辅助呼吸器材在江、河、湖、海、水库、运河等水域进行的水下活动。</w:t>
      </w:r>
    </w:p>
    <w:p>
      <w:pPr>
        <w:widowControl/>
        <w:adjustRightInd w:val="0"/>
        <w:snapToGrid w:val="0"/>
        <w:spacing w:line="360" w:lineRule="auto"/>
        <w:ind w:firstLine="422" w:firstLineChars="200"/>
        <w:rPr>
          <w:rFonts w:ascii="宋体" w:hAnsi="宋体" w:cs="宋体"/>
          <w:szCs w:val="21"/>
        </w:rPr>
      </w:pPr>
      <w:r>
        <w:rPr>
          <w:rFonts w:hint="eastAsia" w:ascii="宋体" w:hAnsi="宋体" w:cs="宋体"/>
          <w:b/>
          <w:bCs/>
          <w:kern w:val="0"/>
          <w:szCs w:val="21"/>
        </w:rPr>
        <w:t>攀岩：</w:t>
      </w:r>
      <w:r>
        <w:rPr>
          <w:rFonts w:hint="eastAsia" w:ascii="宋体" w:hAnsi="宋体" w:cs="宋体"/>
          <w:kern w:val="0"/>
          <w:szCs w:val="21"/>
        </w:rPr>
        <w:t xml:space="preserve">指攀登悬崖、楼宇外墙、人造悬崖、冰崖、冰山等运动。 </w:t>
      </w:r>
    </w:p>
    <w:p>
      <w:pPr>
        <w:widowControl/>
        <w:adjustRightInd w:val="0"/>
        <w:snapToGrid w:val="0"/>
        <w:spacing w:line="360" w:lineRule="auto"/>
        <w:ind w:firstLine="422" w:firstLineChars="200"/>
        <w:rPr>
          <w:rFonts w:ascii="宋体" w:hAnsi="宋体" w:cs="宋体"/>
          <w:szCs w:val="21"/>
        </w:rPr>
      </w:pPr>
      <w:r>
        <w:rPr>
          <w:rFonts w:hint="eastAsia" w:ascii="宋体" w:hAnsi="宋体" w:cs="宋体"/>
          <w:b/>
          <w:bCs/>
          <w:kern w:val="0"/>
          <w:szCs w:val="21"/>
        </w:rPr>
        <w:t>武术比赛：</w:t>
      </w:r>
      <w:r>
        <w:rPr>
          <w:rFonts w:hint="eastAsia" w:ascii="宋体" w:hAnsi="宋体" w:cs="宋体"/>
          <w:kern w:val="0"/>
          <w:szCs w:val="21"/>
        </w:rPr>
        <w:t>指两人或者两人以上对抗性柔道、空手道、跆拳道、散打、拳击等各种拳术及各种使用器械的对抗性比赛。</w:t>
      </w:r>
    </w:p>
    <w:p>
      <w:pPr>
        <w:widowControl/>
        <w:adjustRightInd w:val="0"/>
        <w:snapToGrid w:val="0"/>
        <w:spacing w:line="360" w:lineRule="auto"/>
        <w:ind w:firstLine="422" w:firstLineChars="200"/>
        <w:rPr>
          <w:rFonts w:ascii="宋体" w:hAnsi="宋体" w:cs="宋体"/>
          <w:szCs w:val="21"/>
        </w:rPr>
      </w:pPr>
      <w:r>
        <w:rPr>
          <w:rFonts w:hint="eastAsia" w:ascii="宋体" w:hAnsi="宋体" w:cs="宋体"/>
          <w:b/>
          <w:bCs/>
          <w:kern w:val="0"/>
          <w:szCs w:val="21"/>
        </w:rPr>
        <w:t>探险：</w:t>
      </w:r>
      <w:r>
        <w:rPr>
          <w:rFonts w:hint="eastAsia" w:ascii="宋体" w:hAnsi="宋体" w:cs="宋体"/>
          <w:kern w:val="0"/>
          <w:szCs w:val="21"/>
        </w:rPr>
        <w:t>指明知在某种特定的自然条件下有失去生命或者使身体受到伤害的危险，而故意使自己置身其中的行为。如江河漂流、徒步穿越沙漠或者人迹罕至的原始森林等活动。</w:t>
      </w:r>
    </w:p>
    <w:p>
      <w:pPr>
        <w:widowControl/>
        <w:adjustRightInd w:val="0"/>
        <w:snapToGrid w:val="0"/>
        <w:spacing w:line="360" w:lineRule="auto"/>
        <w:ind w:firstLine="422" w:firstLineChars="200"/>
        <w:rPr>
          <w:rFonts w:ascii="宋体" w:hAnsi="宋体" w:cs="宋体"/>
          <w:szCs w:val="21"/>
        </w:rPr>
      </w:pPr>
      <w:r>
        <w:rPr>
          <w:rFonts w:hint="eastAsia" w:ascii="宋体" w:hAnsi="宋体" w:cs="宋体"/>
          <w:b/>
          <w:bCs/>
          <w:kern w:val="0"/>
          <w:szCs w:val="21"/>
        </w:rPr>
        <w:t>特技：</w:t>
      </w:r>
      <w:r>
        <w:rPr>
          <w:rFonts w:hint="eastAsia" w:ascii="宋体" w:hAnsi="宋体" w:cs="宋体"/>
          <w:kern w:val="0"/>
          <w:szCs w:val="21"/>
        </w:rPr>
        <w:t>指从事马术、杂技、驯兽等方面的表演、运动或者其他专门活动的特殊技能。</w:t>
      </w:r>
    </w:p>
    <w:p>
      <w:pPr>
        <w:widowControl/>
        <w:adjustRightInd w:val="0"/>
        <w:snapToGrid w:val="0"/>
        <w:spacing w:line="360" w:lineRule="auto"/>
        <w:ind w:firstLine="422" w:firstLineChars="200"/>
        <w:rPr>
          <w:rFonts w:ascii="宋体" w:hAnsi="宋体" w:cs="宋体"/>
          <w:szCs w:val="21"/>
        </w:rPr>
      </w:pPr>
      <w:r>
        <w:rPr>
          <w:rFonts w:hint="eastAsia" w:ascii="宋体" w:hAnsi="宋体" w:cs="宋体"/>
          <w:b/>
          <w:bCs/>
          <w:kern w:val="0"/>
          <w:szCs w:val="21"/>
        </w:rPr>
        <w:t>恐怖活动：</w:t>
      </w:r>
      <w:r>
        <w:rPr>
          <w:rFonts w:hint="eastAsia" w:ascii="宋体" w:hAnsi="宋体" w:cs="宋体"/>
          <w:kern w:val="0"/>
          <w:szCs w:val="21"/>
        </w:rPr>
        <w:t>指以制造社会恐慌、危害公共安全或者胁迫国家机关、国际组织为目的，采取暴力、破坏、恐吓等手段，造成或者意图造成人员伤亡、重大财产损失、公共设施损坏、社会秩序混乱等严重社会危害的行为，以及煽动、资助或者以其他方式协助实施上述活动的行为。</w:t>
      </w:r>
    </w:p>
    <w:p>
      <w:pPr>
        <w:widowControl/>
        <w:adjustRightInd w:val="0"/>
        <w:snapToGrid w:val="0"/>
        <w:spacing w:line="360" w:lineRule="auto"/>
        <w:ind w:firstLine="422" w:firstLineChars="200"/>
        <w:rPr>
          <w:rFonts w:ascii="宋体" w:hAnsi="宋体" w:cs="宋体"/>
          <w:szCs w:val="21"/>
        </w:rPr>
      </w:pPr>
      <w:r>
        <w:rPr>
          <w:rFonts w:hint="eastAsia" w:ascii="宋体" w:hAnsi="宋体" w:cs="宋体"/>
          <w:b/>
          <w:bCs/>
          <w:kern w:val="0"/>
          <w:szCs w:val="21"/>
        </w:rPr>
        <w:t>毒品：</w:t>
      </w:r>
      <w:r>
        <w:rPr>
          <w:rFonts w:hint="eastAsia" w:ascii="宋体" w:hAnsi="宋体" w:cs="宋体"/>
          <w:kern w:val="0"/>
          <w:szCs w:val="21"/>
        </w:rPr>
        <w:t>指中华人民共和国刑法规定的鸦片、海洛因、甲基苯丙胺（冰毒）、吗啡、大麻、可卡因以及国家规定管制的其他能够使人形成瘾癖的麻醉药品和精神药品。</w:t>
      </w:r>
    </w:p>
    <w:p>
      <w:pPr>
        <w:widowControl/>
        <w:adjustRightInd w:val="0"/>
        <w:snapToGrid w:val="0"/>
        <w:spacing w:line="360" w:lineRule="auto"/>
        <w:ind w:firstLine="422" w:firstLineChars="200"/>
        <w:rPr>
          <w:rFonts w:ascii="宋体" w:hAnsi="宋体" w:cs="宋体"/>
          <w:szCs w:val="21"/>
        </w:rPr>
      </w:pPr>
      <w:r>
        <w:rPr>
          <w:rFonts w:hint="eastAsia" w:ascii="宋体" w:hAnsi="宋体" w:cs="宋体"/>
          <w:b/>
          <w:bCs/>
          <w:kern w:val="0"/>
          <w:szCs w:val="21"/>
        </w:rPr>
        <w:t>管制药品：</w:t>
      </w:r>
      <w:r>
        <w:rPr>
          <w:rFonts w:hint="eastAsia" w:ascii="宋体" w:hAnsi="宋体" w:cs="宋体"/>
          <w:kern w:val="0"/>
          <w:szCs w:val="21"/>
        </w:rPr>
        <w:t>指根据《中华人民共和国药品管理法》及有关法规被列为特殊管理的药品，包括麻醉药品、精神药品、毒性药品及放射性药品。</w:t>
      </w:r>
    </w:p>
    <w:p>
      <w:pPr>
        <w:widowControl/>
        <w:adjustRightInd w:val="0"/>
        <w:snapToGrid w:val="0"/>
        <w:spacing w:line="360" w:lineRule="auto"/>
        <w:ind w:firstLine="422" w:firstLineChars="200"/>
        <w:rPr>
          <w:rFonts w:ascii="宋体" w:hAnsi="宋体" w:cs="宋体"/>
          <w:szCs w:val="21"/>
        </w:rPr>
      </w:pPr>
      <w:r>
        <w:rPr>
          <w:rFonts w:hint="eastAsia" w:ascii="宋体" w:hAnsi="宋体" w:cs="宋体"/>
          <w:b/>
          <w:bCs/>
          <w:kern w:val="0"/>
          <w:szCs w:val="21"/>
        </w:rPr>
        <w:t>艾滋病：</w:t>
      </w:r>
      <w:r>
        <w:rPr>
          <w:rFonts w:hint="eastAsia" w:ascii="宋体" w:hAnsi="宋体" w:cs="宋体"/>
          <w:kern w:val="0"/>
          <w:szCs w:val="21"/>
        </w:rPr>
        <w:t>指获得性免疫缺陷综合症的简称。</w:t>
      </w:r>
    </w:p>
    <w:p>
      <w:pPr>
        <w:widowControl/>
        <w:adjustRightInd w:val="0"/>
        <w:snapToGrid w:val="0"/>
        <w:spacing w:line="360" w:lineRule="auto"/>
        <w:ind w:firstLine="422" w:firstLineChars="200"/>
        <w:rPr>
          <w:rFonts w:ascii="宋体" w:hAnsi="宋体" w:cs="宋体"/>
          <w:szCs w:val="21"/>
        </w:rPr>
      </w:pPr>
      <w:r>
        <w:rPr>
          <w:rFonts w:hint="eastAsia" w:ascii="宋体" w:hAnsi="宋体" w:cs="宋体"/>
          <w:b/>
          <w:bCs/>
          <w:kern w:val="0"/>
          <w:szCs w:val="21"/>
        </w:rPr>
        <w:t>艾滋病病毒：</w:t>
      </w:r>
      <w:r>
        <w:rPr>
          <w:rFonts w:hint="eastAsia" w:ascii="宋体" w:hAnsi="宋体" w:cs="宋体"/>
          <w:kern w:val="0"/>
          <w:szCs w:val="21"/>
        </w:rPr>
        <w:t>指获得性免疫缺陷病毒的简称。</w:t>
      </w:r>
    </w:p>
    <w:p>
      <w:pPr>
        <w:widowControl/>
        <w:adjustRightInd w:val="0"/>
        <w:snapToGrid w:val="0"/>
        <w:spacing w:line="360" w:lineRule="auto"/>
        <w:ind w:firstLine="422" w:firstLineChars="200"/>
        <w:rPr>
          <w:rFonts w:ascii="宋体" w:hAnsi="宋体" w:cs="宋体"/>
          <w:szCs w:val="21"/>
        </w:rPr>
      </w:pPr>
      <w:r>
        <w:rPr>
          <w:rFonts w:hint="eastAsia" w:ascii="宋体" w:hAnsi="宋体" w:cs="宋体"/>
          <w:b/>
          <w:bCs/>
          <w:kern w:val="0"/>
          <w:szCs w:val="21"/>
        </w:rPr>
        <w:t>获得性免疫缺陷综合症（AIDS）：</w:t>
      </w:r>
      <w:r>
        <w:rPr>
          <w:rFonts w:hint="eastAsia" w:ascii="宋体" w:hAnsi="宋体" w:cs="宋体"/>
          <w:kern w:val="0"/>
          <w:szCs w:val="21"/>
        </w:rPr>
        <w:t>其定义按世界卫生组织制定的定义为准。若在被保险人的血液样本中发现艾滋病病毒或者其抗体，则认定被保险人己被艾滋病病毒感染或者患艾滋病。</w:t>
      </w:r>
    </w:p>
    <w:p>
      <w:pPr>
        <w:widowControl/>
        <w:adjustRightInd w:val="0"/>
        <w:snapToGrid w:val="0"/>
        <w:spacing w:line="360" w:lineRule="auto"/>
        <w:ind w:firstLine="422" w:firstLineChars="200"/>
        <w:rPr>
          <w:rFonts w:ascii="宋体" w:hAnsi="宋体" w:cs="宋体"/>
          <w:szCs w:val="21"/>
        </w:rPr>
      </w:pPr>
      <w:r>
        <w:rPr>
          <w:rFonts w:hint="eastAsia" w:ascii="宋体" w:hAnsi="宋体" w:cs="宋体"/>
          <w:b/>
          <w:bCs/>
          <w:kern w:val="0"/>
          <w:szCs w:val="21"/>
        </w:rPr>
        <w:t>酒后驾驶：</w:t>
      </w:r>
      <w:r>
        <w:rPr>
          <w:rFonts w:hint="eastAsia" w:ascii="宋体" w:hAnsi="宋体" w:cs="宋体"/>
          <w:kern w:val="0"/>
          <w:szCs w:val="21"/>
        </w:rPr>
        <w:t>指经检测或者鉴定，发生事故时车辆驾驶人员每百毫升血液中的酒精含量达到或者超过道路交通法规规定的标准。</w:t>
      </w:r>
    </w:p>
    <w:p>
      <w:pPr>
        <w:widowControl/>
        <w:adjustRightInd w:val="0"/>
        <w:snapToGrid w:val="0"/>
        <w:spacing w:line="360" w:lineRule="auto"/>
        <w:ind w:firstLine="422" w:firstLineChars="200"/>
        <w:rPr>
          <w:rFonts w:ascii="宋体" w:hAnsi="宋体" w:cs="宋体"/>
          <w:szCs w:val="21"/>
        </w:rPr>
      </w:pPr>
      <w:r>
        <w:rPr>
          <w:rFonts w:hint="eastAsia" w:ascii="宋体" w:hAnsi="宋体" w:cs="宋体"/>
          <w:b/>
          <w:bCs/>
          <w:kern w:val="0"/>
          <w:szCs w:val="21"/>
        </w:rPr>
        <w:t>无有效驾驶证驾驶：</w:t>
      </w:r>
      <w:r>
        <w:rPr>
          <w:rFonts w:hint="eastAsia" w:ascii="宋体" w:hAnsi="宋体" w:cs="宋体"/>
          <w:kern w:val="0"/>
          <w:szCs w:val="21"/>
        </w:rPr>
        <w:t>包括下列任何情形：</w:t>
      </w:r>
    </w:p>
    <w:p>
      <w:pPr>
        <w:widowControl/>
        <w:adjustRightInd w:val="0"/>
        <w:snapToGrid w:val="0"/>
        <w:spacing w:line="360" w:lineRule="auto"/>
        <w:ind w:firstLine="420" w:firstLineChars="200"/>
        <w:rPr>
          <w:rFonts w:ascii="宋体" w:hAnsi="宋体" w:cs="宋体"/>
          <w:szCs w:val="21"/>
        </w:rPr>
      </w:pPr>
      <w:r>
        <w:rPr>
          <w:rFonts w:hint="eastAsia" w:ascii="宋体" w:hAnsi="宋体" w:cs="宋体"/>
          <w:kern w:val="0"/>
          <w:szCs w:val="21"/>
        </w:rPr>
        <w:t>1．无驾驶证驾驶或者持有效期已届满的驾驶证驾驶；</w:t>
      </w:r>
    </w:p>
    <w:p>
      <w:pPr>
        <w:widowControl/>
        <w:adjustRightInd w:val="0"/>
        <w:snapToGrid w:val="0"/>
        <w:spacing w:line="360" w:lineRule="auto"/>
        <w:ind w:firstLine="420" w:firstLineChars="200"/>
        <w:rPr>
          <w:rFonts w:ascii="宋体" w:hAnsi="宋体" w:cs="宋体"/>
          <w:szCs w:val="21"/>
        </w:rPr>
      </w:pPr>
      <w:r>
        <w:rPr>
          <w:rFonts w:hint="eastAsia" w:ascii="宋体" w:hAnsi="宋体" w:cs="宋体"/>
          <w:kern w:val="0"/>
          <w:szCs w:val="21"/>
        </w:rPr>
        <w:t>2．驾驶的机动交通工具与驾驶证载明的准驾车型不符；</w:t>
      </w:r>
    </w:p>
    <w:p>
      <w:pPr>
        <w:widowControl/>
        <w:adjustRightInd w:val="0"/>
        <w:snapToGrid w:val="0"/>
        <w:spacing w:line="360" w:lineRule="auto"/>
        <w:ind w:firstLine="420" w:firstLineChars="200"/>
        <w:rPr>
          <w:rFonts w:ascii="宋体" w:hAnsi="宋体" w:cs="宋体"/>
          <w:szCs w:val="21"/>
        </w:rPr>
      </w:pPr>
      <w:r>
        <w:rPr>
          <w:rFonts w:hint="eastAsia" w:ascii="宋体" w:hAnsi="宋体" w:cs="宋体"/>
          <w:kern w:val="0"/>
          <w:szCs w:val="21"/>
        </w:rPr>
        <w:t>3．实习期内驾驶公共汽车、营运客车或者载有爆炸物品、易燃易爆化学物品、剧毒或者放射性物品等危险物品的机动交通工具，实习期内驾驶机动交通工具牵引挂车；</w:t>
      </w:r>
    </w:p>
    <w:p>
      <w:pPr>
        <w:widowControl/>
        <w:adjustRightInd w:val="0"/>
        <w:snapToGrid w:val="0"/>
        <w:spacing w:line="360" w:lineRule="auto"/>
        <w:ind w:firstLine="420" w:firstLineChars="200"/>
        <w:rPr>
          <w:rFonts w:ascii="宋体" w:hAnsi="宋体" w:cs="宋体"/>
          <w:szCs w:val="21"/>
        </w:rPr>
      </w:pPr>
      <w:r>
        <w:rPr>
          <w:rFonts w:hint="eastAsia" w:ascii="宋体" w:hAnsi="宋体" w:cs="宋体"/>
          <w:kern w:val="0"/>
          <w:szCs w:val="21"/>
        </w:rPr>
        <w:t>4．持未按规定审验的驾驶证驾驶，以及驾驶证被暂扣、扣留、吊销或者注销期间驾驶机动交通工具；</w:t>
      </w:r>
    </w:p>
    <w:p>
      <w:pPr>
        <w:widowControl/>
        <w:adjustRightInd w:val="0"/>
        <w:snapToGrid w:val="0"/>
        <w:spacing w:line="360" w:lineRule="auto"/>
        <w:ind w:firstLine="420" w:firstLineChars="200"/>
        <w:rPr>
          <w:rFonts w:ascii="宋体" w:hAnsi="宋体" w:cs="宋体"/>
          <w:szCs w:val="21"/>
        </w:rPr>
      </w:pPr>
      <w:r>
        <w:rPr>
          <w:rFonts w:hint="eastAsia" w:ascii="宋体" w:hAnsi="宋体" w:cs="宋体"/>
          <w:kern w:val="0"/>
          <w:szCs w:val="21"/>
        </w:rPr>
        <w:t>5．使用各种专用机械车、特种车的人员无国家有关部门核发的有效操作证，驾驶营业性客车的驾驶人无国家有关部门核发的有效资格证书；</w:t>
      </w:r>
    </w:p>
    <w:p>
      <w:pPr>
        <w:widowControl/>
        <w:adjustRightInd w:val="0"/>
        <w:snapToGrid w:val="0"/>
        <w:spacing w:line="360" w:lineRule="auto"/>
        <w:ind w:firstLine="420" w:firstLineChars="200"/>
        <w:rPr>
          <w:rFonts w:ascii="宋体" w:hAnsi="宋体" w:cs="宋体"/>
          <w:szCs w:val="21"/>
        </w:rPr>
      </w:pPr>
      <w:r>
        <w:rPr>
          <w:rFonts w:hint="eastAsia" w:ascii="宋体" w:hAnsi="宋体" w:cs="宋体"/>
          <w:kern w:val="0"/>
          <w:szCs w:val="21"/>
        </w:rPr>
        <w:t>6．在依照法律法规或者公安机关交通管理部门有关规定不允许驾驶机动交通工具的其它情况下驾驶机动交通工具。</w:t>
      </w:r>
    </w:p>
    <w:p>
      <w:pPr>
        <w:widowControl/>
        <w:adjustRightInd w:val="0"/>
        <w:snapToGrid w:val="0"/>
        <w:spacing w:line="360" w:lineRule="auto"/>
        <w:ind w:firstLine="422" w:firstLineChars="200"/>
        <w:rPr>
          <w:rFonts w:ascii="宋体" w:hAnsi="宋体" w:cs="宋体"/>
          <w:szCs w:val="21"/>
        </w:rPr>
      </w:pPr>
      <w:r>
        <w:rPr>
          <w:rFonts w:hint="eastAsia" w:ascii="宋体" w:hAnsi="宋体" w:cs="宋体"/>
          <w:b/>
          <w:bCs/>
          <w:kern w:val="0"/>
          <w:szCs w:val="21"/>
        </w:rPr>
        <w:t>无有效行驶证：</w:t>
      </w:r>
      <w:r>
        <w:rPr>
          <w:rFonts w:hint="eastAsia" w:ascii="宋体" w:hAnsi="宋体" w:cs="宋体"/>
          <w:kern w:val="0"/>
          <w:szCs w:val="21"/>
        </w:rPr>
        <w:t>包括下列任何情形：</w:t>
      </w:r>
    </w:p>
    <w:p>
      <w:pPr>
        <w:widowControl/>
        <w:adjustRightInd w:val="0"/>
        <w:snapToGrid w:val="0"/>
        <w:spacing w:line="360" w:lineRule="auto"/>
        <w:ind w:firstLine="420" w:firstLineChars="200"/>
        <w:rPr>
          <w:rFonts w:ascii="宋体" w:hAnsi="宋体" w:cs="宋体"/>
          <w:szCs w:val="21"/>
        </w:rPr>
      </w:pPr>
      <w:r>
        <w:rPr>
          <w:rFonts w:hint="eastAsia" w:ascii="宋体" w:hAnsi="宋体" w:cs="宋体"/>
          <w:kern w:val="0"/>
          <w:szCs w:val="21"/>
        </w:rPr>
        <w:t>1．机动交通工具被依法注销登记；</w:t>
      </w:r>
    </w:p>
    <w:p>
      <w:pPr>
        <w:widowControl/>
        <w:adjustRightInd w:val="0"/>
        <w:snapToGrid w:val="0"/>
        <w:spacing w:line="360" w:lineRule="auto"/>
        <w:ind w:firstLine="420" w:firstLineChars="200"/>
        <w:rPr>
          <w:rFonts w:ascii="宋体" w:hAnsi="宋体" w:cs="宋体"/>
          <w:szCs w:val="21"/>
        </w:rPr>
      </w:pPr>
      <w:r>
        <w:rPr>
          <w:rFonts w:hint="eastAsia" w:ascii="宋体" w:hAnsi="宋体" w:cs="宋体"/>
          <w:kern w:val="0"/>
          <w:szCs w:val="21"/>
        </w:rPr>
        <w:t>2．机动交通工具无公安机关交通管理部门核发的行驶证、号牌，或者临时号牌或者临时移动证；</w:t>
      </w:r>
    </w:p>
    <w:p>
      <w:pPr>
        <w:widowControl/>
        <w:adjustRightInd w:val="0"/>
        <w:snapToGrid w:val="0"/>
        <w:spacing w:line="360" w:lineRule="auto"/>
        <w:ind w:firstLine="420" w:firstLineChars="200"/>
        <w:rPr>
          <w:rFonts w:ascii="宋体" w:hAnsi="宋体" w:cs="宋体"/>
          <w:szCs w:val="21"/>
        </w:rPr>
      </w:pPr>
      <w:r>
        <w:rPr>
          <w:rFonts w:hint="eastAsia" w:ascii="宋体" w:hAnsi="宋体" w:cs="宋体"/>
          <w:kern w:val="0"/>
          <w:szCs w:val="21"/>
        </w:rPr>
        <w:t>3．机动交通工具未在规定检验期限内进行安全技术检验或者检验未通过，未依法按时进行或者通过安全技术检验。</w:t>
      </w:r>
    </w:p>
    <w:p>
      <w:pPr>
        <w:widowControl/>
        <w:adjustRightInd w:val="0"/>
        <w:snapToGrid w:val="0"/>
        <w:spacing w:line="360" w:lineRule="auto"/>
        <w:ind w:firstLine="422" w:firstLineChars="200"/>
        <w:rPr>
          <w:rFonts w:ascii="宋体" w:hAnsi="宋体" w:cs="宋体"/>
          <w:szCs w:val="21"/>
        </w:rPr>
      </w:pPr>
      <w:r>
        <w:rPr>
          <w:rFonts w:hint="eastAsia" w:ascii="宋体" w:hAnsi="宋体" w:cs="宋体"/>
          <w:b/>
          <w:bCs/>
          <w:kern w:val="0"/>
          <w:szCs w:val="21"/>
        </w:rPr>
        <w:t>保险金申请人：</w:t>
      </w:r>
      <w:r>
        <w:rPr>
          <w:rFonts w:hint="eastAsia" w:ascii="宋体" w:hAnsi="宋体" w:cs="宋体"/>
          <w:kern w:val="0"/>
          <w:szCs w:val="21"/>
        </w:rPr>
        <w:t>指受益人或者依法享有保险金请求权的其他人。</w:t>
      </w:r>
    </w:p>
    <w:p>
      <w:pPr>
        <w:spacing w:line="360" w:lineRule="auto"/>
        <w:ind w:firstLine="422" w:firstLineChars="200"/>
        <w:rPr>
          <w:rFonts w:ascii="宋体" w:hAnsi="宋体" w:cs="宋体"/>
          <w:szCs w:val="21"/>
        </w:rPr>
      </w:pPr>
      <w:r>
        <w:rPr>
          <w:rFonts w:hint="eastAsia" w:ascii="宋体" w:hAnsi="宋体" w:cs="宋体"/>
          <w:b/>
          <w:bCs/>
          <w:kern w:val="0"/>
          <w:szCs w:val="21"/>
        </w:rPr>
        <w:t>未满期净保险费：</w:t>
      </w:r>
      <w:r>
        <w:rPr>
          <w:rFonts w:hint="eastAsia" w:ascii="宋体" w:hAnsi="宋体" w:cs="宋体"/>
          <w:kern w:val="0"/>
          <w:szCs w:val="21"/>
        </w:rPr>
        <w:t>未满期净保险费=保险费×[1-(保险责任已经过日数/保险期间日数)]×（1-25%）。已经过日数不足一日的，按一日计算。</w:t>
      </w:r>
    </w:p>
    <w:bookmarkEnd w:id="9"/>
    <w:bookmarkEnd w:id="10"/>
    <w:p/>
    <w:p>
      <w:pPr>
        <w:spacing w:line="560" w:lineRule="exact"/>
        <w:ind w:firstLine="420" w:firstLineChars="200"/>
        <w:jc w:val="left"/>
        <w:rPr>
          <w:rFonts w:ascii="Times New Roman" w:hAnsi="Times New Roman"/>
          <w:szCs w:val="21"/>
        </w:rPr>
      </w:pPr>
    </w:p>
    <w:p>
      <w:pPr>
        <w:pStyle w:val="4"/>
        <w:jc w:val="both"/>
      </w:pPr>
    </w:p>
    <w:p/>
    <w:sectPr>
      <w:footerReference r:id="rId5" w:type="first"/>
      <w:headerReference r:id="rId3" w:type="default"/>
      <w:footerReference r:id="rId4"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H Yb 2gj">
    <w:altName w:val="黑体"/>
    <w:panose1 w:val="00000000000000000000"/>
    <w:charset w:val="86"/>
    <w:family w:val="auto"/>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MS Mincho">
    <w:altName w:val="Yu Gothic UI"/>
    <w:panose1 w:val="02020609040205080304"/>
    <w:charset w:val="80"/>
    <w:family w:val="modern"/>
    <w:pitch w:val="default"/>
    <w:sig w:usb0="00000000" w:usb1="00000000" w:usb2="00000012" w:usb3="00000000" w:csb0="4002009F" w:csb1="DFD70000"/>
  </w:font>
  <w:font w:name="Segoe UI Symbol">
    <w:panose1 w:val="020B0502040204020203"/>
    <w:charset w:val="00"/>
    <w:family w:val="swiss"/>
    <w:pitch w:val="default"/>
    <w:sig w:usb0="800001E3" w:usb1="1200FFEF" w:usb2="00040000" w:usb3="04000000" w:csb0="00000001" w:csb1="40000000"/>
  </w:font>
  <w:font w:name="楷体_GB2312">
    <w:altName w:val="楷体"/>
    <w:panose1 w:val="02010609030101010101"/>
    <w:charset w:val="86"/>
    <w:family w:val="modern"/>
    <w:pitch w:val="default"/>
    <w:sig w:usb0="00000000" w:usb1="00000000" w:usb2="00000000" w:usb3="00000000" w:csb0="00040000" w:csb1="00000000"/>
  </w:font>
  <w:font w:name="Yu Gothic UI">
    <w:panose1 w:val="020B0500000000000000"/>
    <w:charset w:val="80"/>
    <w:family w:val="auto"/>
    <w:pitch w:val="default"/>
    <w:sig w:usb0="E00002FF" w:usb1="2AC7FDFF" w:usb2="00000016" w:usb3="00000000" w:csb0="200200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147463"/>
    </w:sdtPr>
    <w:sdtContent>
      <w:p>
        <w:pPr>
          <w:pStyle w:val="18"/>
          <w:jc w:val="center"/>
        </w:pPr>
        <w:r>
          <w:fldChar w:fldCharType="begin"/>
        </w:r>
        <w:r>
          <w:instrText xml:space="preserve"> PAGE   \* MERGEFORMAT </w:instrText>
        </w:r>
        <w:r>
          <w:fldChar w:fldCharType="separate"/>
        </w:r>
        <w:r>
          <w:rPr>
            <w:lang w:val="zh-CN"/>
          </w:rPr>
          <w:t>39</w:t>
        </w:r>
        <w:r>
          <w:rPr>
            <w:lang w:val="zh-CN"/>
          </w:rPr>
          <w:fldChar w:fldCharType="end"/>
        </w:r>
      </w:p>
    </w:sdtContent>
  </w:sdt>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147464"/>
    </w:sdtPr>
    <w:sdtContent>
      <w:p>
        <w:pPr>
          <w:pStyle w:val="18"/>
          <w:jc w:val="center"/>
        </w:pPr>
      </w:p>
    </w:sdtContent>
  </w:sdt>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left"/>
      <w:rPr>
        <w:sz w:val="16"/>
        <w:szCs w:val="16"/>
      </w:rPr>
    </w:pPr>
    <w:r>
      <w:rPr>
        <w:rFonts w:hint="eastAsia"/>
        <w:sz w:val="16"/>
        <w:szCs w:val="16"/>
      </w:rPr>
      <w:t>项目名称：</w:t>
    </w:r>
    <w:r>
      <w:rPr>
        <w:rFonts w:hint="eastAsia" w:ascii="宋体" w:hAnsi="宋体"/>
        <w:sz w:val="16"/>
        <w:szCs w:val="16"/>
      </w:rPr>
      <w:t xml:space="preserve">深圳市公安局交通警察局2024年辅聘人员人身意外伤害保险服务 </w:t>
    </w:r>
    <w:r>
      <w:rPr>
        <w:rFonts w:hint="eastAsia"/>
        <w:sz w:val="16"/>
        <w:szCs w:val="16"/>
      </w:rPr>
      <w:t xml:space="preserve">             项目编号：</w:t>
    </w:r>
    <w:r>
      <w:rPr>
        <w:rFonts w:hint="eastAsia" w:asciiTheme="minorEastAsia" w:hAnsiTheme="minorEastAsia" w:eastAsiaTheme="minorEastAsia"/>
        <w:sz w:val="16"/>
        <w:szCs w:val="16"/>
      </w:rPr>
      <w:t>SZZZ2024-QC0011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2C987A"/>
    <w:multiLevelType w:val="singleLevel"/>
    <w:tmpl w:val="882C987A"/>
    <w:lvl w:ilvl="0" w:tentative="0">
      <w:start w:val="1"/>
      <w:numFmt w:val="chineseCounting"/>
      <w:suff w:val="nothing"/>
      <w:lvlText w:val="%1、"/>
      <w:lvlJc w:val="left"/>
      <w:rPr>
        <w:rFonts w:hint="eastAsia"/>
      </w:rPr>
    </w:lvl>
  </w:abstractNum>
  <w:abstractNum w:abstractNumId="1">
    <w:nsid w:val="96C89E98"/>
    <w:multiLevelType w:val="singleLevel"/>
    <w:tmpl w:val="96C89E98"/>
    <w:lvl w:ilvl="0" w:tentative="0">
      <w:start w:val="1"/>
      <w:numFmt w:val="chineseCounting"/>
      <w:suff w:val="space"/>
      <w:lvlText w:val="第%1条"/>
      <w:lvlJc w:val="left"/>
      <w:rPr>
        <w:rFonts w:hint="eastAsia"/>
      </w:rPr>
    </w:lvl>
  </w:abstractNum>
  <w:abstractNum w:abstractNumId="2">
    <w:nsid w:val="ADFD3A00"/>
    <w:multiLevelType w:val="singleLevel"/>
    <w:tmpl w:val="ADFD3A00"/>
    <w:lvl w:ilvl="0" w:tentative="0">
      <w:start w:val="2"/>
      <w:numFmt w:val="chineseCounting"/>
      <w:suff w:val="nothing"/>
      <w:lvlText w:val="（%1）"/>
      <w:lvlJc w:val="left"/>
      <w:rPr>
        <w:rFonts w:hint="eastAsia"/>
      </w:rPr>
    </w:lvl>
  </w:abstractNum>
  <w:abstractNum w:abstractNumId="3">
    <w:nsid w:val="FFFFFF7F"/>
    <w:multiLevelType w:val="singleLevel"/>
    <w:tmpl w:val="FFFFFF7F"/>
    <w:lvl w:ilvl="0" w:tentative="0">
      <w:start w:val="1"/>
      <w:numFmt w:val="decimal"/>
      <w:pStyle w:val="11"/>
      <w:lvlText w:val="%1."/>
      <w:lvlJc w:val="left"/>
      <w:pPr>
        <w:tabs>
          <w:tab w:val="left" w:pos="780"/>
        </w:tabs>
        <w:ind w:left="780" w:leftChars="200" w:hanging="360" w:hangingChars="200"/>
      </w:pPr>
    </w:lvl>
  </w:abstractNum>
  <w:abstractNum w:abstractNumId="4">
    <w:nsid w:val="00000002"/>
    <w:multiLevelType w:val="multilevel"/>
    <w:tmpl w:val="00000002"/>
    <w:lvl w:ilvl="0" w:tentative="0">
      <w:start w:val="1"/>
      <w:numFmt w:val="decimal"/>
      <w:lvlText w:val="%1、"/>
      <w:lvlJc w:val="left"/>
      <w:pPr>
        <w:tabs>
          <w:tab w:val="left" w:pos="371"/>
        </w:tabs>
        <w:ind w:left="371" w:hanging="360"/>
      </w:pPr>
      <w:rPr>
        <w:rFonts w:hint="default"/>
      </w:rPr>
    </w:lvl>
    <w:lvl w:ilvl="1" w:tentative="0">
      <w:start w:val="1"/>
      <w:numFmt w:val="lowerLetter"/>
      <w:lvlText w:val="%2)"/>
      <w:lvlJc w:val="left"/>
      <w:pPr>
        <w:tabs>
          <w:tab w:val="left" w:pos="851"/>
        </w:tabs>
        <w:ind w:left="851" w:hanging="420"/>
      </w:pPr>
    </w:lvl>
    <w:lvl w:ilvl="2" w:tentative="0">
      <w:start w:val="1"/>
      <w:numFmt w:val="lowerRoman"/>
      <w:lvlText w:val="%3."/>
      <w:lvlJc w:val="right"/>
      <w:pPr>
        <w:tabs>
          <w:tab w:val="left" w:pos="1271"/>
        </w:tabs>
        <w:ind w:left="1271" w:hanging="420"/>
      </w:pPr>
    </w:lvl>
    <w:lvl w:ilvl="3" w:tentative="0">
      <w:start w:val="1"/>
      <w:numFmt w:val="decimal"/>
      <w:lvlText w:val="%4."/>
      <w:lvlJc w:val="left"/>
      <w:pPr>
        <w:tabs>
          <w:tab w:val="left" w:pos="1691"/>
        </w:tabs>
        <w:ind w:left="1691" w:hanging="420"/>
      </w:pPr>
    </w:lvl>
    <w:lvl w:ilvl="4" w:tentative="0">
      <w:start w:val="1"/>
      <w:numFmt w:val="lowerLetter"/>
      <w:pStyle w:val="9"/>
      <w:lvlText w:val="%5)"/>
      <w:lvlJc w:val="left"/>
      <w:pPr>
        <w:tabs>
          <w:tab w:val="left" w:pos="2111"/>
        </w:tabs>
        <w:ind w:left="2111" w:hanging="420"/>
      </w:pPr>
    </w:lvl>
    <w:lvl w:ilvl="5" w:tentative="0">
      <w:start w:val="1"/>
      <w:numFmt w:val="lowerRoman"/>
      <w:lvlText w:val="%6."/>
      <w:lvlJc w:val="right"/>
      <w:pPr>
        <w:tabs>
          <w:tab w:val="left" w:pos="2531"/>
        </w:tabs>
        <w:ind w:left="2531" w:hanging="420"/>
      </w:pPr>
    </w:lvl>
    <w:lvl w:ilvl="6" w:tentative="0">
      <w:start w:val="1"/>
      <w:numFmt w:val="decimal"/>
      <w:lvlText w:val="%7."/>
      <w:lvlJc w:val="left"/>
      <w:pPr>
        <w:tabs>
          <w:tab w:val="left" w:pos="2951"/>
        </w:tabs>
        <w:ind w:left="2951" w:hanging="420"/>
      </w:pPr>
    </w:lvl>
    <w:lvl w:ilvl="7" w:tentative="0">
      <w:start w:val="1"/>
      <w:numFmt w:val="lowerLetter"/>
      <w:lvlText w:val="%8)"/>
      <w:lvlJc w:val="left"/>
      <w:pPr>
        <w:tabs>
          <w:tab w:val="left" w:pos="3371"/>
        </w:tabs>
        <w:ind w:left="3371" w:hanging="420"/>
      </w:pPr>
    </w:lvl>
    <w:lvl w:ilvl="8" w:tentative="0">
      <w:start w:val="1"/>
      <w:numFmt w:val="lowerRoman"/>
      <w:lvlText w:val="%9."/>
      <w:lvlJc w:val="right"/>
      <w:pPr>
        <w:tabs>
          <w:tab w:val="left" w:pos="3791"/>
        </w:tabs>
        <w:ind w:left="3791" w:hanging="420"/>
      </w:pPr>
    </w:lvl>
  </w:abstractNum>
  <w:abstractNum w:abstractNumId="5">
    <w:nsid w:val="0E271432"/>
    <w:multiLevelType w:val="multilevel"/>
    <w:tmpl w:val="0E271432"/>
    <w:lvl w:ilvl="0" w:tentative="0">
      <w:start w:val="1"/>
      <w:numFmt w:val="decimal"/>
      <w:lvlText w:val="（%1）"/>
      <w:lvlJc w:val="left"/>
      <w:pPr>
        <w:tabs>
          <w:tab w:val="left" w:pos="720"/>
        </w:tabs>
        <w:ind w:left="720" w:hanging="720"/>
      </w:pPr>
      <w:rPr>
        <w:rFonts w:hint="eastAsia"/>
        <w:b w:val="0"/>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4ECD531A"/>
    <w:multiLevelType w:val="singleLevel"/>
    <w:tmpl w:val="4ECD531A"/>
    <w:lvl w:ilvl="0" w:tentative="0">
      <w:start w:val="3"/>
      <w:numFmt w:val="chineseCounting"/>
      <w:suff w:val="space"/>
      <w:lvlText w:val="第%1条"/>
      <w:lvlJc w:val="left"/>
      <w:rPr>
        <w:rFonts w:hint="eastAsia"/>
        <w:b/>
        <w:bCs/>
      </w:rPr>
    </w:lvl>
  </w:abstractNum>
  <w:abstractNum w:abstractNumId="7">
    <w:nsid w:val="518D6364"/>
    <w:multiLevelType w:val="multilevel"/>
    <w:tmpl w:val="518D6364"/>
    <w:lvl w:ilvl="0" w:tentative="0">
      <w:start w:val="1"/>
      <w:numFmt w:val="decimal"/>
      <w:lvlText w:val="（%1）"/>
      <w:lvlJc w:val="left"/>
      <w:pPr>
        <w:tabs>
          <w:tab w:val="left" w:pos="720"/>
        </w:tabs>
        <w:ind w:left="720" w:hanging="720"/>
      </w:pPr>
      <w:rPr>
        <w:rFonts w:hint="eastAsia"/>
        <w:b w:val="0"/>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583E9EFB"/>
    <w:multiLevelType w:val="multilevel"/>
    <w:tmpl w:val="583E9EFB"/>
    <w:lvl w:ilvl="0" w:tentative="0">
      <w:start w:val="1"/>
      <w:numFmt w:val="none"/>
      <w:suff w:val="nothing"/>
      <w:lvlText w:val=""/>
      <w:lvlJc w:val="left"/>
      <w:pPr>
        <w:tabs>
          <w:tab w:val="left" w:pos="0"/>
        </w:tabs>
      </w:pPr>
    </w:lvl>
    <w:lvl w:ilvl="1" w:tentative="0">
      <w:start w:val="1"/>
      <w:numFmt w:val="none"/>
      <w:suff w:val="nothing"/>
      <w:lvlText w:val=""/>
      <w:lvlJc w:val="left"/>
      <w:pPr>
        <w:tabs>
          <w:tab w:val="left" w:pos="0"/>
        </w:tabs>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5E155389"/>
    <w:multiLevelType w:val="singleLevel"/>
    <w:tmpl w:val="5E155389"/>
    <w:lvl w:ilvl="0" w:tentative="0">
      <w:start w:val="1"/>
      <w:numFmt w:val="decimal"/>
      <w:lvlText w:val="(%1)"/>
      <w:lvlJc w:val="left"/>
      <w:pPr>
        <w:tabs>
          <w:tab w:val="left" w:pos="312"/>
        </w:tabs>
      </w:pPr>
    </w:lvl>
  </w:abstractNum>
  <w:num w:numId="1">
    <w:abstractNumId w:val="4"/>
  </w:num>
  <w:num w:numId="2">
    <w:abstractNumId w:val="3"/>
  </w:num>
  <w:num w:numId="3">
    <w:abstractNumId w:val="5"/>
  </w:num>
  <w:num w:numId="4">
    <w:abstractNumId w:val="7"/>
  </w:num>
  <w:num w:numId="5">
    <w:abstractNumId w:val="0"/>
  </w:num>
  <w:num w:numId="6">
    <w:abstractNumId w:val="2"/>
  </w:num>
  <w:num w:numId="7">
    <w:abstractNumId w:val="1"/>
  </w:num>
  <w:num w:numId="8">
    <w:abstractNumId w:val="9"/>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wM2Y2MTYwMDMxNDU2MTZiYjY1MzkzNDdkYmNhZGUifQ=="/>
    <w:docVar w:name="KSO_WPS_MARK_KEY" w:val="fa5e0f2b-db90-4da8-b712-b0eb05d89053"/>
  </w:docVars>
  <w:rsids>
    <w:rsidRoot w:val="00081812"/>
    <w:rsid w:val="00000DEE"/>
    <w:rsid w:val="00000FB1"/>
    <w:rsid w:val="00001625"/>
    <w:rsid w:val="000042A9"/>
    <w:rsid w:val="0000490F"/>
    <w:rsid w:val="00007ECB"/>
    <w:rsid w:val="000111D4"/>
    <w:rsid w:val="00012B85"/>
    <w:rsid w:val="00013037"/>
    <w:rsid w:val="0001453B"/>
    <w:rsid w:val="00014E98"/>
    <w:rsid w:val="000159CF"/>
    <w:rsid w:val="00017530"/>
    <w:rsid w:val="00023CDD"/>
    <w:rsid w:val="0002500E"/>
    <w:rsid w:val="00027833"/>
    <w:rsid w:val="000309C1"/>
    <w:rsid w:val="00031BF4"/>
    <w:rsid w:val="00032DB0"/>
    <w:rsid w:val="00036165"/>
    <w:rsid w:val="00037412"/>
    <w:rsid w:val="00037D52"/>
    <w:rsid w:val="00042A65"/>
    <w:rsid w:val="0004335F"/>
    <w:rsid w:val="00044855"/>
    <w:rsid w:val="00046786"/>
    <w:rsid w:val="00047E37"/>
    <w:rsid w:val="00050A77"/>
    <w:rsid w:val="00050F57"/>
    <w:rsid w:val="0005394E"/>
    <w:rsid w:val="00053B8A"/>
    <w:rsid w:val="000550D9"/>
    <w:rsid w:val="00055193"/>
    <w:rsid w:val="00056E7C"/>
    <w:rsid w:val="000600D8"/>
    <w:rsid w:val="00060560"/>
    <w:rsid w:val="00060B4F"/>
    <w:rsid w:val="0006220B"/>
    <w:rsid w:val="000679AB"/>
    <w:rsid w:val="00072AAB"/>
    <w:rsid w:val="00072F2B"/>
    <w:rsid w:val="00075875"/>
    <w:rsid w:val="00076401"/>
    <w:rsid w:val="000771B0"/>
    <w:rsid w:val="00080FB8"/>
    <w:rsid w:val="00081812"/>
    <w:rsid w:val="00081C0F"/>
    <w:rsid w:val="000851F4"/>
    <w:rsid w:val="00090B60"/>
    <w:rsid w:val="00091819"/>
    <w:rsid w:val="00094CF9"/>
    <w:rsid w:val="000950CA"/>
    <w:rsid w:val="000A02CF"/>
    <w:rsid w:val="000A1CFD"/>
    <w:rsid w:val="000B1126"/>
    <w:rsid w:val="000B12D8"/>
    <w:rsid w:val="000B3159"/>
    <w:rsid w:val="000B44BC"/>
    <w:rsid w:val="000B59B4"/>
    <w:rsid w:val="000B61F1"/>
    <w:rsid w:val="000B7A52"/>
    <w:rsid w:val="000C05F3"/>
    <w:rsid w:val="000C1AEC"/>
    <w:rsid w:val="000C209C"/>
    <w:rsid w:val="000C2FC4"/>
    <w:rsid w:val="000C3A80"/>
    <w:rsid w:val="000C4E01"/>
    <w:rsid w:val="000C5FD8"/>
    <w:rsid w:val="000C7610"/>
    <w:rsid w:val="000C7E05"/>
    <w:rsid w:val="000D048C"/>
    <w:rsid w:val="000D3053"/>
    <w:rsid w:val="000D4339"/>
    <w:rsid w:val="000D4C91"/>
    <w:rsid w:val="000D74FE"/>
    <w:rsid w:val="000E13C3"/>
    <w:rsid w:val="000E1731"/>
    <w:rsid w:val="000E47F9"/>
    <w:rsid w:val="000E647C"/>
    <w:rsid w:val="000E6F68"/>
    <w:rsid w:val="000F4536"/>
    <w:rsid w:val="000F47BD"/>
    <w:rsid w:val="000F4EBB"/>
    <w:rsid w:val="000F5214"/>
    <w:rsid w:val="000F547E"/>
    <w:rsid w:val="000F5791"/>
    <w:rsid w:val="0010276A"/>
    <w:rsid w:val="001036FB"/>
    <w:rsid w:val="0010378A"/>
    <w:rsid w:val="00103A07"/>
    <w:rsid w:val="00103BD6"/>
    <w:rsid w:val="00103D0B"/>
    <w:rsid w:val="00103E57"/>
    <w:rsid w:val="00105AE0"/>
    <w:rsid w:val="00106334"/>
    <w:rsid w:val="001071FF"/>
    <w:rsid w:val="001075BE"/>
    <w:rsid w:val="00107717"/>
    <w:rsid w:val="0011046C"/>
    <w:rsid w:val="0011120F"/>
    <w:rsid w:val="00112047"/>
    <w:rsid w:val="001120AB"/>
    <w:rsid w:val="00113460"/>
    <w:rsid w:val="00113EC5"/>
    <w:rsid w:val="0011733C"/>
    <w:rsid w:val="001206C4"/>
    <w:rsid w:val="00120905"/>
    <w:rsid w:val="00120DDA"/>
    <w:rsid w:val="0012286F"/>
    <w:rsid w:val="001235DF"/>
    <w:rsid w:val="001253C1"/>
    <w:rsid w:val="00127B38"/>
    <w:rsid w:val="001300A8"/>
    <w:rsid w:val="001307EF"/>
    <w:rsid w:val="00130FFD"/>
    <w:rsid w:val="00131B9B"/>
    <w:rsid w:val="00132477"/>
    <w:rsid w:val="0013247D"/>
    <w:rsid w:val="001326B8"/>
    <w:rsid w:val="0013568E"/>
    <w:rsid w:val="0013577A"/>
    <w:rsid w:val="0013596A"/>
    <w:rsid w:val="001451A4"/>
    <w:rsid w:val="001504D1"/>
    <w:rsid w:val="00151DFD"/>
    <w:rsid w:val="0015310D"/>
    <w:rsid w:val="00155BE9"/>
    <w:rsid w:val="0016076C"/>
    <w:rsid w:val="00161DC5"/>
    <w:rsid w:val="00165708"/>
    <w:rsid w:val="001667AC"/>
    <w:rsid w:val="00166E7A"/>
    <w:rsid w:val="001713CD"/>
    <w:rsid w:val="001746A8"/>
    <w:rsid w:val="00174A8D"/>
    <w:rsid w:val="00180273"/>
    <w:rsid w:val="001802AD"/>
    <w:rsid w:val="001807E0"/>
    <w:rsid w:val="00180DC2"/>
    <w:rsid w:val="0018134E"/>
    <w:rsid w:val="00182643"/>
    <w:rsid w:val="001830D7"/>
    <w:rsid w:val="00183156"/>
    <w:rsid w:val="0018449F"/>
    <w:rsid w:val="00185010"/>
    <w:rsid w:val="001850C4"/>
    <w:rsid w:val="001906D1"/>
    <w:rsid w:val="0019175D"/>
    <w:rsid w:val="00192E27"/>
    <w:rsid w:val="0019453F"/>
    <w:rsid w:val="00194764"/>
    <w:rsid w:val="00194B76"/>
    <w:rsid w:val="001970B8"/>
    <w:rsid w:val="00197685"/>
    <w:rsid w:val="0019777D"/>
    <w:rsid w:val="001A0D90"/>
    <w:rsid w:val="001A0EB6"/>
    <w:rsid w:val="001A1302"/>
    <w:rsid w:val="001A3D99"/>
    <w:rsid w:val="001A4995"/>
    <w:rsid w:val="001A529F"/>
    <w:rsid w:val="001A7897"/>
    <w:rsid w:val="001B0736"/>
    <w:rsid w:val="001B14D5"/>
    <w:rsid w:val="001B4B65"/>
    <w:rsid w:val="001B4C23"/>
    <w:rsid w:val="001C0532"/>
    <w:rsid w:val="001C1A99"/>
    <w:rsid w:val="001C1FFB"/>
    <w:rsid w:val="001C3A31"/>
    <w:rsid w:val="001D0368"/>
    <w:rsid w:val="001D3874"/>
    <w:rsid w:val="001D6198"/>
    <w:rsid w:val="001D6B2F"/>
    <w:rsid w:val="001D7A7C"/>
    <w:rsid w:val="001E1BC7"/>
    <w:rsid w:val="001E1F63"/>
    <w:rsid w:val="001E398A"/>
    <w:rsid w:val="001E3C4F"/>
    <w:rsid w:val="001E4745"/>
    <w:rsid w:val="001E5169"/>
    <w:rsid w:val="001E60D1"/>
    <w:rsid w:val="001E6EA6"/>
    <w:rsid w:val="001E7031"/>
    <w:rsid w:val="001F0977"/>
    <w:rsid w:val="001F2061"/>
    <w:rsid w:val="001F259A"/>
    <w:rsid w:val="001F2D31"/>
    <w:rsid w:val="001F36D4"/>
    <w:rsid w:val="001F3E52"/>
    <w:rsid w:val="001F52C4"/>
    <w:rsid w:val="001F5A31"/>
    <w:rsid w:val="00200D8A"/>
    <w:rsid w:val="00201055"/>
    <w:rsid w:val="00201B3C"/>
    <w:rsid w:val="002027F9"/>
    <w:rsid w:val="00202F40"/>
    <w:rsid w:val="00204553"/>
    <w:rsid w:val="00210328"/>
    <w:rsid w:val="00211E1C"/>
    <w:rsid w:val="00212041"/>
    <w:rsid w:val="002131F0"/>
    <w:rsid w:val="002134C1"/>
    <w:rsid w:val="00213858"/>
    <w:rsid w:val="00213A15"/>
    <w:rsid w:val="002140DF"/>
    <w:rsid w:val="002151EE"/>
    <w:rsid w:val="00215F43"/>
    <w:rsid w:val="00216C79"/>
    <w:rsid w:val="002172FA"/>
    <w:rsid w:val="00223218"/>
    <w:rsid w:val="0022493F"/>
    <w:rsid w:val="002259B7"/>
    <w:rsid w:val="00226BD7"/>
    <w:rsid w:val="00230218"/>
    <w:rsid w:val="002304B2"/>
    <w:rsid w:val="00232082"/>
    <w:rsid w:val="00232762"/>
    <w:rsid w:val="00233DAC"/>
    <w:rsid w:val="0023490A"/>
    <w:rsid w:val="00235A7C"/>
    <w:rsid w:val="002366EC"/>
    <w:rsid w:val="00240B70"/>
    <w:rsid w:val="00241247"/>
    <w:rsid w:val="0024182C"/>
    <w:rsid w:val="00241A35"/>
    <w:rsid w:val="00244EDA"/>
    <w:rsid w:val="002463C2"/>
    <w:rsid w:val="0024707D"/>
    <w:rsid w:val="002515AC"/>
    <w:rsid w:val="00251EE6"/>
    <w:rsid w:val="00252A0E"/>
    <w:rsid w:val="00256F3C"/>
    <w:rsid w:val="0026095A"/>
    <w:rsid w:val="00260974"/>
    <w:rsid w:val="00264F5D"/>
    <w:rsid w:val="00265825"/>
    <w:rsid w:val="002666B6"/>
    <w:rsid w:val="00270AB4"/>
    <w:rsid w:val="0027125F"/>
    <w:rsid w:val="0027386D"/>
    <w:rsid w:val="00273CE7"/>
    <w:rsid w:val="00274BCF"/>
    <w:rsid w:val="00281900"/>
    <w:rsid w:val="00282D0F"/>
    <w:rsid w:val="00284440"/>
    <w:rsid w:val="00285487"/>
    <w:rsid w:val="00290049"/>
    <w:rsid w:val="0029352A"/>
    <w:rsid w:val="002938FD"/>
    <w:rsid w:val="00293E95"/>
    <w:rsid w:val="00294665"/>
    <w:rsid w:val="002965F8"/>
    <w:rsid w:val="002A06F5"/>
    <w:rsid w:val="002A179B"/>
    <w:rsid w:val="002A3990"/>
    <w:rsid w:val="002A78DB"/>
    <w:rsid w:val="002A7CA5"/>
    <w:rsid w:val="002B11F2"/>
    <w:rsid w:val="002B306C"/>
    <w:rsid w:val="002C285E"/>
    <w:rsid w:val="002C3E2A"/>
    <w:rsid w:val="002C54D8"/>
    <w:rsid w:val="002C5740"/>
    <w:rsid w:val="002C5B23"/>
    <w:rsid w:val="002C5F7F"/>
    <w:rsid w:val="002D285F"/>
    <w:rsid w:val="002D4AE6"/>
    <w:rsid w:val="002D51A5"/>
    <w:rsid w:val="002D5D83"/>
    <w:rsid w:val="002D6413"/>
    <w:rsid w:val="002D78BD"/>
    <w:rsid w:val="002E071E"/>
    <w:rsid w:val="002E6738"/>
    <w:rsid w:val="002F2CF6"/>
    <w:rsid w:val="002F30E6"/>
    <w:rsid w:val="002F323B"/>
    <w:rsid w:val="002F49D2"/>
    <w:rsid w:val="002F4EF0"/>
    <w:rsid w:val="002F5D8F"/>
    <w:rsid w:val="002F5DF7"/>
    <w:rsid w:val="003007E9"/>
    <w:rsid w:val="00300F63"/>
    <w:rsid w:val="00302A03"/>
    <w:rsid w:val="00302EF1"/>
    <w:rsid w:val="00303151"/>
    <w:rsid w:val="0030484B"/>
    <w:rsid w:val="00305873"/>
    <w:rsid w:val="00305E56"/>
    <w:rsid w:val="00310D9B"/>
    <w:rsid w:val="00312539"/>
    <w:rsid w:val="00312A7C"/>
    <w:rsid w:val="00312AF5"/>
    <w:rsid w:val="00315301"/>
    <w:rsid w:val="003165DD"/>
    <w:rsid w:val="003206AD"/>
    <w:rsid w:val="003215BB"/>
    <w:rsid w:val="00321AB6"/>
    <w:rsid w:val="00321C69"/>
    <w:rsid w:val="00324BEB"/>
    <w:rsid w:val="00325DC4"/>
    <w:rsid w:val="0032699D"/>
    <w:rsid w:val="00331CBE"/>
    <w:rsid w:val="00331CEB"/>
    <w:rsid w:val="00331F0C"/>
    <w:rsid w:val="003366C3"/>
    <w:rsid w:val="00341029"/>
    <w:rsid w:val="00341DF6"/>
    <w:rsid w:val="003467AA"/>
    <w:rsid w:val="00347DED"/>
    <w:rsid w:val="0035266A"/>
    <w:rsid w:val="003533CB"/>
    <w:rsid w:val="003566C5"/>
    <w:rsid w:val="00357198"/>
    <w:rsid w:val="00360E2B"/>
    <w:rsid w:val="00362130"/>
    <w:rsid w:val="00362685"/>
    <w:rsid w:val="00362FDA"/>
    <w:rsid w:val="0036371B"/>
    <w:rsid w:val="00363840"/>
    <w:rsid w:val="00363D01"/>
    <w:rsid w:val="00364104"/>
    <w:rsid w:val="00365175"/>
    <w:rsid w:val="00365C3E"/>
    <w:rsid w:val="00365C92"/>
    <w:rsid w:val="00366870"/>
    <w:rsid w:val="00367676"/>
    <w:rsid w:val="003679CE"/>
    <w:rsid w:val="00371507"/>
    <w:rsid w:val="00371F31"/>
    <w:rsid w:val="00372A41"/>
    <w:rsid w:val="00373358"/>
    <w:rsid w:val="003734A9"/>
    <w:rsid w:val="003749D0"/>
    <w:rsid w:val="00375382"/>
    <w:rsid w:val="003817C2"/>
    <w:rsid w:val="003821BD"/>
    <w:rsid w:val="00385F8F"/>
    <w:rsid w:val="003905FA"/>
    <w:rsid w:val="0039297C"/>
    <w:rsid w:val="00394101"/>
    <w:rsid w:val="003961A8"/>
    <w:rsid w:val="0039781A"/>
    <w:rsid w:val="00397B90"/>
    <w:rsid w:val="003A0AF8"/>
    <w:rsid w:val="003A2361"/>
    <w:rsid w:val="003A2D80"/>
    <w:rsid w:val="003A2EE6"/>
    <w:rsid w:val="003A3825"/>
    <w:rsid w:val="003A45DB"/>
    <w:rsid w:val="003A6687"/>
    <w:rsid w:val="003B0701"/>
    <w:rsid w:val="003B09EB"/>
    <w:rsid w:val="003B1F2D"/>
    <w:rsid w:val="003B2517"/>
    <w:rsid w:val="003B3548"/>
    <w:rsid w:val="003B480F"/>
    <w:rsid w:val="003B72A9"/>
    <w:rsid w:val="003B73C7"/>
    <w:rsid w:val="003C007A"/>
    <w:rsid w:val="003C09AC"/>
    <w:rsid w:val="003C3D78"/>
    <w:rsid w:val="003C5421"/>
    <w:rsid w:val="003C5430"/>
    <w:rsid w:val="003C73B6"/>
    <w:rsid w:val="003D00F6"/>
    <w:rsid w:val="003D4C25"/>
    <w:rsid w:val="003D5DF4"/>
    <w:rsid w:val="003D6A99"/>
    <w:rsid w:val="003D7227"/>
    <w:rsid w:val="003D76AD"/>
    <w:rsid w:val="003E0109"/>
    <w:rsid w:val="003E0447"/>
    <w:rsid w:val="003E21AD"/>
    <w:rsid w:val="003E2E33"/>
    <w:rsid w:val="003E3507"/>
    <w:rsid w:val="003E7DA3"/>
    <w:rsid w:val="003F2113"/>
    <w:rsid w:val="003F35A5"/>
    <w:rsid w:val="003F5A49"/>
    <w:rsid w:val="003F6C6B"/>
    <w:rsid w:val="00400065"/>
    <w:rsid w:val="00401988"/>
    <w:rsid w:val="00407F18"/>
    <w:rsid w:val="00410FE8"/>
    <w:rsid w:val="00414963"/>
    <w:rsid w:val="00415251"/>
    <w:rsid w:val="0041630C"/>
    <w:rsid w:val="004164C2"/>
    <w:rsid w:val="004168DC"/>
    <w:rsid w:val="00417BA6"/>
    <w:rsid w:val="00417C44"/>
    <w:rsid w:val="0042116F"/>
    <w:rsid w:val="00421DAD"/>
    <w:rsid w:val="00422693"/>
    <w:rsid w:val="00422C44"/>
    <w:rsid w:val="0042569B"/>
    <w:rsid w:val="0042757A"/>
    <w:rsid w:val="00427866"/>
    <w:rsid w:val="0043223F"/>
    <w:rsid w:val="004369DE"/>
    <w:rsid w:val="004430A5"/>
    <w:rsid w:val="0044367E"/>
    <w:rsid w:val="00446C65"/>
    <w:rsid w:val="004501AD"/>
    <w:rsid w:val="0045273A"/>
    <w:rsid w:val="00453647"/>
    <w:rsid w:val="0045367A"/>
    <w:rsid w:val="0045369C"/>
    <w:rsid w:val="00453EAF"/>
    <w:rsid w:val="00453FAA"/>
    <w:rsid w:val="00454312"/>
    <w:rsid w:val="00454F13"/>
    <w:rsid w:val="00454FF9"/>
    <w:rsid w:val="00460AA2"/>
    <w:rsid w:val="00462399"/>
    <w:rsid w:val="004625C3"/>
    <w:rsid w:val="00465C8A"/>
    <w:rsid w:val="00466085"/>
    <w:rsid w:val="0046668A"/>
    <w:rsid w:val="00466DE8"/>
    <w:rsid w:val="00467D37"/>
    <w:rsid w:val="00475AAD"/>
    <w:rsid w:val="00476772"/>
    <w:rsid w:val="00480375"/>
    <w:rsid w:val="004807D8"/>
    <w:rsid w:val="00482AEB"/>
    <w:rsid w:val="0048492A"/>
    <w:rsid w:val="00485BF2"/>
    <w:rsid w:val="00486360"/>
    <w:rsid w:val="004870E5"/>
    <w:rsid w:val="00487AC8"/>
    <w:rsid w:val="00490108"/>
    <w:rsid w:val="00492ED3"/>
    <w:rsid w:val="00492EE9"/>
    <w:rsid w:val="00494A35"/>
    <w:rsid w:val="0049518C"/>
    <w:rsid w:val="004A008B"/>
    <w:rsid w:val="004A17F8"/>
    <w:rsid w:val="004A2A14"/>
    <w:rsid w:val="004A3ED8"/>
    <w:rsid w:val="004A44E9"/>
    <w:rsid w:val="004A4D27"/>
    <w:rsid w:val="004A7D12"/>
    <w:rsid w:val="004B2C1C"/>
    <w:rsid w:val="004B3011"/>
    <w:rsid w:val="004B3E4E"/>
    <w:rsid w:val="004B5B8D"/>
    <w:rsid w:val="004B702D"/>
    <w:rsid w:val="004B7A5D"/>
    <w:rsid w:val="004C01E3"/>
    <w:rsid w:val="004C1824"/>
    <w:rsid w:val="004C1A89"/>
    <w:rsid w:val="004C1F8C"/>
    <w:rsid w:val="004C267E"/>
    <w:rsid w:val="004C2C97"/>
    <w:rsid w:val="004C3307"/>
    <w:rsid w:val="004C3BFC"/>
    <w:rsid w:val="004C4655"/>
    <w:rsid w:val="004C5A96"/>
    <w:rsid w:val="004C7580"/>
    <w:rsid w:val="004D1E7C"/>
    <w:rsid w:val="004D21F9"/>
    <w:rsid w:val="004D3C88"/>
    <w:rsid w:val="004D3EFD"/>
    <w:rsid w:val="004D42B2"/>
    <w:rsid w:val="004D5193"/>
    <w:rsid w:val="004D6C39"/>
    <w:rsid w:val="004E30ED"/>
    <w:rsid w:val="004E34DF"/>
    <w:rsid w:val="004E6514"/>
    <w:rsid w:val="004F0013"/>
    <w:rsid w:val="004F037B"/>
    <w:rsid w:val="004F1964"/>
    <w:rsid w:val="004F2741"/>
    <w:rsid w:val="004F2776"/>
    <w:rsid w:val="004F4A43"/>
    <w:rsid w:val="004F57EA"/>
    <w:rsid w:val="004F5A1F"/>
    <w:rsid w:val="004F5B3B"/>
    <w:rsid w:val="00506632"/>
    <w:rsid w:val="0050673A"/>
    <w:rsid w:val="00507910"/>
    <w:rsid w:val="005101D8"/>
    <w:rsid w:val="00510938"/>
    <w:rsid w:val="005115F1"/>
    <w:rsid w:val="005129E9"/>
    <w:rsid w:val="00513405"/>
    <w:rsid w:val="005137BE"/>
    <w:rsid w:val="00516927"/>
    <w:rsid w:val="0051728B"/>
    <w:rsid w:val="00517508"/>
    <w:rsid w:val="00520B5C"/>
    <w:rsid w:val="00524AB5"/>
    <w:rsid w:val="0052553C"/>
    <w:rsid w:val="00525BA3"/>
    <w:rsid w:val="00530955"/>
    <w:rsid w:val="00530EBB"/>
    <w:rsid w:val="00531594"/>
    <w:rsid w:val="005339CE"/>
    <w:rsid w:val="0053608D"/>
    <w:rsid w:val="00536394"/>
    <w:rsid w:val="00536771"/>
    <w:rsid w:val="0054086A"/>
    <w:rsid w:val="0054158F"/>
    <w:rsid w:val="00541820"/>
    <w:rsid w:val="00541912"/>
    <w:rsid w:val="00541962"/>
    <w:rsid w:val="00544A1E"/>
    <w:rsid w:val="005454F7"/>
    <w:rsid w:val="00545A7A"/>
    <w:rsid w:val="00546FF3"/>
    <w:rsid w:val="00552EA1"/>
    <w:rsid w:val="0055372B"/>
    <w:rsid w:val="0055628A"/>
    <w:rsid w:val="00556603"/>
    <w:rsid w:val="00561EBC"/>
    <w:rsid w:val="00562A80"/>
    <w:rsid w:val="0056370A"/>
    <w:rsid w:val="005659BA"/>
    <w:rsid w:val="00565F47"/>
    <w:rsid w:val="0056659E"/>
    <w:rsid w:val="00571D74"/>
    <w:rsid w:val="00571DC0"/>
    <w:rsid w:val="00574D07"/>
    <w:rsid w:val="00580DD1"/>
    <w:rsid w:val="00581BAF"/>
    <w:rsid w:val="00581D61"/>
    <w:rsid w:val="00583885"/>
    <w:rsid w:val="0058457D"/>
    <w:rsid w:val="00584C51"/>
    <w:rsid w:val="00586DFB"/>
    <w:rsid w:val="005908A3"/>
    <w:rsid w:val="0059165F"/>
    <w:rsid w:val="00594812"/>
    <w:rsid w:val="00597492"/>
    <w:rsid w:val="005977CD"/>
    <w:rsid w:val="005A198A"/>
    <w:rsid w:val="005A21FC"/>
    <w:rsid w:val="005A2D99"/>
    <w:rsid w:val="005A556A"/>
    <w:rsid w:val="005A6A03"/>
    <w:rsid w:val="005B1387"/>
    <w:rsid w:val="005B39F5"/>
    <w:rsid w:val="005B3CF3"/>
    <w:rsid w:val="005B4677"/>
    <w:rsid w:val="005B6672"/>
    <w:rsid w:val="005C038C"/>
    <w:rsid w:val="005C1F40"/>
    <w:rsid w:val="005C26E6"/>
    <w:rsid w:val="005C297C"/>
    <w:rsid w:val="005C50DE"/>
    <w:rsid w:val="005C669E"/>
    <w:rsid w:val="005C6BAF"/>
    <w:rsid w:val="005D120E"/>
    <w:rsid w:val="005D2420"/>
    <w:rsid w:val="005E0B51"/>
    <w:rsid w:val="005E18E3"/>
    <w:rsid w:val="005E3AA1"/>
    <w:rsid w:val="005E3DDF"/>
    <w:rsid w:val="005E5481"/>
    <w:rsid w:val="005E5539"/>
    <w:rsid w:val="005E72A8"/>
    <w:rsid w:val="005F13C2"/>
    <w:rsid w:val="005F37DF"/>
    <w:rsid w:val="005F3B95"/>
    <w:rsid w:val="005F4799"/>
    <w:rsid w:val="005F4DD4"/>
    <w:rsid w:val="005F559B"/>
    <w:rsid w:val="006013DE"/>
    <w:rsid w:val="006017B0"/>
    <w:rsid w:val="00602310"/>
    <w:rsid w:val="00603E1C"/>
    <w:rsid w:val="00606E51"/>
    <w:rsid w:val="0061010F"/>
    <w:rsid w:val="00610FBC"/>
    <w:rsid w:val="0061110C"/>
    <w:rsid w:val="006125AD"/>
    <w:rsid w:val="0061310F"/>
    <w:rsid w:val="0061337A"/>
    <w:rsid w:val="0061385D"/>
    <w:rsid w:val="00614576"/>
    <w:rsid w:val="00615303"/>
    <w:rsid w:val="006163F2"/>
    <w:rsid w:val="00617AA3"/>
    <w:rsid w:val="00620D63"/>
    <w:rsid w:val="006231AA"/>
    <w:rsid w:val="0062393E"/>
    <w:rsid w:val="00624117"/>
    <w:rsid w:val="00624500"/>
    <w:rsid w:val="00626118"/>
    <w:rsid w:val="00626FA9"/>
    <w:rsid w:val="00627FC7"/>
    <w:rsid w:val="00630A1C"/>
    <w:rsid w:val="0063172A"/>
    <w:rsid w:val="00631BF7"/>
    <w:rsid w:val="00634058"/>
    <w:rsid w:val="00634059"/>
    <w:rsid w:val="006340B5"/>
    <w:rsid w:val="00635984"/>
    <w:rsid w:val="00636C5D"/>
    <w:rsid w:val="00640096"/>
    <w:rsid w:val="006414FA"/>
    <w:rsid w:val="00641597"/>
    <w:rsid w:val="00642271"/>
    <w:rsid w:val="00645DC0"/>
    <w:rsid w:val="00660043"/>
    <w:rsid w:val="00664658"/>
    <w:rsid w:val="006658FD"/>
    <w:rsid w:val="0067037C"/>
    <w:rsid w:val="006705E0"/>
    <w:rsid w:val="00670BEC"/>
    <w:rsid w:val="00671FB7"/>
    <w:rsid w:val="006724DC"/>
    <w:rsid w:val="0067485A"/>
    <w:rsid w:val="00674C28"/>
    <w:rsid w:val="006755C2"/>
    <w:rsid w:val="00675C13"/>
    <w:rsid w:val="00680CAD"/>
    <w:rsid w:val="00681F30"/>
    <w:rsid w:val="00682237"/>
    <w:rsid w:val="00682B9C"/>
    <w:rsid w:val="0068357D"/>
    <w:rsid w:val="00683EB7"/>
    <w:rsid w:val="00684FA9"/>
    <w:rsid w:val="0068713A"/>
    <w:rsid w:val="006941AB"/>
    <w:rsid w:val="0069583C"/>
    <w:rsid w:val="00695B5B"/>
    <w:rsid w:val="006968E4"/>
    <w:rsid w:val="00697A72"/>
    <w:rsid w:val="006A0A50"/>
    <w:rsid w:val="006A5038"/>
    <w:rsid w:val="006A535A"/>
    <w:rsid w:val="006A7A1E"/>
    <w:rsid w:val="006B009E"/>
    <w:rsid w:val="006B36EE"/>
    <w:rsid w:val="006B5C48"/>
    <w:rsid w:val="006B70EB"/>
    <w:rsid w:val="006B752A"/>
    <w:rsid w:val="006B7F97"/>
    <w:rsid w:val="006C29E2"/>
    <w:rsid w:val="006C3937"/>
    <w:rsid w:val="006C57C7"/>
    <w:rsid w:val="006C5E75"/>
    <w:rsid w:val="006C7615"/>
    <w:rsid w:val="006D0A65"/>
    <w:rsid w:val="006D0B4B"/>
    <w:rsid w:val="006D0B9C"/>
    <w:rsid w:val="006D0CD7"/>
    <w:rsid w:val="006D125F"/>
    <w:rsid w:val="006D4CE2"/>
    <w:rsid w:val="006D5C23"/>
    <w:rsid w:val="006D609F"/>
    <w:rsid w:val="006E0808"/>
    <w:rsid w:val="006E0C83"/>
    <w:rsid w:val="006E0F6E"/>
    <w:rsid w:val="006E26F4"/>
    <w:rsid w:val="006E561B"/>
    <w:rsid w:val="006E6138"/>
    <w:rsid w:val="006E7E40"/>
    <w:rsid w:val="006F0048"/>
    <w:rsid w:val="006F0C30"/>
    <w:rsid w:val="006F1F29"/>
    <w:rsid w:val="006F4E56"/>
    <w:rsid w:val="006F6DFA"/>
    <w:rsid w:val="00702499"/>
    <w:rsid w:val="007031AC"/>
    <w:rsid w:val="007045A7"/>
    <w:rsid w:val="007056CF"/>
    <w:rsid w:val="00707AC6"/>
    <w:rsid w:val="007101BF"/>
    <w:rsid w:val="007102BA"/>
    <w:rsid w:val="00710E18"/>
    <w:rsid w:val="00711D73"/>
    <w:rsid w:val="00712437"/>
    <w:rsid w:val="00712AB9"/>
    <w:rsid w:val="00712FBB"/>
    <w:rsid w:val="007202B8"/>
    <w:rsid w:val="007204CB"/>
    <w:rsid w:val="00725DCC"/>
    <w:rsid w:val="007264E7"/>
    <w:rsid w:val="00731470"/>
    <w:rsid w:val="00731E75"/>
    <w:rsid w:val="00732E65"/>
    <w:rsid w:val="00733A4C"/>
    <w:rsid w:val="0073473A"/>
    <w:rsid w:val="00734C96"/>
    <w:rsid w:val="00734FEE"/>
    <w:rsid w:val="00736877"/>
    <w:rsid w:val="00740C34"/>
    <w:rsid w:val="007421A3"/>
    <w:rsid w:val="007458E4"/>
    <w:rsid w:val="00747A74"/>
    <w:rsid w:val="007516CF"/>
    <w:rsid w:val="00752B5B"/>
    <w:rsid w:val="00752C86"/>
    <w:rsid w:val="00753B18"/>
    <w:rsid w:val="0075631C"/>
    <w:rsid w:val="00761B09"/>
    <w:rsid w:val="00762130"/>
    <w:rsid w:val="0076307E"/>
    <w:rsid w:val="0076411D"/>
    <w:rsid w:val="00770D90"/>
    <w:rsid w:val="00772F41"/>
    <w:rsid w:val="0077521B"/>
    <w:rsid w:val="00776554"/>
    <w:rsid w:val="007811AB"/>
    <w:rsid w:val="00785E4F"/>
    <w:rsid w:val="0078680E"/>
    <w:rsid w:val="0079173E"/>
    <w:rsid w:val="00792109"/>
    <w:rsid w:val="007928C7"/>
    <w:rsid w:val="00793829"/>
    <w:rsid w:val="00793E36"/>
    <w:rsid w:val="00794D26"/>
    <w:rsid w:val="007A0AF9"/>
    <w:rsid w:val="007A1673"/>
    <w:rsid w:val="007A458B"/>
    <w:rsid w:val="007A47AB"/>
    <w:rsid w:val="007A47D0"/>
    <w:rsid w:val="007A50AA"/>
    <w:rsid w:val="007B00AD"/>
    <w:rsid w:val="007B0760"/>
    <w:rsid w:val="007B58FB"/>
    <w:rsid w:val="007B6A98"/>
    <w:rsid w:val="007B7EE3"/>
    <w:rsid w:val="007C035E"/>
    <w:rsid w:val="007C0EC0"/>
    <w:rsid w:val="007C1F32"/>
    <w:rsid w:val="007C30E7"/>
    <w:rsid w:val="007C6BBE"/>
    <w:rsid w:val="007C75FA"/>
    <w:rsid w:val="007C7F61"/>
    <w:rsid w:val="007D0F9A"/>
    <w:rsid w:val="007D4329"/>
    <w:rsid w:val="007D4552"/>
    <w:rsid w:val="007D49B8"/>
    <w:rsid w:val="007D57B6"/>
    <w:rsid w:val="007D5AA1"/>
    <w:rsid w:val="007D6457"/>
    <w:rsid w:val="007D660A"/>
    <w:rsid w:val="007D759B"/>
    <w:rsid w:val="007E1CC4"/>
    <w:rsid w:val="007E2D1B"/>
    <w:rsid w:val="007E377A"/>
    <w:rsid w:val="007E422B"/>
    <w:rsid w:val="007E5778"/>
    <w:rsid w:val="007E6064"/>
    <w:rsid w:val="007E6F85"/>
    <w:rsid w:val="007F0A36"/>
    <w:rsid w:val="007F5B57"/>
    <w:rsid w:val="007F707C"/>
    <w:rsid w:val="007F70A8"/>
    <w:rsid w:val="0080097C"/>
    <w:rsid w:val="008030EA"/>
    <w:rsid w:val="00803317"/>
    <w:rsid w:val="008050C5"/>
    <w:rsid w:val="008064A4"/>
    <w:rsid w:val="0081221B"/>
    <w:rsid w:val="008134A8"/>
    <w:rsid w:val="00816305"/>
    <w:rsid w:val="0081690D"/>
    <w:rsid w:val="0082073A"/>
    <w:rsid w:val="008227C0"/>
    <w:rsid w:val="00822F18"/>
    <w:rsid w:val="008237AE"/>
    <w:rsid w:val="008245C9"/>
    <w:rsid w:val="00831DA8"/>
    <w:rsid w:val="008338E9"/>
    <w:rsid w:val="0083456A"/>
    <w:rsid w:val="00835467"/>
    <w:rsid w:val="00836C91"/>
    <w:rsid w:val="00837E5D"/>
    <w:rsid w:val="008400A9"/>
    <w:rsid w:val="0084071C"/>
    <w:rsid w:val="00844709"/>
    <w:rsid w:val="00844881"/>
    <w:rsid w:val="00851111"/>
    <w:rsid w:val="0085139E"/>
    <w:rsid w:val="00851BAA"/>
    <w:rsid w:val="00854839"/>
    <w:rsid w:val="00855CDD"/>
    <w:rsid w:val="00857895"/>
    <w:rsid w:val="00860209"/>
    <w:rsid w:val="00861408"/>
    <w:rsid w:val="00861447"/>
    <w:rsid w:val="00862F1A"/>
    <w:rsid w:val="00866DC9"/>
    <w:rsid w:val="00867868"/>
    <w:rsid w:val="00867964"/>
    <w:rsid w:val="00867F26"/>
    <w:rsid w:val="00870B1C"/>
    <w:rsid w:val="00871FDA"/>
    <w:rsid w:val="00875E76"/>
    <w:rsid w:val="008760F4"/>
    <w:rsid w:val="00876C9B"/>
    <w:rsid w:val="00880291"/>
    <w:rsid w:val="00880E46"/>
    <w:rsid w:val="00884EE0"/>
    <w:rsid w:val="00885021"/>
    <w:rsid w:val="008857F3"/>
    <w:rsid w:val="00885F9F"/>
    <w:rsid w:val="0089097C"/>
    <w:rsid w:val="008913F6"/>
    <w:rsid w:val="00893234"/>
    <w:rsid w:val="00893345"/>
    <w:rsid w:val="008978BC"/>
    <w:rsid w:val="00897B8F"/>
    <w:rsid w:val="008A00DE"/>
    <w:rsid w:val="008A1135"/>
    <w:rsid w:val="008A5579"/>
    <w:rsid w:val="008A7105"/>
    <w:rsid w:val="008B0935"/>
    <w:rsid w:val="008B23ED"/>
    <w:rsid w:val="008B3CF6"/>
    <w:rsid w:val="008B67EE"/>
    <w:rsid w:val="008B6E3E"/>
    <w:rsid w:val="008C22C3"/>
    <w:rsid w:val="008C2872"/>
    <w:rsid w:val="008C4E93"/>
    <w:rsid w:val="008C5174"/>
    <w:rsid w:val="008C5331"/>
    <w:rsid w:val="008C7EF1"/>
    <w:rsid w:val="008D1C6E"/>
    <w:rsid w:val="008D589B"/>
    <w:rsid w:val="008D5F36"/>
    <w:rsid w:val="008D6F39"/>
    <w:rsid w:val="008D74D8"/>
    <w:rsid w:val="008D7E1D"/>
    <w:rsid w:val="008E45DD"/>
    <w:rsid w:val="008E5668"/>
    <w:rsid w:val="008E5BEA"/>
    <w:rsid w:val="008E61CF"/>
    <w:rsid w:val="008E62F3"/>
    <w:rsid w:val="008E66A7"/>
    <w:rsid w:val="008F0027"/>
    <w:rsid w:val="008F0BA2"/>
    <w:rsid w:val="008F13F4"/>
    <w:rsid w:val="008F2248"/>
    <w:rsid w:val="008F3946"/>
    <w:rsid w:val="008F429A"/>
    <w:rsid w:val="008F4809"/>
    <w:rsid w:val="008F4885"/>
    <w:rsid w:val="008F69B0"/>
    <w:rsid w:val="008F6DFC"/>
    <w:rsid w:val="00900FA9"/>
    <w:rsid w:val="00901C9D"/>
    <w:rsid w:val="0090254E"/>
    <w:rsid w:val="00902E5F"/>
    <w:rsid w:val="0090397D"/>
    <w:rsid w:val="00903B8A"/>
    <w:rsid w:val="0090531F"/>
    <w:rsid w:val="00906399"/>
    <w:rsid w:val="00907F35"/>
    <w:rsid w:val="00910D42"/>
    <w:rsid w:val="0091449C"/>
    <w:rsid w:val="0091584E"/>
    <w:rsid w:val="00915C0A"/>
    <w:rsid w:val="00916394"/>
    <w:rsid w:val="00916C61"/>
    <w:rsid w:val="00917853"/>
    <w:rsid w:val="00920BE6"/>
    <w:rsid w:val="00920D54"/>
    <w:rsid w:val="00922E91"/>
    <w:rsid w:val="00924A4D"/>
    <w:rsid w:val="009253A2"/>
    <w:rsid w:val="009260F9"/>
    <w:rsid w:val="00926811"/>
    <w:rsid w:val="009328BD"/>
    <w:rsid w:val="0093469C"/>
    <w:rsid w:val="00940D53"/>
    <w:rsid w:val="00942081"/>
    <w:rsid w:val="009447BD"/>
    <w:rsid w:val="0095085C"/>
    <w:rsid w:val="00950D6C"/>
    <w:rsid w:val="00952B8F"/>
    <w:rsid w:val="00953AC4"/>
    <w:rsid w:val="00953BF5"/>
    <w:rsid w:val="00955935"/>
    <w:rsid w:val="00956877"/>
    <w:rsid w:val="009574EE"/>
    <w:rsid w:val="00964D8A"/>
    <w:rsid w:val="00964F16"/>
    <w:rsid w:val="0096690F"/>
    <w:rsid w:val="00966D5F"/>
    <w:rsid w:val="0096729D"/>
    <w:rsid w:val="00967A7A"/>
    <w:rsid w:val="00970692"/>
    <w:rsid w:val="00970717"/>
    <w:rsid w:val="0097130D"/>
    <w:rsid w:val="00971686"/>
    <w:rsid w:val="00973719"/>
    <w:rsid w:val="00973845"/>
    <w:rsid w:val="009743E5"/>
    <w:rsid w:val="0097647D"/>
    <w:rsid w:val="00976946"/>
    <w:rsid w:val="00981766"/>
    <w:rsid w:val="00983A52"/>
    <w:rsid w:val="00984B13"/>
    <w:rsid w:val="00986AE7"/>
    <w:rsid w:val="00987773"/>
    <w:rsid w:val="00987A32"/>
    <w:rsid w:val="00987DB5"/>
    <w:rsid w:val="00993600"/>
    <w:rsid w:val="0099428B"/>
    <w:rsid w:val="00997D11"/>
    <w:rsid w:val="009A0526"/>
    <w:rsid w:val="009A09DC"/>
    <w:rsid w:val="009A0A96"/>
    <w:rsid w:val="009A271D"/>
    <w:rsid w:val="009A44F9"/>
    <w:rsid w:val="009A70D5"/>
    <w:rsid w:val="009B2507"/>
    <w:rsid w:val="009B2CC9"/>
    <w:rsid w:val="009B2E8E"/>
    <w:rsid w:val="009B3004"/>
    <w:rsid w:val="009B348C"/>
    <w:rsid w:val="009B482A"/>
    <w:rsid w:val="009B7712"/>
    <w:rsid w:val="009B7B83"/>
    <w:rsid w:val="009C0636"/>
    <w:rsid w:val="009C08BA"/>
    <w:rsid w:val="009C6F0A"/>
    <w:rsid w:val="009C6F32"/>
    <w:rsid w:val="009C797B"/>
    <w:rsid w:val="009D01D3"/>
    <w:rsid w:val="009D02E8"/>
    <w:rsid w:val="009D0C05"/>
    <w:rsid w:val="009D4274"/>
    <w:rsid w:val="009D461F"/>
    <w:rsid w:val="009D5C53"/>
    <w:rsid w:val="009D5D74"/>
    <w:rsid w:val="009D622C"/>
    <w:rsid w:val="009E1268"/>
    <w:rsid w:val="009E1EB4"/>
    <w:rsid w:val="009E5AB3"/>
    <w:rsid w:val="009E61F7"/>
    <w:rsid w:val="009E7BE7"/>
    <w:rsid w:val="009E7EB2"/>
    <w:rsid w:val="009F145D"/>
    <w:rsid w:val="009F17D1"/>
    <w:rsid w:val="009F7CAB"/>
    <w:rsid w:val="00A011F7"/>
    <w:rsid w:val="00A02E6E"/>
    <w:rsid w:val="00A03F22"/>
    <w:rsid w:val="00A064C9"/>
    <w:rsid w:val="00A0662C"/>
    <w:rsid w:val="00A07763"/>
    <w:rsid w:val="00A12624"/>
    <w:rsid w:val="00A1407B"/>
    <w:rsid w:val="00A14B13"/>
    <w:rsid w:val="00A14B40"/>
    <w:rsid w:val="00A15BF3"/>
    <w:rsid w:val="00A15C5A"/>
    <w:rsid w:val="00A17FEB"/>
    <w:rsid w:val="00A20772"/>
    <w:rsid w:val="00A214C8"/>
    <w:rsid w:val="00A21567"/>
    <w:rsid w:val="00A215C7"/>
    <w:rsid w:val="00A22C2D"/>
    <w:rsid w:val="00A24B13"/>
    <w:rsid w:val="00A25794"/>
    <w:rsid w:val="00A30451"/>
    <w:rsid w:val="00A3148A"/>
    <w:rsid w:val="00A324AB"/>
    <w:rsid w:val="00A32962"/>
    <w:rsid w:val="00A33C11"/>
    <w:rsid w:val="00A34E09"/>
    <w:rsid w:val="00A35B35"/>
    <w:rsid w:val="00A44A6C"/>
    <w:rsid w:val="00A45819"/>
    <w:rsid w:val="00A4687A"/>
    <w:rsid w:val="00A47350"/>
    <w:rsid w:val="00A47C08"/>
    <w:rsid w:val="00A517BC"/>
    <w:rsid w:val="00A52F47"/>
    <w:rsid w:val="00A54695"/>
    <w:rsid w:val="00A54D83"/>
    <w:rsid w:val="00A61F5C"/>
    <w:rsid w:val="00A63384"/>
    <w:rsid w:val="00A6416E"/>
    <w:rsid w:val="00A64784"/>
    <w:rsid w:val="00A678E6"/>
    <w:rsid w:val="00A71754"/>
    <w:rsid w:val="00A717E7"/>
    <w:rsid w:val="00A71EDB"/>
    <w:rsid w:val="00A74152"/>
    <w:rsid w:val="00A757D1"/>
    <w:rsid w:val="00A76A28"/>
    <w:rsid w:val="00A8284E"/>
    <w:rsid w:val="00A83243"/>
    <w:rsid w:val="00A83CC9"/>
    <w:rsid w:val="00A846DD"/>
    <w:rsid w:val="00A8789C"/>
    <w:rsid w:val="00A90111"/>
    <w:rsid w:val="00A90331"/>
    <w:rsid w:val="00A91528"/>
    <w:rsid w:val="00A95196"/>
    <w:rsid w:val="00A9738A"/>
    <w:rsid w:val="00AA1EFF"/>
    <w:rsid w:val="00AA5115"/>
    <w:rsid w:val="00AB14C7"/>
    <w:rsid w:val="00AB2264"/>
    <w:rsid w:val="00AB4E47"/>
    <w:rsid w:val="00AB67F7"/>
    <w:rsid w:val="00AC054F"/>
    <w:rsid w:val="00AC0715"/>
    <w:rsid w:val="00AC146C"/>
    <w:rsid w:val="00AC1F76"/>
    <w:rsid w:val="00AC2615"/>
    <w:rsid w:val="00AC4770"/>
    <w:rsid w:val="00AC5025"/>
    <w:rsid w:val="00AC5AB5"/>
    <w:rsid w:val="00AC64D8"/>
    <w:rsid w:val="00AC6D59"/>
    <w:rsid w:val="00AD12D2"/>
    <w:rsid w:val="00AD1729"/>
    <w:rsid w:val="00AD2774"/>
    <w:rsid w:val="00AD31A1"/>
    <w:rsid w:val="00AD3941"/>
    <w:rsid w:val="00AD5261"/>
    <w:rsid w:val="00AE0009"/>
    <w:rsid w:val="00AE357A"/>
    <w:rsid w:val="00AE38B2"/>
    <w:rsid w:val="00AE5A4E"/>
    <w:rsid w:val="00AE76F9"/>
    <w:rsid w:val="00AF3694"/>
    <w:rsid w:val="00AF4B9E"/>
    <w:rsid w:val="00AF6636"/>
    <w:rsid w:val="00B11692"/>
    <w:rsid w:val="00B12803"/>
    <w:rsid w:val="00B14116"/>
    <w:rsid w:val="00B1486E"/>
    <w:rsid w:val="00B15BDD"/>
    <w:rsid w:val="00B20443"/>
    <w:rsid w:val="00B2317E"/>
    <w:rsid w:val="00B2529D"/>
    <w:rsid w:val="00B2550B"/>
    <w:rsid w:val="00B259CE"/>
    <w:rsid w:val="00B25B50"/>
    <w:rsid w:val="00B30680"/>
    <w:rsid w:val="00B31DD7"/>
    <w:rsid w:val="00B32CAF"/>
    <w:rsid w:val="00B33432"/>
    <w:rsid w:val="00B336D5"/>
    <w:rsid w:val="00B35846"/>
    <w:rsid w:val="00B35F18"/>
    <w:rsid w:val="00B3657C"/>
    <w:rsid w:val="00B42372"/>
    <w:rsid w:val="00B423A4"/>
    <w:rsid w:val="00B437D6"/>
    <w:rsid w:val="00B43AB0"/>
    <w:rsid w:val="00B4446B"/>
    <w:rsid w:val="00B523FB"/>
    <w:rsid w:val="00B52E8F"/>
    <w:rsid w:val="00B5525E"/>
    <w:rsid w:val="00B57738"/>
    <w:rsid w:val="00B63137"/>
    <w:rsid w:val="00B63604"/>
    <w:rsid w:val="00B63FA9"/>
    <w:rsid w:val="00B650CC"/>
    <w:rsid w:val="00B707BD"/>
    <w:rsid w:val="00B71457"/>
    <w:rsid w:val="00B750BF"/>
    <w:rsid w:val="00B75217"/>
    <w:rsid w:val="00B75849"/>
    <w:rsid w:val="00B776B5"/>
    <w:rsid w:val="00B81AFD"/>
    <w:rsid w:val="00B828B3"/>
    <w:rsid w:val="00B85442"/>
    <w:rsid w:val="00B90851"/>
    <w:rsid w:val="00B91090"/>
    <w:rsid w:val="00B926B7"/>
    <w:rsid w:val="00B94A3A"/>
    <w:rsid w:val="00B95094"/>
    <w:rsid w:val="00BA5FF1"/>
    <w:rsid w:val="00BA6861"/>
    <w:rsid w:val="00BA7533"/>
    <w:rsid w:val="00BB0B8D"/>
    <w:rsid w:val="00BB7EDF"/>
    <w:rsid w:val="00BC04BD"/>
    <w:rsid w:val="00BC4096"/>
    <w:rsid w:val="00BC44EE"/>
    <w:rsid w:val="00BC65BA"/>
    <w:rsid w:val="00BD55FE"/>
    <w:rsid w:val="00BD75D2"/>
    <w:rsid w:val="00BE0383"/>
    <w:rsid w:val="00BE07A0"/>
    <w:rsid w:val="00BE1C3A"/>
    <w:rsid w:val="00BE611C"/>
    <w:rsid w:val="00BE70FF"/>
    <w:rsid w:val="00BF1079"/>
    <w:rsid w:val="00BF1D2D"/>
    <w:rsid w:val="00BF2768"/>
    <w:rsid w:val="00BF4F31"/>
    <w:rsid w:val="00BF5835"/>
    <w:rsid w:val="00BF5859"/>
    <w:rsid w:val="00BF6DFF"/>
    <w:rsid w:val="00C00048"/>
    <w:rsid w:val="00C00239"/>
    <w:rsid w:val="00C00828"/>
    <w:rsid w:val="00C068F5"/>
    <w:rsid w:val="00C11842"/>
    <w:rsid w:val="00C12994"/>
    <w:rsid w:val="00C1363B"/>
    <w:rsid w:val="00C14D24"/>
    <w:rsid w:val="00C1538F"/>
    <w:rsid w:val="00C15926"/>
    <w:rsid w:val="00C16139"/>
    <w:rsid w:val="00C17609"/>
    <w:rsid w:val="00C177ED"/>
    <w:rsid w:val="00C212D7"/>
    <w:rsid w:val="00C2265C"/>
    <w:rsid w:val="00C23420"/>
    <w:rsid w:val="00C3036E"/>
    <w:rsid w:val="00C30985"/>
    <w:rsid w:val="00C33BB9"/>
    <w:rsid w:val="00C3464B"/>
    <w:rsid w:val="00C35140"/>
    <w:rsid w:val="00C35A34"/>
    <w:rsid w:val="00C3715A"/>
    <w:rsid w:val="00C41A32"/>
    <w:rsid w:val="00C421FF"/>
    <w:rsid w:val="00C425BE"/>
    <w:rsid w:val="00C44F2B"/>
    <w:rsid w:val="00C45A03"/>
    <w:rsid w:val="00C50066"/>
    <w:rsid w:val="00C545D3"/>
    <w:rsid w:val="00C54A8C"/>
    <w:rsid w:val="00C56388"/>
    <w:rsid w:val="00C5675C"/>
    <w:rsid w:val="00C571C0"/>
    <w:rsid w:val="00C61233"/>
    <w:rsid w:val="00C61911"/>
    <w:rsid w:val="00C6200D"/>
    <w:rsid w:val="00C627D8"/>
    <w:rsid w:val="00C62EB5"/>
    <w:rsid w:val="00C630B4"/>
    <w:rsid w:val="00C6506B"/>
    <w:rsid w:val="00C65EB9"/>
    <w:rsid w:val="00C66F20"/>
    <w:rsid w:val="00C718D9"/>
    <w:rsid w:val="00C72850"/>
    <w:rsid w:val="00C73632"/>
    <w:rsid w:val="00C75175"/>
    <w:rsid w:val="00C7543D"/>
    <w:rsid w:val="00C759F9"/>
    <w:rsid w:val="00C75EE7"/>
    <w:rsid w:val="00C777E7"/>
    <w:rsid w:val="00C81E92"/>
    <w:rsid w:val="00C82343"/>
    <w:rsid w:val="00C837C1"/>
    <w:rsid w:val="00C87CBD"/>
    <w:rsid w:val="00C91398"/>
    <w:rsid w:val="00C92269"/>
    <w:rsid w:val="00C92ED2"/>
    <w:rsid w:val="00C93239"/>
    <w:rsid w:val="00C94BF8"/>
    <w:rsid w:val="00C94C73"/>
    <w:rsid w:val="00C94F86"/>
    <w:rsid w:val="00CA180E"/>
    <w:rsid w:val="00CA23F1"/>
    <w:rsid w:val="00CA3D05"/>
    <w:rsid w:val="00CA4DB3"/>
    <w:rsid w:val="00CA574E"/>
    <w:rsid w:val="00CA69FF"/>
    <w:rsid w:val="00CA7FEE"/>
    <w:rsid w:val="00CB0B37"/>
    <w:rsid w:val="00CB0CBA"/>
    <w:rsid w:val="00CB11FA"/>
    <w:rsid w:val="00CC0138"/>
    <w:rsid w:val="00CC1F38"/>
    <w:rsid w:val="00CC33AB"/>
    <w:rsid w:val="00CC4D3B"/>
    <w:rsid w:val="00CC6328"/>
    <w:rsid w:val="00CC69B1"/>
    <w:rsid w:val="00CC722D"/>
    <w:rsid w:val="00CC7D94"/>
    <w:rsid w:val="00CD17D9"/>
    <w:rsid w:val="00CD218F"/>
    <w:rsid w:val="00CD417B"/>
    <w:rsid w:val="00CD4EA9"/>
    <w:rsid w:val="00CD6CA5"/>
    <w:rsid w:val="00CE0A40"/>
    <w:rsid w:val="00CE0C33"/>
    <w:rsid w:val="00CE2480"/>
    <w:rsid w:val="00CE3871"/>
    <w:rsid w:val="00CE39D5"/>
    <w:rsid w:val="00CE4773"/>
    <w:rsid w:val="00CE5C29"/>
    <w:rsid w:val="00CE5DCC"/>
    <w:rsid w:val="00CE7671"/>
    <w:rsid w:val="00CF1043"/>
    <w:rsid w:val="00CF1336"/>
    <w:rsid w:val="00CF2265"/>
    <w:rsid w:val="00CF32D4"/>
    <w:rsid w:val="00CF38DA"/>
    <w:rsid w:val="00CF6B12"/>
    <w:rsid w:val="00CF6CA8"/>
    <w:rsid w:val="00CF797E"/>
    <w:rsid w:val="00D01079"/>
    <w:rsid w:val="00D018E6"/>
    <w:rsid w:val="00D02059"/>
    <w:rsid w:val="00D02D89"/>
    <w:rsid w:val="00D03B55"/>
    <w:rsid w:val="00D04D65"/>
    <w:rsid w:val="00D063F2"/>
    <w:rsid w:val="00D06DB2"/>
    <w:rsid w:val="00D10FDF"/>
    <w:rsid w:val="00D1111C"/>
    <w:rsid w:val="00D124E0"/>
    <w:rsid w:val="00D12EF4"/>
    <w:rsid w:val="00D15CC8"/>
    <w:rsid w:val="00D20615"/>
    <w:rsid w:val="00D20796"/>
    <w:rsid w:val="00D2538D"/>
    <w:rsid w:val="00D268C9"/>
    <w:rsid w:val="00D301ED"/>
    <w:rsid w:val="00D313B0"/>
    <w:rsid w:val="00D319D4"/>
    <w:rsid w:val="00D32569"/>
    <w:rsid w:val="00D325E3"/>
    <w:rsid w:val="00D36569"/>
    <w:rsid w:val="00D36FBF"/>
    <w:rsid w:val="00D40062"/>
    <w:rsid w:val="00D405E7"/>
    <w:rsid w:val="00D4133A"/>
    <w:rsid w:val="00D42F18"/>
    <w:rsid w:val="00D436F6"/>
    <w:rsid w:val="00D440FF"/>
    <w:rsid w:val="00D44DD1"/>
    <w:rsid w:val="00D50BC2"/>
    <w:rsid w:val="00D515C2"/>
    <w:rsid w:val="00D53AD6"/>
    <w:rsid w:val="00D53B9C"/>
    <w:rsid w:val="00D5622E"/>
    <w:rsid w:val="00D570CE"/>
    <w:rsid w:val="00D66F14"/>
    <w:rsid w:val="00D679C1"/>
    <w:rsid w:val="00D67A9D"/>
    <w:rsid w:val="00D67E34"/>
    <w:rsid w:val="00D70A04"/>
    <w:rsid w:val="00D72E7C"/>
    <w:rsid w:val="00D7638B"/>
    <w:rsid w:val="00D76DCC"/>
    <w:rsid w:val="00D77CA0"/>
    <w:rsid w:val="00D77D9E"/>
    <w:rsid w:val="00D81C8D"/>
    <w:rsid w:val="00D81D6D"/>
    <w:rsid w:val="00D833B1"/>
    <w:rsid w:val="00D8340F"/>
    <w:rsid w:val="00D86400"/>
    <w:rsid w:val="00D867D6"/>
    <w:rsid w:val="00D868DE"/>
    <w:rsid w:val="00D90503"/>
    <w:rsid w:val="00D913F0"/>
    <w:rsid w:val="00D94A33"/>
    <w:rsid w:val="00D97FE0"/>
    <w:rsid w:val="00DA05A2"/>
    <w:rsid w:val="00DA1C78"/>
    <w:rsid w:val="00DA2F03"/>
    <w:rsid w:val="00DA6875"/>
    <w:rsid w:val="00DB0107"/>
    <w:rsid w:val="00DB18E3"/>
    <w:rsid w:val="00DB297D"/>
    <w:rsid w:val="00DB4314"/>
    <w:rsid w:val="00DB432A"/>
    <w:rsid w:val="00DB6163"/>
    <w:rsid w:val="00DB66A1"/>
    <w:rsid w:val="00DB75D0"/>
    <w:rsid w:val="00DB7C7C"/>
    <w:rsid w:val="00DB7D3B"/>
    <w:rsid w:val="00DC03EE"/>
    <w:rsid w:val="00DC04D3"/>
    <w:rsid w:val="00DC0A19"/>
    <w:rsid w:val="00DC0C8E"/>
    <w:rsid w:val="00DC1BE6"/>
    <w:rsid w:val="00DC722D"/>
    <w:rsid w:val="00DC758E"/>
    <w:rsid w:val="00DD1317"/>
    <w:rsid w:val="00DD2F1D"/>
    <w:rsid w:val="00DD60CF"/>
    <w:rsid w:val="00DE02C0"/>
    <w:rsid w:val="00DE0C01"/>
    <w:rsid w:val="00DE3797"/>
    <w:rsid w:val="00DE5AB2"/>
    <w:rsid w:val="00DE671D"/>
    <w:rsid w:val="00DE6EFC"/>
    <w:rsid w:val="00DF4497"/>
    <w:rsid w:val="00DF4C3F"/>
    <w:rsid w:val="00DF4D3B"/>
    <w:rsid w:val="00DF4E4D"/>
    <w:rsid w:val="00DF5BBF"/>
    <w:rsid w:val="00DF715B"/>
    <w:rsid w:val="00E00108"/>
    <w:rsid w:val="00E00C09"/>
    <w:rsid w:val="00E0147C"/>
    <w:rsid w:val="00E01840"/>
    <w:rsid w:val="00E03760"/>
    <w:rsid w:val="00E03EFD"/>
    <w:rsid w:val="00E0782E"/>
    <w:rsid w:val="00E07EFA"/>
    <w:rsid w:val="00E10D0C"/>
    <w:rsid w:val="00E10E49"/>
    <w:rsid w:val="00E16966"/>
    <w:rsid w:val="00E16B58"/>
    <w:rsid w:val="00E173A4"/>
    <w:rsid w:val="00E1777D"/>
    <w:rsid w:val="00E20B76"/>
    <w:rsid w:val="00E21B6D"/>
    <w:rsid w:val="00E22996"/>
    <w:rsid w:val="00E319E4"/>
    <w:rsid w:val="00E3392B"/>
    <w:rsid w:val="00E34FE8"/>
    <w:rsid w:val="00E368CB"/>
    <w:rsid w:val="00E377D4"/>
    <w:rsid w:val="00E406E1"/>
    <w:rsid w:val="00E4111A"/>
    <w:rsid w:val="00E418B7"/>
    <w:rsid w:val="00E419D1"/>
    <w:rsid w:val="00E41A8F"/>
    <w:rsid w:val="00E41A9E"/>
    <w:rsid w:val="00E425CE"/>
    <w:rsid w:val="00E47A9E"/>
    <w:rsid w:val="00E52810"/>
    <w:rsid w:val="00E54BE6"/>
    <w:rsid w:val="00E57D01"/>
    <w:rsid w:val="00E61E2A"/>
    <w:rsid w:val="00E62131"/>
    <w:rsid w:val="00E62870"/>
    <w:rsid w:val="00E63015"/>
    <w:rsid w:val="00E64AEA"/>
    <w:rsid w:val="00E70E68"/>
    <w:rsid w:val="00E7106D"/>
    <w:rsid w:val="00E7126D"/>
    <w:rsid w:val="00E718C8"/>
    <w:rsid w:val="00E7401E"/>
    <w:rsid w:val="00E7461F"/>
    <w:rsid w:val="00E762FB"/>
    <w:rsid w:val="00E81DDF"/>
    <w:rsid w:val="00E82791"/>
    <w:rsid w:val="00E8332D"/>
    <w:rsid w:val="00E85DFB"/>
    <w:rsid w:val="00E85F74"/>
    <w:rsid w:val="00E865C1"/>
    <w:rsid w:val="00E87CCD"/>
    <w:rsid w:val="00E92C08"/>
    <w:rsid w:val="00E94054"/>
    <w:rsid w:val="00E94B32"/>
    <w:rsid w:val="00E94F48"/>
    <w:rsid w:val="00E95A5B"/>
    <w:rsid w:val="00EA02B6"/>
    <w:rsid w:val="00EA1009"/>
    <w:rsid w:val="00EA39E3"/>
    <w:rsid w:val="00EA50FC"/>
    <w:rsid w:val="00EA6123"/>
    <w:rsid w:val="00EB08F9"/>
    <w:rsid w:val="00EB170B"/>
    <w:rsid w:val="00EB290D"/>
    <w:rsid w:val="00EB632A"/>
    <w:rsid w:val="00EB7D51"/>
    <w:rsid w:val="00EC36BC"/>
    <w:rsid w:val="00ED2203"/>
    <w:rsid w:val="00ED2569"/>
    <w:rsid w:val="00ED25B1"/>
    <w:rsid w:val="00ED2B17"/>
    <w:rsid w:val="00ED2D48"/>
    <w:rsid w:val="00ED2EAA"/>
    <w:rsid w:val="00ED7FAF"/>
    <w:rsid w:val="00EE0104"/>
    <w:rsid w:val="00EE07DA"/>
    <w:rsid w:val="00EE2AD2"/>
    <w:rsid w:val="00EE324B"/>
    <w:rsid w:val="00EE56CB"/>
    <w:rsid w:val="00EE6C48"/>
    <w:rsid w:val="00EF0079"/>
    <w:rsid w:val="00EF3E79"/>
    <w:rsid w:val="00EF4E25"/>
    <w:rsid w:val="00EF73BF"/>
    <w:rsid w:val="00EF771A"/>
    <w:rsid w:val="00F009EB"/>
    <w:rsid w:val="00F03DD9"/>
    <w:rsid w:val="00F04AA4"/>
    <w:rsid w:val="00F06A8A"/>
    <w:rsid w:val="00F0761C"/>
    <w:rsid w:val="00F1054C"/>
    <w:rsid w:val="00F11975"/>
    <w:rsid w:val="00F1246B"/>
    <w:rsid w:val="00F16487"/>
    <w:rsid w:val="00F243C8"/>
    <w:rsid w:val="00F24E11"/>
    <w:rsid w:val="00F26D6A"/>
    <w:rsid w:val="00F304A9"/>
    <w:rsid w:val="00F30C1A"/>
    <w:rsid w:val="00F31044"/>
    <w:rsid w:val="00F3139D"/>
    <w:rsid w:val="00F33F84"/>
    <w:rsid w:val="00F353F8"/>
    <w:rsid w:val="00F3568E"/>
    <w:rsid w:val="00F35A11"/>
    <w:rsid w:val="00F400ED"/>
    <w:rsid w:val="00F420CC"/>
    <w:rsid w:val="00F43840"/>
    <w:rsid w:val="00F43BBA"/>
    <w:rsid w:val="00F441A2"/>
    <w:rsid w:val="00F46253"/>
    <w:rsid w:val="00F4718B"/>
    <w:rsid w:val="00F50479"/>
    <w:rsid w:val="00F506E1"/>
    <w:rsid w:val="00F507CD"/>
    <w:rsid w:val="00F52083"/>
    <w:rsid w:val="00F52525"/>
    <w:rsid w:val="00F53C91"/>
    <w:rsid w:val="00F56191"/>
    <w:rsid w:val="00F577A8"/>
    <w:rsid w:val="00F6000A"/>
    <w:rsid w:val="00F63226"/>
    <w:rsid w:val="00F64BB0"/>
    <w:rsid w:val="00F709AA"/>
    <w:rsid w:val="00F70F1F"/>
    <w:rsid w:val="00F72CCB"/>
    <w:rsid w:val="00F75244"/>
    <w:rsid w:val="00F801B9"/>
    <w:rsid w:val="00F81F02"/>
    <w:rsid w:val="00F8304C"/>
    <w:rsid w:val="00F85A8C"/>
    <w:rsid w:val="00F903F4"/>
    <w:rsid w:val="00F90FCC"/>
    <w:rsid w:val="00F915F1"/>
    <w:rsid w:val="00F91721"/>
    <w:rsid w:val="00F920ED"/>
    <w:rsid w:val="00F95601"/>
    <w:rsid w:val="00FA07E3"/>
    <w:rsid w:val="00FA5879"/>
    <w:rsid w:val="00FA5CFA"/>
    <w:rsid w:val="00FB04D2"/>
    <w:rsid w:val="00FC3F5D"/>
    <w:rsid w:val="00FD01F4"/>
    <w:rsid w:val="00FD0B60"/>
    <w:rsid w:val="00FD2335"/>
    <w:rsid w:val="00FD29BA"/>
    <w:rsid w:val="00FD2AED"/>
    <w:rsid w:val="00FD739B"/>
    <w:rsid w:val="00FD7E78"/>
    <w:rsid w:val="00FE0E36"/>
    <w:rsid w:val="00FE268E"/>
    <w:rsid w:val="00FE2790"/>
    <w:rsid w:val="00FE2D29"/>
    <w:rsid w:val="00FE639A"/>
    <w:rsid w:val="00FE6EA5"/>
    <w:rsid w:val="00FE76EB"/>
    <w:rsid w:val="00FE7BE9"/>
    <w:rsid w:val="00FF344D"/>
    <w:rsid w:val="00FF39E5"/>
    <w:rsid w:val="00FF3C6E"/>
    <w:rsid w:val="00FF401B"/>
    <w:rsid w:val="00FF463F"/>
    <w:rsid w:val="00FF6E5A"/>
    <w:rsid w:val="00FF7BB9"/>
    <w:rsid w:val="00FF7F98"/>
    <w:rsid w:val="01417ED0"/>
    <w:rsid w:val="016531D1"/>
    <w:rsid w:val="01774B35"/>
    <w:rsid w:val="04967ABA"/>
    <w:rsid w:val="053E3955"/>
    <w:rsid w:val="06124B79"/>
    <w:rsid w:val="07AE2E69"/>
    <w:rsid w:val="09171AC6"/>
    <w:rsid w:val="0B412C7B"/>
    <w:rsid w:val="0B4B5358"/>
    <w:rsid w:val="0B64211D"/>
    <w:rsid w:val="0BE91440"/>
    <w:rsid w:val="0D2F4110"/>
    <w:rsid w:val="0DDB6F15"/>
    <w:rsid w:val="0E0911CC"/>
    <w:rsid w:val="0F5F3273"/>
    <w:rsid w:val="0FAF2D39"/>
    <w:rsid w:val="100B7158"/>
    <w:rsid w:val="12233583"/>
    <w:rsid w:val="12A56C4A"/>
    <w:rsid w:val="134C309B"/>
    <w:rsid w:val="13745033"/>
    <w:rsid w:val="14531E29"/>
    <w:rsid w:val="14C866A5"/>
    <w:rsid w:val="15186782"/>
    <w:rsid w:val="16D2413C"/>
    <w:rsid w:val="185760F5"/>
    <w:rsid w:val="198B2EC6"/>
    <w:rsid w:val="1ACC7CE2"/>
    <w:rsid w:val="1B4A1C67"/>
    <w:rsid w:val="1D1C3424"/>
    <w:rsid w:val="1D3F5CF8"/>
    <w:rsid w:val="1DB549D5"/>
    <w:rsid w:val="1E671976"/>
    <w:rsid w:val="1E9602D4"/>
    <w:rsid w:val="1F59377E"/>
    <w:rsid w:val="1F6E3909"/>
    <w:rsid w:val="1F874D8A"/>
    <w:rsid w:val="20765541"/>
    <w:rsid w:val="20C37B32"/>
    <w:rsid w:val="220F04B9"/>
    <w:rsid w:val="22392D42"/>
    <w:rsid w:val="25081A96"/>
    <w:rsid w:val="254C2BD9"/>
    <w:rsid w:val="255B4ACC"/>
    <w:rsid w:val="27323D42"/>
    <w:rsid w:val="2AEF6CEE"/>
    <w:rsid w:val="2AF578DD"/>
    <w:rsid w:val="2AFB0177"/>
    <w:rsid w:val="2B700009"/>
    <w:rsid w:val="2B7254AB"/>
    <w:rsid w:val="2B774A68"/>
    <w:rsid w:val="2CD30DAA"/>
    <w:rsid w:val="2CE50C68"/>
    <w:rsid w:val="2F0E715B"/>
    <w:rsid w:val="316E0651"/>
    <w:rsid w:val="31B85401"/>
    <w:rsid w:val="322E1B75"/>
    <w:rsid w:val="328E14B9"/>
    <w:rsid w:val="32A827E6"/>
    <w:rsid w:val="33590A0D"/>
    <w:rsid w:val="351E4A7A"/>
    <w:rsid w:val="3610545F"/>
    <w:rsid w:val="37866565"/>
    <w:rsid w:val="37D261A1"/>
    <w:rsid w:val="380145D2"/>
    <w:rsid w:val="38E4779C"/>
    <w:rsid w:val="3919301F"/>
    <w:rsid w:val="39BD71D3"/>
    <w:rsid w:val="3A9E1150"/>
    <w:rsid w:val="3AB16C65"/>
    <w:rsid w:val="3AD544E9"/>
    <w:rsid w:val="3B2344B0"/>
    <w:rsid w:val="3C443C71"/>
    <w:rsid w:val="3ED83F87"/>
    <w:rsid w:val="3FDD483D"/>
    <w:rsid w:val="40017D8D"/>
    <w:rsid w:val="403B1435"/>
    <w:rsid w:val="40E45D03"/>
    <w:rsid w:val="41A55CAE"/>
    <w:rsid w:val="41CA4974"/>
    <w:rsid w:val="436B0FC0"/>
    <w:rsid w:val="44187FD3"/>
    <w:rsid w:val="443C4228"/>
    <w:rsid w:val="446E75ED"/>
    <w:rsid w:val="44C91833"/>
    <w:rsid w:val="45136D0D"/>
    <w:rsid w:val="45496893"/>
    <w:rsid w:val="4823782A"/>
    <w:rsid w:val="492D2D74"/>
    <w:rsid w:val="497557AD"/>
    <w:rsid w:val="499524F4"/>
    <w:rsid w:val="4A6B6969"/>
    <w:rsid w:val="4AD91AD2"/>
    <w:rsid w:val="4B876EDE"/>
    <w:rsid w:val="4DA23BF2"/>
    <w:rsid w:val="4DB200A1"/>
    <w:rsid w:val="4E4B7E72"/>
    <w:rsid w:val="4E651D87"/>
    <w:rsid w:val="4ECE1A55"/>
    <w:rsid w:val="4FF9126D"/>
    <w:rsid w:val="51142294"/>
    <w:rsid w:val="51ED3D91"/>
    <w:rsid w:val="523F397D"/>
    <w:rsid w:val="53AE12C5"/>
    <w:rsid w:val="53D05DA1"/>
    <w:rsid w:val="54656664"/>
    <w:rsid w:val="546E2408"/>
    <w:rsid w:val="549853D8"/>
    <w:rsid w:val="55624BC5"/>
    <w:rsid w:val="55BD3B21"/>
    <w:rsid w:val="56196C67"/>
    <w:rsid w:val="5835613F"/>
    <w:rsid w:val="589635DD"/>
    <w:rsid w:val="5B306F10"/>
    <w:rsid w:val="5B494DFB"/>
    <w:rsid w:val="5B4F32E3"/>
    <w:rsid w:val="5B734C0E"/>
    <w:rsid w:val="5BC625E4"/>
    <w:rsid w:val="5D111766"/>
    <w:rsid w:val="5D2C5C57"/>
    <w:rsid w:val="5D853D9E"/>
    <w:rsid w:val="5E477F57"/>
    <w:rsid w:val="5ECE01B8"/>
    <w:rsid w:val="5FCB6071"/>
    <w:rsid w:val="61D830B5"/>
    <w:rsid w:val="62200AE8"/>
    <w:rsid w:val="62BB5D8E"/>
    <w:rsid w:val="62D4122F"/>
    <w:rsid w:val="64084829"/>
    <w:rsid w:val="646B48B3"/>
    <w:rsid w:val="658F7A07"/>
    <w:rsid w:val="65965302"/>
    <w:rsid w:val="6673158E"/>
    <w:rsid w:val="6687560C"/>
    <w:rsid w:val="670F65A5"/>
    <w:rsid w:val="67565A36"/>
    <w:rsid w:val="68222C15"/>
    <w:rsid w:val="68815370"/>
    <w:rsid w:val="68B96DFC"/>
    <w:rsid w:val="68D67B65"/>
    <w:rsid w:val="695775DC"/>
    <w:rsid w:val="6A236CE5"/>
    <w:rsid w:val="6C39522C"/>
    <w:rsid w:val="6D245C1B"/>
    <w:rsid w:val="6D866611"/>
    <w:rsid w:val="6EE636AD"/>
    <w:rsid w:val="6F3E65C1"/>
    <w:rsid w:val="716606CE"/>
    <w:rsid w:val="71E02129"/>
    <w:rsid w:val="71E11D56"/>
    <w:rsid w:val="71FD475B"/>
    <w:rsid w:val="71FF1835"/>
    <w:rsid w:val="740C0E97"/>
    <w:rsid w:val="74B0473C"/>
    <w:rsid w:val="74F72AA4"/>
    <w:rsid w:val="760D24CD"/>
    <w:rsid w:val="77684DA1"/>
    <w:rsid w:val="77812C28"/>
    <w:rsid w:val="78054671"/>
    <w:rsid w:val="780971C6"/>
    <w:rsid w:val="78271CFC"/>
    <w:rsid w:val="7B4E7A44"/>
    <w:rsid w:val="7DC964F0"/>
    <w:rsid w:val="7E466F0D"/>
    <w:rsid w:val="7EA06B86"/>
    <w:rsid w:val="7F795D8D"/>
    <w:rsid w:val="7FE368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iPriority="0"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link w:val="33"/>
    <w:autoRedefine/>
    <w:qFormat/>
    <w:uiPriority w:val="0"/>
    <w:pPr>
      <w:keepNext/>
      <w:autoSpaceDE w:val="0"/>
      <w:autoSpaceDN w:val="0"/>
      <w:adjustRightInd w:val="0"/>
      <w:jc w:val="center"/>
      <w:outlineLvl w:val="0"/>
    </w:pPr>
    <w:rPr>
      <w:rFonts w:ascii="宋体"/>
      <w:color w:val="000000"/>
      <w:sz w:val="28"/>
      <w:szCs w:val="20"/>
    </w:rPr>
  </w:style>
  <w:style w:type="paragraph" w:styleId="6">
    <w:name w:val="heading 2"/>
    <w:basedOn w:val="1"/>
    <w:next w:val="1"/>
    <w:link w:val="55"/>
    <w:autoRedefine/>
    <w:qFormat/>
    <w:uiPriority w:val="0"/>
    <w:pPr>
      <w:outlineLvl w:val="1"/>
    </w:pPr>
    <w:rPr>
      <w:rFonts w:ascii="Arial" w:hAnsi="Arial"/>
    </w:rPr>
  </w:style>
  <w:style w:type="paragraph" w:styleId="7">
    <w:name w:val="heading 3"/>
    <w:basedOn w:val="8"/>
    <w:next w:val="1"/>
    <w:link w:val="40"/>
    <w:autoRedefine/>
    <w:semiHidden/>
    <w:unhideWhenUsed/>
    <w:qFormat/>
    <w:uiPriority w:val="9"/>
    <w:pPr>
      <w:spacing w:before="260" w:after="260" w:line="416" w:lineRule="auto"/>
      <w:outlineLvl w:val="2"/>
    </w:pPr>
    <w:rPr>
      <w:sz w:val="32"/>
      <w:szCs w:val="32"/>
    </w:rPr>
  </w:style>
  <w:style w:type="paragraph" w:styleId="8">
    <w:name w:val="heading 4"/>
    <w:basedOn w:val="1"/>
    <w:next w:val="1"/>
    <w:link w:val="41"/>
    <w:autoRedefine/>
    <w:qFormat/>
    <w:uiPriority w:val="0"/>
    <w:pPr>
      <w:keepNext/>
      <w:keepLines/>
      <w:spacing w:before="280" w:after="290" w:line="376" w:lineRule="auto"/>
      <w:outlineLvl w:val="3"/>
    </w:pPr>
    <w:rPr>
      <w:rFonts w:ascii="Cambria" w:hAnsi="Cambria"/>
      <w:b/>
      <w:bCs/>
      <w:sz w:val="28"/>
      <w:szCs w:val="28"/>
    </w:rPr>
  </w:style>
  <w:style w:type="paragraph" w:styleId="9">
    <w:name w:val="heading 5"/>
    <w:basedOn w:val="1"/>
    <w:next w:val="10"/>
    <w:autoRedefine/>
    <w:qFormat/>
    <w:uiPriority w:val="0"/>
    <w:pPr>
      <w:keepNext/>
      <w:keepLines/>
      <w:numPr>
        <w:ilvl w:val="4"/>
        <w:numId w:val="1"/>
      </w:numPr>
      <w:tabs>
        <w:tab w:val="left" w:pos="371"/>
      </w:tabs>
      <w:spacing w:before="280" w:after="290" w:line="374" w:lineRule="auto"/>
      <w:outlineLvl w:val="4"/>
    </w:pPr>
    <w:rPr>
      <w:b/>
      <w:sz w:val="28"/>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autoRedefine/>
    <w:qFormat/>
    <w:uiPriority w:val="0"/>
    <w:pPr>
      <w:ind w:firstLine="420" w:firstLineChars="200"/>
    </w:pPr>
    <w:rPr>
      <w:szCs w:val="24"/>
    </w:rPr>
  </w:style>
  <w:style w:type="paragraph" w:styleId="3">
    <w:name w:val="Body Text Indent"/>
    <w:basedOn w:val="1"/>
    <w:autoRedefine/>
    <w:unhideWhenUsed/>
    <w:qFormat/>
    <w:uiPriority w:val="99"/>
    <w:pPr>
      <w:spacing w:after="120"/>
      <w:ind w:left="420" w:leftChars="200"/>
    </w:pPr>
  </w:style>
  <w:style w:type="paragraph" w:customStyle="1" w:styleId="4">
    <w:name w:val="xl53"/>
    <w:basedOn w:val="1"/>
    <w:autoRedefine/>
    <w:qFormat/>
    <w:uiPriority w:val="0"/>
    <w:pPr>
      <w:widowControl/>
      <w:pBdr>
        <w:left w:val="single" w:color="auto" w:sz="8" w:space="0"/>
      </w:pBdr>
      <w:spacing w:before="100" w:beforeAutospacing="1" w:after="100" w:afterAutospacing="1"/>
      <w:jc w:val="center"/>
    </w:pPr>
    <w:rPr>
      <w:rFonts w:ascii="宋体" w:hAnsi="宋体"/>
      <w:kern w:val="0"/>
      <w:sz w:val="24"/>
      <w:szCs w:val="24"/>
    </w:rPr>
  </w:style>
  <w:style w:type="paragraph" w:styleId="10">
    <w:name w:val="Normal Indent"/>
    <w:basedOn w:val="1"/>
    <w:autoRedefine/>
    <w:qFormat/>
    <w:uiPriority w:val="0"/>
    <w:pPr>
      <w:ind w:firstLine="420" w:firstLineChars="200"/>
    </w:pPr>
  </w:style>
  <w:style w:type="paragraph" w:styleId="11">
    <w:name w:val="List Number 2"/>
    <w:basedOn w:val="1"/>
    <w:autoRedefine/>
    <w:semiHidden/>
    <w:unhideWhenUsed/>
    <w:qFormat/>
    <w:uiPriority w:val="99"/>
    <w:pPr>
      <w:numPr>
        <w:ilvl w:val="0"/>
        <w:numId w:val="2"/>
      </w:numPr>
      <w:contextualSpacing/>
    </w:pPr>
  </w:style>
  <w:style w:type="paragraph" w:styleId="12">
    <w:name w:val="index 8"/>
    <w:basedOn w:val="1"/>
    <w:next w:val="1"/>
    <w:autoRedefine/>
    <w:unhideWhenUsed/>
    <w:qFormat/>
    <w:uiPriority w:val="0"/>
    <w:pPr>
      <w:ind w:left="1400" w:leftChars="1400"/>
    </w:pPr>
  </w:style>
  <w:style w:type="paragraph" w:styleId="13">
    <w:name w:val="annotation text"/>
    <w:basedOn w:val="1"/>
    <w:link w:val="34"/>
    <w:autoRedefine/>
    <w:unhideWhenUsed/>
    <w:qFormat/>
    <w:uiPriority w:val="99"/>
    <w:pPr>
      <w:jc w:val="left"/>
    </w:pPr>
  </w:style>
  <w:style w:type="paragraph" w:styleId="14">
    <w:name w:val="Body Text"/>
    <w:basedOn w:val="1"/>
    <w:next w:val="1"/>
    <w:autoRedefine/>
    <w:unhideWhenUsed/>
    <w:qFormat/>
    <w:uiPriority w:val="99"/>
    <w:pPr>
      <w:spacing w:after="120"/>
    </w:pPr>
  </w:style>
  <w:style w:type="paragraph" w:styleId="15">
    <w:name w:val="Plain Text"/>
    <w:basedOn w:val="1"/>
    <w:link w:val="37"/>
    <w:autoRedefine/>
    <w:qFormat/>
    <w:uiPriority w:val="0"/>
    <w:rPr>
      <w:rFonts w:ascii="宋体" w:hAnsi="Courier New" w:eastAsiaTheme="minorEastAsia" w:cstheme="minorBidi"/>
    </w:rPr>
  </w:style>
  <w:style w:type="paragraph" w:styleId="16">
    <w:name w:val="Date"/>
    <w:basedOn w:val="1"/>
    <w:next w:val="1"/>
    <w:link w:val="29"/>
    <w:autoRedefine/>
    <w:qFormat/>
    <w:uiPriority w:val="0"/>
    <w:rPr>
      <w:rFonts w:ascii="宋体" w:hAnsi="Courier New"/>
      <w:kern w:val="0"/>
      <w:sz w:val="32"/>
      <w:szCs w:val="20"/>
    </w:rPr>
  </w:style>
  <w:style w:type="paragraph" w:styleId="17">
    <w:name w:val="Balloon Text"/>
    <w:basedOn w:val="1"/>
    <w:link w:val="30"/>
    <w:autoRedefine/>
    <w:semiHidden/>
    <w:unhideWhenUsed/>
    <w:qFormat/>
    <w:uiPriority w:val="99"/>
    <w:rPr>
      <w:sz w:val="18"/>
      <w:szCs w:val="18"/>
    </w:rPr>
  </w:style>
  <w:style w:type="paragraph" w:styleId="18">
    <w:name w:val="footer"/>
    <w:basedOn w:val="1"/>
    <w:link w:val="32"/>
    <w:autoRedefine/>
    <w:unhideWhenUsed/>
    <w:qFormat/>
    <w:uiPriority w:val="99"/>
    <w:pPr>
      <w:tabs>
        <w:tab w:val="center" w:pos="4153"/>
        <w:tab w:val="right" w:pos="8306"/>
      </w:tabs>
      <w:snapToGrid w:val="0"/>
      <w:jc w:val="left"/>
    </w:pPr>
    <w:rPr>
      <w:sz w:val="18"/>
      <w:szCs w:val="18"/>
    </w:rPr>
  </w:style>
  <w:style w:type="paragraph" w:styleId="19">
    <w:name w:val="header"/>
    <w:basedOn w:val="1"/>
    <w:link w:val="3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Body Text Indent 3"/>
    <w:basedOn w:val="1"/>
    <w:autoRedefine/>
    <w:qFormat/>
    <w:uiPriority w:val="0"/>
    <w:pPr>
      <w:spacing w:line="360" w:lineRule="auto"/>
      <w:ind w:firstLine="482" w:firstLineChars="200"/>
    </w:pPr>
    <w:rPr>
      <w:rFonts w:ascii="宋体"/>
      <w:b/>
      <w:bCs/>
      <w:sz w:val="24"/>
    </w:rPr>
  </w:style>
  <w:style w:type="paragraph" w:styleId="21">
    <w:name w:val="annotation subject"/>
    <w:basedOn w:val="13"/>
    <w:next w:val="13"/>
    <w:link w:val="35"/>
    <w:autoRedefine/>
    <w:semiHidden/>
    <w:unhideWhenUsed/>
    <w:qFormat/>
    <w:uiPriority w:val="99"/>
    <w:rPr>
      <w:b/>
      <w:bCs/>
    </w:rPr>
  </w:style>
  <w:style w:type="paragraph" w:styleId="22">
    <w:name w:val="Body Text First Indent"/>
    <w:basedOn w:val="14"/>
    <w:autoRedefine/>
    <w:qFormat/>
    <w:uiPriority w:val="0"/>
    <w:pPr>
      <w:ind w:firstLine="420" w:firstLineChars="100"/>
    </w:pPr>
    <w:rPr>
      <w:sz w:val="20"/>
    </w:rPr>
  </w:style>
  <w:style w:type="table" w:styleId="24">
    <w:name w:val="Table Grid"/>
    <w:basedOn w:val="23"/>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6">
    <w:name w:val="Hyperlink"/>
    <w:autoRedefine/>
    <w:qFormat/>
    <w:uiPriority w:val="99"/>
    <w:rPr>
      <w:color w:val="0000FF"/>
      <w:u w:val="single"/>
    </w:rPr>
  </w:style>
  <w:style w:type="character" w:styleId="27">
    <w:name w:val="annotation reference"/>
    <w:basedOn w:val="25"/>
    <w:autoRedefine/>
    <w:semiHidden/>
    <w:unhideWhenUsed/>
    <w:qFormat/>
    <w:uiPriority w:val="99"/>
    <w:rPr>
      <w:sz w:val="21"/>
      <w:szCs w:val="21"/>
    </w:rPr>
  </w:style>
  <w:style w:type="character" w:customStyle="1" w:styleId="28">
    <w:name w:val="日期 Char"/>
    <w:basedOn w:val="25"/>
    <w:autoRedefine/>
    <w:qFormat/>
    <w:uiPriority w:val="0"/>
    <w:rPr>
      <w:rFonts w:ascii="宋体" w:hAnsi="Courier New" w:eastAsia="宋体" w:cs="Times New Roman"/>
      <w:kern w:val="0"/>
      <w:sz w:val="32"/>
      <w:szCs w:val="20"/>
    </w:rPr>
  </w:style>
  <w:style w:type="character" w:customStyle="1" w:styleId="29">
    <w:name w:val="日期 Char1"/>
    <w:basedOn w:val="25"/>
    <w:link w:val="16"/>
    <w:autoRedefine/>
    <w:semiHidden/>
    <w:qFormat/>
    <w:uiPriority w:val="99"/>
    <w:rPr>
      <w:rFonts w:ascii="Calibri" w:hAnsi="Calibri" w:eastAsia="宋体" w:cs="Times New Roman"/>
    </w:rPr>
  </w:style>
  <w:style w:type="character" w:customStyle="1" w:styleId="30">
    <w:name w:val="批注框文本 Char"/>
    <w:basedOn w:val="25"/>
    <w:link w:val="17"/>
    <w:autoRedefine/>
    <w:semiHidden/>
    <w:qFormat/>
    <w:uiPriority w:val="99"/>
    <w:rPr>
      <w:rFonts w:ascii="Calibri" w:hAnsi="Calibri" w:eastAsia="宋体" w:cs="Times New Roman"/>
      <w:sz w:val="18"/>
      <w:szCs w:val="18"/>
    </w:rPr>
  </w:style>
  <w:style w:type="character" w:customStyle="1" w:styleId="31">
    <w:name w:val="页眉 Char"/>
    <w:basedOn w:val="25"/>
    <w:link w:val="19"/>
    <w:autoRedefine/>
    <w:qFormat/>
    <w:uiPriority w:val="99"/>
    <w:rPr>
      <w:rFonts w:ascii="Calibri" w:hAnsi="Calibri" w:eastAsia="宋体" w:cs="Times New Roman"/>
      <w:sz w:val="18"/>
      <w:szCs w:val="18"/>
    </w:rPr>
  </w:style>
  <w:style w:type="character" w:customStyle="1" w:styleId="32">
    <w:name w:val="页脚 Char"/>
    <w:basedOn w:val="25"/>
    <w:link w:val="18"/>
    <w:autoRedefine/>
    <w:qFormat/>
    <w:uiPriority w:val="99"/>
    <w:rPr>
      <w:rFonts w:ascii="Calibri" w:hAnsi="Calibri" w:eastAsia="宋体" w:cs="Times New Roman"/>
      <w:sz w:val="18"/>
      <w:szCs w:val="18"/>
    </w:rPr>
  </w:style>
  <w:style w:type="character" w:customStyle="1" w:styleId="33">
    <w:name w:val="标题 1 Char"/>
    <w:basedOn w:val="25"/>
    <w:link w:val="5"/>
    <w:autoRedefine/>
    <w:qFormat/>
    <w:uiPriority w:val="0"/>
    <w:rPr>
      <w:rFonts w:ascii="宋体" w:hAnsi="Calibri" w:eastAsia="宋体" w:cs="Times New Roman"/>
      <w:color w:val="000000"/>
      <w:sz w:val="28"/>
      <w:szCs w:val="20"/>
    </w:rPr>
  </w:style>
  <w:style w:type="character" w:customStyle="1" w:styleId="34">
    <w:name w:val="批注文字 Char"/>
    <w:basedOn w:val="25"/>
    <w:link w:val="13"/>
    <w:autoRedefine/>
    <w:qFormat/>
    <w:uiPriority w:val="99"/>
    <w:rPr>
      <w:rFonts w:ascii="Calibri" w:hAnsi="Calibri" w:eastAsia="宋体" w:cs="Times New Roman"/>
    </w:rPr>
  </w:style>
  <w:style w:type="character" w:customStyle="1" w:styleId="35">
    <w:name w:val="批注主题 Char"/>
    <w:basedOn w:val="34"/>
    <w:link w:val="21"/>
    <w:autoRedefine/>
    <w:semiHidden/>
    <w:qFormat/>
    <w:uiPriority w:val="99"/>
    <w:rPr>
      <w:rFonts w:ascii="Calibri" w:hAnsi="Calibri" w:eastAsia="宋体" w:cs="Times New Roman"/>
      <w:b/>
      <w:bCs/>
    </w:rPr>
  </w:style>
  <w:style w:type="character" w:customStyle="1" w:styleId="36">
    <w:name w:val="纯文本 Char"/>
    <w:autoRedefine/>
    <w:qFormat/>
    <w:uiPriority w:val="0"/>
    <w:rPr>
      <w:rFonts w:ascii="宋体" w:hAnsi="Courier New"/>
    </w:rPr>
  </w:style>
  <w:style w:type="character" w:customStyle="1" w:styleId="37">
    <w:name w:val="纯文本 Char1"/>
    <w:basedOn w:val="25"/>
    <w:link w:val="15"/>
    <w:autoRedefine/>
    <w:semiHidden/>
    <w:qFormat/>
    <w:uiPriority w:val="99"/>
    <w:rPr>
      <w:rFonts w:ascii="宋体" w:hAnsi="Courier New" w:eastAsia="宋体" w:cs="Courier New"/>
      <w:szCs w:val="21"/>
    </w:rPr>
  </w:style>
  <w:style w:type="character" w:customStyle="1" w:styleId="38">
    <w:name w:val="标题 2 Char"/>
    <w:basedOn w:val="25"/>
    <w:link w:val="6"/>
    <w:autoRedefine/>
    <w:qFormat/>
    <w:uiPriority w:val="0"/>
    <w:rPr>
      <w:rFonts w:ascii="Arial" w:hAnsi="Arial" w:eastAsia="宋体" w:cs="Times New Roman"/>
      <w:b/>
      <w:bCs/>
      <w:sz w:val="32"/>
      <w:szCs w:val="32"/>
    </w:rPr>
  </w:style>
  <w:style w:type="paragraph" w:styleId="39">
    <w:name w:val="List Paragraph"/>
    <w:basedOn w:val="1"/>
    <w:autoRedefine/>
    <w:qFormat/>
    <w:uiPriority w:val="34"/>
    <w:pPr>
      <w:ind w:firstLine="420" w:firstLineChars="200"/>
    </w:pPr>
  </w:style>
  <w:style w:type="character" w:customStyle="1" w:styleId="40">
    <w:name w:val="标题 3 Char"/>
    <w:basedOn w:val="25"/>
    <w:link w:val="7"/>
    <w:autoRedefine/>
    <w:semiHidden/>
    <w:qFormat/>
    <w:uiPriority w:val="9"/>
    <w:rPr>
      <w:rFonts w:ascii="Calibri" w:hAnsi="Calibri" w:eastAsia="宋体" w:cs="Times New Roman"/>
      <w:b/>
      <w:bCs/>
      <w:sz w:val="32"/>
      <w:szCs w:val="32"/>
    </w:rPr>
  </w:style>
  <w:style w:type="character" w:customStyle="1" w:styleId="41">
    <w:name w:val="标题 4 Char"/>
    <w:basedOn w:val="25"/>
    <w:link w:val="8"/>
    <w:autoRedefine/>
    <w:qFormat/>
    <w:uiPriority w:val="0"/>
    <w:rPr>
      <w:rFonts w:ascii="Cambria" w:hAnsi="Cambria" w:eastAsia="宋体" w:cs="Times New Roman"/>
      <w:b/>
      <w:bCs/>
      <w:sz w:val="28"/>
      <w:szCs w:val="28"/>
    </w:rPr>
  </w:style>
  <w:style w:type="paragraph" w:customStyle="1" w:styleId="42">
    <w:name w:val="xl48"/>
    <w:basedOn w:val="1"/>
    <w:autoRedefine/>
    <w:qFormat/>
    <w:uiPriority w:val="0"/>
    <w:pPr>
      <w:widowControl/>
      <w:pBdr>
        <w:bottom w:val="single" w:color="auto" w:sz="4" w:space="0"/>
      </w:pBdr>
      <w:spacing w:before="100" w:beforeAutospacing="1" w:after="100" w:afterAutospacing="1"/>
      <w:jc w:val="center"/>
      <w:textAlignment w:val="center"/>
    </w:pPr>
    <w:rPr>
      <w:rFonts w:eastAsia="Arial Unicode MS"/>
      <w:kern w:val="0"/>
      <w:sz w:val="24"/>
      <w:szCs w:val="24"/>
    </w:rPr>
  </w:style>
  <w:style w:type="paragraph" w:customStyle="1" w:styleId="43">
    <w:name w:val="1"/>
    <w:basedOn w:val="1"/>
    <w:next w:val="15"/>
    <w:autoRedefine/>
    <w:qFormat/>
    <w:uiPriority w:val="0"/>
    <w:rPr>
      <w:rFonts w:ascii="宋体" w:hAnsi="Courier New"/>
      <w:szCs w:val="20"/>
    </w:rPr>
  </w:style>
  <w:style w:type="paragraph" w:customStyle="1" w:styleId="44">
    <w:name w:val="8"/>
    <w:basedOn w:val="1"/>
    <w:next w:val="15"/>
    <w:autoRedefine/>
    <w:qFormat/>
    <w:uiPriority w:val="0"/>
    <w:rPr>
      <w:rFonts w:ascii="宋体" w:hAnsi="Courier New"/>
      <w:szCs w:val="20"/>
    </w:rPr>
  </w:style>
  <w:style w:type="paragraph" w:customStyle="1" w:styleId="45">
    <w:name w:val="_Style 55"/>
    <w:basedOn w:val="1"/>
    <w:next w:val="15"/>
    <w:autoRedefine/>
    <w:qFormat/>
    <w:uiPriority w:val="0"/>
    <w:rPr>
      <w:rFonts w:ascii="宋体" w:hAnsi="Courier New"/>
      <w:szCs w:val="20"/>
    </w:rPr>
  </w:style>
  <w:style w:type="paragraph" w:customStyle="1" w:styleId="46">
    <w:name w:val="7"/>
    <w:basedOn w:val="1"/>
    <w:next w:val="15"/>
    <w:link w:val="47"/>
    <w:autoRedefine/>
    <w:qFormat/>
    <w:uiPriority w:val="0"/>
    <w:rPr>
      <w:rFonts w:ascii="宋体" w:hAnsi="Courier New"/>
      <w:szCs w:val="20"/>
    </w:rPr>
  </w:style>
  <w:style w:type="character" w:customStyle="1" w:styleId="47">
    <w:name w:val="Char1"/>
    <w:link w:val="46"/>
    <w:autoRedefine/>
    <w:qFormat/>
    <w:uiPriority w:val="0"/>
    <w:rPr>
      <w:rFonts w:ascii="宋体" w:hAnsi="Courier New" w:eastAsia="宋体" w:cs="Times New Roman"/>
      <w:szCs w:val="20"/>
    </w:rPr>
  </w:style>
  <w:style w:type="paragraph" w:customStyle="1" w:styleId="48">
    <w:name w:val="列出段落1"/>
    <w:basedOn w:val="1"/>
    <w:autoRedefine/>
    <w:qFormat/>
    <w:uiPriority w:val="0"/>
    <w:pPr>
      <w:ind w:firstLine="420" w:firstLineChars="200"/>
    </w:pPr>
    <w:rPr>
      <w:rFonts w:cs="Calibri"/>
      <w:szCs w:val="21"/>
    </w:rPr>
  </w:style>
  <w:style w:type="character" w:customStyle="1" w:styleId="49">
    <w:name w:val="font01"/>
    <w:basedOn w:val="25"/>
    <w:autoRedefine/>
    <w:qFormat/>
    <w:uiPriority w:val="0"/>
    <w:rPr>
      <w:rFonts w:hint="eastAsia" w:ascii="宋体" w:hAnsi="宋体" w:eastAsia="宋体" w:cs="宋体"/>
      <w:color w:val="000000"/>
      <w:sz w:val="20"/>
      <w:szCs w:val="20"/>
      <w:u w:val="none"/>
    </w:rPr>
  </w:style>
  <w:style w:type="paragraph" w:customStyle="1" w:styleId="50">
    <w:name w:val="p9"/>
    <w:basedOn w:val="1"/>
    <w:autoRedefine/>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paragraph" w:customStyle="1" w:styleId="51">
    <w:name w:val="Table Paragraph"/>
    <w:basedOn w:val="1"/>
    <w:autoRedefine/>
    <w:qFormat/>
    <w:uiPriority w:val="1"/>
    <w:rPr>
      <w:rFonts w:ascii="宋体" w:hAnsi="宋体" w:cs="宋体"/>
      <w:lang w:val="zh-CN" w:bidi="zh-CN"/>
    </w:rPr>
  </w:style>
  <w:style w:type="paragraph" w:customStyle="1" w:styleId="52">
    <w:name w:val="修订1"/>
    <w:autoRedefine/>
    <w:hidden/>
    <w:semiHidden/>
    <w:qFormat/>
    <w:uiPriority w:val="99"/>
    <w:rPr>
      <w:rFonts w:ascii="Calibri" w:hAnsi="Calibri" w:eastAsia="宋体" w:cs="Times New Roman"/>
      <w:kern w:val="2"/>
      <w:sz w:val="21"/>
      <w:szCs w:val="22"/>
      <w:lang w:val="en-US" w:eastAsia="zh-CN" w:bidi="ar-SA"/>
    </w:rPr>
  </w:style>
  <w:style w:type="paragraph" w:customStyle="1" w:styleId="53">
    <w:name w:val="修订2"/>
    <w:autoRedefine/>
    <w:hidden/>
    <w:semiHidden/>
    <w:qFormat/>
    <w:uiPriority w:val="99"/>
    <w:rPr>
      <w:rFonts w:ascii="Calibri" w:hAnsi="Calibri" w:eastAsia="宋体" w:cs="Times New Roman"/>
      <w:kern w:val="2"/>
      <w:sz w:val="21"/>
      <w:szCs w:val="22"/>
      <w:lang w:val="en-US" w:eastAsia="zh-CN" w:bidi="ar-SA"/>
    </w:rPr>
  </w:style>
  <w:style w:type="paragraph" w:customStyle="1" w:styleId="54">
    <w:name w:val="4"/>
    <w:basedOn w:val="1"/>
    <w:next w:val="1"/>
    <w:autoRedefine/>
    <w:qFormat/>
    <w:uiPriority w:val="0"/>
  </w:style>
  <w:style w:type="character" w:customStyle="1" w:styleId="55">
    <w:name w:val="标题 2 Char1"/>
    <w:link w:val="6"/>
    <w:autoRedefine/>
    <w:qFormat/>
    <w:uiPriority w:val="0"/>
    <w:rPr>
      <w:kern w:val="0"/>
      <w:sz w:val="24"/>
      <w:szCs w:val="20"/>
    </w:rPr>
  </w:style>
  <w:style w:type="paragraph" w:customStyle="1" w:styleId="56">
    <w:name w:val="列表段落1"/>
    <w:basedOn w:val="1"/>
    <w:autoRedefine/>
    <w:qFormat/>
    <w:uiPriority w:val="0"/>
    <w:pPr>
      <w:ind w:firstLine="420" w:firstLineChars="200"/>
    </w:pPr>
    <w:rPr>
      <w:szCs w:val="20"/>
    </w:rPr>
  </w:style>
  <w:style w:type="paragraph" w:customStyle="1" w:styleId="57">
    <w:name w:val="Header or footer|1"/>
    <w:basedOn w:val="1"/>
    <w:autoRedefine/>
    <w:qFormat/>
    <w:uiPriority w:val="0"/>
    <w:rPr>
      <w:sz w:val="28"/>
      <w:szCs w:val="28"/>
      <w:lang w:val="zh-CN" w:bidi="zh-CN"/>
    </w:rPr>
  </w:style>
  <w:style w:type="paragraph" w:customStyle="1" w:styleId="58">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59">
    <w:name w:val="font21"/>
    <w:basedOn w:val="25"/>
    <w:autoRedefine/>
    <w:qFormat/>
    <w:uiPriority w:val="0"/>
    <w:rPr>
      <w:rFonts w:hint="eastAsia" w:ascii="宋体" w:hAnsi="宋体" w:eastAsia="宋体" w:cs="宋体"/>
      <w:color w:val="000000"/>
      <w:sz w:val="21"/>
      <w:szCs w:val="21"/>
      <w:u w:val="none"/>
    </w:rPr>
  </w:style>
  <w:style w:type="paragraph" w:customStyle="1" w:styleId="60">
    <w:name w:val="Default"/>
    <w:autoRedefine/>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character" w:customStyle="1" w:styleId="61">
    <w:name w:val="9pblue1"/>
    <w:basedOn w:val="25"/>
    <w:autoRedefine/>
    <w:qFormat/>
    <w:uiPriority w:val="0"/>
    <w:rPr>
      <w:rFonts w:hint="default" w:ascii="Verdana" w:hAnsi="Verdana" w:cs="Verdana"/>
      <w:sz w:val="18"/>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F9EE72-9FCA-4328-9964-BEC270A16954}">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139</Pages>
  <Words>14256</Words>
  <Characters>81262</Characters>
  <Lines>677</Lines>
  <Paragraphs>190</Paragraphs>
  <TotalTime>64</TotalTime>
  <ScaleCrop>false</ScaleCrop>
  <LinksUpToDate>false</LinksUpToDate>
  <CharactersWithSpaces>95328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2019-10-21T09:39:00Z</dcterms:created>
  <dc:creator>User</dc:creator>
  <cp:lastModifiedBy>中正招标杨工</cp:lastModifiedBy>
  <cp:lastPrinted>2023-01-09T09:56:00Z</cp:lastPrinted>
  <dcterms:modified xsi:type="dcterms:W3CDTF">2024-02-07T05:00:12Z</dcterms:modified>
  <cp:revision>1613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E64736D045024421B1A1184AF77EA394_13</vt:lpwstr>
  </property>
</Properties>
</file>