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1026" o:spt="202" type="#_x0000_t202" style="position:absolute;left:0pt;margin-left:45.7pt;margin-top:-3.3pt;height:46.8pt;width:294.8pt;z-index:251659264;mso-width-relative:page;mso-height-relative:page;"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深圳实验幼儿园幼儿食堂八大类外食材品种配送服务采购</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90"/>
        </w:rPr>
      </w:pPr>
      <w:r>
        <w:rPr>
          <w:rFonts w:hint="eastAsia" w:ascii="经典标宋简" w:eastAsia="经典标宋简"/>
          <w:b/>
          <w:snapToGrid w:val="0"/>
          <w:kern w:val="0"/>
          <w:sz w:val="90"/>
        </w:rPr>
        <w:t>采　购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项目编号：SZZZ2023-QC0276</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p>
    <w:p/>
    <w:p>
      <w:pPr>
        <w:pStyle w:val="2"/>
      </w:pPr>
    </w:p>
    <w:p>
      <w:pPr>
        <w:pStyle w:val="2"/>
      </w:pPr>
    </w:p>
    <w:p/>
    <w:p>
      <w:pPr>
        <w:pStyle w:val="30"/>
        <w:adjustRightInd w:val="0"/>
        <w:snapToGrid w:val="0"/>
        <w:spacing w:line="300" w:lineRule="auto"/>
        <w:ind w:hanging="835"/>
        <w:jc w:val="center"/>
        <w:rPr>
          <w:b/>
          <w:kern w:val="0"/>
          <w:sz w:val="28"/>
          <w:szCs w:val="28"/>
        </w:rPr>
      </w:pPr>
      <w:r>
        <w:rPr>
          <w:rFonts w:hint="eastAsia"/>
          <w:b/>
          <w:snapToGrid w:val="0"/>
          <w:sz w:val="30"/>
        </w:rPr>
        <w:t>二〇二三年七月</w:t>
      </w:r>
      <w:r>
        <w:rPr>
          <w:b/>
          <w:kern w:val="0"/>
          <w:sz w:val="28"/>
          <w:szCs w:val="28"/>
        </w:rPr>
        <w:br w:type="page"/>
      </w:r>
    </w:p>
    <w:p/>
    <w:sdt>
      <w:sdtPr>
        <w:rPr>
          <w:rFonts w:ascii="Times New Roman" w:hAnsi="Times New Roman" w:eastAsia="宋体" w:cs="Times New Roman"/>
          <w:b w:val="0"/>
          <w:bCs w:val="0"/>
          <w: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bCs/>
          <w:caps/>
          <w:color w:val="auto"/>
          <w:kern w:val="2"/>
          <w:sz w:val="21"/>
          <w:szCs w:val="24"/>
          <w:lang w:val="en-US"/>
        </w:rPr>
      </w:sdtEndPr>
      <w:sdtContent>
        <w:p>
          <w:pPr>
            <w:pStyle w:val="505"/>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pPr>
            <w:rPr>
              <w:lang w:val="zh-CN"/>
            </w:rPr>
          </w:pPr>
        </w:p>
        <w:p>
          <w:pPr>
            <w:pStyle w:val="36"/>
            <w:tabs>
              <w:tab w:val="right" w:leader="dot" w:pos="9628"/>
            </w:tabs>
            <w:spacing w:line="360" w:lineRule="auto"/>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"_Toc73613620" </w:instrText>
          </w:r>
          <w:r>
            <w:fldChar w:fldCharType="separate"/>
          </w:r>
          <w:r>
            <w:rPr>
              <w:rStyle w:val="58"/>
              <w:rFonts w:hint="eastAsia" w:ascii="仿宋_GB2312" w:eastAsia="仿宋_GB2312"/>
              <w:sz w:val="24"/>
            </w:rPr>
            <w:t>第一章  采购邀请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_Toc73613620 \h </w:instrText>
          </w:r>
          <w:r>
            <w:rPr>
              <w:rFonts w:hint="eastAsia" w:ascii="仿宋_GB2312" w:eastAsia="仿宋_GB2312"/>
              <w:sz w:val="24"/>
            </w:rPr>
            <w:fldChar w:fldCharType="separate"/>
          </w:r>
          <w:r>
            <w:rPr>
              <w:rFonts w:hint="eastAsia" w:ascii="仿宋_GB2312" w:eastAsia="仿宋_GB2312"/>
              <w:sz w:val="24"/>
            </w:rPr>
            <w:t>3</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spacing w:line="360" w:lineRule="auto"/>
            <w:rPr>
              <w:rFonts w:ascii="仿宋_GB2312" w:eastAsia="仿宋_GB2312" w:hAnsiTheme="minorHAnsi" w:cstheme="minorBidi"/>
              <w:b w:val="0"/>
              <w:bCs w:val="0"/>
              <w:caps w:val="0"/>
              <w:sz w:val="24"/>
            </w:rPr>
          </w:pPr>
          <w:r>
            <w:fldChar w:fldCharType="begin"/>
          </w:r>
          <w:r>
            <w:instrText xml:space="preserve"> HYPERLINK \l "_Toc73613621" </w:instrText>
          </w:r>
          <w:r>
            <w:fldChar w:fldCharType="separate"/>
          </w:r>
          <w:r>
            <w:rPr>
              <w:rStyle w:val="58"/>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_Toc73613621 \h </w:instrText>
          </w:r>
          <w:r>
            <w:rPr>
              <w:rFonts w:hint="eastAsia" w:ascii="仿宋_GB2312" w:eastAsia="仿宋_GB2312"/>
              <w:sz w:val="24"/>
            </w:rPr>
            <w:fldChar w:fldCharType="separate"/>
          </w:r>
          <w:r>
            <w:rPr>
              <w:rFonts w:hint="eastAsia" w:ascii="仿宋_GB2312" w:eastAsia="仿宋_GB2312"/>
              <w:sz w:val="24"/>
            </w:rPr>
            <w:t>6</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spacing w:line="360" w:lineRule="auto"/>
            <w:rPr>
              <w:rFonts w:ascii="仿宋_GB2312" w:eastAsia="仿宋_GB2312" w:hAnsiTheme="minorHAnsi" w:cstheme="minorBidi"/>
              <w:b w:val="0"/>
              <w:bCs w:val="0"/>
              <w:caps w:val="0"/>
              <w:sz w:val="24"/>
            </w:rPr>
          </w:pPr>
          <w:r>
            <w:fldChar w:fldCharType="begin"/>
          </w:r>
          <w:r>
            <w:instrText xml:space="preserve"> HYPERLINK \l "_Toc73613622" </w:instrText>
          </w:r>
          <w:r>
            <w:fldChar w:fldCharType="separate"/>
          </w:r>
          <w:r>
            <w:rPr>
              <w:rStyle w:val="58"/>
              <w:rFonts w:hint="eastAsia" w:ascii="仿宋_GB2312" w:eastAsia="仿宋_GB2312"/>
              <w:sz w:val="24"/>
            </w:rPr>
            <w:t>第三章  响应文件初审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_Toc73613622 \h </w:instrText>
          </w:r>
          <w:r>
            <w:rPr>
              <w:rFonts w:hint="eastAsia" w:ascii="仿宋_GB2312" w:eastAsia="仿宋_GB2312"/>
              <w:sz w:val="24"/>
            </w:rPr>
            <w:fldChar w:fldCharType="separate"/>
          </w:r>
          <w:r>
            <w:rPr>
              <w:rFonts w:hint="eastAsia"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spacing w:line="360" w:lineRule="auto"/>
            <w:rPr>
              <w:rFonts w:ascii="仿宋_GB2312" w:eastAsia="仿宋_GB2312" w:hAnsiTheme="minorHAnsi" w:cstheme="minorBidi"/>
              <w:b w:val="0"/>
              <w:bCs w:val="0"/>
              <w:caps w:val="0"/>
              <w:sz w:val="24"/>
            </w:rPr>
          </w:pPr>
          <w:r>
            <w:fldChar w:fldCharType="begin"/>
          </w:r>
          <w:r>
            <w:instrText xml:space="preserve"> HYPERLINK \l "_Toc73613623" </w:instrText>
          </w:r>
          <w:r>
            <w:fldChar w:fldCharType="separate"/>
          </w:r>
          <w:r>
            <w:rPr>
              <w:rStyle w:val="58"/>
              <w:rFonts w:hint="eastAsia" w:ascii="仿宋_GB2312" w:eastAsia="仿宋_GB2312"/>
              <w:sz w:val="24"/>
            </w:rPr>
            <w:t>第四章  评审方法和标准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_Toc73613623 \h </w:instrText>
          </w:r>
          <w:r>
            <w:rPr>
              <w:rFonts w:hint="eastAsia" w:ascii="仿宋_GB2312" w:eastAsia="仿宋_GB2312"/>
              <w:sz w:val="24"/>
            </w:rPr>
            <w:fldChar w:fldCharType="separate"/>
          </w:r>
          <w:r>
            <w:rPr>
              <w:rFonts w:hint="eastAsia"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auto"/>
            <w:rPr>
              <w:rFonts w:ascii="仿宋_GB2312" w:eastAsia="仿宋_GB2312" w:hAnsiTheme="minorHAnsi" w:cstheme="minorBidi"/>
              <w:smallCaps w:val="0"/>
              <w:sz w:val="24"/>
            </w:rPr>
          </w:pPr>
          <w:r>
            <w:fldChar w:fldCharType="begin"/>
          </w:r>
          <w:r>
            <w:instrText xml:space="preserve"> HYPERLINK \l "_Toc73613624" </w:instrText>
          </w:r>
          <w:r>
            <w:fldChar w:fldCharType="separate"/>
          </w:r>
          <w:r>
            <w:rPr>
              <w:rStyle w:val="58"/>
              <w:rFonts w:hint="eastAsia" w:ascii="仿宋_GB2312" w:eastAsia="仿宋_GB2312"/>
              <w:sz w:val="24"/>
            </w:rPr>
            <w:t>一、评审方法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_Toc73613624 \h </w:instrText>
          </w:r>
          <w:r>
            <w:rPr>
              <w:rFonts w:hint="eastAsia" w:ascii="仿宋_GB2312" w:eastAsia="仿宋_GB2312"/>
              <w:sz w:val="24"/>
            </w:rPr>
            <w:fldChar w:fldCharType="separate"/>
          </w:r>
          <w:r>
            <w:rPr>
              <w:rFonts w:hint="eastAsia"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auto"/>
            <w:rPr>
              <w:rFonts w:ascii="仿宋_GB2312" w:eastAsia="仿宋_GB2312" w:hAnsiTheme="minorHAnsi" w:cstheme="minorBidi"/>
              <w:smallCaps w:val="0"/>
              <w:sz w:val="24"/>
            </w:rPr>
          </w:pPr>
          <w:r>
            <w:fldChar w:fldCharType="begin"/>
          </w:r>
          <w:r>
            <w:instrText xml:space="preserve"> HYPERLINK \l "_Toc73613625" </w:instrText>
          </w:r>
          <w:r>
            <w:fldChar w:fldCharType="separate"/>
          </w:r>
          <w:r>
            <w:rPr>
              <w:rStyle w:val="58"/>
              <w:rFonts w:hint="eastAsia" w:ascii="仿宋_GB2312" w:eastAsia="仿宋_GB2312"/>
              <w:sz w:val="24"/>
            </w:rPr>
            <w:t>二、评审标准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_Toc73613625 \h </w:instrText>
          </w:r>
          <w:r>
            <w:rPr>
              <w:rFonts w:hint="eastAsia" w:ascii="仿宋_GB2312" w:eastAsia="仿宋_GB2312"/>
              <w:sz w:val="24"/>
            </w:rPr>
            <w:fldChar w:fldCharType="separate"/>
          </w:r>
          <w:r>
            <w:rPr>
              <w:rFonts w:hint="eastAsia"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spacing w:line="360" w:lineRule="auto"/>
            <w:rPr>
              <w:rFonts w:ascii="仿宋_GB2312" w:eastAsia="仿宋_GB2312" w:hAnsiTheme="minorHAnsi" w:cstheme="minorBidi"/>
              <w:b w:val="0"/>
              <w:bCs w:val="0"/>
              <w:caps w:val="0"/>
              <w:sz w:val="24"/>
            </w:rPr>
          </w:pPr>
          <w:r>
            <w:fldChar w:fldCharType="begin"/>
          </w:r>
          <w:r>
            <w:instrText xml:space="preserve"> HYPERLINK \l "_Toc73613629" </w:instrText>
          </w:r>
          <w:r>
            <w:fldChar w:fldCharType="separate"/>
          </w:r>
          <w:r>
            <w:rPr>
              <w:rStyle w:val="58"/>
              <w:rFonts w:hint="eastAsia" w:ascii="仿宋_GB2312" w:eastAsia="仿宋_GB2312"/>
              <w:sz w:val="24"/>
            </w:rPr>
            <w:t>第五章  供应商须知前附表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_Toc73613629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spacing w:line="360" w:lineRule="auto"/>
            <w:rPr>
              <w:rFonts w:ascii="仿宋_GB2312" w:eastAsia="仿宋_GB2312" w:hAnsiTheme="minorHAnsi" w:cstheme="minorBidi"/>
              <w:b w:val="0"/>
              <w:bCs w:val="0"/>
              <w:caps w:val="0"/>
              <w:sz w:val="24"/>
            </w:rPr>
          </w:pPr>
          <w:r>
            <w:fldChar w:fldCharType="begin"/>
          </w:r>
          <w:r>
            <w:instrText xml:space="preserve"> HYPERLINK \l "_Toc73613630" </w:instrText>
          </w:r>
          <w:r>
            <w:fldChar w:fldCharType="separate"/>
          </w:r>
          <w:r>
            <w:rPr>
              <w:rStyle w:val="58"/>
              <w:rFonts w:hint="eastAsia" w:ascii="仿宋_GB2312" w:eastAsia="仿宋_GB2312"/>
              <w:sz w:val="24"/>
            </w:rPr>
            <w:t>第六章  供应商须知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_Toc73613630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auto"/>
            <w:rPr>
              <w:rFonts w:ascii="仿宋_GB2312" w:eastAsia="仿宋_GB2312" w:hAnsiTheme="minorHAnsi" w:cstheme="minorBidi"/>
              <w:smallCaps w:val="0"/>
              <w:sz w:val="24"/>
            </w:rPr>
          </w:pPr>
          <w:r>
            <w:fldChar w:fldCharType="begin"/>
          </w:r>
          <w:r>
            <w:instrText xml:space="preserve"> HYPERLINK \l "_Toc73613631" </w:instrText>
          </w:r>
          <w:r>
            <w:fldChar w:fldCharType="separate"/>
          </w:r>
          <w:r>
            <w:rPr>
              <w:rStyle w:val="58"/>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_Toc73613631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auto"/>
            <w:rPr>
              <w:rFonts w:ascii="仿宋_GB2312" w:eastAsia="仿宋_GB2312" w:hAnsiTheme="minorHAnsi" w:cstheme="minorBidi"/>
              <w:smallCaps w:val="0"/>
              <w:sz w:val="24"/>
            </w:rPr>
          </w:pPr>
          <w:r>
            <w:fldChar w:fldCharType="begin"/>
          </w:r>
          <w:r>
            <w:instrText xml:space="preserve"> HYPERLINK \l "_Toc73613632" </w:instrText>
          </w:r>
          <w:r>
            <w:fldChar w:fldCharType="separate"/>
          </w:r>
          <w:r>
            <w:rPr>
              <w:rStyle w:val="58"/>
              <w:rFonts w:hint="eastAsia" w:ascii="仿宋_GB2312" w:eastAsia="仿宋_GB2312"/>
              <w:sz w:val="24"/>
            </w:rPr>
            <w:t>二、采购文件说明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_Toc73613632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auto"/>
            <w:rPr>
              <w:rFonts w:ascii="仿宋_GB2312" w:eastAsia="仿宋_GB2312" w:hAnsiTheme="minorHAnsi" w:cstheme="minorBidi"/>
              <w:smallCaps w:val="0"/>
              <w:sz w:val="24"/>
            </w:rPr>
          </w:pPr>
          <w:r>
            <w:fldChar w:fldCharType="begin"/>
          </w:r>
          <w:r>
            <w:instrText xml:space="preserve"> HYPERLINK \l "_Toc73613633" </w:instrText>
          </w:r>
          <w:r>
            <w:fldChar w:fldCharType="separate"/>
          </w:r>
          <w:r>
            <w:rPr>
              <w:rStyle w:val="58"/>
              <w:rFonts w:hint="eastAsia" w:ascii="仿宋_GB2312" w:eastAsia="仿宋_GB2312"/>
              <w:sz w:val="24"/>
            </w:rPr>
            <w:t>三、响应文件的编写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_Toc73613633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auto"/>
            <w:rPr>
              <w:rFonts w:ascii="仿宋_GB2312" w:eastAsia="仿宋_GB2312" w:hAnsiTheme="minorHAnsi" w:cstheme="minorBidi"/>
              <w:smallCaps w:val="0"/>
              <w:sz w:val="24"/>
            </w:rPr>
          </w:pPr>
          <w:r>
            <w:fldChar w:fldCharType="begin"/>
          </w:r>
          <w:r>
            <w:instrText xml:space="preserve"> HYPERLINK \l "_Toc73613634" </w:instrText>
          </w:r>
          <w:r>
            <w:fldChar w:fldCharType="separate"/>
          </w:r>
          <w:r>
            <w:rPr>
              <w:rStyle w:val="58"/>
              <w:rFonts w:hint="eastAsia" w:ascii="仿宋_GB2312" w:eastAsia="仿宋_GB2312"/>
              <w:sz w:val="24"/>
            </w:rPr>
            <w:t>四、响应文件的递交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_Toc73613634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auto"/>
            <w:rPr>
              <w:rFonts w:ascii="仿宋_GB2312" w:eastAsia="仿宋_GB2312" w:hAnsiTheme="minorHAnsi" w:cstheme="minorBidi"/>
              <w:smallCaps w:val="0"/>
              <w:sz w:val="24"/>
            </w:rPr>
          </w:pPr>
          <w:r>
            <w:fldChar w:fldCharType="begin"/>
          </w:r>
          <w:r>
            <w:instrText xml:space="preserve"> HYPERLINK \l "_Toc73613635" </w:instrText>
          </w:r>
          <w:r>
            <w:fldChar w:fldCharType="separate"/>
          </w:r>
          <w:r>
            <w:rPr>
              <w:rStyle w:val="58"/>
              <w:rFonts w:hint="eastAsia" w:ascii="仿宋_GB2312" w:eastAsia="仿宋_GB2312"/>
              <w:sz w:val="24"/>
            </w:rPr>
            <w:t>五、开标和评审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_Toc73613635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auto"/>
            <w:rPr>
              <w:rFonts w:ascii="仿宋_GB2312" w:eastAsia="仿宋_GB2312" w:hAnsiTheme="minorHAnsi" w:cstheme="minorBidi"/>
              <w:smallCaps w:val="0"/>
              <w:sz w:val="24"/>
            </w:rPr>
          </w:pPr>
          <w:r>
            <w:fldChar w:fldCharType="begin"/>
          </w:r>
          <w:r>
            <w:instrText xml:space="preserve"> HYPERLINK \l "_Toc73613636" </w:instrText>
          </w:r>
          <w:r>
            <w:fldChar w:fldCharType="separate"/>
          </w:r>
          <w:r>
            <w:rPr>
              <w:rStyle w:val="58"/>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_Toc73613636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spacing w:line="360" w:lineRule="auto"/>
            <w:rPr>
              <w:rFonts w:ascii="仿宋_GB2312" w:eastAsia="仿宋_GB2312" w:hAnsiTheme="minorHAnsi" w:cstheme="minorBidi"/>
              <w:b w:val="0"/>
              <w:bCs w:val="0"/>
              <w:caps w:val="0"/>
              <w:sz w:val="24"/>
            </w:rPr>
          </w:pPr>
          <w:r>
            <w:fldChar w:fldCharType="begin"/>
          </w:r>
          <w:r>
            <w:instrText xml:space="preserve"> HYPERLINK \l "_Toc73613637" </w:instrText>
          </w:r>
          <w:r>
            <w:fldChar w:fldCharType="separate"/>
          </w:r>
          <w:r>
            <w:rPr>
              <w:rStyle w:val="58"/>
              <w:rFonts w:hint="eastAsia" w:ascii="仿宋_GB2312" w:eastAsia="仿宋_GB2312"/>
              <w:sz w:val="24"/>
            </w:rPr>
            <w:t>第七章  响应文件格式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_Toc73613637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auto"/>
            <w:rPr>
              <w:rFonts w:ascii="仿宋_GB2312" w:eastAsia="仿宋_GB2312" w:hAnsiTheme="minorHAnsi" w:cstheme="minorBidi"/>
              <w:smallCaps w:val="0"/>
              <w:sz w:val="24"/>
            </w:rPr>
          </w:pPr>
          <w:r>
            <w:fldChar w:fldCharType="begin"/>
          </w:r>
          <w:r>
            <w:instrText xml:space="preserve"> HYPERLINK \l "_Toc73613638" </w:instrText>
          </w:r>
          <w:r>
            <w:fldChar w:fldCharType="separate"/>
          </w:r>
          <w:r>
            <w:rPr>
              <w:rStyle w:val="58"/>
              <w:rFonts w:hint="eastAsia" w:ascii="仿宋_GB2312" w:hAnsi="仿宋" w:eastAsia="仿宋_GB2312"/>
              <w:sz w:val="24"/>
            </w:rPr>
            <w:t>响应文件编制说明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_Toc73613638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auto"/>
            <w:rPr>
              <w:rFonts w:ascii="仿宋_GB2312" w:eastAsia="仿宋_GB2312" w:hAnsiTheme="minorHAnsi" w:cstheme="minorBidi"/>
              <w:smallCaps w:val="0"/>
              <w:sz w:val="24"/>
            </w:rPr>
          </w:pPr>
          <w:r>
            <w:fldChar w:fldCharType="begin"/>
          </w:r>
          <w:r>
            <w:instrText xml:space="preserve"> HYPERLINK \l "_Toc73613639" </w:instrText>
          </w:r>
          <w:r>
            <w:fldChar w:fldCharType="separate"/>
          </w:r>
          <w:r>
            <w:rPr>
              <w:rStyle w:val="58"/>
              <w:rFonts w:hint="eastAsia" w:ascii="仿宋_GB2312" w:hAnsi="仿宋" w:eastAsia="仿宋_GB2312"/>
              <w:sz w:val="24"/>
            </w:rPr>
            <w:t>响应文件格式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_Toc73613639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spacing w:line="360" w:lineRule="auto"/>
            <w:rPr>
              <w:rFonts w:ascii="仿宋_GB2312" w:eastAsia="仿宋_GB2312" w:hAnsiTheme="minorHAnsi" w:cstheme="minorBidi"/>
              <w:b w:val="0"/>
              <w:bCs w:val="0"/>
              <w:caps w:val="0"/>
              <w:sz w:val="24"/>
            </w:rPr>
          </w:pPr>
          <w:r>
            <w:fldChar w:fldCharType="begin"/>
          </w:r>
          <w:r>
            <w:instrText xml:space="preserve"> HYPERLINK \l "_Toc73613642" </w:instrText>
          </w:r>
          <w:r>
            <w:fldChar w:fldCharType="separate"/>
          </w:r>
          <w:r>
            <w:rPr>
              <w:rStyle w:val="58"/>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_Toc73613642 \h </w:instrText>
          </w:r>
          <w:r>
            <w:rPr>
              <w:rFonts w:hint="eastAsia" w:ascii="仿宋_GB2312" w:eastAsia="仿宋_GB2312"/>
              <w:sz w:val="24"/>
            </w:rPr>
            <w:fldChar w:fldCharType="separate"/>
          </w:r>
          <w:r>
            <w:rPr>
              <w:rFonts w:hint="eastAsia" w:ascii="仿宋_GB2312" w:eastAsia="仿宋_GB2312"/>
              <w:sz w:val="24"/>
            </w:rPr>
            <w:t>46</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widowControl/>
        <w:jc w:val="left"/>
      </w:pPr>
      <w:r>
        <w:br w:type="page"/>
      </w:r>
    </w:p>
    <w:p/>
    <w:p>
      <w:pPr>
        <w:pStyle w:val="3"/>
      </w:pPr>
      <w:bookmarkStart w:id="0" w:name="_Toc73613620"/>
      <w:r>
        <w:rPr>
          <w:rFonts w:hint="eastAsia"/>
        </w:rPr>
        <w:t>第一章  采购邀请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深圳实验幼儿园幼儿食堂八大类外食材品种配送服务采购</w:t>
      </w:r>
      <w:r>
        <w:rPr>
          <w:rFonts w:hint="eastAsia" w:ascii="宋体" w:hAnsi="宋体" w:cs="Arial Unicode MS"/>
          <w:snapToGrid w:val="0"/>
          <w:kern w:val="0"/>
          <w:szCs w:val="21"/>
        </w:rPr>
        <w:t>项目的潜在供应商应在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获取采购文件，并于</w:t>
      </w:r>
      <w:r>
        <w:rPr>
          <w:rFonts w:hint="eastAsia" w:ascii="宋体" w:hAnsi="宋体" w:cs="Arial Unicode MS"/>
          <w:snapToGrid w:val="0"/>
          <w:kern w:val="0"/>
          <w:szCs w:val="21"/>
          <w:u w:val="single"/>
        </w:rPr>
        <w:t>2023年</w:t>
      </w:r>
      <w:r>
        <w:rPr>
          <w:rFonts w:hint="eastAsia" w:ascii="宋体" w:hAnsi="宋体" w:cs="Arial Unicode MS"/>
          <w:snapToGrid w:val="0"/>
          <w:kern w:val="0"/>
          <w:szCs w:val="21"/>
          <w:u w:val="single"/>
          <w:lang w:val="en-US" w:eastAsia="zh-CN"/>
        </w:rPr>
        <w:t>8</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14</w:t>
      </w:r>
      <w:r>
        <w:rPr>
          <w:rFonts w:hint="eastAsia" w:ascii="宋体" w:hAnsi="宋体" w:cs="Arial Unicode MS"/>
          <w:snapToGrid w:val="0"/>
          <w:kern w:val="0"/>
          <w:szCs w:val="21"/>
          <w:u w:val="single"/>
        </w:rPr>
        <w:t>点</w:t>
      </w:r>
      <w:r>
        <w:rPr>
          <w:rFonts w:hint="eastAsia" w:ascii="宋体" w:hAnsi="宋体" w:cs="Arial Unicode MS"/>
          <w:snapToGrid w:val="0"/>
          <w:kern w:val="0"/>
          <w:szCs w:val="21"/>
          <w:u w:val="single"/>
          <w:lang w:val="en-US" w:eastAsia="zh-CN"/>
        </w:rPr>
        <w:t>3</w:t>
      </w:r>
      <w:r>
        <w:rPr>
          <w:rFonts w:hint="eastAsia" w:ascii="宋体" w:hAnsi="宋体" w:cs="Arial Unicode MS"/>
          <w:snapToGrid w:val="0"/>
          <w:kern w:val="0"/>
          <w:szCs w:val="21"/>
          <w:u w:val="single"/>
        </w:rPr>
        <w:t>0分</w:t>
      </w:r>
      <w:r>
        <w:rPr>
          <w:rFonts w:hint="eastAsia" w:ascii="宋体" w:hAnsi="宋体" w:cs="Arial Unicode MS"/>
          <w:snapToGrid w:val="0"/>
          <w:kern w:val="0"/>
          <w:szCs w:val="21"/>
        </w:rPr>
        <w:t>（北京时间）前递交响应文件。</w:t>
      </w:r>
    </w:p>
    <w:p>
      <w:pPr>
        <w:adjustRightInd w:val="0"/>
        <w:snapToGrid w:val="0"/>
        <w:spacing w:line="360" w:lineRule="auto"/>
        <w:ind w:firstLine="420" w:firstLineChars="200"/>
        <w:jc w:val="left"/>
        <w:rPr>
          <w:rFonts w:ascii="宋体" w:hAnsi="宋体" w:cs="Arial Unicode MS"/>
          <w:snapToGrid w:val="0"/>
          <w:kern w:val="0"/>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SZZZ2023-QC0276</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2、项目名称：深圳实验幼儿园幼儿食堂八大类外食材品种配送服务采购</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3、预算金额：人民币</w:t>
      </w:r>
      <w:r>
        <w:rPr>
          <w:rFonts w:hint="eastAsia" w:ascii="宋体" w:hAnsi="宋体" w:eastAsia="宋体"/>
          <w:snapToGrid w:val="0"/>
          <w:color w:val="auto"/>
          <w:sz w:val="21"/>
          <w:szCs w:val="21"/>
          <w:u w:val="single"/>
        </w:rPr>
        <w:t>190</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4、最高限价：人民币</w:t>
      </w:r>
      <w:r>
        <w:rPr>
          <w:rFonts w:hint="eastAsia" w:ascii="宋体" w:hAnsi="宋体" w:eastAsia="宋体"/>
          <w:snapToGrid w:val="0"/>
          <w:color w:val="auto"/>
          <w:sz w:val="21"/>
          <w:szCs w:val="21"/>
          <w:u w:val="single"/>
        </w:rPr>
        <w:t>190</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5、采购需求：</w:t>
      </w:r>
    </w:p>
    <w:tbl>
      <w:tblPr>
        <w:tblStyle w:val="51"/>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004"/>
        <w:gridCol w:w="850"/>
        <w:gridCol w:w="851"/>
        <w:gridCol w:w="326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7"/>
              <w:spacing w:before="0" w:beforeAutospacing="0" w:after="0" w:afterAutospacing="0" w:line="360" w:lineRule="auto"/>
              <w:jc w:val="center"/>
              <w:rPr>
                <w:sz w:val="21"/>
              </w:rPr>
            </w:pPr>
            <w:r>
              <w:rPr>
                <w:rFonts w:hint="eastAsia"/>
                <w:sz w:val="21"/>
              </w:rPr>
              <w:t>序号</w:t>
            </w:r>
          </w:p>
        </w:tc>
        <w:tc>
          <w:tcPr>
            <w:tcW w:w="3004" w:type="dxa"/>
            <w:shd w:val="clear" w:color="auto" w:fill="ABCDEF"/>
            <w:vAlign w:val="center"/>
          </w:tcPr>
          <w:p>
            <w:pPr>
              <w:pStyle w:val="47"/>
              <w:spacing w:line="360" w:lineRule="auto"/>
              <w:jc w:val="center"/>
              <w:rPr>
                <w:sz w:val="21"/>
              </w:rPr>
            </w:pPr>
            <w:r>
              <w:rPr>
                <w:sz w:val="21"/>
              </w:rPr>
              <w:t>标的名称</w:t>
            </w:r>
          </w:p>
        </w:tc>
        <w:tc>
          <w:tcPr>
            <w:tcW w:w="850" w:type="dxa"/>
            <w:shd w:val="clear" w:color="auto" w:fill="ABCDEF"/>
            <w:vAlign w:val="center"/>
          </w:tcPr>
          <w:p>
            <w:pPr>
              <w:pStyle w:val="47"/>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7"/>
              <w:spacing w:before="0" w:beforeAutospacing="0" w:after="0" w:afterAutospacing="0" w:line="360" w:lineRule="auto"/>
              <w:jc w:val="center"/>
              <w:rPr>
                <w:sz w:val="21"/>
              </w:rPr>
            </w:pPr>
            <w:r>
              <w:rPr>
                <w:sz w:val="21"/>
              </w:rPr>
              <w:t>单位</w:t>
            </w:r>
          </w:p>
        </w:tc>
        <w:tc>
          <w:tcPr>
            <w:tcW w:w="3260" w:type="dxa"/>
            <w:shd w:val="clear" w:color="auto" w:fill="ABCDEF"/>
            <w:vAlign w:val="center"/>
          </w:tcPr>
          <w:p>
            <w:pPr>
              <w:pStyle w:val="47"/>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7"/>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7"/>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004" w:type="dxa"/>
            <w:shd w:val="clear" w:color="auto" w:fill="auto"/>
            <w:vAlign w:val="center"/>
          </w:tcPr>
          <w:p>
            <w:pPr>
              <w:pStyle w:val="47"/>
              <w:spacing w:line="360" w:lineRule="auto"/>
              <w:jc w:val="center"/>
              <w:rPr>
                <w:rFonts w:asciiTheme="minorEastAsia" w:hAnsiTheme="minorEastAsia" w:eastAsiaTheme="minorEastAsia"/>
                <w:sz w:val="21"/>
              </w:rPr>
            </w:pPr>
            <w:r>
              <w:rPr>
                <w:rFonts w:hint="eastAsia" w:ascii="宋体" w:hAnsi="宋体" w:eastAsiaTheme="minorEastAsia"/>
                <w:snapToGrid w:val="0"/>
                <w:sz w:val="21"/>
                <w:szCs w:val="21"/>
              </w:rPr>
              <w:t>深圳实验幼儿园幼儿食堂八大类外食材品种配送服务采购</w:t>
            </w:r>
          </w:p>
        </w:tc>
        <w:tc>
          <w:tcPr>
            <w:tcW w:w="850" w:type="dxa"/>
            <w:shd w:val="clear" w:color="auto" w:fill="auto"/>
            <w:vAlign w:val="center"/>
          </w:tcPr>
          <w:p>
            <w:pPr>
              <w:pStyle w:val="47"/>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851" w:type="dxa"/>
            <w:shd w:val="clear" w:color="auto" w:fill="auto"/>
            <w:vAlign w:val="center"/>
          </w:tcPr>
          <w:p>
            <w:pPr>
              <w:pStyle w:val="47"/>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3260" w:type="dxa"/>
            <w:shd w:val="clear" w:color="auto" w:fill="auto"/>
            <w:vAlign w:val="center"/>
          </w:tcPr>
          <w:p>
            <w:pPr>
              <w:pStyle w:val="47"/>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详见采购文件项目需求</w:t>
            </w:r>
          </w:p>
        </w:tc>
        <w:tc>
          <w:tcPr>
            <w:tcW w:w="1134"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4"/>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6、合同履行期限：详见采购文件。</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7、本项目（是/否）接受联合体响应：详见“供应商资格要求”。</w:t>
      </w:r>
    </w:p>
    <w:p>
      <w:pPr>
        <w:pStyle w:val="454"/>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二、供应商资格要求</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（1）是在中华人民共和国境内注册并合法运作的独立法人或其他组织（提供营业执照或法人证书等证明材料复印件或扫描件加盖供应商公章）；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（2）参与本项目采购活动前三年内，在经营活动中没有重大违法记录（须按本项目响应文件格式要求提供《承诺函》加盖供应商公章）；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（3）参与本项目采购活动时不存在被有关部门禁止参与采购活动且在有效期内的情况（须按本项目响应文件格式要求提供《承诺函》加盖供应商公章）；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（4）单位负责人为同一人或者存在直接控股、管理关系的不同供应商，不得参加同一合同项下的采购活动（须按本项目响应文件格式要求提供《承诺函》加盖供应商公章）；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供应商未被列入失信被执行人、重大税收违法案件当事人名单及政府采购严重违法失信行为记录名单（“信用中国”（www.creditchina.gov.cn）“信用服务”栏的“重大税收违法失信主体”、“失信被执行人”及“中国政府采购”（www.ccgp.gov.cn）“政府采购严重违法失信行为记录名单”为供应商信用信息查询渠道，相关信息以开标当日的查询结果为准。由采购代理机构查询，供应商无需提供证明材料）；</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（6）本项目不接受联合体响应，不允许分包或转包。</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三、获取采购文件</w:t>
      </w:r>
      <w:r>
        <w:rPr>
          <w:rFonts w:ascii="宋体" w:hAnsi="宋体" w:eastAsia="宋体"/>
          <w:b/>
          <w:snapToGrid w:val="0"/>
          <w:color w:val="auto"/>
          <w:sz w:val="21"/>
          <w:szCs w:val="21"/>
        </w:rPr>
        <w:t xml:space="preserve">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7</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19</w:t>
      </w:r>
      <w:r>
        <w:rPr>
          <w:rFonts w:hint="eastAsia" w:ascii="宋体" w:hAnsi="宋体" w:eastAsia="宋体"/>
          <w:snapToGrid w:val="0"/>
          <w:color w:val="auto"/>
          <w:sz w:val="21"/>
          <w:szCs w:val="21"/>
          <w:u w:val="single"/>
        </w:rPr>
        <w:t>日至2023年</w:t>
      </w:r>
      <w:r>
        <w:rPr>
          <w:rFonts w:hint="eastAsia" w:ascii="宋体" w:hAnsi="宋体" w:eastAsia="宋体"/>
          <w:snapToGrid w:val="0"/>
          <w:color w:val="auto"/>
          <w:sz w:val="21"/>
          <w:szCs w:val="21"/>
          <w:u w:val="single"/>
          <w:lang w:val="en-US" w:eastAsia="zh-CN"/>
        </w:rPr>
        <w:t>7</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26</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（1）现场获取：供应商按以上时间和地点在我司现场报名和获取采购文件。</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（2）线上获取：供应商通过邮件报名及获取采购文件，报名时间以我司邮箱收件时间为准（我司邮箱：qtszzzzb@163.com），逾期不予受理。</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购买采购文件费用的银行转账凭证。</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4、售价：人民币600元，采购文件售后不退。购买采购文件账号信息如下：</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四、提交响应文件截止时间、开标时间和地点</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14</w:t>
      </w:r>
      <w:r>
        <w:rPr>
          <w:rFonts w:hint="eastAsia" w:ascii="宋体" w:hAnsi="宋体" w:eastAsia="宋体"/>
          <w:snapToGrid w:val="0"/>
          <w:color w:val="auto"/>
          <w:sz w:val="21"/>
          <w:szCs w:val="21"/>
          <w:u w:val="single"/>
        </w:rPr>
        <w:t>点</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0分（北京时间）</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五、其他补充事宜</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1、本项目相关公告在以下媒体发布：</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1）深圳公共资源交易中心网站（www.szzfcg.cn）；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4"/>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2、本项目供应商可以通过快递方式在提交响应文件截止时间前将响应文件邮寄至我司，送达时间以我司工作人员签收时间为准。快递箱封面需用A4纸清晰标注项目名称、项目编号和供应商名称；供应商自行承担因寄错地址、逾期送达、未按照采购文件要求密封或者邮寄过程中出现包装密封破损等可能导致响应无效情形的责任与后果。供应商未参加开标会的，视同认可开标结果。</w:t>
      </w:r>
    </w:p>
    <w:p>
      <w:pPr>
        <w:pStyle w:val="454"/>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六、凡对本次采购提出询问，请按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名称：深圳实验幼儿园</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地址：深圳市福田区百花五路32号</w:t>
      </w:r>
      <w:bookmarkStart w:id="78" w:name="_GoBack"/>
      <w:bookmarkEnd w:id="78"/>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联系方式：何主任0755-83353223</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联系方式：罗工，0755-83026699</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项目联系人：罗工</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pStyle w:val="454"/>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2023年</w:t>
      </w:r>
      <w:r>
        <w:rPr>
          <w:rFonts w:hint="eastAsia" w:ascii="宋体" w:hAnsi="宋体"/>
          <w:snapToGrid w:val="0"/>
          <w:kern w:val="0"/>
          <w:sz w:val="24"/>
        </w:rPr>
        <w:t>7月</w:t>
      </w:r>
      <w:r>
        <w:rPr>
          <w:rFonts w:hint="eastAsia" w:ascii="宋体" w:hAnsi="宋体"/>
          <w:snapToGrid w:val="0"/>
          <w:kern w:val="0"/>
          <w:sz w:val="24"/>
          <w:lang w:val="en-US" w:eastAsia="zh-CN"/>
        </w:rPr>
        <w:t>19</w:t>
      </w:r>
      <w:r>
        <w:rPr>
          <w:rFonts w:hint="eastAsia" w:ascii="宋体" w:hAnsi="宋体"/>
          <w:snapToGrid w:val="0"/>
          <w:kern w:val="0"/>
          <w:sz w:val="24"/>
        </w:rPr>
        <w:t>日</w:t>
      </w:r>
    </w:p>
    <w:p/>
    <w:p>
      <w:pPr>
        <w:widowControl/>
        <w:jc w:val="left"/>
      </w:pPr>
      <w:r>
        <w:br w:type="page"/>
      </w:r>
    </w:p>
    <w:p/>
    <w:p>
      <w:pPr>
        <w:pStyle w:val="3"/>
      </w:pPr>
      <w:bookmarkStart w:id="1" w:name="_Toc73613621"/>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加注★的条款为不可偏离条款，任一项未响应或不满足要求的，将导致响应无效。</w:t>
      </w:r>
    </w:p>
    <w:p>
      <w:pPr>
        <w:pStyle w:val="322"/>
        <w:ind w:firstLine="0" w:firstLineChars="0"/>
        <w:rPr>
          <w:b/>
        </w:rPr>
      </w:pPr>
    </w:p>
    <w:p>
      <w:pPr>
        <w:pStyle w:val="322"/>
        <w:ind w:firstLine="0" w:firstLineChars="0"/>
        <w:rPr>
          <w:b/>
        </w:rPr>
      </w:pPr>
      <w:r>
        <w:rPr>
          <w:rFonts w:hint="eastAsia"/>
          <w:b/>
        </w:rPr>
        <w:t>一、项目概况</w:t>
      </w:r>
    </w:p>
    <w:p>
      <w:pPr>
        <w:pStyle w:val="256"/>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1"/>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项目名称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snapToGrid w:val="0"/>
                <w:szCs w:val="21"/>
              </w:rPr>
              <w:t>深圳实验幼儿园幼儿食堂八大类外食材品种配送服务采购</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1,900,000.00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6"/>
        <w:spacing w:before="156" w:line="360" w:lineRule="auto"/>
        <w:ind w:firstLine="0" w:firstLineChars="0"/>
        <w:rPr>
          <w:rFonts w:ascii="宋体" w:hAnsi="宋体" w:eastAsia="宋体" w:cs="宋体"/>
          <w:b/>
          <w:szCs w:val="21"/>
        </w:rPr>
      </w:pPr>
      <w:r>
        <w:rPr>
          <w:rFonts w:hint="eastAsia" w:ascii="宋体" w:hAnsi="宋体" w:eastAsia="宋体" w:cs="宋体"/>
          <w:b/>
          <w:szCs w:val="21"/>
        </w:rPr>
        <w:t>（二）项目概况</w:t>
      </w:r>
    </w:p>
    <w:p>
      <w:pPr>
        <w:spacing w:line="360" w:lineRule="auto"/>
        <w:ind w:firstLine="476" w:firstLineChars="227"/>
        <w:rPr>
          <w:rFonts w:ascii="宋体" w:hAnsi="宋体" w:cs="宋体"/>
          <w:kern w:val="0"/>
          <w:szCs w:val="21"/>
        </w:rPr>
      </w:pPr>
      <w:r>
        <w:rPr>
          <w:rFonts w:hint="eastAsia" w:ascii="宋体" w:hAnsi="宋体" w:cs="宋体"/>
          <w:kern w:val="0"/>
          <w:szCs w:val="21"/>
        </w:rPr>
        <w:t>深圳实验幼儿园，是一所深圳市教育局举办的全日制规范公办幼儿园,约830名幼儿。幼儿园员工食堂（含餐厅）大约138平方米，每次就餐人数约830人。为保证深圳实验幼儿园幼儿食堂物资的食品安全和卫生，解决幼儿就餐问题，择优选取一家中标供应商承担深圳实验幼儿园幼儿食堂其它食材品种配送服务采购。</w:t>
      </w:r>
    </w:p>
    <w:p>
      <w:pPr>
        <w:spacing w:line="360" w:lineRule="auto"/>
        <w:ind w:firstLine="476" w:firstLineChars="227"/>
        <w:rPr>
          <w:rFonts w:ascii="宋体" w:hAnsi="宋体" w:cs="宋体"/>
          <w:kern w:val="0"/>
          <w:szCs w:val="21"/>
        </w:rPr>
      </w:pPr>
      <w:r>
        <w:rPr>
          <w:rFonts w:hint="eastAsia" w:ascii="宋体" w:hAnsi="宋体" w:cs="宋体"/>
          <w:kern w:val="0"/>
          <w:szCs w:val="21"/>
        </w:rPr>
        <w:t>本项目为本幼儿园幼儿食堂八大类外食材品种配送服务，服务期限为</w:t>
      </w:r>
      <w:r>
        <w:rPr>
          <w:rFonts w:hint="eastAsia"/>
        </w:rPr>
        <w:t>自合同生效之日起一年</w:t>
      </w:r>
      <w:r>
        <w:rPr>
          <w:rFonts w:hint="eastAsia" w:ascii="宋体" w:hAnsi="宋体" w:cs="宋体"/>
          <w:kern w:val="0"/>
          <w:szCs w:val="21"/>
        </w:rPr>
        <w:t>，结合采购人相关考核规定，供应商考核不达标时，采购方可申请解除其供货合同。</w:t>
      </w:r>
    </w:p>
    <w:p>
      <w:pPr>
        <w:widowControl/>
        <w:spacing w:line="360" w:lineRule="auto"/>
        <w:ind w:firstLine="476" w:firstLineChars="227"/>
        <w:jc w:val="left"/>
        <w:rPr>
          <w:rFonts w:ascii="宋体" w:hAnsi="宋体" w:cs="宋体"/>
          <w:kern w:val="0"/>
          <w:szCs w:val="21"/>
        </w:rPr>
      </w:pPr>
      <w:r>
        <w:rPr>
          <w:rFonts w:hint="eastAsia" w:ascii="宋体" w:hAnsi="宋体" w:cs="宋体"/>
          <w:kern w:val="0"/>
          <w:szCs w:val="21"/>
        </w:rPr>
        <w:t>本项目年度内食材采购预算（支付上限）：¥1,900,000.00元（人民币壹佰玖拾万</w:t>
      </w:r>
      <w:r>
        <w:rPr>
          <w:rFonts w:hint="eastAsia" w:ascii="宋体" w:hAnsi="宋体" w:cs="宋体"/>
          <w:szCs w:val="21"/>
        </w:rPr>
        <w:t>元整</w:t>
      </w:r>
      <w:r>
        <w:rPr>
          <w:rFonts w:hint="eastAsia" w:ascii="宋体" w:hAnsi="宋体" w:cs="宋体"/>
          <w:kern w:val="0"/>
          <w:szCs w:val="21"/>
        </w:rPr>
        <w:t>），具体结算金额以实际结算量为准。</w:t>
      </w:r>
    </w:p>
    <w:p>
      <w:pPr>
        <w:pStyle w:val="2"/>
      </w:pPr>
    </w:p>
    <w:p>
      <w:pPr>
        <w:pStyle w:val="322"/>
        <w:ind w:firstLine="0" w:firstLineChars="0"/>
        <w:rPr>
          <w:rFonts w:cs="宋体"/>
          <w:b/>
          <w:sz w:val="21"/>
          <w:szCs w:val="21"/>
        </w:rPr>
      </w:pPr>
      <w:r>
        <w:rPr>
          <w:rFonts w:hint="eastAsia" w:cs="宋体"/>
          <w:b/>
          <w:sz w:val="21"/>
          <w:szCs w:val="21"/>
        </w:rPr>
        <w:t>二、项目服务要求</w:t>
      </w:r>
    </w:p>
    <w:p>
      <w:pPr>
        <w:numPr>
          <w:ilvl w:val="0"/>
          <w:numId w:val="4"/>
        </w:numPr>
        <w:spacing w:line="360" w:lineRule="auto"/>
        <w:rPr>
          <w:rFonts w:ascii="宋体" w:hAnsi="宋体" w:cs="宋体"/>
          <w:kern w:val="0"/>
          <w:szCs w:val="21"/>
        </w:rPr>
      </w:pPr>
      <w:r>
        <w:rPr>
          <w:rFonts w:hint="eastAsia" w:ascii="宋体" w:hAnsi="宋体" w:cs="宋体"/>
          <w:kern w:val="0"/>
          <w:szCs w:val="21"/>
        </w:rPr>
        <w:t>项目服务需求</w:t>
      </w:r>
    </w:p>
    <w:p>
      <w:pPr>
        <w:spacing w:line="360" w:lineRule="auto"/>
        <w:ind w:firstLine="476" w:firstLineChars="227"/>
        <w:rPr>
          <w:rFonts w:ascii="宋体" w:hAnsi="宋体" w:cs="宋体"/>
          <w:kern w:val="0"/>
          <w:szCs w:val="21"/>
        </w:rPr>
      </w:pPr>
      <w:r>
        <w:rPr>
          <w:rFonts w:hint="eastAsia" w:ascii="宋体" w:hAnsi="宋体" w:cs="宋体"/>
          <w:kern w:val="0"/>
          <w:szCs w:val="21"/>
        </w:rPr>
        <w:t>1、此项目中标后不得转包或分包，一经发现，取消中标资格。</w:t>
      </w:r>
    </w:p>
    <w:p>
      <w:pPr>
        <w:spacing w:line="360" w:lineRule="auto"/>
        <w:ind w:firstLine="476" w:firstLineChars="227"/>
        <w:rPr>
          <w:rFonts w:ascii="宋体" w:hAnsi="宋体" w:cs="宋体"/>
          <w:kern w:val="0"/>
          <w:szCs w:val="21"/>
        </w:rPr>
      </w:pPr>
      <w:r>
        <w:rPr>
          <w:rFonts w:hint="eastAsia" w:ascii="宋体" w:hAnsi="宋体" w:cs="宋体"/>
          <w:kern w:val="0"/>
          <w:szCs w:val="21"/>
        </w:rPr>
        <w:t>2、中标后应保证所提供的鲜水产、瓜果、蔬菜、豆制品及干货、水果种类的多样性和季节性，以保证食材的新鲜感。</w:t>
      </w:r>
    </w:p>
    <w:p>
      <w:pPr>
        <w:spacing w:line="360" w:lineRule="auto"/>
        <w:ind w:firstLine="476" w:firstLineChars="227"/>
        <w:rPr>
          <w:rFonts w:ascii="宋体" w:hAnsi="宋体" w:cs="宋体"/>
          <w:kern w:val="0"/>
          <w:szCs w:val="21"/>
        </w:rPr>
      </w:pPr>
      <w:r>
        <w:rPr>
          <w:rFonts w:hint="eastAsia" w:ascii="宋体" w:hAnsi="宋体" w:cs="宋体"/>
          <w:kern w:val="0"/>
          <w:szCs w:val="21"/>
        </w:rPr>
        <w:t>3、采购人发现商品出现损坏（包括表面损坏），或出现水渍、串味、受潮等导致货物性质改变的，中标单位应无条件退货或更换商品。</w:t>
      </w:r>
    </w:p>
    <w:p>
      <w:pPr>
        <w:numPr>
          <w:ilvl w:val="0"/>
          <w:numId w:val="4"/>
        </w:numPr>
        <w:spacing w:line="360" w:lineRule="auto"/>
        <w:rPr>
          <w:rFonts w:ascii="宋体" w:hAnsi="宋体" w:cs="宋体"/>
          <w:kern w:val="0"/>
          <w:szCs w:val="21"/>
        </w:rPr>
      </w:pPr>
      <w:r>
        <w:rPr>
          <w:rFonts w:hint="eastAsia" w:ascii="宋体" w:hAnsi="宋体" w:cs="宋体"/>
          <w:kern w:val="0"/>
          <w:szCs w:val="21"/>
        </w:rPr>
        <w:t>质量要求及验收要求</w:t>
      </w:r>
    </w:p>
    <w:p>
      <w:pPr>
        <w:numPr>
          <w:ilvl w:val="0"/>
          <w:numId w:val="5"/>
        </w:numPr>
        <w:spacing w:line="360" w:lineRule="auto"/>
        <w:ind w:firstLine="420" w:firstLineChars="200"/>
        <w:rPr>
          <w:rFonts w:ascii="宋体" w:hAnsi="宋体" w:cs="宋体"/>
          <w:kern w:val="0"/>
          <w:szCs w:val="21"/>
        </w:rPr>
      </w:pPr>
      <w:r>
        <w:rPr>
          <w:rFonts w:hint="eastAsia" w:ascii="宋体" w:hAnsi="宋体" w:cs="宋体"/>
          <w:kern w:val="0"/>
          <w:szCs w:val="21"/>
        </w:rPr>
        <w:t>所有送货产品必须营业执照、卫生许可证、产品检验报告三证齐全。</w:t>
      </w:r>
    </w:p>
    <w:p>
      <w:pPr>
        <w:numPr>
          <w:ilvl w:val="0"/>
          <w:numId w:val="5"/>
        </w:numPr>
        <w:spacing w:line="360" w:lineRule="auto"/>
        <w:ind w:firstLine="420" w:firstLineChars="200"/>
        <w:rPr>
          <w:rFonts w:ascii="宋体" w:hAnsi="宋体" w:cs="宋体"/>
          <w:kern w:val="0"/>
          <w:szCs w:val="21"/>
        </w:rPr>
      </w:pPr>
      <w:r>
        <w:rPr>
          <w:rFonts w:hint="eastAsia" w:ascii="宋体" w:hAnsi="宋体" w:cs="宋体"/>
          <w:kern w:val="0"/>
          <w:szCs w:val="21"/>
        </w:rPr>
        <w:t>所供A级以上（使用率85%以上）蔬菜、瓜果必须保证是送货前12小时内收成，当天必须提供检测报告书，保持较好色泽及新鲜度。（供应商自行检测并</w:t>
      </w:r>
      <w:r>
        <w:rPr>
          <w:rFonts w:hint="eastAsia" w:ascii="宋体" w:hAnsi="宋体" w:cs="宋体"/>
          <w:kern w:val="0"/>
          <w:szCs w:val="21"/>
          <w:lang w:val="en-US" w:eastAsia="zh-CN"/>
        </w:rPr>
        <w:t>在</w:t>
      </w:r>
      <w:r>
        <w:rPr>
          <w:rFonts w:hint="eastAsia"/>
        </w:rPr>
        <w:t>配送时现场提交</w:t>
      </w:r>
      <w:r>
        <w:rPr>
          <w:rFonts w:hint="eastAsia" w:ascii="宋体" w:hAnsi="宋体" w:cs="宋体"/>
          <w:kern w:val="0"/>
          <w:szCs w:val="21"/>
        </w:rPr>
        <w:t>提供《无公害叶菜类检测记录》表）。</w:t>
      </w:r>
    </w:p>
    <w:p>
      <w:pPr>
        <w:numPr>
          <w:ilvl w:val="0"/>
          <w:numId w:val="5"/>
        </w:numPr>
        <w:spacing w:line="360" w:lineRule="auto"/>
        <w:ind w:firstLine="420" w:firstLineChars="200"/>
        <w:rPr>
          <w:rFonts w:ascii="宋体" w:hAnsi="宋体" w:cs="宋体"/>
          <w:kern w:val="0"/>
          <w:szCs w:val="21"/>
        </w:rPr>
      </w:pPr>
      <w:r>
        <w:rPr>
          <w:rFonts w:hint="eastAsia" w:ascii="宋体" w:hAnsi="宋体" w:cs="宋体"/>
          <w:kern w:val="0"/>
          <w:szCs w:val="21"/>
        </w:rPr>
        <w:t>所供鲜活水产类商品应保持较好的外观，达到相应的等级。配送的货物符合国家食品安全检测后合格的货品。</w:t>
      </w:r>
    </w:p>
    <w:p>
      <w:pPr>
        <w:numPr>
          <w:ilvl w:val="0"/>
          <w:numId w:val="5"/>
        </w:numPr>
        <w:spacing w:line="360" w:lineRule="auto"/>
        <w:ind w:firstLine="420" w:firstLineChars="200"/>
        <w:rPr>
          <w:rFonts w:ascii="宋体" w:hAnsi="宋体" w:cs="宋体"/>
          <w:kern w:val="0"/>
          <w:szCs w:val="21"/>
        </w:rPr>
      </w:pPr>
      <w:r>
        <w:rPr>
          <w:rFonts w:hint="eastAsia" w:ascii="宋体" w:hAnsi="宋体" w:cs="宋体"/>
          <w:kern w:val="0"/>
          <w:szCs w:val="21"/>
        </w:rPr>
        <w:t>所供干货及豆制品应正规厂家生产，保持较好外观，达到相应等级，并提供贴有卫生许可验收和商标及地址、电话、在保质期内食用产品。</w:t>
      </w:r>
    </w:p>
    <w:p>
      <w:pPr>
        <w:numPr>
          <w:ilvl w:val="0"/>
          <w:numId w:val="5"/>
        </w:numPr>
        <w:spacing w:line="360" w:lineRule="auto"/>
        <w:ind w:firstLine="420" w:firstLineChars="200"/>
        <w:rPr>
          <w:rFonts w:ascii="宋体" w:hAnsi="宋体" w:cs="宋体"/>
          <w:kern w:val="0"/>
          <w:szCs w:val="21"/>
        </w:rPr>
      </w:pPr>
      <w:r>
        <w:rPr>
          <w:rFonts w:hint="eastAsia" w:ascii="宋体" w:hAnsi="宋体" w:cs="宋体"/>
          <w:kern w:val="0"/>
          <w:szCs w:val="21"/>
        </w:rPr>
        <w:t>所供水果包装完好、洁净、抗压；新鲜、干净、具有本品应有气味、无异味；具备适宜的成熟度、不得腐烂、发霉、损伤；外观整齐、无畸形、无病虫害，无生理病害；大小、重量、个数符合订单要求。</w:t>
      </w:r>
    </w:p>
    <w:p>
      <w:pPr>
        <w:numPr>
          <w:ilvl w:val="0"/>
          <w:numId w:val="5"/>
        </w:numPr>
        <w:spacing w:line="360" w:lineRule="auto"/>
        <w:ind w:firstLine="420" w:firstLineChars="200"/>
        <w:rPr>
          <w:rFonts w:ascii="宋体" w:hAnsi="宋体" w:cs="宋体"/>
          <w:kern w:val="0"/>
          <w:szCs w:val="21"/>
        </w:rPr>
      </w:pPr>
      <w:r>
        <w:rPr>
          <w:rFonts w:hint="eastAsia" w:ascii="宋体" w:hAnsi="宋体" w:cs="宋体"/>
          <w:kern w:val="0"/>
          <w:szCs w:val="21"/>
        </w:rPr>
        <w:t>采购单位应严格按</w:t>
      </w:r>
      <w:r>
        <w:rPr>
          <w:rFonts w:hint="eastAsia"/>
        </w:rPr>
        <w:t>《深圳实验幼儿园幼儿食堂主副食品供应货物验收考核表》</w:t>
      </w:r>
      <w:r>
        <w:rPr>
          <w:rFonts w:hint="eastAsia" w:ascii="宋体" w:hAnsi="宋体" w:cs="宋体"/>
          <w:kern w:val="0"/>
          <w:szCs w:val="21"/>
        </w:rPr>
        <w:t>要求组织验收</w:t>
      </w:r>
      <w:r>
        <w:rPr>
          <w:rFonts w:hint="eastAsia"/>
        </w:rPr>
        <w:t>，并按《</w:t>
      </w:r>
      <w:r>
        <w:rPr>
          <w:rFonts w:hint="eastAsia" w:ascii="宋体" w:hAnsi="宋体" w:cs="宋体"/>
          <w:bCs/>
          <w:kern w:val="0"/>
          <w:szCs w:val="21"/>
        </w:rPr>
        <w:t>食堂物资供货异常情况登记表</w:t>
      </w:r>
      <w:r>
        <w:rPr>
          <w:rFonts w:hint="eastAsia"/>
        </w:rPr>
        <w:t>》如实登记供货异常情况。</w:t>
      </w:r>
      <w:r>
        <w:rPr>
          <w:rFonts w:hint="eastAsia" w:ascii="宋体" w:hAnsi="宋体" w:cs="宋体"/>
          <w:kern w:val="0"/>
          <w:szCs w:val="21"/>
        </w:rPr>
        <w:t>中标供应商配送的货物有不符合要求的，采购方有权拒收质量达不到要求的货物并要求供货方重新送货：出现一次，由采购方向供货方提出口头批评；二次，采购方向供货方提出警告，供货方向采购方作出书面保证；三次，扣除该项当天出现质量达不到要求的货物的货款总价；三次以上，采购方有权解除其供货合同。供货方交售的鲜活产品如有污染或疾病的，采购方有权拒收，并可按国家有关规定处理，采购方有权更换不满意的食品。因供货方所送食品造成采购方人员食物中毒的，经卫生防疫部门鉴定，供货方须承担一切法律责任，并终止合同。（考核标准和验收标准见附件。）</w:t>
      </w:r>
    </w:p>
    <w:p>
      <w:pPr>
        <w:numPr>
          <w:ilvl w:val="0"/>
          <w:numId w:val="4"/>
        </w:numPr>
        <w:spacing w:line="360" w:lineRule="auto"/>
        <w:rPr>
          <w:rFonts w:ascii="宋体" w:hAnsi="宋体" w:cs="宋体"/>
          <w:kern w:val="0"/>
          <w:szCs w:val="21"/>
        </w:rPr>
      </w:pPr>
      <w:r>
        <w:rPr>
          <w:rFonts w:hint="eastAsia" w:ascii="宋体" w:hAnsi="宋体" w:cs="宋体"/>
          <w:kern w:val="0"/>
          <w:szCs w:val="21"/>
        </w:rPr>
        <w:t>数量要求及验收要求</w:t>
      </w:r>
    </w:p>
    <w:p>
      <w:pPr>
        <w:spacing w:line="360" w:lineRule="auto"/>
        <w:ind w:firstLine="476" w:firstLineChars="227"/>
        <w:rPr>
          <w:rFonts w:ascii="宋体" w:hAnsi="宋体" w:cs="宋体"/>
          <w:kern w:val="0"/>
          <w:szCs w:val="21"/>
        </w:rPr>
      </w:pPr>
      <w:r>
        <w:rPr>
          <w:rFonts w:hint="eastAsia" w:ascii="宋体" w:hAnsi="宋体" w:cs="宋体"/>
          <w:kern w:val="0"/>
          <w:szCs w:val="21"/>
        </w:rPr>
        <w:t>食品数量不能弄虚作假，必须保证配送品种斤两的准确性，以采购单位的验货数量为准，中标供应商每次随货送上一式两份的送货清单,供双方验货后签字确认，双方各持一份，作为送、收货的凭证。</w:t>
      </w:r>
    </w:p>
    <w:p>
      <w:pPr>
        <w:numPr>
          <w:ilvl w:val="0"/>
          <w:numId w:val="4"/>
        </w:numPr>
        <w:spacing w:line="360" w:lineRule="auto"/>
        <w:rPr>
          <w:rFonts w:ascii="宋体" w:hAnsi="宋体" w:cs="宋体"/>
          <w:kern w:val="0"/>
          <w:szCs w:val="21"/>
        </w:rPr>
      </w:pPr>
      <w:r>
        <w:rPr>
          <w:rFonts w:hint="eastAsia" w:ascii="宋体" w:hAnsi="宋体" w:cs="宋体"/>
          <w:kern w:val="0"/>
          <w:szCs w:val="21"/>
        </w:rPr>
        <w:t>送货时间要求及送货地点</w:t>
      </w:r>
    </w:p>
    <w:p>
      <w:pPr>
        <w:spacing w:line="360" w:lineRule="auto"/>
        <w:ind w:firstLine="476" w:firstLineChars="227"/>
        <w:rPr>
          <w:rFonts w:ascii="宋体" w:hAnsi="宋体" w:cs="宋体"/>
          <w:kern w:val="0"/>
          <w:szCs w:val="21"/>
        </w:rPr>
      </w:pPr>
      <w:r>
        <w:rPr>
          <w:rFonts w:hint="eastAsia" w:ascii="宋体" w:hAnsi="宋体" w:cs="宋体"/>
          <w:kern w:val="0"/>
          <w:szCs w:val="21"/>
        </w:rPr>
        <w:t>中标供应商将采购人所订的货物于当地上午5：00前送至采购方指定地点（如遇特殊情况，采购方可以改变送货时间，但应提前通知供货方）。如货物不符合验收要求，供应商必须于一个小时内重新送货上门。</w:t>
      </w:r>
    </w:p>
    <w:p>
      <w:pPr>
        <w:spacing w:line="360" w:lineRule="auto"/>
        <w:ind w:firstLine="476" w:firstLineChars="227"/>
        <w:rPr>
          <w:rFonts w:ascii="宋体" w:hAnsi="宋体" w:cs="宋体"/>
          <w:kern w:val="0"/>
          <w:szCs w:val="21"/>
        </w:rPr>
      </w:pPr>
      <w:r>
        <w:rPr>
          <w:rFonts w:hint="eastAsia" w:ascii="宋体" w:hAnsi="宋体" w:cs="宋体"/>
          <w:kern w:val="0"/>
          <w:szCs w:val="21"/>
        </w:rPr>
        <w:t>中标供应商如送货迟到一次采购单位应提出口头警告，并要求作出书面保证,两次迟到或者一次迟到30分钟以上的扣罚当天总货款的10%，三次迟到或者两次迟到30分钟以上，采购单位可解除其供货合同。</w:t>
      </w:r>
    </w:p>
    <w:p>
      <w:pPr>
        <w:pStyle w:val="2"/>
      </w:pPr>
    </w:p>
    <w:p>
      <w:pPr>
        <w:pStyle w:val="322"/>
        <w:ind w:firstLine="0" w:firstLineChars="0"/>
        <w:rPr>
          <w:rFonts w:cs="宋体"/>
          <w:b/>
          <w:sz w:val="21"/>
          <w:szCs w:val="21"/>
        </w:rPr>
      </w:pPr>
      <w:r>
        <w:rPr>
          <w:rFonts w:hint="eastAsia" w:cs="宋体"/>
          <w:b/>
          <w:sz w:val="21"/>
          <w:szCs w:val="21"/>
        </w:rPr>
        <w:t>三、商务要求</w:t>
      </w:r>
    </w:p>
    <w:p>
      <w:pPr>
        <w:numPr>
          <w:ilvl w:val="0"/>
          <w:numId w:val="6"/>
        </w:numPr>
        <w:spacing w:line="360" w:lineRule="auto"/>
        <w:rPr>
          <w:rFonts w:ascii="宋体" w:hAnsi="宋体" w:cs="宋体"/>
          <w:b/>
          <w:kern w:val="0"/>
          <w:szCs w:val="21"/>
          <w:highlight w:val="yellow"/>
        </w:rPr>
      </w:pPr>
      <w:r>
        <w:rPr>
          <w:rFonts w:hint="eastAsia" w:ascii="宋体" w:hAnsi="宋体" w:cs="宋体"/>
          <w:b/>
          <w:kern w:val="0"/>
          <w:szCs w:val="21"/>
          <w:highlight w:val="yellow"/>
        </w:rPr>
        <w:t>★服务期限：</w:t>
      </w:r>
    </w:p>
    <w:p>
      <w:pPr>
        <w:spacing w:line="360" w:lineRule="auto"/>
        <w:ind w:firstLine="476" w:firstLineChars="227"/>
        <w:rPr>
          <w:rFonts w:ascii="宋体" w:hAnsi="宋体" w:cs="宋体"/>
          <w:kern w:val="0"/>
          <w:szCs w:val="21"/>
          <w:highlight w:val="yellow"/>
        </w:rPr>
      </w:pPr>
      <w:r>
        <w:rPr>
          <w:rFonts w:hint="eastAsia" w:ascii="宋体" w:hAnsi="宋体" w:cs="宋体"/>
          <w:bCs/>
          <w:kern w:val="0"/>
          <w:szCs w:val="21"/>
          <w:highlight w:val="yellow"/>
        </w:rPr>
        <w:t>★</w:t>
      </w:r>
      <w:r>
        <w:rPr>
          <w:rFonts w:hint="eastAsia" w:ascii="宋体" w:hAnsi="宋体" w:cs="宋体"/>
          <w:kern w:val="0"/>
          <w:szCs w:val="21"/>
          <w:highlight w:val="yellow"/>
        </w:rPr>
        <w:t>1、服务期限为</w:t>
      </w:r>
      <w:r>
        <w:rPr>
          <w:rFonts w:hint="eastAsia"/>
          <w:highlight w:val="yellow"/>
        </w:rPr>
        <w:t>自合同生效之日起一年</w:t>
      </w:r>
      <w:r>
        <w:rPr>
          <w:rFonts w:hint="eastAsia" w:ascii="宋体" w:hAnsi="宋体" w:cs="宋体"/>
          <w:kern w:val="0"/>
          <w:szCs w:val="21"/>
          <w:highlight w:val="yellow"/>
        </w:rPr>
        <w:t>。本项目为长期服务项目，合同累计履行期限最长不得超过三十六个月。服务期满后采购人可根据项目需求和中标供应商的履约情况确定合同期限是否延长，最多续签两次，合同一年一签。</w:t>
      </w:r>
    </w:p>
    <w:p>
      <w:pPr>
        <w:spacing w:line="360" w:lineRule="auto"/>
        <w:ind w:firstLine="476" w:firstLineChars="227"/>
        <w:rPr>
          <w:rFonts w:ascii="宋体" w:hAnsi="宋体" w:cs="宋体"/>
          <w:kern w:val="0"/>
          <w:szCs w:val="21"/>
        </w:rPr>
      </w:pPr>
      <w:r>
        <w:rPr>
          <w:rFonts w:hint="eastAsia" w:ascii="宋体" w:hAnsi="宋体" w:cs="宋体"/>
          <w:kern w:val="0"/>
          <w:szCs w:val="21"/>
        </w:rPr>
        <w:t>2、合同续签必须满足如下条件：</w:t>
      </w:r>
    </w:p>
    <w:p>
      <w:pPr>
        <w:spacing w:line="360" w:lineRule="auto"/>
        <w:ind w:firstLine="476" w:firstLineChars="227"/>
        <w:rPr>
          <w:rFonts w:ascii="宋体" w:hAnsi="宋体" w:cs="宋体"/>
          <w:kern w:val="0"/>
          <w:szCs w:val="21"/>
        </w:rPr>
      </w:pPr>
      <w:r>
        <w:rPr>
          <w:rFonts w:hint="eastAsia" w:ascii="宋体" w:hAnsi="宋体" w:cs="宋体"/>
          <w:kern w:val="0"/>
          <w:szCs w:val="21"/>
        </w:rPr>
        <w:t>（1）经采购人对中标人服务质量考核合格；</w:t>
      </w:r>
    </w:p>
    <w:p>
      <w:pPr>
        <w:spacing w:line="360" w:lineRule="auto"/>
        <w:ind w:firstLine="476" w:firstLineChars="227"/>
        <w:rPr>
          <w:rFonts w:ascii="宋体" w:hAnsi="宋体" w:cs="宋体"/>
          <w:kern w:val="0"/>
          <w:szCs w:val="21"/>
        </w:rPr>
      </w:pPr>
      <w:r>
        <w:rPr>
          <w:rFonts w:hint="eastAsia" w:ascii="宋体" w:hAnsi="宋体" w:cs="宋体"/>
          <w:kern w:val="0"/>
          <w:szCs w:val="21"/>
        </w:rPr>
        <w:t>（2）项目合同服务期内无行贿犯罪记录；</w:t>
      </w:r>
    </w:p>
    <w:p>
      <w:pPr>
        <w:shd w:val="clear" w:color="auto" w:fill="FFFFFF"/>
        <w:tabs>
          <w:tab w:val="left" w:pos="426"/>
        </w:tabs>
        <w:spacing w:line="360" w:lineRule="auto"/>
        <w:ind w:left="477"/>
        <w:rPr>
          <w:rFonts w:ascii="宋体" w:hAnsi="宋体" w:cs="宋体"/>
          <w:kern w:val="0"/>
          <w:szCs w:val="21"/>
        </w:rPr>
      </w:pPr>
      <w:r>
        <w:rPr>
          <w:rFonts w:hint="eastAsia" w:ascii="宋体" w:hAnsi="宋体" w:cs="宋体"/>
          <w:kern w:val="0"/>
          <w:szCs w:val="21"/>
        </w:rPr>
        <w:t>（3）项目合同服务期内供应商没有被列入《不诚信行为记录表》。</w:t>
      </w:r>
    </w:p>
    <w:p>
      <w:pPr>
        <w:numPr>
          <w:ilvl w:val="0"/>
          <w:numId w:val="6"/>
        </w:numPr>
        <w:spacing w:line="360" w:lineRule="auto"/>
        <w:rPr>
          <w:rFonts w:ascii="宋体" w:hAnsi="宋体" w:cs="宋体"/>
          <w:b/>
          <w:kern w:val="0"/>
          <w:szCs w:val="21"/>
        </w:rPr>
      </w:pPr>
      <w:r>
        <w:rPr>
          <w:rFonts w:hint="eastAsia" w:ascii="宋体" w:hAnsi="宋体" w:cs="宋体"/>
          <w:b/>
          <w:kern w:val="0"/>
          <w:szCs w:val="21"/>
        </w:rPr>
        <w:t>服务地点：</w:t>
      </w:r>
    </w:p>
    <w:p>
      <w:pPr>
        <w:pStyle w:val="256"/>
        <w:spacing w:beforeLines="0" w:line="360" w:lineRule="auto"/>
        <w:ind w:firstLine="424" w:firstLineChars="202"/>
        <w:rPr>
          <w:rFonts w:ascii="宋体" w:hAnsi="宋体" w:eastAsia="宋体" w:cs="宋体"/>
          <w:b/>
          <w:szCs w:val="21"/>
        </w:rPr>
      </w:pPr>
      <w:r>
        <w:rPr>
          <w:rFonts w:hint="eastAsia" w:ascii="宋体" w:hAnsi="宋体" w:eastAsia="宋体" w:cs="宋体"/>
          <w:szCs w:val="21"/>
        </w:rPr>
        <w:t>采购人指定地点。</w:t>
      </w:r>
    </w:p>
    <w:p>
      <w:pPr>
        <w:numPr>
          <w:ilvl w:val="0"/>
          <w:numId w:val="6"/>
        </w:numPr>
        <w:spacing w:line="360" w:lineRule="auto"/>
        <w:rPr>
          <w:rFonts w:ascii="宋体" w:hAnsi="宋体" w:cs="宋体"/>
          <w:b/>
          <w:kern w:val="0"/>
          <w:szCs w:val="21"/>
        </w:rPr>
      </w:pPr>
      <w:r>
        <w:rPr>
          <w:rFonts w:hint="eastAsia" w:ascii="宋体" w:hAnsi="宋体" w:cs="宋体"/>
          <w:b/>
          <w:kern w:val="0"/>
          <w:szCs w:val="21"/>
        </w:rPr>
        <w:t>付款方式：</w:t>
      </w:r>
    </w:p>
    <w:p>
      <w:pPr>
        <w:shd w:val="clear" w:color="auto" w:fill="FFFFFF"/>
        <w:tabs>
          <w:tab w:val="left" w:pos="0"/>
        </w:tabs>
        <w:spacing w:line="360" w:lineRule="auto"/>
        <w:ind w:left="17" w:firstLine="459" w:firstLineChars="219"/>
        <w:rPr>
          <w:rFonts w:ascii="宋体" w:hAnsi="宋体" w:cs="宋体"/>
          <w:kern w:val="0"/>
          <w:szCs w:val="21"/>
        </w:rPr>
      </w:pPr>
      <w:r>
        <w:rPr>
          <w:rFonts w:hint="eastAsia" w:ascii="宋体" w:hAnsi="宋体" w:cs="宋体"/>
          <w:kern w:val="0"/>
          <w:szCs w:val="21"/>
        </w:rPr>
        <w:t>按照采购人内部相关规定执行。</w:t>
      </w:r>
    </w:p>
    <w:p>
      <w:pPr>
        <w:shd w:val="clear" w:color="auto" w:fill="FFFFFF"/>
        <w:tabs>
          <w:tab w:val="left" w:pos="0"/>
        </w:tabs>
        <w:spacing w:line="360" w:lineRule="auto"/>
        <w:ind w:left="17" w:firstLine="462" w:firstLineChars="219"/>
        <w:rPr>
          <w:rFonts w:ascii="宋体" w:hAnsi="宋体" w:cs="宋体"/>
          <w:b/>
          <w:bCs/>
          <w:kern w:val="0"/>
          <w:szCs w:val="21"/>
        </w:rPr>
      </w:pPr>
      <w:r>
        <w:rPr>
          <w:rFonts w:hint="eastAsia" w:ascii="宋体" w:hAnsi="宋体" w:cs="宋体"/>
          <w:b/>
          <w:bCs/>
          <w:kern w:val="0"/>
          <w:szCs w:val="21"/>
        </w:rPr>
        <w:t>（四）项目结算方式</w:t>
      </w:r>
    </w:p>
    <w:p>
      <w:pPr>
        <w:shd w:val="clear" w:color="auto" w:fill="FFFFFF"/>
        <w:tabs>
          <w:tab w:val="left" w:pos="0"/>
        </w:tabs>
        <w:spacing w:line="360" w:lineRule="auto"/>
        <w:ind w:left="17" w:firstLine="459" w:firstLineChars="219"/>
        <w:rPr>
          <w:rFonts w:ascii="宋体" w:hAnsi="宋体" w:cs="宋体"/>
          <w:kern w:val="0"/>
          <w:szCs w:val="21"/>
        </w:rPr>
      </w:pPr>
      <w:r>
        <w:rPr>
          <w:rFonts w:hint="eastAsia" w:ascii="宋体" w:hAnsi="宋体" w:cs="宋体"/>
          <w:kern w:val="0"/>
          <w:szCs w:val="21"/>
        </w:rPr>
        <w:t>1、精品蔬菜类产品由中农网数据食堂采购平台（http://www.chinaap.com）每月5、15、25日粗加工报价表取三天的平均值（平均值精确到分，即小数点后两位）确定各项物资的精准价，结算时价格等于基准价*折扣率。</w:t>
      </w:r>
    </w:p>
    <w:p>
      <w:pPr>
        <w:shd w:val="clear" w:color="auto" w:fill="FFFFFF"/>
        <w:tabs>
          <w:tab w:val="left" w:pos="0"/>
        </w:tabs>
        <w:spacing w:line="360" w:lineRule="auto"/>
        <w:ind w:left="17" w:firstLine="459" w:firstLineChars="219"/>
        <w:rPr>
          <w:rFonts w:ascii="宋体" w:hAnsi="宋体" w:cs="宋体"/>
          <w:kern w:val="0"/>
          <w:szCs w:val="21"/>
        </w:rPr>
      </w:pPr>
      <w:r>
        <w:rPr>
          <w:rFonts w:hint="eastAsia" w:ascii="宋体" w:hAnsi="宋体" w:cs="宋体"/>
          <w:kern w:val="0"/>
          <w:szCs w:val="21"/>
        </w:rPr>
        <w:t>2、除精品蔬菜类产品外，中农数据食堂采购平台其他类别以对应的产品可直接按中农数据食堂采购平台价格结算。</w:t>
      </w:r>
    </w:p>
    <w:p>
      <w:pPr>
        <w:shd w:val="clear" w:color="auto" w:fill="FFFFFF"/>
        <w:tabs>
          <w:tab w:val="left" w:pos="0"/>
        </w:tabs>
        <w:spacing w:line="360" w:lineRule="auto"/>
        <w:ind w:left="17" w:firstLine="459" w:firstLineChars="219"/>
        <w:rPr>
          <w:rFonts w:ascii="宋体" w:hAnsi="宋体" w:cs="宋体"/>
          <w:kern w:val="0"/>
          <w:szCs w:val="21"/>
        </w:rPr>
      </w:pPr>
      <w:r>
        <w:rPr>
          <w:rFonts w:hint="eastAsia" w:ascii="宋体" w:hAnsi="宋体" w:cs="宋体"/>
          <w:kern w:val="0"/>
          <w:szCs w:val="21"/>
        </w:rPr>
        <w:t>3.中农数据食堂采配平台中无价格的产品，结算时价格=市场价*折扣率。（市场价采购单位和中标公司组成价格调查小组，到本区堿大型实体商场、菜市场等现场进行调研依据实时行情，综合决定供应价格）</w:t>
      </w:r>
    </w:p>
    <w:p>
      <w:pPr>
        <w:shd w:val="clear" w:color="auto" w:fill="FFFFFF"/>
        <w:tabs>
          <w:tab w:val="left" w:pos="0"/>
        </w:tabs>
        <w:spacing w:line="360" w:lineRule="auto"/>
        <w:ind w:left="17" w:firstLine="459" w:firstLineChars="219"/>
        <w:rPr>
          <w:rFonts w:ascii="宋体" w:hAnsi="宋体" w:cs="宋体"/>
          <w:kern w:val="0"/>
          <w:szCs w:val="21"/>
        </w:rPr>
      </w:pPr>
      <w:r>
        <w:rPr>
          <w:rFonts w:hint="eastAsia" w:ascii="宋体" w:hAnsi="宋体" w:cs="宋体"/>
          <w:kern w:val="0"/>
          <w:szCs w:val="21"/>
        </w:rPr>
        <w:t>4.如遇台风、暴雨等不可遇见的原因造成的个别品种及价格需临时做调整的，供应商应事先通知采购人，在采购人确认后方可调整。</w:t>
      </w:r>
    </w:p>
    <w:p>
      <w:pPr>
        <w:shd w:val="clear" w:color="auto" w:fill="FFFFFF"/>
        <w:tabs>
          <w:tab w:val="left" w:pos="0"/>
        </w:tabs>
        <w:spacing w:line="360" w:lineRule="auto"/>
        <w:ind w:left="17" w:firstLine="459" w:firstLineChars="219"/>
        <w:rPr>
          <w:rFonts w:ascii="宋体" w:hAnsi="宋体" w:cs="宋体"/>
          <w:kern w:val="0"/>
          <w:szCs w:val="21"/>
        </w:rPr>
      </w:pPr>
      <w:r>
        <w:rPr>
          <w:rFonts w:hint="eastAsia" w:ascii="宋体" w:hAnsi="宋体" w:cs="宋体"/>
          <w:kern w:val="0"/>
          <w:szCs w:val="21"/>
        </w:rPr>
        <w:t>5.所有物资的报价包括供应产品和产品运输到使用单位的服务费、检测费、人工费、管理费、税金等一切将可发生的费用。以上报价以人民币为报价和结算单位，须开具国家正规发票。</w:t>
      </w:r>
    </w:p>
    <w:p>
      <w:pPr>
        <w:pStyle w:val="322"/>
        <w:ind w:firstLine="0" w:firstLineChars="0"/>
        <w:rPr>
          <w:rFonts w:cs="宋体"/>
          <w:b/>
          <w:sz w:val="21"/>
          <w:szCs w:val="21"/>
          <w:highlight w:val="yellow"/>
        </w:rPr>
      </w:pPr>
      <w:r>
        <w:rPr>
          <w:rFonts w:hint="eastAsia" w:ascii="宋体" w:hAnsi="宋体" w:cs="宋体"/>
          <w:b/>
          <w:kern w:val="0"/>
          <w:szCs w:val="21"/>
          <w:highlight w:val="yellow"/>
        </w:rPr>
        <w:t>★</w:t>
      </w:r>
      <w:r>
        <w:rPr>
          <w:rFonts w:hint="eastAsia" w:cs="宋体"/>
          <w:b/>
          <w:sz w:val="21"/>
          <w:szCs w:val="21"/>
          <w:highlight w:val="yellow"/>
        </w:rPr>
        <w:t>四、报价要求</w:t>
      </w:r>
    </w:p>
    <w:p>
      <w:pPr>
        <w:shd w:val="clear" w:color="auto" w:fill="FFFFFF"/>
        <w:tabs>
          <w:tab w:val="left" w:pos="0"/>
        </w:tabs>
        <w:spacing w:line="360" w:lineRule="auto"/>
        <w:ind w:firstLine="420" w:firstLineChars="200"/>
        <w:rPr>
          <w:rFonts w:ascii="宋体" w:hAnsi="宋体" w:cs="宋体"/>
          <w:kern w:val="0"/>
          <w:szCs w:val="21"/>
          <w:highlight w:val="yellow"/>
        </w:rPr>
      </w:pPr>
      <w:r>
        <w:rPr>
          <w:rFonts w:hint="eastAsia" w:ascii="宋体" w:hAnsi="宋体" w:cs="宋体"/>
          <w:kern w:val="0"/>
          <w:szCs w:val="21"/>
          <w:highlight w:val="yellow"/>
        </w:rPr>
        <w:t>1.要求投标人在保证货物质量、提供最佳服务的前提下，在价格上应予充分考虑,在控制金额内，以统一折扣率作为报价方式，“折扣率”是唯一的价格分计算依据，折扣率越低得分越高。</w:t>
      </w:r>
    </w:p>
    <w:p>
      <w:pPr>
        <w:shd w:val="clear" w:color="auto" w:fill="FFFFFF"/>
        <w:tabs>
          <w:tab w:val="left" w:pos="0"/>
        </w:tabs>
        <w:spacing w:line="360" w:lineRule="auto"/>
        <w:ind w:firstLine="420" w:firstLineChars="200"/>
        <w:rPr>
          <w:rFonts w:ascii="宋体" w:hAnsi="宋体" w:cs="宋体"/>
          <w:kern w:val="0"/>
          <w:szCs w:val="21"/>
          <w:highlight w:val="yellow"/>
        </w:rPr>
      </w:pPr>
      <w:r>
        <w:rPr>
          <w:rFonts w:hint="eastAsia" w:ascii="宋体" w:hAnsi="宋体" w:cs="宋体"/>
          <w:kern w:val="0"/>
          <w:szCs w:val="21"/>
          <w:highlight w:val="yellow"/>
        </w:rPr>
        <w:t>2.折扣率=货物实收价（即结算价）/基准价，折扣率必须小于或等于1，采用小数报价且最多保留两位小数，折扣率在服务期限内保持不变[举例说明：若某种货物在深圳市中农数据有限公司食堂采配平台(天天采配)的价格为10元/斤，折扣率为0.95，实际采购价为10*0.95=9.5元/斤，则在投标文件开标一览表中的折扣率应填0.95]。</w:t>
      </w:r>
    </w:p>
    <w:p>
      <w:pPr>
        <w:widowControl/>
        <w:shd w:val="clear" w:color="auto" w:fill="FFFFFF"/>
        <w:tabs>
          <w:tab w:val="left" w:pos="426"/>
        </w:tabs>
        <w:adjustRightInd w:val="0"/>
        <w:snapToGrid w:val="0"/>
        <w:spacing w:line="360" w:lineRule="auto"/>
        <w:rPr>
          <w:rFonts w:ascii="宋体" w:hAnsi="宋体" w:cs="宋体"/>
          <w:b/>
          <w:kern w:val="0"/>
          <w:szCs w:val="21"/>
        </w:rPr>
      </w:pPr>
    </w:p>
    <w:p>
      <w:pPr>
        <w:widowControl/>
        <w:shd w:val="clear" w:color="auto" w:fill="FFFFFF"/>
        <w:tabs>
          <w:tab w:val="left" w:pos="426"/>
        </w:tabs>
        <w:adjustRightInd w:val="0"/>
        <w:snapToGrid w:val="0"/>
        <w:spacing w:line="360" w:lineRule="auto"/>
        <w:rPr>
          <w:rFonts w:ascii="宋体" w:hAnsi="宋体" w:cs="宋体"/>
          <w:b/>
          <w:kern w:val="0"/>
          <w:szCs w:val="21"/>
        </w:rPr>
      </w:pPr>
      <w:r>
        <w:rPr>
          <w:rFonts w:hint="eastAsia" w:ascii="宋体" w:hAnsi="宋体" w:cs="宋体"/>
          <w:b/>
          <w:kern w:val="0"/>
          <w:szCs w:val="21"/>
        </w:rPr>
        <w:t>附件1：《深圳实验幼儿园幼儿食堂主副食品供应货物验收考核表》</w:t>
      </w:r>
    </w:p>
    <w:p>
      <w:pPr>
        <w:widowControl/>
        <w:shd w:val="clear" w:color="auto" w:fill="FFFFFF"/>
        <w:tabs>
          <w:tab w:val="left" w:pos="426"/>
        </w:tabs>
        <w:adjustRightInd w:val="0"/>
        <w:snapToGrid w:val="0"/>
        <w:spacing w:line="360" w:lineRule="auto"/>
        <w:jc w:val="center"/>
        <w:rPr>
          <w:rFonts w:ascii="宋体" w:hAnsi="宋体" w:cs="宋体"/>
          <w:kern w:val="0"/>
          <w:szCs w:val="21"/>
        </w:rPr>
      </w:pPr>
      <w:r>
        <w:rPr>
          <w:rFonts w:hint="eastAsia" w:ascii="宋体" w:hAnsi="宋体" w:cs="宋体"/>
          <w:kern w:val="0"/>
          <w:szCs w:val="21"/>
        </w:rPr>
        <w:t>深圳实验幼儿园幼儿食堂</w:t>
      </w:r>
    </w:p>
    <w:p>
      <w:pPr>
        <w:widowControl/>
        <w:shd w:val="clear" w:color="auto" w:fill="FFFFFF"/>
        <w:tabs>
          <w:tab w:val="left" w:pos="426"/>
        </w:tabs>
        <w:adjustRightInd w:val="0"/>
        <w:snapToGrid w:val="0"/>
        <w:spacing w:line="360" w:lineRule="auto"/>
        <w:jc w:val="center"/>
        <w:rPr>
          <w:rFonts w:ascii="宋体" w:hAnsi="宋体" w:cs="宋体"/>
          <w:kern w:val="0"/>
          <w:szCs w:val="21"/>
        </w:rPr>
      </w:pPr>
      <w:r>
        <w:rPr>
          <w:rFonts w:hint="eastAsia" w:ascii="宋体" w:hAnsi="宋体" w:cs="宋体"/>
          <w:kern w:val="0"/>
          <w:szCs w:val="21"/>
        </w:rPr>
        <w:t>八大类外食材品种供应货物验收考核表</w:t>
      </w:r>
    </w:p>
    <w:p>
      <w:pPr>
        <w:widowControl/>
        <w:shd w:val="clear" w:color="auto" w:fill="FFFFFF"/>
        <w:tabs>
          <w:tab w:val="left" w:pos="426"/>
        </w:tabs>
        <w:adjustRightInd w:val="0"/>
        <w:snapToGrid w:val="0"/>
        <w:spacing w:line="360" w:lineRule="auto"/>
        <w:jc w:val="center"/>
        <w:rPr>
          <w:rFonts w:ascii="宋体" w:hAnsi="宋体" w:cs="宋体"/>
          <w:kern w:val="0"/>
          <w:szCs w:val="21"/>
        </w:rPr>
      </w:pPr>
    </w:p>
    <w:p>
      <w:pPr>
        <w:widowControl/>
        <w:shd w:val="clear" w:color="auto" w:fill="FFFFFF"/>
        <w:tabs>
          <w:tab w:val="left" w:pos="426"/>
        </w:tabs>
        <w:adjustRightInd w:val="0"/>
        <w:snapToGrid w:val="0"/>
        <w:spacing w:line="360" w:lineRule="auto"/>
        <w:ind w:firstLine="411" w:firstLineChars="196"/>
        <w:jc w:val="center"/>
        <w:rPr>
          <w:rFonts w:ascii="宋体" w:hAnsi="宋体" w:cs="宋体"/>
          <w:kern w:val="0"/>
          <w:szCs w:val="21"/>
        </w:rPr>
      </w:pPr>
      <w:r>
        <w:rPr>
          <w:rFonts w:hint="eastAsia" w:ascii="宋体" w:hAnsi="宋体" w:cs="宋体"/>
          <w:kern w:val="0"/>
          <w:szCs w:val="21"/>
        </w:rPr>
        <w:t>供货（签字）：                 收货（签字）：                 年   月   日</w:t>
      </w:r>
    </w:p>
    <w:tbl>
      <w:tblPr>
        <w:tblStyle w:val="51"/>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76"/>
        <w:gridCol w:w="1124"/>
        <w:gridCol w:w="818"/>
        <w:gridCol w:w="1165"/>
        <w:gridCol w:w="2775"/>
        <w:gridCol w:w="154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食品</w:t>
            </w:r>
          </w:p>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种类</w:t>
            </w:r>
          </w:p>
        </w:tc>
        <w:tc>
          <w:tcPr>
            <w:tcW w:w="676" w:type="dxa"/>
            <w:vAlign w:val="center"/>
          </w:tcPr>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订货</w:t>
            </w:r>
          </w:p>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时间</w:t>
            </w:r>
          </w:p>
        </w:tc>
        <w:tc>
          <w:tcPr>
            <w:tcW w:w="1124" w:type="dxa"/>
            <w:vAlign w:val="center"/>
          </w:tcPr>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供货</w:t>
            </w:r>
          </w:p>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时间</w:t>
            </w:r>
          </w:p>
        </w:tc>
        <w:tc>
          <w:tcPr>
            <w:tcW w:w="818" w:type="dxa"/>
            <w:vAlign w:val="center"/>
          </w:tcPr>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订货</w:t>
            </w:r>
          </w:p>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数量</w:t>
            </w:r>
          </w:p>
        </w:tc>
        <w:tc>
          <w:tcPr>
            <w:tcW w:w="1165" w:type="dxa"/>
            <w:vAlign w:val="center"/>
          </w:tcPr>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供货</w:t>
            </w:r>
          </w:p>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数量</w:t>
            </w:r>
          </w:p>
        </w:tc>
        <w:tc>
          <w:tcPr>
            <w:tcW w:w="2775" w:type="dxa"/>
            <w:vAlign w:val="center"/>
          </w:tcPr>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订货质量标准</w:t>
            </w:r>
          </w:p>
        </w:tc>
        <w:tc>
          <w:tcPr>
            <w:tcW w:w="1548" w:type="dxa"/>
            <w:vAlign w:val="center"/>
          </w:tcPr>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供货等级</w:t>
            </w:r>
          </w:p>
        </w:tc>
        <w:tc>
          <w:tcPr>
            <w:tcW w:w="1080" w:type="dxa"/>
            <w:vAlign w:val="center"/>
          </w:tcPr>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处理</w:t>
            </w:r>
          </w:p>
          <w:p>
            <w:pPr>
              <w:widowControl/>
              <w:shd w:val="clear" w:color="auto" w:fill="FFFFFF"/>
              <w:tabs>
                <w:tab w:val="left" w:pos="426"/>
              </w:tabs>
              <w:adjustRightInd w:val="0"/>
              <w:snapToGrid w:val="0"/>
              <w:spacing w:line="360" w:lineRule="auto"/>
              <w:jc w:val="center"/>
              <w:rPr>
                <w:rFonts w:ascii="宋体" w:hAnsi="宋体" w:cs="宋体"/>
                <w:b/>
                <w:kern w:val="0"/>
                <w:szCs w:val="21"/>
              </w:rPr>
            </w:pPr>
            <w:r>
              <w:rPr>
                <w:rFonts w:hint="eastAsia" w:ascii="宋体" w:hAnsi="宋体" w:cs="宋体"/>
                <w:b/>
                <w:kern w:val="0"/>
                <w:szCs w:val="21"/>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widowControl/>
              <w:shd w:val="clear" w:color="auto" w:fill="FFFFFF"/>
              <w:tabs>
                <w:tab w:val="left" w:pos="426"/>
              </w:tabs>
              <w:adjustRightInd w:val="0"/>
              <w:snapToGrid w:val="0"/>
              <w:spacing w:line="360" w:lineRule="auto"/>
              <w:jc w:val="center"/>
              <w:rPr>
                <w:rFonts w:ascii="宋体" w:hAnsi="宋体" w:cs="宋体"/>
                <w:kern w:val="0"/>
                <w:szCs w:val="21"/>
              </w:rPr>
            </w:pPr>
            <w:r>
              <w:rPr>
                <w:rFonts w:hint="eastAsia" w:ascii="宋体" w:hAnsi="宋体" w:cs="宋体"/>
                <w:kern w:val="0"/>
                <w:szCs w:val="21"/>
              </w:rPr>
              <w:t>蔬菜类</w:t>
            </w:r>
          </w:p>
        </w:tc>
        <w:tc>
          <w:tcPr>
            <w:tcW w:w="676"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c>
          <w:tcPr>
            <w:tcW w:w="1124"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按时（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超时（ ）</w:t>
            </w:r>
          </w:p>
        </w:tc>
        <w:tc>
          <w:tcPr>
            <w:tcW w:w="818" w:type="dxa"/>
            <w:vAlign w:val="center"/>
          </w:tcPr>
          <w:p>
            <w:pPr>
              <w:widowControl/>
              <w:shd w:val="clear" w:color="auto" w:fill="FFFFFF"/>
              <w:tabs>
                <w:tab w:val="left" w:pos="426"/>
              </w:tabs>
              <w:adjustRightInd w:val="0"/>
              <w:snapToGrid w:val="0"/>
              <w:spacing w:line="360" w:lineRule="auto"/>
              <w:ind w:firstLine="880"/>
              <w:jc w:val="center"/>
              <w:rPr>
                <w:rFonts w:ascii="宋体" w:hAnsi="宋体" w:cs="宋体"/>
                <w:kern w:val="0"/>
                <w:szCs w:val="21"/>
              </w:rPr>
            </w:pPr>
          </w:p>
        </w:tc>
        <w:tc>
          <w:tcPr>
            <w:tcW w:w="1165"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按量（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不足（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超量（ ）</w:t>
            </w:r>
          </w:p>
        </w:tc>
        <w:tc>
          <w:tcPr>
            <w:tcW w:w="2775"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来自大型“无公害”蔬菜基地， 送货前12小时收成，提供当天检测检验报告书及《无公害叶菜类检测记录表》，保持较好色泽及新鲜度，经初步整理，除去泥、沙、黄叶、烂叶及老叶后合格率为85%。</w:t>
            </w:r>
          </w:p>
        </w:tc>
        <w:tc>
          <w:tcPr>
            <w:tcW w:w="1548"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优良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合格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不合格 （  ）</w:t>
            </w:r>
          </w:p>
        </w:tc>
        <w:tc>
          <w:tcPr>
            <w:tcW w:w="1080"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jc w:val="center"/>
        </w:trPr>
        <w:tc>
          <w:tcPr>
            <w:tcW w:w="900" w:type="dxa"/>
            <w:vAlign w:val="center"/>
          </w:tcPr>
          <w:p>
            <w:pPr>
              <w:widowControl/>
              <w:shd w:val="clear" w:color="auto" w:fill="FFFFFF"/>
              <w:tabs>
                <w:tab w:val="left" w:pos="426"/>
              </w:tabs>
              <w:adjustRightInd w:val="0"/>
              <w:snapToGrid w:val="0"/>
              <w:spacing w:line="360" w:lineRule="auto"/>
              <w:jc w:val="center"/>
              <w:rPr>
                <w:rFonts w:ascii="宋体" w:hAnsi="宋体" w:cs="宋体"/>
                <w:kern w:val="0"/>
                <w:szCs w:val="21"/>
              </w:rPr>
            </w:pPr>
            <w:r>
              <w:rPr>
                <w:rFonts w:hint="eastAsia" w:ascii="宋体" w:hAnsi="宋体" w:cs="宋体"/>
                <w:kern w:val="0"/>
                <w:szCs w:val="21"/>
              </w:rPr>
              <w:t>瓜果类</w:t>
            </w:r>
          </w:p>
        </w:tc>
        <w:tc>
          <w:tcPr>
            <w:tcW w:w="676"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c>
          <w:tcPr>
            <w:tcW w:w="1124"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按时（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超时（ ）</w:t>
            </w:r>
          </w:p>
        </w:tc>
        <w:tc>
          <w:tcPr>
            <w:tcW w:w="818" w:type="dxa"/>
            <w:vAlign w:val="center"/>
          </w:tcPr>
          <w:p>
            <w:pPr>
              <w:widowControl/>
              <w:shd w:val="clear" w:color="auto" w:fill="FFFFFF"/>
              <w:tabs>
                <w:tab w:val="left" w:pos="426"/>
              </w:tabs>
              <w:adjustRightInd w:val="0"/>
              <w:snapToGrid w:val="0"/>
              <w:spacing w:line="360" w:lineRule="auto"/>
              <w:ind w:firstLine="880"/>
              <w:jc w:val="center"/>
              <w:rPr>
                <w:rFonts w:ascii="宋体" w:hAnsi="宋体" w:cs="宋体"/>
                <w:kern w:val="0"/>
                <w:szCs w:val="21"/>
              </w:rPr>
            </w:pPr>
          </w:p>
        </w:tc>
        <w:tc>
          <w:tcPr>
            <w:tcW w:w="1165"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按量（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不足（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超量（ ）</w:t>
            </w:r>
          </w:p>
        </w:tc>
        <w:tc>
          <w:tcPr>
            <w:tcW w:w="2775"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 xml:space="preserve">1.无腐烂，色泽鲜艳光亮，成熟度正常，个大。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 xml:space="preserve">2.果皮完整、色泽鲜亮、果实饱满、蒂部不干枯，成熟适度。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 xml:space="preserve">3.果实坚实,水分足，皮不干缩、形态完整。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 xml:space="preserve">4.表皮无斑点、腐烂，无虫咬、破伤及霉点。 </w:t>
            </w:r>
          </w:p>
        </w:tc>
        <w:tc>
          <w:tcPr>
            <w:tcW w:w="1548"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优良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合格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不合格 （  ）</w:t>
            </w:r>
          </w:p>
        </w:tc>
        <w:tc>
          <w:tcPr>
            <w:tcW w:w="1080"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900" w:type="dxa"/>
            <w:vAlign w:val="center"/>
          </w:tcPr>
          <w:p>
            <w:pPr>
              <w:widowControl/>
              <w:shd w:val="clear" w:color="auto" w:fill="FFFFFF"/>
              <w:tabs>
                <w:tab w:val="left" w:pos="426"/>
              </w:tabs>
              <w:adjustRightInd w:val="0"/>
              <w:snapToGrid w:val="0"/>
              <w:spacing w:line="360" w:lineRule="auto"/>
              <w:jc w:val="center"/>
              <w:rPr>
                <w:rFonts w:ascii="宋体" w:hAnsi="宋体" w:cs="宋体"/>
                <w:kern w:val="0"/>
                <w:szCs w:val="21"/>
              </w:rPr>
            </w:pPr>
            <w:r>
              <w:rPr>
                <w:rFonts w:hint="eastAsia" w:ascii="宋体" w:hAnsi="宋体" w:cs="宋体"/>
                <w:kern w:val="0"/>
                <w:szCs w:val="21"/>
              </w:rPr>
              <w:t>水产类</w:t>
            </w:r>
          </w:p>
        </w:tc>
        <w:tc>
          <w:tcPr>
            <w:tcW w:w="676"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c>
          <w:tcPr>
            <w:tcW w:w="1124"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按时（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超时（ ）</w:t>
            </w:r>
          </w:p>
        </w:tc>
        <w:tc>
          <w:tcPr>
            <w:tcW w:w="818" w:type="dxa"/>
            <w:vAlign w:val="center"/>
          </w:tcPr>
          <w:p>
            <w:pPr>
              <w:widowControl/>
              <w:shd w:val="clear" w:color="auto" w:fill="FFFFFF"/>
              <w:tabs>
                <w:tab w:val="left" w:pos="426"/>
              </w:tabs>
              <w:adjustRightInd w:val="0"/>
              <w:snapToGrid w:val="0"/>
              <w:spacing w:line="360" w:lineRule="auto"/>
              <w:ind w:firstLine="880"/>
              <w:jc w:val="center"/>
              <w:rPr>
                <w:rFonts w:ascii="宋体" w:hAnsi="宋体" w:cs="宋体"/>
                <w:kern w:val="0"/>
                <w:szCs w:val="21"/>
              </w:rPr>
            </w:pPr>
          </w:p>
        </w:tc>
        <w:tc>
          <w:tcPr>
            <w:tcW w:w="1165"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按量（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不足（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超量（ ）</w:t>
            </w:r>
          </w:p>
        </w:tc>
        <w:tc>
          <w:tcPr>
            <w:tcW w:w="2775"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shd w:val="clear" w:color="auto" w:fill="FFFFFF"/>
              </w:rPr>
              <w:t>活鲜水产鳞片完整有粘液，眼睛饱满、明亮，游动灵活，大小均匀品相较好。</w:t>
            </w:r>
            <w:r>
              <w:rPr>
                <w:rFonts w:hint="eastAsia" w:ascii="宋体" w:hAnsi="宋体" w:cs="宋体"/>
                <w:kern w:val="0"/>
                <w:szCs w:val="21"/>
              </w:rPr>
              <w:t>鲜活水产要求送货必须要配有冲气装备及海鲜车配送服务。</w:t>
            </w:r>
          </w:p>
        </w:tc>
        <w:tc>
          <w:tcPr>
            <w:tcW w:w="1548"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优良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合格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不合格 （  ）</w:t>
            </w:r>
          </w:p>
        </w:tc>
        <w:tc>
          <w:tcPr>
            <w:tcW w:w="1080"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900" w:type="dxa"/>
            <w:vAlign w:val="center"/>
          </w:tcPr>
          <w:p>
            <w:pPr>
              <w:widowControl/>
              <w:shd w:val="clear" w:color="auto" w:fill="FFFFFF"/>
              <w:tabs>
                <w:tab w:val="left" w:pos="426"/>
              </w:tabs>
              <w:adjustRightInd w:val="0"/>
              <w:snapToGrid w:val="0"/>
              <w:spacing w:line="360" w:lineRule="auto"/>
              <w:jc w:val="center"/>
              <w:rPr>
                <w:rFonts w:ascii="宋体" w:hAnsi="宋体" w:cs="宋体"/>
                <w:kern w:val="0"/>
                <w:szCs w:val="21"/>
              </w:rPr>
            </w:pPr>
            <w:r>
              <w:rPr>
                <w:rFonts w:hint="eastAsia" w:ascii="宋体" w:hAnsi="宋体" w:cs="宋体"/>
                <w:kern w:val="0"/>
                <w:szCs w:val="21"/>
              </w:rPr>
              <w:t>豆制品及干货类</w:t>
            </w:r>
          </w:p>
        </w:tc>
        <w:tc>
          <w:tcPr>
            <w:tcW w:w="676"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c>
          <w:tcPr>
            <w:tcW w:w="1124"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按时（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超时（ ）</w:t>
            </w:r>
          </w:p>
        </w:tc>
        <w:tc>
          <w:tcPr>
            <w:tcW w:w="818" w:type="dxa"/>
            <w:vAlign w:val="center"/>
          </w:tcPr>
          <w:p>
            <w:pPr>
              <w:widowControl/>
              <w:shd w:val="clear" w:color="auto" w:fill="FFFFFF"/>
              <w:tabs>
                <w:tab w:val="left" w:pos="426"/>
              </w:tabs>
              <w:adjustRightInd w:val="0"/>
              <w:snapToGrid w:val="0"/>
              <w:spacing w:line="360" w:lineRule="auto"/>
              <w:ind w:firstLine="880"/>
              <w:jc w:val="center"/>
              <w:rPr>
                <w:rFonts w:ascii="宋体" w:hAnsi="宋体" w:cs="宋体"/>
                <w:kern w:val="0"/>
                <w:szCs w:val="21"/>
              </w:rPr>
            </w:pPr>
          </w:p>
        </w:tc>
        <w:tc>
          <w:tcPr>
            <w:tcW w:w="1165"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按量（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不足（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超量（ ）</w:t>
            </w:r>
          </w:p>
        </w:tc>
        <w:tc>
          <w:tcPr>
            <w:tcW w:w="2775" w:type="dxa"/>
            <w:vAlign w:val="center"/>
          </w:tcPr>
          <w:p>
            <w:pPr>
              <w:widowControl/>
              <w:shd w:val="clear" w:color="auto" w:fill="FFFFFF"/>
              <w:tabs>
                <w:tab w:val="left" w:pos="426"/>
              </w:tabs>
              <w:adjustRightInd w:val="0"/>
              <w:snapToGrid w:val="0"/>
              <w:spacing w:line="360" w:lineRule="auto"/>
              <w:rPr>
                <w:rFonts w:ascii="宋体" w:hAnsi="宋体" w:cs="宋体"/>
                <w:kern w:val="0"/>
                <w:szCs w:val="21"/>
                <w:shd w:val="clear" w:color="auto" w:fill="FFFFFF"/>
              </w:rPr>
            </w:pPr>
            <w:r>
              <w:rPr>
                <w:rFonts w:hint="eastAsia" w:ascii="宋体" w:hAnsi="宋体" w:cs="宋体"/>
                <w:kern w:val="0"/>
                <w:szCs w:val="21"/>
              </w:rPr>
              <w:t>正规厂家生产，保持较好外观，达到相应等级，并提供贴有卫生许可验收和商标及地址、电话、在保质期内食用产品。</w:t>
            </w:r>
          </w:p>
        </w:tc>
        <w:tc>
          <w:tcPr>
            <w:tcW w:w="1548"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优良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合格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不合格 （  ）</w:t>
            </w:r>
          </w:p>
        </w:tc>
        <w:tc>
          <w:tcPr>
            <w:tcW w:w="1080"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00" w:type="dxa"/>
            <w:vAlign w:val="center"/>
          </w:tcPr>
          <w:p>
            <w:pPr>
              <w:widowControl/>
              <w:shd w:val="clear" w:color="auto" w:fill="FFFFFF"/>
              <w:tabs>
                <w:tab w:val="left" w:pos="426"/>
              </w:tabs>
              <w:adjustRightInd w:val="0"/>
              <w:snapToGrid w:val="0"/>
              <w:spacing w:line="360" w:lineRule="auto"/>
              <w:jc w:val="center"/>
              <w:rPr>
                <w:rFonts w:ascii="宋体" w:hAnsi="宋体" w:cs="宋体"/>
                <w:kern w:val="0"/>
                <w:szCs w:val="21"/>
              </w:rPr>
            </w:pPr>
            <w:r>
              <w:rPr>
                <w:rFonts w:hint="eastAsia" w:ascii="宋体" w:hAnsi="宋体" w:cs="宋体"/>
                <w:kern w:val="0"/>
                <w:szCs w:val="21"/>
              </w:rPr>
              <w:t>水果</w:t>
            </w:r>
          </w:p>
        </w:tc>
        <w:tc>
          <w:tcPr>
            <w:tcW w:w="676"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c>
          <w:tcPr>
            <w:tcW w:w="1124"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按时（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超时（ ）</w:t>
            </w:r>
          </w:p>
        </w:tc>
        <w:tc>
          <w:tcPr>
            <w:tcW w:w="818" w:type="dxa"/>
            <w:vAlign w:val="center"/>
          </w:tcPr>
          <w:p>
            <w:pPr>
              <w:widowControl/>
              <w:shd w:val="clear" w:color="auto" w:fill="FFFFFF"/>
              <w:tabs>
                <w:tab w:val="left" w:pos="426"/>
              </w:tabs>
              <w:adjustRightInd w:val="0"/>
              <w:snapToGrid w:val="0"/>
              <w:spacing w:line="360" w:lineRule="auto"/>
              <w:ind w:firstLine="880"/>
              <w:jc w:val="center"/>
              <w:rPr>
                <w:rFonts w:ascii="宋体" w:hAnsi="宋体" w:cs="宋体"/>
                <w:kern w:val="0"/>
                <w:szCs w:val="21"/>
              </w:rPr>
            </w:pPr>
          </w:p>
        </w:tc>
        <w:tc>
          <w:tcPr>
            <w:tcW w:w="1165"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按量（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不足（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超量（ ）</w:t>
            </w:r>
          </w:p>
        </w:tc>
        <w:tc>
          <w:tcPr>
            <w:tcW w:w="2775" w:type="dxa"/>
            <w:vAlign w:val="center"/>
          </w:tcPr>
          <w:p>
            <w:pPr>
              <w:widowControl/>
              <w:shd w:val="clear" w:color="auto" w:fill="FFFFFF"/>
              <w:tabs>
                <w:tab w:val="left" w:pos="426"/>
              </w:tabs>
              <w:adjustRightInd w:val="0"/>
              <w:snapToGrid w:val="0"/>
              <w:spacing w:line="360" w:lineRule="auto"/>
              <w:rPr>
                <w:rFonts w:ascii="宋体" w:hAnsi="宋体" w:cs="宋体"/>
                <w:szCs w:val="21"/>
              </w:rPr>
            </w:pPr>
            <w:r>
              <w:rPr>
                <w:rFonts w:hint="eastAsia" w:ascii="宋体" w:hAnsi="宋体" w:cs="宋体"/>
                <w:szCs w:val="21"/>
              </w:rPr>
              <w:t>1.检查商品包装是否完好、洁净、抗压；</w:t>
            </w:r>
          </w:p>
          <w:p>
            <w:pPr>
              <w:pStyle w:val="22"/>
              <w:spacing w:line="360" w:lineRule="auto"/>
              <w:rPr>
                <w:rFonts w:ascii="宋体" w:hAnsi="宋体" w:cs="宋体"/>
                <w:szCs w:val="21"/>
              </w:rPr>
            </w:pPr>
            <w:r>
              <w:rPr>
                <w:rFonts w:hint="eastAsia" w:ascii="宋体" w:hAnsi="宋体" w:cs="宋体"/>
                <w:szCs w:val="21"/>
              </w:rPr>
              <w:t>2.检查商品本身新鲜、干净、具有本品应有气味、无异味；</w:t>
            </w:r>
          </w:p>
          <w:p>
            <w:pPr>
              <w:pStyle w:val="22"/>
              <w:spacing w:line="360" w:lineRule="auto"/>
              <w:rPr>
                <w:rFonts w:ascii="宋体" w:hAnsi="宋体" w:cs="宋体"/>
                <w:szCs w:val="21"/>
              </w:rPr>
            </w:pPr>
            <w:r>
              <w:rPr>
                <w:rFonts w:hint="eastAsia" w:ascii="宋体" w:hAnsi="宋体" w:cs="宋体"/>
                <w:szCs w:val="21"/>
              </w:rPr>
              <w:t>3.检查具备销售适宜的成熟度、不得腐烂、发霉、损伤；</w:t>
            </w:r>
          </w:p>
          <w:p>
            <w:pPr>
              <w:pStyle w:val="22"/>
              <w:spacing w:line="360" w:lineRule="auto"/>
              <w:rPr>
                <w:rFonts w:ascii="宋体" w:hAnsi="宋体" w:cs="宋体"/>
                <w:szCs w:val="21"/>
              </w:rPr>
            </w:pPr>
            <w:r>
              <w:rPr>
                <w:rFonts w:hint="eastAsia" w:ascii="宋体" w:hAnsi="宋体" w:cs="宋体"/>
                <w:szCs w:val="21"/>
              </w:rPr>
              <w:t>4.检查外观整齐、无畸形、无病虫害，无生理病害；</w:t>
            </w:r>
          </w:p>
          <w:p>
            <w:pPr>
              <w:pStyle w:val="22"/>
              <w:spacing w:line="360" w:lineRule="auto"/>
              <w:rPr>
                <w:rFonts w:ascii="宋体" w:hAnsi="宋体" w:cs="宋体"/>
                <w:szCs w:val="21"/>
              </w:rPr>
            </w:pPr>
            <w:r>
              <w:rPr>
                <w:rFonts w:hint="eastAsia" w:ascii="宋体" w:hAnsi="宋体" w:cs="宋体"/>
                <w:szCs w:val="21"/>
              </w:rPr>
              <w:t>5.检查商品大小、重量、个数符合订单要求</w:t>
            </w:r>
          </w:p>
          <w:p>
            <w:pPr>
              <w:pStyle w:val="22"/>
              <w:spacing w:line="360" w:lineRule="auto"/>
              <w:rPr>
                <w:rFonts w:ascii="宋体" w:hAnsi="宋体" w:cs="宋体"/>
                <w:szCs w:val="21"/>
              </w:rPr>
            </w:pPr>
            <w:r>
              <w:rPr>
                <w:rFonts w:hint="eastAsia" w:ascii="宋体" w:hAnsi="宋体" w:cs="宋体"/>
                <w:szCs w:val="21"/>
              </w:rPr>
              <w:t>6.进口货特殊认证商品检查资质证书，并存档</w:t>
            </w:r>
          </w:p>
        </w:tc>
        <w:tc>
          <w:tcPr>
            <w:tcW w:w="1548" w:type="dxa"/>
            <w:vAlign w:val="center"/>
          </w:tcPr>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优良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合格   （  ）</w:t>
            </w:r>
          </w:p>
          <w:p>
            <w:pPr>
              <w:widowControl/>
              <w:shd w:val="clear" w:color="auto" w:fill="FFFFFF"/>
              <w:tabs>
                <w:tab w:val="left" w:pos="426"/>
              </w:tabs>
              <w:adjustRightInd w:val="0"/>
              <w:snapToGrid w:val="0"/>
              <w:spacing w:line="360" w:lineRule="auto"/>
              <w:rPr>
                <w:rFonts w:ascii="宋体" w:hAnsi="宋体" w:cs="宋体"/>
                <w:kern w:val="0"/>
                <w:szCs w:val="21"/>
              </w:rPr>
            </w:pPr>
            <w:r>
              <w:rPr>
                <w:rFonts w:hint="eastAsia" w:ascii="宋体" w:hAnsi="宋体" w:cs="宋体"/>
                <w:kern w:val="0"/>
                <w:szCs w:val="21"/>
              </w:rPr>
              <w:t>不合格 （  ）</w:t>
            </w:r>
          </w:p>
        </w:tc>
        <w:tc>
          <w:tcPr>
            <w:tcW w:w="1080" w:type="dxa"/>
            <w:vAlign w:val="center"/>
          </w:tcPr>
          <w:p>
            <w:pPr>
              <w:widowControl/>
              <w:shd w:val="clear" w:color="auto" w:fill="FFFFFF"/>
              <w:tabs>
                <w:tab w:val="left" w:pos="426"/>
              </w:tabs>
              <w:adjustRightInd w:val="0"/>
              <w:snapToGrid w:val="0"/>
              <w:spacing w:line="360" w:lineRule="auto"/>
              <w:ind w:firstLine="56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widowControl/>
              <w:shd w:val="clear" w:color="auto" w:fill="FFFFFF"/>
              <w:tabs>
                <w:tab w:val="left" w:pos="426"/>
              </w:tabs>
              <w:adjustRightInd w:val="0"/>
              <w:snapToGrid w:val="0"/>
              <w:spacing w:line="360" w:lineRule="auto"/>
              <w:jc w:val="center"/>
              <w:rPr>
                <w:rFonts w:ascii="宋体" w:hAnsi="宋体" w:cs="宋体"/>
                <w:kern w:val="0"/>
                <w:szCs w:val="21"/>
              </w:rPr>
            </w:pPr>
            <w:r>
              <w:rPr>
                <w:rFonts w:hint="eastAsia" w:ascii="宋体" w:hAnsi="宋体" w:cs="宋体"/>
                <w:kern w:val="0"/>
                <w:szCs w:val="21"/>
              </w:rPr>
              <w:t>备注</w:t>
            </w:r>
          </w:p>
        </w:tc>
        <w:tc>
          <w:tcPr>
            <w:tcW w:w="9186" w:type="dxa"/>
            <w:gridSpan w:val="7"/>
            <w:vAlign w:val="center"/>
          </w:tcPr>
          <w:p>
            <w:pPr>
              <w:widowControl/>
              <w:shd w:val="clear" w:color="auto" w:fill="FFFFFF"/>
              <w:tabs>
                <w:tab w:val="left" w:pos="426"/>
              </w:tabs>
              <w:adjustRightInd w:val="0"/>
              <w:snapToGrid w:val="0"/>
              <w:spacing w:line="360" w:lineRule="auto"/>
              <w:ind w:firstLine="560"/>
              <w:rPr>
                <w:rFonts w:ascii="宋体" w:hAnsi="宋体" w:cs="宋体"/>
                <w:kern w:val="0"/>
                <w:szCs w:val="21"/>
              </w:rPr>
            </w:pPr>
            <w:r>
              <w:rPr>
                <w:rFonts w:hint="eastAsia" w:ascii="宋体" w:hAnsi="宋体" w:cs="宋体"/>
                <w:kern w:val="0"/>
                <w:szCs w:val="21"/>
              </w:rPr>
              <w:t>所有供应食物单位必须营业执照、卫生许可证、产品检验报告三证齐全。此清单一式两份，签字确认，作为供货和收货凭证。</w:t>
            </w:r>
          </w:p>
        </w:tc>
      </w:tr>
    </w:tbl>
    <w:p>
      <w:pPr>
        <w:widowControl/>
        <w:shd w:val="clear" w:color="auto" w:fill="FFFFFF"/>
        <w:tabs>
          <w:tab w:val="left" w:pos="426"/>
        </w:tabs>
        <w:adjustRightInd w:val="0"/>
        <w:snapToGrid w:val="0"/>
        <w:spacing w:line="360" w:lineRule="auto"/>
        <w:ind w:right="-512" w:rightChars="-244"/>
        <w:rPr>
          <w:rFonts w:ascii="宋体" w:hAnsi="宋体" w:cs="宋体"/>
          <w:b/>
          <w:kern w:val="0"/>
          <w:szCs w:val="21"/>
        </w:rPr>
      </w:pPr>
    </w:p>
    <w:p>
      <w:pPr>
        <w:widowControl/>
        <w:spacing w:line="360" w:lineRule="auto"/>
        <w:jc w:val="left"/>
        <w:rPr>
          <w:rFonts w:ascii="宋体" w:hAnsi="宋体" w:cs="宋体"/>
          <w:b/>
          <w:bCs/>
          <w:kern w:val="0"/>
          <w:szCs w:val="21"/>
        </w:rPr>
      </w:pPr>
    </w:p>
    <w:p>
      <w:pPr>
        <w:widowControl/>
        <w:shd w:val="clear" w:color="auto" w:fill="FFFFFF"/>
        <w:tabs>
          <w:tab w:val="left" w:pos="426"/>
        </w:tabs>
        <w:adjustRightInd w:val="0"/>
        <w:snapToGrid w:val="0"/>
        <w:spacing w:line="360" w:lineRule="auto"/>
        <w:rPr>
          <w:rFonts w:ascii="宋体" w:hAnsi="宋体" w:cs="宋体"/>
          <w:b/>
          <w:bCs/>
          <w:kern w:val="0"/>
          <w:szCs w:val="21"/>
        </w:rPr>
      </w:pPr>
      <w:r>
        <w:rPr>
          <w:rFonts w:hint="eastAsia" w:ascii="宋体" w:hAnsi="宋体" w:cs="宋体"/>
          <w:b/>
          <w:bCs/>
          <w:kern w:val="0"/>
          <w:szCs w:val="21"/>
        </w:rPr>
        <w:t>附件2：食堂物资供货异常情况登记表</w:t>
      </w:r>
    </w:p>
    <w:p>
      <w:pPr>
        <w:widowControl/>
        <w:shd w:val="clear" w:color="auto" w:fill="FFFFFF"/>
        <w:tabs>
          <w:tab w:val="left" w:pos="426"/>
        </w:tabs>
        <w:adjustRightInd w:val="0"/>
        <w:snapToGrid w:val="0"/>
        <w:spacing w:line="360" w:lineRule="auto"/>
        <w:rPr>
          <w:rFonts w:ascii="宋体" w:hAnsi="宋体" w:cs="宋体"/>
          <w:b/>
          <w:bCs/>
          <w:kern w:val="0"/>
          <w:szCs w:val="21"/>
        </w:rPr>
      </w:pPr>
    </w:p>
    <w:tbl>
      <w:tblPr>
        <w:tblStyle w:val="51"/>
        <w:tblW w:w="904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99"/>
        <w:gridCol w:w="3733"/>
        <w:gridCol w:w="2354"/>
        <w:gridCol w:w="13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9" w:type="dxa"/>
            <w:tcBorders>
              <w:top w:val="single" w:color="auto" w:sz="8" w:space="0"/>
              <w:left w:val="single" w:color="auto" w:sz="8" w:space="0"/>
              <w:bottom w:val="single" w:color="auto" w:sz="6" w:space="0"/>
              <w:right w:val="single" w:color="auto" w:sz="6"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r>
              <w:rPr>
                <w:rFonts w:hint="eastAsia" w:ascii="宋体" w:hAnsi="宋体" w:cs="宋体"/>
                <w:kern w:val="0"/>
                <w:szCs w:val="21"/>
              </w:rPr>
              <w:t>供应商名称</w:t>
            </w:r>
          </w:p>
        </w:tc>
        <w:tc>
          <w:tcPr>
            <w:tcW w:w="3733" w:type="dxa"/>
            <w:tcBorders>
              <w:top w:val="single" w:color="auto" w:sz="8" w:space="0"/>
              <w:left w:val="nil"/>
              <w:bottom w:val="single" w:color="auto" w:sz="6" w:space="0"/>
              <w:right w:val="single" w:color="auto" w:sz="6"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p>
        </w:tc>
        <w:tc>
          <w:tcPr>
            <w:tcW w:w="2354" w:type="dxa"/>
            <w:tcBorders>
              <w:top w:val="single" w:color="auto" w:sz="8" w:space="0"/>
              <w:left w:val="nil"/>
              <w:bottom w:val="single" w:color="auto" w:sz="6" w:space="0"/>
              <w:right w:val="single" w:color="auto" w:sz="6"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r>
              <w:rPr>
                <w:rFonts w:hint="eastAsia" w:ascii="宋体" w:hAnsi="宋体" w:cs="宋体"/>
                <w:kern w:val="0"/>
                <w:szCs w:val="21"/>
              </w:rPr>
              <w:t>联系人及电话</w:t>
            </w:r>
          </w:p>
        </w:tc>
        <w:tc>
          <w:tcPr>
            <w:tcW w:w="1360" w:type="dxa"/>
            <w:tcBorders>
              <w:top w:val="single" w:color="auto" w:sz="4" w:space="0"/>
              <w:left w:val="nil"/>
              <w:bottom w:val="single" w:color="auto" w:sz="6" w:space="0"/>
              <w:right w:val="single" w:color="auto" w:sz="8"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0" w:hRule="atLeast"/>
          <w:jc w:val="center"/>
        </w:trPr>
        <w:tc>
          <w:tcPr>
            <w:tcW w:w="1599" w:type="dxa"/>
            <w:tcBorders>
              <w:top w:val="single" w:color="auto" w:sz="6" w:space="0"/>
              <w:left w:val="single" w:color="auto" w:sz="8" w:space="0"/>
              <w:bottom w:val="single" w:color="auto" w:sz="6" w:space="0"/>
              <w:right w:val="single" w:color="auto" w:sz="6"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r>
              <w:rPr>
                <w:rFonts w:hint="eastAsia" w:ascii="宋体" w:hAnsi="宋体" w:cs="宋体"/>
                <w:kern w:val="0"/>
                <w:szCs w:val="21"/>
              </w:rPr>
              <w:t>送货地点</w:t>
            </w:r>
          </w:p>
        </w:tc>
        <w:tc>
          <w:tcPr>
            <w:tcW w:w="3733" w:type="dxa"/>
            <w:tcBorders>
              <w:top w:val="single" w:color="auto" w:sz="6" w:space="0"/>
              <w:left w:val="nil"/>
              <w:bottom w:val="single" w:color="auto" w:sz="6" w:space="0"/>
              <w:right w:val="single" w:color="auto" w:sz="6" w:space="0"/>
            </w:tcBorders>
            <w:vAlign w:val="center"/>
          </w:tcPr>
          <w:p>
            <w:pPr>
              <w:widowControl/>
              <w:shd w:val="clear" w:color="auto" w:fill="FFFFFF"/>
              <w:tabs>
                <w:tab w:val="left" w:pos="426"/>
              </w:tabs>
              <w:adjustRightInd w:val="0"/>
              <w:snapToGrid w:val="0"/>
              <w:spacing w:line="360" w:lineRule="auto"/>
              <w:jc w:val="center"/>
              <w:rPr>
                <w:rFonts w:ascii="宋体" w:hAnsi="宋体" w:cs="宋体"/>
                <w:kern w:val="0"/>
                <w:szCs w:val="21"/>
              </w:rPr>
            </w:pPr>
          </w:p>
          <w:p>
            <w:pPr>
              <w:shd w:val="clear" w:color="auto" w:fill="FFFFFF"/>
              <w:tabs>
                <w:tab w:val="left" w:pos="426"/>
              </w:tabs>
              <w:adjustRightInd w:val="0"/>
              <w:snapToGrid w:val="0"/>
              <w:spacing w:line="360" w:lineRule="auto"/>
              <w:jc w:val="center"/>
              <w:rPr>
                <w:rFonts w:ascii="宋体" w:hAnsi="宋体" w:cs="宋体"/>
                <w:szCs w:val="21"/>
              </w:rPr>
            </w:pPr>
          </w:p>
        </w:tc>
        <w:tc>
          <w:tcPr>
            <w:tcW w:w="2354" w:type="dxa"/>
            <w:tcBorders>
              <w:top w:val="single" w:color="auto" w:sz="6" w:space="0"/>
              <w:left w:val="nil"/>
              <w:bottom w:val="single" w:color="auto" w:sz="6" w:space="0"/>
              <w:right w:val="single" w:color="auto" w:sz="6"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r>
              <w:rPr>
                <w:rFonts w:hint="eastAsia" w:ascii="宋体" w:hAnsi="宋体" w:cs="宋体"/>
                <w:kern w:val="0"/>
                <w:szCs w:val="21"/>
              </w:rPr>
              <w:t>送货时间</w:t>
            </w:r>
          </w:p>
        </w:tc>
        <w:tc>
          <w:tcPr>
            <w:tcW w:w="1360" w:type="dxa"/>
            <w:tcBorders>
              <w:top w:val="single" w:color="auto" w:sz="6" w:space="0"/>
              <w:left w:val="nil"/>
              <w:bottom w:val="single" w:color="auto" w:sz="6" w:space="0"/>
              <w:right w:val="single" w:color="auto" w:sz="8" w:space="0"/>
            </w:tcBorders>
            <w:vAlign w:val="center"/>
          </w:tcPr>
          <w:p>
            <w:pPr>
              <w:shd w:val="clear" w:color="auto" w:fill="FFFFFF"/>
              <w:tabs>
                <w:tab w:val="left" w:pos="426"/>
              </w:tabs>
              <w:adjustRightInd w:val="0"/>
              <w:snapToGrid w:val="0"/>
              <w:spacing w:line="360" w:lineRule="auto"/>
              <w:ind w:firstLine="525" w:firstLineChars="250"/>
              <w:rPr>
                <w:rFonts w:ascii="宋体" w:hAnsi="宋体" w:cs="宋体"/>
                <w:szCs w:val="21"/>
              </w:rPr>
            </w:pP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9" w:type="dxa"/>
            <w:tcBorders>
              <w:top w:val="single" w:color="auto" w:sz="6" w:space="0"/>
              <w:left w:val="single" w:color="auto" w:sz="8" w:space="0"/>
              <w:bottom w:val="single" w:color="auto" w:sz="6" w:space="0"/>
              <w:right w:val="single" w:color="auto" w:sz="6"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r>
              <w:rPr>
                <w:rFonts w:hint="eastAsia" w:ascii="宋体" w:hAnsi="宋体" w:cs="宋体"/>
                <w:kern w:val="0"/>
                <w:szCs w:val="21"/>
              </w:rPr>
              <w:t>异常情况类别</w:t>
            </w:r>
          </w:p>
        </w:tc>
        <w:tc>
          <w:tcPr>
            <w:tcW w:w="7447" w:type="dxa"/>
            <w:gridSpan w:val="3"/>
            <w:tcBorders>
              <w:top w:val="single" w:color="auto" w:sz="6" w:space="0"/>
              <w:left w:val="nil"/>
              <w:bottom w:val="single" w:color="auto" w:sz="6" w:space="0"/>
              <w:right w:val="single" w:color="auto" w:sz="8"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r>
              <w:rPr>
                <w:rFonts w:hint="eastAsia" w:ascii="宋体" w:hAnsi="宋体" w:cs="宋体"/>
                <w:kern w:val="0"/>
                <w:szCs w:val="21"/>
              </w:rPr>
              <w:t xml:space="preserve"> □质量    □时间    □服务    □价格     □ 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41" w:hRule="atLeast"/>
          <w:jc w:val="center"/>
        </w:trPr>
        <w:tc>
          <w:tcPr>
            <w:tcW w:w="1599" w:type="dxa"/>
            <w:tcBorders>
              <w:top w:val="single" w:color="auto" w:sz="6" w:space="0"/>
              <w:left w:val="single" w:color="auto" w:sz="8" w:space="0"/>
              <w:bottom w:val="single" w:color="auto" w:sz="6" w:space="0"/>
              <w:right w:val="single" w:color="auto" w:sz="6"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r>
              <w:rPr>
                <w:rFonts w:hint="eastAsia" w:ascii="宋体" w:hAnsi="宋体" w:cs="宋体"/>
                <w:kern w:val="0"/>
                <w:szCs w:val="21"/>
              </w:rPr>
              <w:t>具体情况</w:t>
            </w:r>
          </w:p>
        </w:tc>
        <w:tc>
          <w:tcPr>
            <w:tcW w:w="7447" w:type="dxa"/>
            <w:gridSpan w:val="3"/>
            <w:tcBorders>
              <w:top w:val="single" w:color="auto" w:sz="6" w:space="0"/>
              <w:left w:val="nil"/>
              <w:bottom w:val="single" w:color="auto" w:sz="6" w:space="0"/>
              <w:right w:val="single" w:color="auto" w:sz="8" w:space="0"/>
            </w:tcBorders>
          </w:tcPr>
          <w:p>
            <w:pPr>
              <w:widowControl/>
              <w:shd w:val="clear" w:color="auto" w:fill="FFFFFF"/>
              <w:tabs>
                <w:tab w:val="left" w:pos="426"/>
              </w:tabs>
              <w:adjustRightInd w:val="0"/>
              <w:snapToGrid w:val="0"/>
              <w:spacing w:line="360" w:lineRule="auto"/>
              <w:rPr>
                <w:rFonts w:ascii="宋体" w:hAnsi="宋体" w:cs="宋体"/>
                <w:kern w:val="0"/>
                <w:szCs w:val="21"/>
              </w:rPr>
            </w:pPr>
          </w:p>
          <w:p>
            <w:pPr>
              <w:widowControl/>
              <w:shd w:val="clear" w:color="auto" w:fill="FFFFFF"/>
              <w:tabs>
                <w:tab w:val="left" w:pos="426"/>
              </w:tabs>
              <w:adjustRightInd w:val="0"/>
              <w:snapToGrid w:val="0"/>
              <w:spacing w:line="360" w:lineRule="auto"/>
              <w:rPr>
                <w:rFonts w:ascii="宋体" w:hAnsi="宋体" w:cs="宋体"/>
                <w:kern w:val="0"/>
                <w:szCs w:val="21"/>
              </w:rPr>
            </w:pPr>
          </w:p>
          <w:p>
            <w:pPr>
              <w:widowControl/>
              <w:shd w:val="clear" w:color="auto" w:fill="FFFFFF"/>
              <w:tabs>
                <w:tab w:val="left" w:pos="426"/>
              </w:tabs>
              <w:adjustRightInd w:val="0"/>
              <w:snapToGrid w:val="0"/>
              <w:spacing w:line="360" w:lineRule="auto"/>
              <w:rPr>
                <w:rFonts w:ascii="宋体" w:hAnsi="宋体" w:cs="宋体"/>
                <w:kern w:val="0"/>
                <w:szCs w:val="21"/>
              </w:rPr>
            </w:pPr>
          </w:p>
          <w:p>
            <w:pPr>
              <w:widowControl/>
              <w:shd w:val="clear" w:color="auto" w:fill="FFFFFF"/>
              <w:tabs>
                <w:tab w:val="left" w:pos="426"/>
              </w:tabs>
              <w:adjustRightInd w:val="0"/>
              <w:snapToGrid w:val="0"/>
              <w:spacing w:line="360" w:lineRule="auto"/>
              <w:rPr>
                <w:rFonts w:ascii="宋体" w:hAnsi="宋体" w:cs="宋体"/>
                <w:kern w:val="0"/>
                <w:szCs w:val="21"/>
              </w:rPr>
            </w:pPr>
          </w:p>
          <w:p>
            <w:pPr>
              <w:widowControl/>
              <w:shd w:val="clear" w:color="auto" w:fill="FFFFFF"/>
              <w:tabs>
                <w:tab w:val="left" w:pos="426"/>
              </w:tabs>
              <w:adjustRightInd w:val="0"/>
              <w:snapToGrid w:val="0"/>
              <w:spacing w:line="360" w:lineRule="auto"/>
              <w:rPr>
                <w:rFonts w:ascii="宋体" w:hAnsi="宋体" w:cs="宋体"/>
                <w:kern w:val="0"/>
                <w:szCs w:val="21"/>
              </w:rPr>
            </w:pPr>
          </w:p>
          <w:p>
            <w:pPr>
              <w:shd w:val="clear" w:color="auto" w:fill="FFFFFF"/>
              <w:tabs>
                <w:tab w:val="left" w:pos="426"/>
              </w:tabs>
              <w:adjustRightInd w:val="0"/>
              <w:snapToGrid w:val="0"/>
              <w:spacing w:line="360" w:lineRule="auto"/>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599" w:type="dxa"/>
            <w:tcBorders>
              <w:top w:val="single" w:color="auto" w:sz="4" w:space="0"/>
              <w:left w:val="single" w:color="auto" w:sz="8" w:space="0"/>
              <w:bottom w:val="single" w:color="auto" w:sz="8" w:space="0"/>
              <w:right w:val="single" w:color="auto" w:sz="6" w:space="0"/>
            </w:tcBorders>
            <w:vAlign w:val="center"/>
          </w:tcPr>
          <w:p>
            <w:pPr>
              <w:shd w:val="clear" w:color="auto" w:fill="FFFFFF"/>
              <w:tabs>
                <w:tab w:val="left" w:pos="426"/>
              </w:tabs>
              <w:adjustRightInd w:val="0"/>
              <w:snapToGrid w:val="0"/>
              <w:spacing w:line="360" w:lineRule="auto"/>
              <w:jc w:val="center"/>
              <w:rPr>
                <w:rFonts w:ascii="宋体" w:hAnsi="宋体" w:cs="宋体"/>
                <w:szCs w:val="21"/>
              </w:rPr>
            </w:pPr>
            <w:r>
              <w:rPr>
                <w:rFonts w:hint="eastAsia" w:ascii="宋体" w:hAnsi="宋体" w:cs="宋体"/>
                <w:kern w:val="0"/>
                <w:szCs w:val="21"/>
              </w:rPr>
              <w:t>收货方签名</w:t>
            </w:r>
          </w:p>
        </w:tc>
        <w:tc>
          <w:tcPr>
            <w:tcW w:w="3733" w:type="dxa"/>
            <w:tcBorders>
              <w:top w:val="single" w:color="auto" w:sz="4" w:space="0"/>
              <w:left w:val="nil"/>
              <w:bottom w:val="single" w:color="auto" w:sz="8" w:space="0"/>
              <w:right w:val="single" w:color="auto" w:sz="4" w:space="0"/>
            </w:tcBorders>
            <w:vAlign w:val="center"/>
          </w:tcPr>
          <w:p>
            <w:pPr>
              <w:shd w:val="clear" w:color="auto" w:fill="FFFFFF"/>
              <w:tabs>
                <w:tab w:val="left" w:pos="426"/>
              </w:tabs>
              <w:adjustRightInd w:val="0"/>
              <w:snapToGrid w:val="0"/>
              <w:spacing w:line="360" w:lineRule="auto"/>
              <w:ind w:firstLine="3780" w:firstLineChars="1800"/>
              <w:rPr>
                <w:rFonts w:ascii="宋体" w:hAnsi="宋体" w:cs="宋体"/>
                <w:szCs w:val="21"/>
              </w:rPr>
            </w:pPr>
          </w:p>
        </w:tc>
        <w:tc>
          <w:tcPr>
            <w:tcW w:w="2354" w:type="dxa"/>
            <w:tcBorders>
              <w:top w:val="single" w:color="auto" w:sz="4" w:space="0"/>
              <w:left w:val="nil"/>
              <w:bottom w:val="single" w:color="auto" w:sz="8" w:space="0"/>
              <w:right w:val="single" w:color="auto" w:sz="4" w:space="0"/>
            </w:tcBorders>
            <w:vAlign w:val="center"/>
          </w:tcPr>
          <w:p>
            <w:pPr>
              <w:shd w:val="clear" w:color="auto" w:fill="FFFFFF"/>
              <w:tabs>
                <w:tab w:val="left" w:pos="426"/>
              </w:tabs>
              <w:adjustRightInd w:val="0"/>
              <w:snapToGrid w:val="0"/>
              <w:spacing w:line="360" w:lineRule="auto"/>
              <w:rPr>
                <w:rFonts w:ascii="宋体" w:hAnsi="宋体" w:cs="宋体"/>
                <w:szCs w:val="21"/>
              </w:rPr>
            </w:pPr>
            <w:r>
              <w:rPr>
                <w:rFonts w:hint="eastAsia" w:ascii="宋体" w:hAnsi="宋体" w:cs="宋体"/>
                <w:kern w:val="0"/>
                <w:szCs w:val="21"/>
              </w:rPr>
              <w:t>供货负责人签名</w:t>
            </w:r>
          </w:p>
        </w:tc>
        <w:tc>
          <w:tcPr>
            <w:tcW w:w="1360" w:type="dxa"/>
            <w:tcBorders>
              <w:top w:val="single" w:color="auto" w:sz="4" w:space="0"/>
              <w:left w:val="nil"/>
              <w:bottom w:val="single" w:color="auto" w:sz="8" w:space="0"/>
              <w:right w:val="single" w:color="auto" w:sz="8" w:space="0"/>
            </w:tcBorders>
            <w:vAlign w:val="center"/>
          </w:tcPr>
          <w:p>
            <w:pPr>
              <w:shd w:val="clear" w:color="auto" w:fill="FFFFFF"/>
              <w:tabs>
                <w:tab w:val="left" w:pos="426"/>
              </w:tabs>
              <w:adjustRightInd w:val="0"/>
              <w:snapToGrid w:val="0"/>
              <w:spacing w:line="360" w:lineRule="auto"/>
              <w:ind w:firstLine="3780" w:firstLineChars="1800"/>
              <w:rPr>
                <w:rFonts w:ascii="宋体" w:hAnsi="宋体" w:cs="宋体"/>
                <w:szCs w:val="21"/>
              </w:rPr>
            </w:pPr>
          </w:p>
        </w:tc>
      </w:tr>
    </w:tbl>
    <w:p>
      <w:pPr>
        <w:pStyle w:val="22"/>
        <w:tabs>
          <w:tab w:val="left" w:pos="420"/>
          <w:tab w:val="left" w:pos="3372"/>
          <w:tab w:val="left" w:pos="3653"/>
        </w:tabs>
        <w:adjustRightInd w:val="0"/>
        <w:snapToGrid w:val="0"/>
        <w:spacing w:after="0" w:line="360" w:lineRule="auto"/>
        <w:ind w:firstLine="420" w:firstLineChars="200"/>
        <w:jc w:val="left"/>
        <w:rPr>
          <w:rFonts w:ascii="宋体" w:hAnsi="宋体" w:cs="宋体"/>
          <w:kern w:val="0"/>
          <w:szCs w:val="21"/>
        </w:rPr>
      </w:pPr>
      <w:r>
        <w:rPr>
          <w:rFonts w:hint="eastAsia" w:ascii="宋体" w:hAnsi="宋体" w:cs="宋体"/>
          <w:kern w:val="0"/>
          <w:szCs w:val="21"/>
        </w:rPr>
        <w:t>说明：履约异常情况分为质量、时间、服务、价格、其他共五类，请首先在对应的类别前打“√”，然后在“具体情况”一栏详细说明情况。本表格一式两联，供应商及收货方各执一联。</w:t>
      </w:r>
    </w:p>
    <w:p>
      <w:pPr>
        <w:pStyle w:val="256"/>
        <w:spacing w:before="156" w:line="360" w:lineRule="auto"/>
        <w:ind w:firstLine="0" w:firstLineChars="0"/>
        <w:rPr>
          <w:rFonts w:ascii="宋体" w:hAnsi="宋体" w:cs="宋体"/>
          <w:kern w:val="0"/>
          <w:szCs w:val="21"/>
        </w:rPr>
      </w:pPr>
      <w:r>
        <w:rPr>
          <w:szCs w:val="21"/>
        </w:rPr>
        <w:br w:type="page"/>
      </w:r>
    </w:p>
    <w:p>
      <w:pPr>
        <w:pStyle w:val="457"/>
        <w:spacing w:before="0" w:beforeAutospacing="0" w:after="0" w:afterAutospacing="0" w:line="360" w:lineRule="auto"/>
        <w:rPr>
          <w:sz w:val="21"/>
          <w:szCs w:val="21"/>
        </w:rPr>
      </w:pPr>
    </w:p>
    <w:p>
      <w:pPr>
        <w:pStyle w:val="3"/>
      </w:pPr>
      <w:bookmarkStart w:id="2" w:name="_Toc73613622"/>
      <w:r>
        <w:rPr>
          <w:rFonts w:hint="eastAsia"/>
        </w:rPr>
        <w:t>第三章  响应文件初审</w:t>
      </w:r>
      <w:bookmarkEnd w:id="2"/>
    </w:p>
    <w:p>
      <w:pPr>
        <w:autoSpaceDE w:val="0"/>
        <w:autoSpaceDN w:val="0"/>
        <w:adjustRightInd w:val="0"/>
        <w:spacing w:line="360" w:lineRule="auto"/>
        <w:ind w:firstLine="480" w:firstLineChars="200"/>
        <w:jc w:val="left"/>
        <w:rPr>
          <w:rFonts w:ascii="仿宋_GB2312" w:eastAsia="仿宋_GB2312"/>
          <w:sz w:val="24"/>
        </w:rPr>
      </w:pP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本章是采购文件中涉及的所有无效响应情形的摘要，除法律法规另有规定外，响应文件的其他任何情形均不得作无效响应处理。采购文件中有关无效响应与本章节不一致的，以本章节内容为准。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1、供应商的资格不符合采购文件要求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1、供应商提供的响应文件数量不符合采购文件要求。</w:t>
      </w:r>
    </w:p>
    <w:p>
      <w:pPr>
        <w:adjustRightInd w:val="0"/>
        <w:spacing w:line="360" w:lineRule="auto"/>
        <w:rPr>
          <w:rFonts w:ascii="宋体" w:hAnsi="宋体"/>
          <w:snapToGrid w:val="0"/>
          <w:kern w:val="0"/>
        </w:rPr>
      </w:pPr>
      <w:r>
        <w:rPr>
          <w:rFonts w:hint="eastAsia" w:ascii="宋体" w:hAnsi="宋体"/>
          <w:snapToGrid w:val="0"/>
          <w:kern w:val="0"/>
        </w:rPr>
        <w:t>2、响应文件未按照采购文件要求制作、密封和标记。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3、未按采购文件要求提供法定代表人（负责人）证明书和法定代表人（负责人）授权委托书。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4、响应文件有关内容未按采购文件要求加盖供应商印章、或未经法定代表人或其委托代理人签字（或盖章）。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5、响应文件的关键内容字迹模糊、无法辨认的。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6、报价有严重缺漏项的。</w:t>
      </w:r>
    </w:p>
    <w:p>
      <w:pPr>
        <w:adjustRightInd w:val="0"/>
        <w:spacing w:line="360" w:lineRule="auto"/>
        <w:rPr>
          <w:rFonts w:ascii="宋体" w:hAnsi="宋体"/>
          <w:snapToGrid w:val="0"/>
          <w:kern w:val="0"/>
        </w:rPr>
      </w:pPr>
      <w:r>
        <w:rPr>
          <w:rFonts w:hint="eastAsia" w:ascii="宋体" w:hAnsi="宋体"/>
          <w:snapToGrid w:val="0"/>
          <w:kern w:val="0"/>
        </w:rPr>
        <w:t>7、未按采购文件所提供的样式填写</w:t>
      </w:r>
      <w:r>
        <w:rPr>
          <w:rFonts w:ascii="宋体" w:hAnsi="宋体"/>
          <w:snapToGrid w:val="0"/>
          <w:kern w:val="0"/>
        </w:rPr>
        <w:t>《</w:t>
      </w:r>
      <w:r>
        <w:rPr>
          <w:rFonts w:hint="eastAsia" w:ascii="宋体" w:hAnsi="宋体"/>
          <w:snapToGrid w:val="0"/>
          <w:kern w:val="0"/>
        </w:rPr>
        <w:t>声明函》。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9、将一个项目包拆分响应，对同一货物及服务响应时，同时提供两套或以上的方案。</w:t>
      </w:r>
    </w:p>
    <w:p>
      <w:pPr>
        <w:adjustRightInd w:val="0"/>
        <w:spacing w:line="360" w:lineRule="auto"/>
        <w:rPr>
          <w:rFonts w:ascii="宋体" w:hAnsi="宋体"/>
          <w:snapToGrid w:val="0"/>
          <w:kern w:val="0"/>
        </w:rPr>
      </w:pPr>
      <w:r>
        <w:rPr>
          <w:rFonts w:hint="eastAsia" w:ascii="宋体" w:hAnsi="宋体"/>
          <w:snapToGrid w:val="0"/>
          <w:kern w:val="0"/>
        </w:rPr>
        <w:t>10、响应文件附有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w:t>
      </w:r>
      <w:r>
        <w:rPr>
          <w:rFonts w:hint="eastAsia" w:ascii="宋体" w:hAnsi="宋体"/>
          <w:bCs/>
          <w:szCs w:val="21"/>
        </w:rPr>
        <w:t>供应商报价超过采购预算金额（最高限价）的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12、法律法规规定的其它情形。</w:t>
      </w:r>
    </w:p>
    <w:p/>
    <w:p/>
    <w:p/>
    <w:p>
      <w:pPr>
        <w:widowControl/>
        <w:jc w:val="left"/>
      </w:pPr>
      <w:r>
        <w:br w:type="page"/>
      </w:r>
    </w:p>
    <w:p/>
    <w:p>
      <w:pPr>
        <w:pStyle w:val="3"/>
        <w:spacing w:after="0"/>
      </w:pPr>
      <w:bookmarkStart w:id="3" w:name="_Toc73613623"/>
      <w:r>
        <w:rPr>
          <w:rFonts w:hint="eastAsia"/>
        </w:rPr>
        <w:t>第四章  评审方法和标准</w:t>
      </w:r>
      <w:bookmarkEnd w:id="3"/>
    </w:p>
    <w:p/>
    <w:p>
      <w:pPr>
        <w:pStyle w:val="5"/>
        <w:spacing w:before="0" w:after="0"/>
      </w:pPr>
      <w:bookmarkStart w:id="4" w:name="_Toc44690429"/>
      <w:bookmarkStart w:id="5" w:name="_Toc44691393"/>
      <w:bookmarkStart w:id="6" w:name="_Toc73613624"/>
      <w:bookmarkStart w:id="7" w:name="_Toc44690702"/>
      <w:bookmarkStart w:id="8" w:name="_Toc44691161"/>
      <w:r>
        <w:rPr>
          <w:rFonts w:hint="eastAsia"/>
        </w:rPr>
        <w:t>一、</w:t>
      </w:r>
      <w:r>
        <w:t>评审方法</w:t>
      </w:r>
      <w:bookmarkEnd w:id="4"/>
      <w:bookmarkEnd w:id="5"/>
      <w:bookmarkEnd w:id="6"/>
      <w:bookmarkEnd w:id="7"/>
      <w:bookmarkEnd w:id="8"/>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1、本项目评审方法：综合评分法</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2、成交供应商及成交候选人数量：</w:t>
      </w:r>
      <w:r>
        <w:rPr>
          <w:rFonts w:hint="eastAsia" w:cs="仿宋" w:asciiTheme="minorEastAsia" w:hAnsiTheme="minorEastAsia" w:eastAsiaTheme="minorEastAsia"/>
          <w:kern w:val="2"/>
          <w:sz w:val="21"/>
          <w:szCs w:val="21"/>
        </w:rPr>
        <w:t>成交供应商数量：1名，成交候选人数量：1名。</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3、评审规则：</w:t>
      </w:r>
    </w:p>
    <w:p>
      <w:pPr>
        <w:pStyle w:val="47"/>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评审时，评审委员会按照“</w:t>
      </w:r>
      <w:r>
        <w:rPr>
          <w:rFonts w:hint="eastAsia" w:asciiTheme="minorEastAsia" w:hAnsiTheme="minorEastAsia" w:eastAsiaTheme="minorEastAsia"/>
          <w:bCs/>
          <w:sz w:val="21"/>
          <w:szCs w:val="21"/>
        </w:rPr>
        <w:t>评审标准</w:t>
      </w:r>
      <w:r>
        <w:rPr>
          <w:rFonts w:hint="eastAsia" w:cs="仿宋" w:asciiTheme="minorEastAsia" w:hAnsiTheme="minorEastAsia" w:eastAsiaTheme="minorEastAsia"/>
          <w:kern w:val="2"/>
          <w:sz w:val="21"/>
          <w:szCs w:val="21"/>
        </w:rPr>
        <w:t>”中的各项评审因素，对通过资格性审查和符合性审查的所有供应商的响应文件进行独立评审，并汇总每个供应商的得分，取算术平均值后确定其评审得分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7"/>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排名结果按供应商评审得分由高到低顺序排列。得分相同的，按报价由低到高顺序排列。出现得分且报价相同的并列情况时，采取随机抽取的方式排名，具体操作办法及流程由评审委员会确定。</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4、推荐成交候选人：</w:t>
      </w:r>
    </w:p>
    <w:p>
      <w:pPr>
        <w:pStyle w:val="47"/>
        <w:spacing w:before="0" w:beforeAutospacing="0" w:after="0" w:afterAutospacing="0" w:line="360" w:lineRule="exact"/>
        <w:ind w:firstLine="371" w:firstLineChars="177"/>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由评审委员会推荐</w:t>
      </w:r>
      <w:r>
        <w:rPr>
          <w:rFonts w:hint="eastAsia" w:cs="仿宋" w:asciiTheme="minorEastAsia" w:hAnsiTheme="minorEastAsia" w:eastAsiaTheme="minorEastAsia"/>
          <w:b/>
          <w:kern w:val="2"/>
          <w:sz w:val="21"/>
          <w:szCs w:val="21"/>
        </w:rPr>
        <w:t>评审排名第一的供应商</w:t>
      </w:r>
      <w:r>
        <w:rPr>
          <w:rFonts w:hint="eastAsia" w:cs="仿宋" w:asciiTheme="minorEastAsia" w:hAnsiTheme="minorEastAsia" w:eastAsiaTheme="minorEastAsia"/>
          <w:kern w:val="2"/>
          <w:sz w:val="21"/>
          <w:szCs w:val="21"/>
        </w:rPr>
        <w:t>作为成交候选人。</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5、确定成交供应商：</w:t>
      </w:r>
    </w:p>
    <w:p>
      <w:pPr>
        <w:spacing w:line="360" w:lineRule="exact"/>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采购人在评审报告确定的成交候选人名单中按顺序确定1名成交供应商。</w:t>
      </w:r>
    </w:p>
    <w:p>
      <w:pPr>
        <w:spacing w:line="360" w:lineRule="exact"/>
        <w:ind w:firstLine="424" w:firstLineChars="202"/>
        <w:rPr>
          <w:rFonts w:cs="仿宋" w:asciiTheme="minorEastAsia" w:hAnsiTheme="minorEastAsia" w:eastAsiaTheme="minorEastAsia"/>
          <w:szCs w:val="21"/>
        </w:rPr>
      </w:pPr>
    </w:p>
    <w:p>
      <w:pPr>
        <w:pStyle w:val="5"/>
        <w:spacing w:before="0" w:after="0"/>
      </w:pPr>
      <w:bookmarkStart w:id="9" w:name="_Toc73613625"/>
      <w:r>
        <w:rPr>
          <w:rFonts w:hint="eastAsia"/>
        </w:rPr>
        <w:t>二、评审标准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评审委员会按照以下量化的评审因素，对各响应文件进行分析和比较：</w:t>
      </w:r>
    </w:p>
    <w:tbl>
      <w:tblPr>
        <w:tblStyle w:val="5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40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40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40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400" w:lineRule="exact"/>
              <w:jc w:val="center"/>
              <w:rPr>
                <w:rFonts w:ascii="宋体" w:hAnsi="宋体" w:cs="仿宋"/>
                <w:b/>
                <w:szCs w:val="21"/>
              </w:rPr>
            </w:pPr>
            <w:r>
              <w:rPr>
                <w:rFonts w:hint="eastAsia" w:ascii="宋体" w:hAnsi="宋体" w:cs="仿宋"/>
                <w:b/>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widowControl/>
              <w:spacing w:line="400" w:lineRule="exact"/>
              <w:jc w:val="left"/>
              <w:rPr>
                <w:rFonts w:ascii="宋体" w:hAnsi="宋体" w:cs="仿宋"/>
                <w:szCs w:val="21"/>
              </w:rPr>
            </w:pPr>
            <w:r>
              <w:rPr>
                <w:rFonts w:hint="eastAsia" w:ascii="宋体" w:hAnsi="宋体" w:cs="仿宋"/>
                <w:szCs w:val="21"/>
              </w:rPr>
              <w:t>价格分采用低价优先法计算，即满足招标文件要求且投标价格最低的投标报价为评标基准价，其价格分为满分。其他投标人的价格分统一按照下列公式计算：</w:t>
            </w:r>
          </w:p>
          <w:p>
            <w:pPr>
              <w:widowControl/>
              <w:spacing w:line="400" w:lineRule="exact"/>
              <w:jc w:val="left"/>
              <w:rPr>
                <w:rFonts w:ascii="宋体" w:hAnsi="宋体" w:cs="仿宋"/>
                <w:szCs w:val="21"/>
              </w:rPr>
            </w:pPr>
            <w:r>
              <w:rPr>
                <w:rFonts w:hint="eastAsia" w:ascii="宋体" w:hAnsi="宋体" w:cs="仿宋"/>
                <w:szCs w:val="21"/>
              </w:rPr>
              <w:t>投标报价得分=(评标基准价／投标报价)×权重</w:t>
            </w:r>
          </w:p>
          <w:p>
            <w:pPr>
              <w:adjustRightInd w:val="0"/>
              <w:snapToGrid w:val="0"/>
              <w:spacing w:line="400" w:lineRule="exact"/>
              <w:rPr>
                <w:rFonts w:ascii="宋体" w:hAnsi="宋体"/>
                <w:snapToGrid w:val="0"/>
                <w:kern w:val="0"/>
                <w:szCs w:val="21"/>
              </w:rPr>
            </w:pPr>
            <w:r>
              <w:rPr>
                <w:rFonts w:hint="eastAsia" w:ascii="宋体" w:hAnsi="宋体"/>
                <w:snapToGrid w:val="0"/>
                <w:kern w:val="0"/>
                <w:szCs w:val="21"/>
              </w:rPr>
              <w:t>备注：投标报价得分四舍五入后，小数点后保留两位有效数</w:t>
            </w:r>
            <w:r>
              <w:rPr>
                <w:rFonts w:hint="eastAsia" w:cs="仿宋" w:asciiTheme="minorEastAsia" w:hAnsiTheme="minorEastAsia" w:eastAsiaTheme="minorEastAsia"/>
                <w:szCs w:val="21"/>
              </w:rPr>
              <w:t>。</w:t>
            </w:r>
          </w:p>
        </w:tc>
        <w:tc>
          <w:tcPr>
            <w:tcW w:w="1187"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40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400" w:lineRule="exact"/>
              <w:jc w:val="center"/>
              <w:rPr>
                <w:rFonts w:ascii="宋体" w:hAnsi="宋体" w:cs="仿宋"/>
                <w:b/>
                <w:szCs w:val="21"/>
              </w:rPr>
            </w:pPr>
            <w:r>
              <w:rPr>
                <w:rFonts w:hint="eastAsia" w:ascii="宋体" w:hAnsi="宋体" w:cs="仿宋"/>
                <w:b/>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41" w:hRule="atLeast"/>
          <w:jc w:val="center"/>
        </w:trPr>
        <w:tc>
          <w:tcPr>
            <w:tcW w:w="754"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1</w:t>
            </w:r>
          </w:p>
        </w:tc>
        <w:tc>
          <w:tcPr>
            <w:tcW w:w="1143" w:type="dxa"/>
            <w:vAlign w:val="center"/>
          </w:tcPr>
          <w:p>
            <w:pPr>
              <w:shd w:val="clear" w:color="auto" w:fill="FFFFFF"/>
              <w:tabs>
                <w:tab w:val="left" w:pos="426"/>
              </w:tabs>
              <w:spacing w:line="400" w:lineRule="exact"/>
              <w:jc w:val="center"/>
              <w:textAlignment w:val="baseline"/>
              <w:rPr>
                <w:rFonts w:ascii="宋体" w:hAnsi="宋体"/>
                <w:kern w:val="0"/>
                <w:szCs w:val="21"/>
              </w:rPr>
            </w:pPr>
            <w:r>
              <w:rPr>
                <w:rFonts w:hint="eastAsia" w:ascii="宋体" w:hAnsi="宋体" w:cs="宋体"/>
                <w:szCs w:val="21"/>
              </w:rPr>
              <w:t>项目实施方案</w:t>
            </w:r>
          </w:p>
        </w:tc>
        <w:tc>
          <w:tcPr>
            <w:tcW w:w="709" w:type="dxa"/>
            <w:vAlign w:val="center"/>
          </w:tcPr>
          <w:p>
            <w:pPr>
              <w:shd w:val="clear" w:color="auto" w:fill="FFFFFF"/>
              <w:tabs>
                <w:tab w:val="left" w:pos="426"/>
              </w:tabs>
              <w:spacing w:line="400" w:lineRule="exact"/>
              <w:jc w:val="center"/>
              <w:textAlignment w:val="baseline"/>
              <w:rPr>
                <w:rFonts w:ascii="宋体" w:hAnsi="宋体"/>
                <w:kern w:val="0"/>
                <w:szCs w:val="21"/>
              </w:rPr>
            </w:pPr>
            <w:r>
              <w:rPr>
                <w:rFonts w:hint="eastAsia" w:ascii="宋体" w:hAnsi="宋体" w:cs="宋体"/>
                <w:szCs w:val="21"/>
              </w:rPr>
              <w:t>10</w:t>
            </w:r>
          </w:p>
        </w:tc>
        <w:tc>
          <w:tcPr>
            <w:tcW w:w="5953" w:type="dxa"/>
            <w:vAlign w:val="center"/>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根据投标人提供本项目的项目实施方案进行评分，包括但不限于：1.总体服务方案；2.实施工作规划；3.项目管理办法；4.项目人员管理机制。</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rPr>
                <w:rFonts w:ascii="宋体" w:hAnsi="宋体"/>
                <w:szCs w:val="21"/>
              </w:rPr>
            </w:pPr>
            <w:r>
              <w:rPr>
                <w:rFonts w:hint="eastAsia" w:ascii="宋体" w:hAnsi="宋体"/>
                <w:szCs w:val="21"/>
              </w:rPr>
              <w:t>满足四项点得6分，满足任意三项点得4分，满足任意两点得2分，满足任意一点得1分，其他情况不得分；</w:t>
            </w:r>
          </w:p>
          <w:p>
            <w:pPr>
              <w:pStyle w:val="95"/>
              <w:spacing w:line="400" w:lineRule="exact"/>
              <w:ind w:firstLine="0" w:firstLineChars="0"/>
              <w:rPr>
                <w:rFonts w:ascii="宋体" w:hAnsi="宋体"/>
                <w:szCs w:val="21"/>
              </w:rPr>
            </w:pPr>
            <w:r>
              <w:rPr>
                <w:rFonts w:hint="eastAsia" w:ascii="宋体" w:hAnsi="宋体"/>
                <w:szCs w:val="21"/>
              </w:rPr>
              <w:t>专家根据方案的合理性、完整性、针对性，进行评审：</w:t>
            </w:r>
          </w:p>
          <w:p>
            <w:pPr>
              <w:pStyle w:val="95"/>
              <w:spacing w:line="400" w:lineRule="exact"/>
              <w:ind w:firstLine="0" w:firstLineChars="0"/>
              <w:rPr>
                <w:rFonts w:ascii="宋体" w:hAnsi="宋体"/>
                <w:szCs w:val="21"/>
              </w:rPr>
            </w:pPr>
            <w:r>
              <w:rPr>
                <w:rFonts w:hint="eastAsia" w:ascii="宋体" w:hAnsi="宋体"/>
                <w:szCs w:val="21"/>
              </w:rPr>
              <w:t>①</w:t>
            </w:r>
            <w:r>
              <w:rPr>
                <w:rFonts w:hint="eastAsia" w:ascii="宋体" w:hAnsi="宋体" w:cs="宋体"/>
                <w:szCs w:val="21"/>
              </w:rPr>
              <w:t>项目实施方案</w:t>
            </w:r>
            <w:r>
              <w:rPr>
                <w:rFonts w:hint="eastAsia" w:ascii="宋体" w:hAnsi="宋体"/>
                <w:szCs w:val="21"/>
              </w:rPr>
              <w:t>合理性、完整性、针对性强的加4分；</w:t>
            </w:r>
          </w:p>
          <w:p>
            <w:pPr>
              <w:pStyle w:val="95"/>
              <w:spacing w:line="400" w:lineRule="exact"/>
              <w:ind w:firstLine="0" w:firstLineChars="0"/>
              <w:rPr>
                <w:rFonts w:ascii="宋体" w:hAnsi="宋体"/>
                <w:szCs w:val="21"/>
              </w:rPr>
            </w:pPr>
            <w:r>
              <w:rPr>
                <w:rFonts w:hint="eastAsia" w:ascii="宋体" w:hAnsi="宋体"/>
                <w:szCs w:val="21"/>
              </w:rPr>
              <w:t>②</w:t>
            </w:r>
            <w:r>
              <w:rPr>
                <w:rFonts w:hint="eastAsia" w:ascii="宋体" w:hAnsi="宋体" w:cs="宋体"/>
                <w:szCs w:val="21"/>
              </w:rPr>
              <w:t>项目实施方案</w:t>
            </w:r>
            <w:r>
              <w:rPr>
                <w:rFonts w:hint="eastAsia" w:ascii="宋体" w:hAnsi="宋体"/>
                <w:szCs w:val="21"/>
              </w:rPr>
              <w:t>合理性、完整性、针对性较强的加2分；</w:t>
            </w:r>
          </w:p>
          <w:p>
            <w:pPr>
              <w:pStyle w:val="95"/>
              <w:spacing w:line="400" w:lineRule="exact"/>
              <w:ind w:firstLine="0" w:firstLineChars="0"/>
              <w:rPr>
                <w:rFonts w:ascii="宋体" w:hAnsi="宋体"/>
                <w:szCs w:val="21"/>
              </w:rPr>
            </w:pPr>
            <w:r>
              <w:rPr>
                <w:rFonts w:hint="eastAsia" w:ascii="宋体" w:hAnsi="宋体"/>
                <w:szCs w:val="21"/>
              </w:rPr>
              <w:t>③</w:t>
            </w:r>
            <w:r>
              <w:rPr>
                <w:rFonts w:hint="eastAsia" w:ascii="宋体" w:hAnsi="宋体" w:cs="宋体"/>
                <w:szCs w:val="21"/>
              </w:rPr>
              <w:t>项目实施方案</w:t>
            </w:r>
            <w:r>
              <w:rPr>
                <w:rFonts w:hint="eastAsia" w:ascii="宋体" w:hAnsi="宋体"/>
                <w:szCs w:val="21"/>
              </w:rPr>
              <w:t>合理性、完整性、针对性一般的加1分；</w:t>
            </w:r>
          </w:p>
          <w:p>
            <w:pPr>
              <w:pStyle w:val="95"/>
              <w:spacing w:line="400" w:lineRule="exact"/>
              <w:ind w:firstLine="0" w:firstLineChars="0"/>
              <w:rPr>
                <w:rFonts w:ascii="宋体" w:hAnsi="宋体"/>
                <w:kern w:val="0"/>
                <w:szCs w:val="21"/>
              </w:rPr>
            </w:pPr>
            <w:r>
              <w:rPr>
                <w:rFonts w:hint="eastAsia" w:ascii="宋体" w:hAnsi="宋体"/>
                <w:szCs w:val="21"/>
              </w:rPr>
              <w:t>④</w:t>
            </w:r>
            <w:r>
              <w:rPr>
                <w:rFonts w:hint="eastAsia" w:ascii="宋体" w:hAnsi="宋体" w:cs="宋体"/>
                <w:szCs w:val="21"/>
              </w:rPr>
              <w:t>项目实施方案不</w:t>
            </w:r>
            <w:r>
              <w:rPr>
                <w:rFonts w:hint="eastAsia" w:ascii="宋体" w:hAnsi="宋体"/>
                <w:szCs w:val="21"/>
              </w:rPr>
              <w:t>合理不完整、不具有针对性的，不加分。</w:t>
            </w:r>
          </w:p>
        </w:tc>
        <w:tc>
          <w:tcPr>
            <w:tcW w:w="1187"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9" w:hRule="atLeast"/>
          <w:jc w:val="center"/>
        </w:trPr>
        <w:tc>
          <w:tcPr>
            <w:tcW w:w="754" w:type="dxa"/>
            <w:vAlign w:val="center"/>
          </w:tcPr>
          <w:p>
            <w:pPr>
              <w:autoSpaceDE w:val="0"/>
              <w:autoSpaceDN w:val="0"/>
              <w:adjustRightInd w:val="0"/>
              <w:spacing w:line="40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spacing w:line="400" w:lineRule="exact"/>
              <w:jc w:val="center"/>
              <w:rPr>
                <w:rFonts w:ascii="宋体" w:hAnsi="宋体"/>
                <w:kern w:val="0"/>
                <w:szCs w:val="21"/>
              </w:rPr>
            </w:pPr>
            <w:r>
              <w:rPr>
                <w:rFonts w:hint="eastAsia" w:ascii="宋体" w:hAnsi="宋体" w:cs="宋体"/>
                <w:szCs w:val="21"/>
              </w:rPr>
              <w:t>物流配送方案</w:t>
            </w:r>
          </w:p>
        </w:tc>
        <w:tc>
          <w:tcPr>
            <w:tcW w:w="709" w:type="dxa"/>
            <w:vAlign w:val="center"/>
          </w:tcPr>
          <w:p>
            <w:pPr>
              <w:widowControl/>
              <w:spacing w:line="400" w:lineRule="exact"/>
              <w:jc w:val="center"/>
              <w:rPr>
                <w:rFonts w:ascii="宋体" w:hAnsi="宋体"/>
                <w:kern w:val="0"/>
                <w:szCs w:val="21"/>
              </w:rPr>
            </w:pPr>
            <w:r>
              <w:rPr>
                <w:rFonts w:hint="eastAsia" w:ascii="宋体" w:hAnsi="宋体"/>
                <w:kern w:val="0"/>
                <w:szCs w:val="21"/>
              </w:rPr>
              <w:t>10</w:t>
            </w:r>
          </w:p>
        </w:tc>
        <w:tc>
          <w:tcPr>
            <w:tcW w:w="5953" w:type="dxa"/>
            <w:vAlign w:val="center"/>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根据投标人提供本项目物流配送服务方案进行评分，包括但不限于：1.配送实施计划；2.配送路线规划；3.食材配送流程；4.配送时间保障；5.配送过程的质量保障及安全管理。</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rPr>
                <w:rFonts w:ascii="宋体" w:hAnsi="宋体"/>
                <w:szCs w:val="21"/>
              </w:rPr>
            </w:pPr>
            <w:r>
              <w:rPr>
                <w:rFonts w:hint="eastAsia" w:ascii="宋体" w:hAnsi="宋体"/>
                <w:szCs w:val="21"/>
              </w:rPr>
              <w:t>满足五点得6分，满足任意四点得5分，满足任意三点得4分，满足任意两点得3分，满足任意一点得1分，其他情况不得分；</w:t>
            </w:r>
          </w:p>
          <w:p>
            <w:pPr>
              <w:pStyle w:val="95"/>
              <w:spacing w:line="400" w:lineRule="exact"/>
              <w:ind w:firstLine="0" w:firstLineChars="0"/>
              <w:rPr>
                <w:rFonts w:ascii="宋体" w:hAnsi="宋体"/>
                <w:szCs w:val="21"/>
              </w:rPr>
            </w:pPr>
            <w:r>
              <w:rPr>
                <w:rFonts w:hint="eastAsia" w:ascii="宋体" w:hAnsi="宋体"/>
                <w:szCs w:val="21"/>
              </w:rPr>
              <w:t>专家根据方案的合理性、完整性、针对性，进行评审：</w:t>
            </w:r>
          </w:p>
          <w:p>
            <w:pPr>
              <w:pStyle w:val="95"/>
              <w:spacing w:line="400" w:lineRule="exact"/>
              <w:ind w:firstLine="0" w:firstLineChars="0"/>
              <w:rPr>
                <w:rFonts w:ascii="宋体" w:hAnsi="宋体"/>
                <w:szCs w:val="21"/>
              </w:rPr>
            </w:pPr>
            <w:r>
              <w:rPr>
                <w:rFonts w:hint="eastAsia" w:ascii="宋体" w:hAnsi="宋体"/>
                <w:szCs w:val="21"/>
              </w:rPr>
              <w:t>①</w:t>
            </w:r>
            <w:r>
              <w:rPr>
                <w:rFonts w:hint="eastAsia" w:ascii="宋体" w:hAnsi="宋体" w:cs="宋体"/>
                <w:szCs w:val="21"/>
              </w:rPr>
              <w:t>物流</w:t>
            </w:r>
            <w:r>
              <w:rPr>
                <w:rFonts w:hint="eastAsia" w:ascii="宋体" w:hAnsi="宋体"/>
                <w:szCs w:val="21"/>
              </w:rPr>
              <w:t>流程方案合理性、完整性、针对性强的加4分；</w:t>
            </w:r>
          </w:p>
          <w:p>
            <w:pPr>
              <w:pStyle w:val="95"/>
              <w:spacing w:line="400" w:lineRule="exact"/>
              <w:ind w:firstLine="0" w:firstLineChars="0"/>
              <w:rPr>
                <w:rFonts w:ascii="宋体" w:hAnsi="宋体"/>
                <w:szCs w:val="21"/>
              </w:rPr>
            </w:pPr>
            <w:r>
              <w:rPr>
                <w:rFonts w:hint="eastAsia" w:ascii="宋体" w:hAnsi="宋体"/>
                <w:szCs w:val="21"/>
              </w:rPr>
              <w:t>②</w:t>
            </w:r>
            <w:r>
              <w:rPr>
                <w:rFonts w:hint="eastAsia" w:ascii="宋体" w:hAnsi="宋体" w:cs="宋体"/>
                <w:szCs w:val="21"/>
              </w:rPr>
              <w:t>物流</w:t>
            </w:r>
            <w:r>
              <w:rPr>
                <w:rFonts w:hint="eastAsia" w:ascii="宋体" w:hAnsi="宋体"/>
                <w:szCs w:val="21"/>
              </w:rPr>
              <w:t>配送方案合理性、完整性、针对性较强的加2分；</w:t>
            </w:r>
          </w:p>
          <w:p>
            <w:pPr>
              <w:pStyle w:val="95"/>
              <w:spacing w:line="400" w:lineRule="exact"/>
              <w:ind w:firstLine="0" w:firstLineChars="0"/>
              <w:rPr>
                <w:rFonts w:ascii="宋体" w:hAnsi="宋体"/>
                <w:szCs w:val="21"/>
              </w:rPr>
            </w:pPr>
            <w:r>
              <w:rPr>
                <w:rFonts w:hint="eastAsia" w:ascii="宋体" w:hAnsi="宋体"/>
                <w:szCs w:val="21"/>
              </w:rPr>
              <w:t>③</w:t>
            </w:r>
            <w:r>
              <w:rPr>
                <w:rFonts w:hint="eastAsia" w:ascii="宋体" w:hAnsi="宋体" w:cs="宋体"/>
                <w:szCs w:val="21"/>
              </w:rPr>
              <w:t>物流</w:t>
            </w:r>
            <w:r>
              <w:rPr>
                <w:rFonts w:hint="eastAsia" w:ascii="宋体" w:hAnsi="宋体"/>
                <w:szCs w:val="21"/>
              </w:rPr>
              <w:t>配送方案合理性、完整性、针对性一般的加1分；</w:t>
            </w:r>
          </w:p>
          <w:p>
            <w:pPr>
              <w:pStyle w:val="95"/>
              <w:spacing w:line="400" w:lineRule="exact"/>
              <w:ind w:firstLine="0" w:firstLineChars="0"/>
              <w:rPr>
                <w:rFonts w:ascii="宋体" w:hAnsi="宋体" w:cs="宋体"/>
                <w:szCs w:val="21"/>
              </w:rPr>
            </w:pPr>
            <w:r>
              <w:rPr>
                <w:rFonts w:hint="eastAsia" w:ascii="宋体" w:hAnsi="宋体"/>
                <w:szCs w:val="21"/>
              </w:rPr>
              <w:t>④</w:t>
            </w:r>
            <w:r>
              <w:rPr>
                <w:rFonts w:hint="eastAsia" w:ascii="宋体" w:hAnsi="宋体" w:cs="宋体"/>
                <w:szCs w:val="21"/>
              </w:rPr>
              <w:t>物流</w:t>
            </w:r>
            <w:r>
              <w:rPr>
                <w:rFonts w:hint="eastAsia" w:ascii="宋体" w:hAnsi="宋体"/>
                <w:szCs w:val="21"/>
              </w:rPr>
              <w:t>配送方案</w:t>
            </w:r>
            <w:r>
              <w:rPr>
                <w:rFonts w:hint="eastAsia" w:ascii="宋体" w:hAnsi="宋体" w:cs="宋体"/>
                <w:szCs w:val="21"/>
              </w:rPr>
              <w:t>不</w:t>
            </w:r>
            <w:r>
              <w:rPr>
                <w:rFonts w:hint="eastAsia" w:ascii="宋体" w:hAnsi="宋体"/>
                <w:szCs w:val="21"/>
              </w:rPr>
              <w:t>合理不完整、不具有针对性的，不加分。</w:t>
            </w:r>
          </w:p>
        </w:tc>
        <w:tc>
          <w:tcPr>
            <w:tcW w:w="1187" w:type="dxa"/>
            <w:vAlign w:val="center"/>
          </w:tcPr>
          <w:p>
            <w:pPr>
              <w:spacing w:line="40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3</w:t>
            </w:r>
          </w:p>
        </w:tc>
        <w:tc>
          <w:tcPr>
            <w:tcW w:w="1143" w:type="dxa"/>
            <w:vAlign w:val="center"/>
          </w:tcPr>
          <w:p>
            <w:pPr>
              <w:tabs>
                <w:tab w:val="left" w:pos="426"/>
              </w:tabs>
              <w:spacing w:line="400" w:lineRule="exact"/>
              <w:jc w:val="center"/>
              <w:rPr>
                <w:rFonts w:ascii="宋体" w:hAnsi="宋体"/>
                <w:kern w:val="0"/>
                <w:szCs w:val="21"/>
              </w:rPr>
            </w:pPr>
            <w:r>
              <w:rPr>
                <w:rFonts w:hint="eastAsia" w:ascii="宋体" w:hAnsi="宋体" w:cs="宋体"/>
                <w:szCs w:val="21"/>
              </w:rPr>
              <w:t>质量保证方案</w:t>
            </w:r>
          </w:p>
        </w:tc>
        <w:tc>
          <w:tcPr>
            <w:tcW w:w="709" w:type="dxa"/>
            <w:vAlign w:val="center"/>
          </w:tcPr>
          <w:p>
            <w:pPr>
              <w:tabs>
                <w:tab w:val="left" w:pos="426"/>
              </w:tabs>
              <w:spacing w:line="400" w:lineRule="exact"/>
              <w:jc w:val="center"/>
              <w:rPr>
                <w:rFonts w:ascii="宋体" w:hAnsi="宋体"/>
                <w:kern w:val="0"/>
                <w:szCs w:val="21"/>
              </w:rPr>
            </w:pPr>
            <w:r>
              <w:rPr>
                <w:rFonts w:hint="eastAsia" w:ascii="宋体" w:hAnsi="宋体" w:cs="宋体"/>
                <w:szCs w:val="21"/>
              </w:rPr>
              <w:t>10</w:t>
            </w:r>
          </w:p>
        </w:tc>
        <w:tc>
          <w:tcPr>
            <w:tcW w:w="5953" w:type="dxa"/>
            <w:vAlign w:val="center"/>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 xml:space="preserve">根据货物的:1.来源；2.加工；3.包装；4.保存；5.运输；6.交货；7.质量追溯系统；七个环节的质量保证措施进行评审。 </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rPr>
                <w:rFonts w:ascii="宋体" w:hAnsi="宋体"/>
                <w:szCs w:val="21"/>
              </w:rPr>
            </w:pPr>
            <w:r>
              <w:rPr>
                <w:rFonts w:hint="eastAsia" w:ascii="宋体" w:hAnsi="宋体"/>
                <w:szCs w:val="21"/>
              </w:rPr>
              <w:t>满足七点得6分，满足任意六点得5分，满足任意五点得4分，满足任意四点得3分，满足任意三点得2分，满足任意两点得 1分，其他情况不得分；</w:t>
            </w:r>
          </w:p>
          <w:p>
            <w:pPr>
              <w:pStyle w:val="95"/>
              <w:spacing w:line="400" w:lineRule="exact"/>
              <w:ind w:firstLine="0" w:firstLineChars="0"/>
              <w:rPr>
                <w:rFonts w:ascii="宋体" w:hAnsi="宋体"/>
                <w:szCs w:val="21"/>
              </w:rPr>
            </w:pPr>
            <w:r>
              <w:rPr>
                <w:rFonts w:hint="eastAsia" w:ascii="宋体" w:hAnsi="宋体"/>
                <w:szCs w:val="21"/>
              </w:rPr>
              <w:t>专家根据方案的合理性、完整性、针对性，进行评审：</w:t>
            </w:r>
          </w:p>
          <w:p>
            <w:pPr>
              <w:pStyle w:val="95"/>
              <w:spacing w:line="400" w:lineRule="exact"/>
              <w:ind w:firstLine="0" w:firstLineChars="0"/>
              <w:rPr>
                <w:rFonts w:ascii="宋体" w:hAnsi="宋体"/>
                <w:szCs w:val="21"/>
              </w:rPr>
            </w:pPr>
            <w:r>
              <w:rPr>
                <w:rFonts w:hint="eastAsia" w:ascii="宋体" w:hAnsi="宋体"/>
                <w:szCs w:val="21"/>
              </w:rPr>
              <w:t>①</w:t>
            </w:r>
            <w:r>
              <w:rPr>
                <w:rFonts w:hint="eastAsia" w:ascii="宋体" w:hAnsi="宋体" w:cs="宋体"/>
                <w:szCs w:val="21"/>
              </w:rPr>
              <w:t>质量保证方案</w:t>
            </w:r>
            <w:r>
              <w:rPr>
                <w:rFonts w:hint="eastAsia" w:ascii="宋体" w:hAnsi="宋体"/>
                <w:szCs w:val="21"/>
              </w:rPr>
              <w:t>合理性、完整性、针对性强的加4分；</w:t>
            </w:r>
          </w:p>
          <w:p>
            <w:pPr>
              <w:pStyle w:val="95"/>
              <w:spacing w:line="400" w:lineRule="exact"/>
              <w:ind w:firstLine="0" w:firstLineChars="0"/>
              <w:rPr>
                <w:rFonts w:ascii="宋体" w:hAnsi="宋体"/>
                <w:szCs w:val="21"/>
              </w:rPr>
            </w:pPr>
            <w:r>
              <w:rPr>
                <w:rFonts w:hint="eastAsia" w:ascii="宋体" w:hAnsi="宋体"/>
                <w:szCs w:val="21"/>
              </w:rPr>
              <w:t>②</w:t>
            </w:r>
            <w:r>
              <w:rPr>
                <w:rFonts w:hint="eastAsia" w:ascii="宋体" w:hAnsi="宋体" w:cs="宋体"/>
                <w:szCs w:val="21"/>
              </w:rPr>
              <w:t>质量保证方案</w:t>
            </w:r>
            <w:r>
              <w:rPr>
                <w:rFonts w:hint="eastAsia" w:ascii="宋体" w:hAnsi="宋体"/>
                <w:szCs w:val="21"/>
              </w:rPr>
              <w:t>合理性、完整性、针对性较强的加2分；</w:t>
            </w:r>
          </w:p>
          <w:p>
            <w:pPr>
              <w:pStyle w:val="95"/>
              <w:spacing w:line="400" w:lineRule="exact"/>
              <w:ind w:firstLine="0" w:firstLineChars="0"/>
              <w:rPr>
                <w:rFonts w:ascii="宋体" w:hAnsi="宋体"/>
                <w:szCs w:val="21"/>
              </w:rPr>
            </w:pPr>
            <w:r>
              <w:rPr>
                <w:rFonts w:hint="eastAsia" w:ascii="宋体" w:hAnsi="宋体"/>
                <w:szCs w:val="21"/>
              </w:rPr>
              <w:t>③</w:t>
            </w:r>
            <w:r>
              <w:rPr>
                <w:rFonts w:hint="eastAsia" w:ascii="宋体" w:hAnsi="宋体" w:cs="宋体"/>
                <w:szCs w:val="21"/>
              </w:rPr>
              <w:t>质量保证方案</w:t>
            </w:r>
            <w:r>
              <w:rPr>
                <w:rFonts w:hint="eastAsia" w:ascii="宋体" w:hAnsi="宋体"/>
                <w:szCs w:val="21"/>
              </w:rPr>
              <w:t>合理性、完整性、针对性一般的加1分；</w:t>
            </w:r>
          </w:p>
          <w:p>
            <w:pPr>
              <w:pStyle w:val="95"/>
              <w:spacing w:line="400" w:lineRule="exact"/>
              <w:ind w:firstLine="0" w:firstLineChars="0"/>
              <w:rPr>
                <w:rFonts w:ascii="宋体" w:hAnsi="宋体"/>
                <w:kern w:val="0"/>
                <w:szCs w:val="21"/>
              </w:rPr>
            </w:pPr>
            <w:r>
              <w:rPr>
                <w:rFonts w:hint="eastAsia" w:ascii="宋体" w:hAnsi="宋体"/>
                <w:szCs w:val="21"/>
              </w:rPr>
              <w:t>④</w:t>
            </w:r>
            <w:r>
              <w:rPr>
                <w:rFonts w:hint="eastAsia" w:ascii="宋体" w:hAnsi="宋体" w:cs="宋体"/>
                <w:szCs w:val="21"/>
              </w:rPr>
              <w:t>质量保证方案不</w:t>
            </w:r>
            <w:r>
              <w:rPr>
                <w:rFonts w:hint="eastAsia" w:ascii="宋体" w:hAnsi="宋体"/>
                <w:szCs w:val="21"/>
              </w:rPr>
              <w:t>合理不完整、不具有针对性的，不加分。</w:t>
            </w:r>
          </w:p>
        </w:tc>
        <w:tc>
          <w:tcPr>
            <w:tcW w:w="1187"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napToGrid w:val="0"/>
              <w:spacing w:line="400" w:lineRule="exact"/>
              <w:jc w:val="center"/>
              <w:rPr>
                <w:rFonts w:ascii="宋体" w:hAnsi="宋体" w:cs="宋体"/>
                <w:kern w:val="0"/>
                <w:szCs w:val="21"/>
              </w:rPr>
            </w:pPr>
            <w:r>
              <w:rPr>
                <w:rFonts w:ascii="宋体" w:hAnsi="宋体"/>
                <w:kern w:val="0"/>
                <w:szCs w:val="21"/>
              </w:rPr>
              <w:t>4</w:t>
            </w:r>
          </w:p>
        </w:tc>
        <w:tc>
          <w:tcPr>
            <w:tcW w:w="1143" w:type="dxa"/>
            <w:vAlign w:val="center"/>
          </w:tcPr>
          <w:p>
            <w:pPr>
              <w:tabs>
                <w:tab w:val="left" w:pos="426"/>
              </w:tabs>
              <w:spacing w:line="400" w:lineRule="exact"/>
              <w:jc w:val="center"/>
              <w:rPr>
                <w:rFonts w:ascii="宋体" w:hAnsi="宋体" w:cs="宋体"/>
                <w:szCs w:val="21"/>
              </w:rPr>
            </w:pPr>
            <w:r>
              <w:rPr>
                <w:rFonts w:hint="eastAsia" w:ascii="宋体" w:hAnsi="宋体" w:cs="宋体"/>
                <w:szCs w:val="21"/>
              </w:rPr>
              <w:t>特殊情况应急预案</w:t>
            </w:r>
          </w:p>
        </w:tc>
        <w:tc>
          <w:tcPr>
            <w:tcW w:w="709" w:type="dxa"/>
            <w:vAlign w:val="center"/>
          </w:tcPr>
          <w:p>
            <w:pPr>
              <w:tabs>
                <w:tab w:val="left" w:pos="426"/>
              </w:tabs>
              <w:spacing w:line="400" w:lineRule="exact"/>
              <w:jc w:val="center"/>
              <w:rPr>
                <w:rFonts w:ascii="宋体" w:hAnsi="宋体" w:cs="宋体"/>
                <w:kern w:val="0"/>
                <w:szCs w:val="21"/>
              </w:rPr>
            </w:pPr>
            <w:r>
              <w:rPr>
                <w:rFonts w:hint="eastAsia" w:ascii="宋体" w:hAnsi="宋体" w:cs="宋体"/>
                <w:szCs w:val="21"/>
              </w:rPr>
              <w:t>10</w:t>
            </w:r>
          </w:p>
        </w:tc>
        <w:tc>
          <w:tcPr>
            <w:tcW w:w="5953" w:type="dxa"/>
            <w:vAlign w:val="center"/>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根据投标人提供的特殊情况应急预案进行打分。包括但不限于1.应急响应时间承诺（提供承诺函，格式自拟）；2.应急设备及应急服务人员介绍；3.应急保障方案；4.特殊情况应急处理的具体方案；5.安全卫生突发事件的处理措施和应急预案。</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rPr>
                <w:rFonts w:ascii="宋体" w:hAnsi="宋体"/>
                <w:szCs w:val="21"/>
              </w:rPr>
            </w:pPr>
            <w:r>
              <w:rPr>
                <w:rFonts w:hint="eastAsia" w:ascii="宋体" w:hAnsi="宋体"/>
                <w:szCs w:val="21"/>
              </w:rPr>
              <w:t>满足任意五点得6分，满足任意四点得5分，满足任意三点得4分，满足任意两点得3分，满足任意一点得1分，其他情况不得分；</w:t>
            </w:r>
          </w:p>
          <w:p>
            <w:pPr>
              <w:pStyle w:val="95"/>
              <w:spacing w:line="400" w:lineRule="exact"/>
              <w:ind w:firstLine="0" w:firstLineChars="0"/>
              <w:rPr>
                <w:rFonts w:ascii="宋体" w:hAnsi="宋体"/>
                <w:szCs w:val="21"/>
              </w:rPr>
            </w:pPr>
            <w:r>
              <w:rPr>
                <w:rFonts w:hint="eastAsia" w:ascii="宋体" w:hAnsi="宋体"/>
                <w:szCs w:val="21"/>
              </w:rPr>
              <w:t>专家根据预案的合理性、完整性、针对性，分档评分：</w:t>
            </w:r>
          </w:p>
          <w:p>
            <w:pPr>
              <w:pStyle w:val="95"/>
              <w:spacing w:line="400" w:lineRule="exact"/>
              <w:ind w:firstLine="0" w:firstLineChars="0"/>
              <w:rPr>
                <w:rFonts w:ascii="宋体" w:hAnsi="宋体"/>
                <w:szCs w:val="21"/>
              </w:rPr>
            </w:pPr>
            <w:r>
              <w:rPr>
                <w:rFonts w:hint="eastAsia" w:ascii="宋体" w:hAnsi="宋体"/>
                <w:szCs w:val="21"/>
              </w:rPr>
              <w:t>①</w:t>
            </w:r>
            <w:r>
              <w:rPr>
                <w:rFonts w:hint="eastAsia" w:ascii="宋体" w:hAnsi="宋体" w:cs="宋体"/>
                <w:szCs w:val="21"/>
              </w:rPr>
              <w:t>特殊情况应急预案</w:t>
            </w:r>
            <w:r>
              <w:rPr>
                <w:rFonts w:hint="eastAsia" w:ascii="宋体" w:hAnsi="宋体"/>
                <w:szCs w:val="21"/>
              </w:rPr>
              <w:t>合理性、完整性、针对性强的加4分；</w:t>
            </w:r>
          </w:p>
          <w:p>
            <w:pPr>
              <w:pStyle w:val="95"/>
              <w:spacing w:line="400" w:lineRule="exact"/>
              <w:ind w:firstLine="0" w:firstLineChars="0"/>
              <w:rPr>
                <w:rFonts w:ascii="宋体" w:hAnsi="宋体"/>
                <w:szCs w:val="21"/>
              </w:rPr>
            </w:pPr>
            <w:r>
              <w:rPr>
                <w:rFonts w:hint="eastAsia" w:ascii="宋体" w:hAnsi="宋体"/>
                <w:szCs w:val="21"/>
              </w:rPr>
              <w:t>②</w:t>
            </w:r>
            <w:r>
              <w:rPr>
                <w:rFonts w:hint="eastAsia" w:ascii="宋体" w:hAnsi="宋体" w:cs="宋体"/>
                <w:szCs w:val="21"/>
              </w:rPr>
              <w:t>特殊情况应急预案</w:t>
            </w:r>
            <w:r>
              <w:rPr>
                <w:rFonts w:hint="eastAsia" w:ascii="宋体" w:hAnsi="宋体"/>
                <w:szCs w:val="21"/>
              </w:rPr>
              <w:t>合理性、完整性、针对性较强的加2分；</w:t>
            </w:r>
          </w:p>
          <w:p>
            <w:pPr>
              <w:pStyle w:val="95"/>
              <w:spacing w:line="400" w:lineRule="exact"/>
              <w:ind w:firstLine="0" w:firstLineChars="0"/>
              <w:rPr>
                <w:rFonts w:ascii="宋体" w:hAnsi="宋体"/>
                <w:szCs w:val="21"/>
              </w:rPr>
            </w:pPr>
            <w:r>
              <w:rPr>
                <w:rFonts w:hint="eastAsia" w:ascii="宋体" w:hAnsi="宋体"/>
                <w:szCs w:val="21"/>
              </w:rPr>
              <w:t>③</w:t>
            </w:r>
            <w:r>
              <w:rPr>
                <w:rFonts w:hint="eastAsia" w:ascii="宋体" w:hAnsi="宋体" w:cs="宋体"/>
                <w:szCs w:val="21"/>
              </w:rPr>
              <w:t>特殊情况应急预案</w:t>
            </w:r>
            <w:r>
              <w:rPr>
                <w:rFonts w:hint="eastAsia" w:ascii="宋体" w:hAnsi="宋体"/>
                <w:szCs w:val="21"/>
              </w:rPr>
              <w:t>合理性、完整性、针对性一般的加1分；</w:t>
            </w:r>
          </w:p>
          <w:p>
            <w:pPr>
              <w:pStyle w:val="95"/>
              <w:spacing w:line="400" w:lineRule="exact"/>
              <w:ind w:firstLine="0" w:firstLineChars="0"/>
              <w:rPr>
                <w:rFonts w:ascii="宋体" w:hAnsi="宋体" w:cs="宋体"/>
                <w:szCs w:val="21"/>
              </w:rPr>
            </w:pPr>
            <w:r>
              <w:rPr>
                <w:rFonts w:hint="eastAsia" w:ascii="宋体" w:hAnsi="宋体"/>
                <w:szCs w:val="21"/>
              </w:rPr>
              <w:t>④</w:t>
            </w:r>
            <w:r>
              <w:rPr>
                <w:rFonts w:hint="eastAsia" w:ascii="宋体" w:hAnsi="宋体" w:cs="宋体"/>
                <w:szCs w:val="21"/>
              </w:rPr>
              <w:t>特殊情况应急预案不</w:t>
            </w:r>
            <w:r>
              <w:rPr>
                <w:rFonts w:hint="eastAsia" w:ascii="宋体" w:hAnsi="宋体"/>
                <w:szCs w:val="21"/>
              </w:rPr>
              <w:t>合理不完整、不具有针对性的，不加分。</w:t>
            </w:r>
          </w:p>
        </w:tc>
        <w:tc>
          <w:tcPr>
            <w:tcW w:w="1187"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40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400" w:lineRule="exact"/>
              <w:jc w:val="center"/>
              <w:rPr>
                <w:rFonts w:ascii="宋体" w:hAnsi="宋体" w:cs="仿宋"/>
                <w:b/>
                <w:szCs w:val="21"/>
              </w:rPr>
            </w:pPr>
            <w:r>
              <w:rPr>
                <w:rFonts w:hint="eastAsia" w:ascii="宋体" w:hAnsi="宋体" w:cs="仿宋"/>
                <w:b/>
                <w:szCs w:val="21"/>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3" w:hRule="atLeast"/>
          <w:jc w:val="center"/>
        </w:trPr>
        <w:tc>
          <w:tcPr>
            <w:tcW w:w="754" w:type="dxa"/>
            <w:vAlign w:val="center"/>
          </w:tcPr>
          <w:p>
            <w:pPr>
              <w:autoSpaceDE w:val="0"/>
              <w:autoSpaceDN w:val="0"/>
              <w:adjustRightInd w:val="0"/>
              <w:spacing w:line="400" w:lineRule="exact"/>
              <w:jc w:val="center"/>
              <w:rPr>
                <w:rFonts w:ascii="宋体" w:hAnsi="宋体" w:cs="仿宋"/>
                <w:szCs w:val="21"/>
                <w:lang w:val="zh-CN"/>
              </w:rPr>
            </w:pPr>
            <w:r>
              <w:rPr>
                <w:rFonts w:hint="eastAsia" w:ascii="宋体" w:hAnsi="宋体" w:cs="仿宋"/>
                <w:szCs w:val="21"/>
              </w:rPr>
              <w:t>1</w:t>
            </w:r>
          </w:p>
        </w:tc>
        <w:tc>
          <w:tcPr>
            <w:tcW w:w="1143" w:type="dxa"/>
            <w:vAlign w:val="center"/>
          </w:tcPr>
          <w:p>
            <w:pPr>
              <w:spacing w:line="400" w:lineRule="exact"/>
              <w:jc w:val="center"/>
              <w:rPr>
                <w:rFonts w:ascii="宋体" w:hAnsi="宋体"/>
                <w:snapToGrid w:val="0"/>
                <w:kern w:val="0"/>
                <w:szCs w:val="21"/>
              </w:rPr>
            </w:pPr>
            <w:r>
              <w:rPr>
                <w:rFonts w:hint="eastAsia" w:ascii="宋体" w:hAnsi="宋体" w:cs="宋体"/>
                <w:szCs w:val="21"/>
              </w:rPr>
              <w:t>管理体系认证</w:t>
            </w:r>
          </w:p>
        </w:tc>
        <w:tc>
          <w:tcPr>
            <w:tcW w:w="709" w:type="dxa"/>
            <w:vAlign w:val="center"/>
          </w:tcPr>
          <w:p>
            <w:pPr>
              <w:spacing w:line="400" w:lineRule="exact"/>
              <w:jc w:val="center"/>
              <w:rPr>
                <w:rFonts w:ascii="宋体" w:hAnsi="宋体"/>
                <w:snapToGrid w:val="0"/>
                <w:kern w:val="0"/>
                <w:szCs w:val="21"/>
              </w:rPr>
            </w:pPr>
            <w:r>
              <w:rPr>
                <w:rFonts w:hint="eastAsia" w:ascii="宋体" w:hAnsi="宋体" w:cs="宋体"/>
                <w:szCs w:val="21"/>
              </w:rPr>
              <w:t>10</w:t>
            </w:r>
          </w:p>
        </w:tc>
        <w:tc>
          <w:tcPr>
            <w:tcW w:w="5953" w:type="dxa"/>
            <w:vAlign w:val="center"/>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投标人获得的认证情况。</w:t>
            </w:r>
          </w:p>
          <w:p>
            <w:pPr>
              <w:pStyle w:val="95"/>
              <w:spacing w:line="400" w:lineRule="exact"/>
              <w:ind w:firstLine="0" w:firstLineChars="0"/>
              <w:rPr>
                <w:rFonts w:ascii="宋体" w:hAnsi="宋体"/>
                <w:szCs w:val="21"/>
              </w:rPr>
            </w:pPr>
            <w:r>
              <w:rPr>
                <w:rFonts w:hint="eastAsia" w:ascii="宋体" w:hAnsi="宋体"/>
                <w:szCs w:val="21"/>
              </w:rPr>
              <w:t>1、具有环境管理体系认证证书；</w:t>
            </w:r>
          </w:p>
          <w:p>
            <w:pPr>
              <w:pStyle w:val="95"/>
              <w:spacing w:line="400" w:lineRule="exact"/>
              <w:ind w:firstLine="0" w:firstLineChars="0"/>
              <w:rPr>
                <w:rFonts w:ascii="宋体" w:hAnsi="宋体"/>
                <w:szCs w:val="21"/>
              </w:rPr>
            </w:pPr>
            <w:r>
              <w:rPr>
                <w:rFonts w:hint="eastAsia" w:ascii="宋体" w:hAnsi="宋体"/>
                <w:szCs w:val="21"/>
              </w:rPr>
              <w:t>2、具有质量管理体系认证证书；</w:t>
            </w:r>
          </w:p>
          <w:p>
            <w:pPr>
              <w:pStyle w:val="95"/>
              <w:spacing w:line="400" w:lineRule="exact"/>
              <w:ind w:firstLine="0" w:firstLineChars="0"/>
              <w:rPr>
                <w:rFonts w:ascii="宋体" w:hAnsi="宋体"/>
                <w:szCs w:val="21"/>
              </w:rPr>
            </w:pPr>
            <w:r>
              <w:rPr>
                <w:rFonts w:hint="eastAsia" w:ascii="宋体" w:hAnsi="宋体"/>
                <w:szCs w:val="21"/>
              </w:rPr>
              <w:t>3、具有职业健康安全管理体系认证证书；</w:t>
            </w:r>
          </w:p>
          <w:p>
            <w:pPr>
              <w:pStyle w:val="95"/>
              <w:spacing w:line="400" w:lineRule="exact"/>
              <w:ind w:firstLine="0" w:firstLineChars="0"/>
              <w:rPr>
                <w:rFonts w:ascii="宋体" w:hAnsi="宋体"/>
                <w:szCs w:val="21"/>
              </w:rPr>
            </w:pPr>
            <w:r>
              <w:rPr>
                <w:rFonts w:hint="eastAsia" w:ascii="宋体" w:hAnsi="宋体"/>
                <w:szCs w:val="21"/>
              </w:rPr>
              <w:t>4、具有食品安全管理体系认证证书；</w:t>
            </w:r>
          </w:p>
          <w:p>
            <w:pPr>
              <w:pStyle w:val="95"/>
              <w:spacing w:line="400" w:lineRule="exact"/>
              <w:ind w:firstLine="0" w:firstLineChars="0"/>
              <w:rPr>
                <w:rFonts w:ascii="宋体" w:hAnsi="宋体"/>
                <w:szCs w:val="21"/>
              </w:rPr>
            </w:pPr>
            <w:r>
              <w:rPr>
                <w:rFonts w:hint="eastAsia" w:ascii="宋体" w:hAnsi="宋体"/>
                <w:szCs w:val="21"/>
              </w:rPr>
              <w:t>5、具有HACCP危害分析与关键控制点认证证书；</w:t>
            </w:r>
          </w:p>
          <w:p>
            <w:pPr>
              <w:pStyle w:val="95"/>
              <w:spacing w:line="400" w:lineRule="exact"/>
              <w:ind w:firstLine="0" w:firstLineChars="0"/>
              <w:rPr>
                <w:rFonts w:ascii="宋体" w:hAnsi="宋体"/>
                <w:szCs w:val="21"/>
              </w:rPr>
            </w:pPr>
            <w:r>
              <w:rPr>
                <w:rFonts w:hint="eastAsia" w:ascii="宋体" w:hAnsi="宋体"/>
                <w:szCs w:val="21"/>
              </w:rPr>
              <w:t>6、具有生鲜农产品配送服务认证证书（五星级）；</w:t>
            </w:r>
          </w:p>
          <w:p>
            <w:pPr>
              <w:pStyle w:val="95"/>
              <w:spacing w:line="400" w:lineRule="exact"/>
              <w:ind w:firstLine="0" w:firstLineChars="0"/>
              <w:rPr>
                <w:rFonts w:ascii="宋体" w:hAnsi="宋体"/>
                <w:szCs w:val="21"/>
                <w:highlight w:val="yellow"/>
              </w:rPr>
            </w:pPr>
            <w:r>
              <w:rPr>
                <w:rFonts w:hint="eastAsia" w:ascii="宋体" w:hAnsi="宋体"/>
                <w:szCs w:val="21"/>
              </w:rPr>
              <w:t>7、具有农副产品绿色供应商评价体系认证；</w:t>
            </w:r>
          </w:p>
          <w:p>
            <w:pPr>
              <w:pStyle w:val="95"/>
              <w:spacing w:line="400" w:lineRule="exact"/>
              <w:ind w:firstLine="0" w:firstLineChars="0"/>
              <w:rPr>
                <w:rFonts w:ascii="宋体" w:hAnsi="宋体"/>
                <w:szCs w:val="21"/>
              </w:rPr>
            </w:pPr>
            <w:r>
              <w:rPr>
                <w:rFonts w:hint="eastAsia" w:ascii="宋体" w:hAnsi="宋体"/>
                <w:szCs w:val="21"/>
              </w:rPr>
              <w:t>8、具有生鲜农产品供应商星级认证证书（五星级）。</w:t>
            </w:r>
          </w:p>
          <w:p>
            <w:pPr>
              <w:pStyle w:val="95"/>
              <w:spacing w:line="400" w:lineRule="exact"/>
              <w:ind w:firstLine="0" w:firstLineChars="0"/>
              <w:rPr>
                <w:rFonts w:ascii="宋体" w:hAnsi="宋体"/>
                <w:szCs w:val="21"/>
              </w:rPr>
            </w:pPr>
            <w:r>
              <w:rPr>
                <w:rFonts w:hint="eastAsia" w:ascii="宋体" w:hAnsi="宋体"/>
                <w:szCs w:val="21"/>
              </w:rPr>
              <w:t>以上8项全部满足得10分，每少一项证书扣2分，扣完为止。</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rPr>
                <w:rFonts w:ascii="宋体" w:hAnsi="宋体"/>
                <w:szCs w:val="21"/>
              </w:rPr>
            </w:pPr>
            <w:r>
              <w:rPr>
                <w:rFonts w:hint="eastAsia" w:ascii="宋体" w:hAnsi="宋体"/>
                <w:szCs w:val="21"/>
              </w:rPr>
              <w:t>1、提供有效期内认证证书的复印件或扫描件，不提供不得分；</w:t>
            </w:r>
          </w:p>
          <w:p>
            <w:pPr>
              <w:pStyle w:val="95"/>
              <w:spacing w:line="400" w:lineRule="exact"/>
              <w:ind w:firstLine="0" w:firstLineChars="0"/>
              <w:rPr>
                <w:rFonts w:ascii="宋体" w:hAnsi="宋体"/>
                <w:szCs w:val="21"/>
              </w:rPr>
            </w:pPr>
            <w:r>
              <w:rPr>
                <w:rFonts w:hint="eastAsia" w:ascii="宋体" w:hAnsi="宋体"/>
                <w:szCs w:val="21"/>
              </w:rPr>
              <w:t>2、</w:t>
            </w:r>
            <w:r>
              <w:rPr>
                <w:rFonts w:hint="eastAsia" w:ascii="宋体" w:hAnsi="宋体"/>
                <w:kern w:val="0"/>
                <w:szCs w:val="21"/>
              </w:rPr>
              <w:t>提供证书官网或权威机构【如：全国认证认可信息公共服务平台（cx.cnca.cn）】认证信息查询截图（截图需显示证书状态为有效）。</w:t>
            </w:r>
            <w:r>
              <w:rPr>
                <w:rFonts w:hint="eastAsia" w:ascii="宋体" w:hAnsi="宋体" w:cs="仿宋"/>
                <w:szCs w:val="21"/>
                <w:lang w:val="zh-CN"/>
              </w:rPr>
              <w:t>相关证书在公开渠道无法查询的，投标人需提供颁发部门或者监管机构的证明材料，证明证书真实有效且为合法机构颁发；</w:t>
            </w:r>
          </w:p>
          <w:p>
            <w:pPr>
              <w:pStyle w:val="95"/>
              <w:spacing w:line="400" w:lineRule="exact"/>
              <w:ind w:firstLine="0" w:firstLineChars="0"/>
              <w:rPr>
                <w:rFonts w:ascii="宋体" w:hAnsi="宋体"/>
                <w:szCs w:val="21"/>
              </w:rPr>
            </w:pPr>
            <w:r>
              <w:rPr>
                <w:rFonts w:hint="eastAsia" w:ascii="宋体" w:hAnsi="宋体"/>
                <w:szCs w:val="21"/>
              </w:rPr>
              <w:t>3、证书标明需年度审核的，需有已年审标志。</w:t>
            </w:r>
          </w:p>
        </w:tc>
        <w:tc>
          <w:tcPr>
            <w:tcW w:w="1187" w:type="dxa"/>
            <w:vAlign w:val="center"/>
          </w:tcPr>
          <w:p>
            <w:pPr>
              <w:spacing w:line="40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5" w:hRule="atLeast"/>
          <w:jc w:val="center"/>
        </w:trPr>
        <w:tc>
          <w:tcPr>
            <w:tcW w:w="754" w:type="dxa"/>
            <w:vAlign w:val="center"/>
          </w:tcPr>
          <w:p>
            <w:pPr>
              <w:autoSpaceDE w:val="0"/>
              <w:autoSpaceDN w:val="0"/>
              <w:adjustRightInd w:val="0"/>
              <w:spacing w:line="40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pStyle w:val="95"/>
              <w:spacing w:line="400" w:lineRule="exact"/>
              <w:ind w:firstLine="0" w:firstLineChars="0"/>
              <w:jc w:val="center"/>
              <w:rPr>
                <w:rFonts w:ascii="宋体" w:hAnsi="宋体" w:cs="仿宋"/>
                <w:szCs w:val="21"/>
              </w:rPr>
            </w:pPr>
            <w:r>
              <w:rPr>
                <w:rFonts w:hint="eastAsia" w:ascii="宋体" w:hAnsi="宋体"/>
                <w:szCs w:val="21"/>
              </w:rPr>
              <w:t>配送场地情况</w:t>
            </w:r>
          </w:p>
        </w:tc>
        <w:tc>
          <w:tcPr>
            <w:tcW w:w="709" w:type="dxa"/>
            <w:vAlign w:val="center"/>
          </w:tcPr>
          <w:p>
            <w:pPr>
              <w:pStyle w:val="95"/>
              <w:spacing w:line="400" w:lineRule="exact"/>
              <w:ind w:firstLine="0" w:firstLineChars="0"/>
              <w:jc w:val="center"/>
              <w:rPr>
                <w:rFonts w:ascii="宋体" w:hAnsi="宋体" w:cs="仿宋" w:eastAsiaTheme="minorEastAsia"/>
                <w:szCs w:val="21"/>
              </w:rPr>
            </w:pPr>
            <w:r>
              <w:rPr>
                <w:rFonts w:hint="eastAsia" w:ascii="宋体" w:hAnsi="宋体"/>
                <w:szCs w:val="21"/>
              </w:rPr>
              <w:t>5</w:t>
            </w:r>
          </w:p>
        </w:tc>
        <w:tc>
          <w:tcPr>
            <w:tcW w:w="5953" w:type="dxa"/>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投标人自有或租赁的配送场所情况。投标人有自有或租赁的配送场所1000平方米或以上得5分，小于1000平方米得2.5分，不具备或未提供有效证明材料的不得分。</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pPr>
            <w:r>
              <w:rPr>
                <w:rFonts w:hint="eastAsia" w:ascii="宋体" w:hAnsi="宋体"/>
                <w:szCs w:val="21"/>
              </w:rPr>
              <w:t>自有的提供配送场所自有产权证明。租赁的同时提供：1、租赁合同（在有效期内）；2、政府房屋租赁管理部门出具的《房屋租赁凭证》，出租人与承租人应与租赁合同一致；3、包含近三个月内任意一个月的租金转账凭证及发票。以上均提供复印件或扫描件，原件备查。未提供有效证明文件或提供不清晰导致评委无法识别的，不计得分。</w:t>
            </w:r>
          </w:p>
        </w:tc>
        <w:tc>
          <w:tcPr>
            <w:tcW w:w="1187" w:type="dxa"/>
            <w:vAlign w:val="center"/>
          </w:tcPr>
          <w:p>
            <w:pPr>
              <w:spacing w:line="40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75" w:hRule="atLeast"/>
          <w:jc w:val="center"/>
        </w:trPr>
        <w:tc>
          <w:tcPr>
            <w:tcW w:w="754" w:type="dxa"/>
            <w:vAlign w:val="center"/>
          </w:tcPr>
          <w:p>
            <w:pPr>
              <w:autoSpaceDE w:val="0"/>
              <w:autoSpaceDN w:val="0"/>
              <w:adjustRightInd w:val="0"/>
              <w:spacing w:line="400" w:lineRule="exact"/>
              <w:jc w:val="center"/>
              <w:rPr>
                <w:rFonts w:ascii="宋体" w:hAnsi="宋体" w:cs="仿宋"/>
                <w:szCs w:val="21"/>
              </w:rPr>
            </w:pPr>
            <w:bookmarkStart w:id="10" w:name="_Toc2292"/>
            <w:bookmarkStart w:id="11" w:name="_Toc44691394"/>
            <w:bookmarkStart w:id="12" w:name="_Toc44690430"/>
            <w:bookmarkStart w:id="13" w:name="_Toc44691162"/>
            <w:bookmarkStart w:id="14" w:name="_Toc44690703"/>
            <w:r>
              <w:rPr>
                <w:rFonts w:hint="eastAsia" w:ascii="宋体" w:hAnsi="宋体" w:cs="仿宋"/>
                <w:szCs w:val="21"/>
              </w:rPr>
              <w:t>3</w:t>
            </w:r>
          </w:p>
        </w:tc>
        <w:tc>
          <w:tcPr>
            <w:tcW w:w="1143" w:type="dxa"/>
            <w:vAlign w:val="center"/>
          </w:tcPr>
          <w:p>
            <w:pPr>
              <w:pStyle w:val="95"/>
              <w:spacing w:line="400" w:lineRule="exact"/>
              <w:ind w:firstLine="0" w:firstLineChars="0"/>
              <w:jc w:val="center"/>
              <w:rPr>
                <w:rFonts w:ascii="宋体" w:hAnsi="宋体"/>
                <w:szCs w:val="21"/>
              </w:rPr>
            </w:pPr>
            <w:r>
              <w:rPr>
                <w:rFonts w:hint="eastAsia" w:ascii="宋体" w:hAnsi="宋体"/>
                <w:szCs w:val="21"/>
              </w:rPr>
              <w:t>团队配备情况</w:t>
            </w:r>
          </w:p>
        </w:tc>
        <w:tc>
          <w:tcPr>
            <w:tcW w:w="709" w:type="dxa"/>
            <w:vAlign w:val="center"/>
          </w:tcPr>
          <w:p>
            <w:pPr>
              <w:pStyle w:val="95"/>
              <w:spacing w:line="400" w:lineRule="exact"/>
              <w:ind w:firstLine="0" w:firstLineChars="0"/>
              <w:jc w:val="center"/>
              <w:rPr>
                <w:rFonts w:ascii="宋体" w:hAnsi="宋体"/>
                <w:szCs w:val="21"/>
              </w:rPr>
            </w:pPr>
            <w:r>
              <w:rPr>
                <w:rFonts w:hint="eastAsia" w:ascii="宋体" w:hAnsi="宋体"/>
                <w:szCs w:val="21"/>
              </w:rPr>
              <w:t>10</w:t>
            </w:r>
          </w:p>
        </w:tc>
        <w:tc>
          <w:tcPr>
            <w:tcW w:w="5953" w:type="dxa"/>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投标人拟投入本项目的团队人员配备情况：项目团队成员具有食品安全管理员</w:t>
            </w:r>
            <w:r>
              <w:rPr>
                <w:rFonts w:hint="eastAsia" w:ascii="宋体" w:hAnsi="宋体"/>
                <w:szCs w:val="21"/>
                <w:lang w:val="en-US" w:eastAsia="zh-CN"/>
              </w:rPr>
              <w:t>证书</w:t>
            </w:r>
            <w:r>
              <w:rPr>
                <w:rFonts w:hint="eastAsia" w:ascii="宋体" w:hAnsi="宋体"/>
                <w:szCs w:val="21"/>
              </w:rPr>
              <w:t>的，每提供一名得2.5分，满分10分。</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rPr>
                <w:rFonts w:ascii="宋体" w:hAnsi="宋体"/>
                <w:szCs w:val="21"/>
              </w:rPr>
            </w:pPr>
            <w:r>
              <w:rPr>
                <w:rFonts w:hint="eastAsia" w:ascii="宋体" w:hAnsi="宋体"/>
                <w:szCs w:val="21"/>
              </w:rPr>
              <w:t>1、拟安排上述项目成员必须为投标人自有员工，需提供上述团队成员近三个月内任意一个月的个人社保证明的社保缴纳证明。如供应商为新成立单位且成立时间不足一个月的，可提供加盖公章的情况说明。</w:t>
            </w:r>
          </w:p>
          <w:p>
            <w:pPr>
              <w:pStyle w:val="95"/>
              <w:spacing w:line="400" w:lineRule="exact"/>
              <w:ind w:firstLine="0" w:firstLineChars="0"/>
              <w:rPr>
                <w:rFonts w:ascii="宋体" w:hAnsi="宋体"/>
                <w:szCs w:val="21"/>
              </w:rPr>
            </w:pPr>
            <w:r>
              <w:rPr>
                <w:rFonts w:hint="eastAsia" w:ascii="宋体" w:hAnsi="宋体"/>
                <w:szCs w:val="21"/>
              </w:rPr>
              <w:t>2、须提供拟安排的人员相应的证书以及该证书官网或权威机构等合法查询渠道的查询记录，相关证书在公开渠道无法查询的，需提供颁发部门或者监管机构的证明材料，证明证书真实有效且为合法机构颁发</w:t>
            </w:r>
            <w:r>
              <w:rPr>
                <w:rFonts w:hint="eastAsia" w:ascii="宋体" w:hAnsi="宋体"/>
                <w:szCs w:val="21"/>
                <w:lang w:eastAsia="zh-CN"/>
              </w:rPr>
              <w:t>，</w:t>
            </w:r>
            <w:r>
              <w:rPr>
                <w:rFonts w:hint="eastAsia"/>
              </w:rPr>
              <w:t>证书由行业协会颁发的，需提供该行业协会在“中国社会组织政务服务平台”（网址：</w:t>
            </w:r>
            <w:r>
              <w:t>https://chinanpo.mca.gov.cn/</w:t>
            </w:r>
            <w:r>
              <w:rPr>
                <w:rFonts w:hint="eastAsia"/>
              </w:rPr>
              <w:t>）查询的已合法登记且状态正常截图，否则不予认可，视为无效证书</w:t>
            </w:r>
            <w:r>
              <w:rPr>
                <w:rFonts w:hint="eastAsia" w:ascii="宋体" w:hAnsi="宋体"/>
                <w:szCs w:val="21"/>
              </w:rPr>
              <w:t>。</w:t>
            </w:r>
          </w:p>
          <w:p>
            <w:pPr>
              <w:pStyle w:val="95"/>
              <w:spacing w:line="400" w:lineRule="exact"/>
              <w:ind w:firstLine="0" w:firstLineChars="0"/>
              <w:rPr>
                <w:rFonts w:ascii="宋体" w:hAnsi="宋体"/>
                <w:szCs w:val="21"/>
              </w:rPr>
            </w:pPr>
            <w:r>
              <w:rPr>
                <w:rFonts w:hint="eastAsia" w:ascii="宋体" w:hAnsi="宋体"/>
                <w:szCs w:val="21"/>
              </w:rPr>
              <w:t>3、以上均提供复印件或扫描件，原件备查。未提供有效证明文件或提供不清晰导致评委无法识别的，不计得分。</w:t>
            </w:r>
          </w:p>
        </w:tc>
        <w:tc>
          <w:tcPr>
            <w:tcW w:w="1187" w:type="dxa"/>
            <w:vAlign w:val="center"/>
          </w:tcPr>
          <w:p>
            <w:pPr>
              <w:spacing w:line="40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5" w:hRule="atLeast"/>
          <w:jc w:val="center"/>
        </w:trPr>
        <w:tc>
          <w:tcPr>
            <w:tcW w:w="754"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4</w:t>
            </w:r>
          </w:p>
        </w:tc>
        <w:tc>
          <w:tcPr>
            <w:tcW w:w="1143" w:type="dxa"/>
            <w:vAlign w:val="center"/>
          </w:tcPr>
          <w:p>
            <w:pPr>
              <w:tabs>
                <w:tab w:val="left" w:pos="426"/>
              </w:tabs>
              <w:spacing w:line="400" w:lineRule="exact"/>
              <w:jc w:val="center"/>
              <w:rPr>
                <w:rFonts w:ascii="宋体" w:hAnsi="宋体" w:cs="仿宋"/>
                <w:szCs w:val="21"/>
              </w:rPr>
            </w:pPr>
            <w:r>
              <w:rPr>
                <w:rFonts w:hint="eastAsia" w:ascii="宋体" w:hAnsi="宋体" w:cs="宋体"/>
                <w:szCs w:val="21"/>
              </w:rPr>
              <w:t>食品安全责任保险</w:t>
            </w:r>
          </w:p>
        </w:tc>
        <w:tc>
          <w:tcPr>
            <w:tcW w:w="709" w:type="dxa"/>
            <w:vAlign w:val="center"/>
          </w:tcPr>
          <w:p>
            <w:pPr>
              <w:tabs>
                <w:tab w:val="left" w:pos="426"/>
              </w:tabs>
              <w:spacing w:line="400" w:lineRule="exact"/>
              <w:jc w:val="center"/>
              <w:rPr>
                <w:rFonts w:ascii="宋体" w:hAnsi="宋体" w:cs="仿宋"/>
                <w:szCs w:val="21"/>
              </w:rPr>
            </w:pPr>
            <w:r>
              <w:rPr>
                <w:rFonts w:hint="eastAsia" w:ascii="宋体" w:hAnsi="宋体" w:cs="宋体"/>
                <w:szCs w:val="21"/>
              </w:rPr>
              <w:t>5</w:t>
            </w:r>
          </w:p>
        </w:tc>
        <w:tc>
          <w:tcPr>
            <w:tcW w:w="5953" w:type="dxa"/>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投标人对食品安全责任保险投保情况，提供有效期内且投保金额不少于（含）3000万元的食品安全责任保险得5分，投保金额小于3000万元且大于等于1000万元（含）得2.5分。投保金额1000万元以下不得分。</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rPr>
                <w:rFonts w:ascii="宋体" w:hAnsi="宋体"/>
                <w:szCs w:val="21"/>
              </w:rPr>
            </w:pPr>
            <w:r>
              <w:rPr>
                <w:rFonts w:hint="eastAsia" w:ascii="宋体" w:hAnsi="宋体"/>
                <w:szCs w:val="21"/>
              </w:rPr>
              <w:t>提供有效的食品安全责任保险单及发票复印件或扫描件，未提供不得分。评分中出现无证明资料或专家无法凭所提供资料判断是否得分的情况，一律作不得分处理。</w:t>
            </w:r>
          </w:p>
        </w:tc>
        <w:tc>
          <w:tcPr>
            <w:tcW w:w="1187" w:type="dxa"/>
            <w:vAlign w:val="center"/>
          </w:tcPr>
          <w:p>
            <w:pPr>
              <w:spacing w:line="40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75" w:hRule="atLeast"/>
          <w:jc w:val="center"/>
        </w:trPr>
        <w:tc>
          <w:tcPr>
            <w:tcW w:w="754"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5</w:t>
            </w:r>
          </w:p>
        </w:tc>
        <w:tc>
          <w:tcPr>
            <w:tcW w:w="1143" w:type="dxa"/>
            <w:vAlign w:val="center"/>
          </w:tcPr>
          <w:p>
            <w:pPr>
              <w:tabs>
                <w:tab w:val="left" w:pos="426"/>
              </w:tabs>
              <w:spacing w:line="400" w:lineRule="exact"/>
              <w:jc w:val="center"/>
              <w:rPr>
                <w:rFonts w:ascii="宋体" w:hAnsi="宋体" w:cs="仿宋"/>
                <w:szCs w:val="21"/>
              </w:rPr>
            </w:pPr>
            <w:r>
              <w:rPr>
                <w:rFonts w:hint="eastAsia" w:ascii="宋体" w:hAnsi="宋体" w:cs="宋体"/>
                <w:szCs w:val="21"/>
              </w:rPr>
              <w:t>食材检测</w:t>
            </w:r>
          </w:p>
        </w:tc>
        <w:tc>
          <w:tcPr>
            <w:tcW w:w="709" w:type="dxa"/>
            <w:vAlign w:val="center"/>
          </w:tcPr>
          <w:p>
            <w:pPr>
              <w:tabs>
                <w:tab w:val="left" w:pos="426"/>
              </w:tabs>
              <w:spacing w:line="400" w:lineRule="exact"/>
              <w:jc w:val="center"/>
              <w:rPr>
                <w:rFonts w:ascii="宋体" w:hAnsi="宋体" w:cs="仿宋"/>
                <w:szCs w:val="21"/>
              </w:rPr>
            </w:pPr>
            <w:r>
              <w:rPr>
                <w:rFonts w:hint="eastAsia" w:ascii="宋体" w:hAnsi="宋体" w:cs="宋体"/>
                <w:szCs w:val="21"/>
              </w:rPr>
              <w:t>10</w:t>
            </w:r>
          </w:p>
        </w:tc>
        <w:tc>
          <w:tcPr>
            <w:tcW w:w="5953" w:type="dxa"/>
            <w:vAlign w:val="center"/>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提供2023年1月1日</w:t>
            </w:r>
            <w:r>
              <w:rPr>
                <w:rFonts w:hint="eastAsia"/>
              </w:rPr>
              <w:t>至投标截止日</w:t>
            </w:r>
            <w:r>
              <w:rPr>
                <w:rFonts w:hint="eastAsia" w:ascii="宋体" w:hAnsi="宋体"/>
                <w:szCs w:val="21"/>
              </w:rPr>
              <w:t>的委托第三方检测机构出具的盖有CMA 或CNAS 印章的检测报告（检测报告的委托/送检单位需为投标人），检测结果为未检出/合格/符合或类似表述：</w:t>
            </w:r>
          </w:p>
          <w:p>
            <w:pPr>
              <w:pStyle w:val="95"/>
              <w:spacing w:line="400" w:lineRule="exact"/>
              <w:ind w:firstLine="0" w:firstLineChars="0"/>
              <w:rPr>
                <w:rFonts w:ascii="宋体" w:hAnsi="宋体"/>
                <w:szCs w:val="21"/>
              </w:rPr>
            </w:pPr>
            <w:r>
              <w:rPr>
                <w:rFonts w:hint="eastAsia" w:ascii="宋体" w:hAnsi="宋体"/>
                <w:szCs w:val="21"/>
              </w:rPr>
              <w:t>1、蔬菜（检测项目包含但不限于：甲胺磷、</w:t>
            </w:r>
            <w:r>
              <w:rPr>
                <w:rFonts w:hint="eastAsia"/>
              </w:rPr>
              <w:t>水胺硫磷</w:t>
            </w:r>
            <w:r>
              <w:rPr>
                <w:rFonts w:hint="eastAsia" w:ascii="宋体" w:hAnsi="宋体"/>
                <w:szCs w:val="21"/>
              </w:rPr>
              <w:t>、六六六、滴滴涕、</w:t>
            </w:r>
            <w:r>
              <w:rPr>
                <w:rFonts w:hint="eastAsia"/>
              </w:rPr>
              <w:t>阿维菌素</w:t>
            </w:r>
            <w:r>
              <w:rPr>
                <w:rFonts w:hint="eastAsia" w:ascii="宋体" w:hAnsi="宋体"/>
                <w:szCs w:val="21"/>
              </w:rPr>
              <w:t xml:space="preserve">等不少于14项），单份报告全部包含以上14项检测项目的得4分，缺任意一项不得分。 </w:t>
            </w:r>
          </w:p>
          <w:p>
            <w:pPr>
              <w:pStyle w:val="95"/>
              <w:spacing w:line="400" w:lineRule="exact"/>
              <w:ind w:firstLine="0" w:firstLineChars="0"/>
              <w:rPr>
                <w:rFonts w:ascii="宋体" w:hAnsi="宋体"/>
                <w:szCs w:val="21"/>
              </w:rPr>
            </w:pPr>
            <w:r>
              <w:rPr>
                <w:rFonts w:hint="eastAsia" w:ascii="宋体" w:hAnsi="宋体"/>
                <w:szCs w:val="21"/>
              </w:rPr>
              <w:t>2、水产类（检测项目包含但不限于：铅、镉、</w:t>
            </w:r>
            <w:r>
              <w:rPr>
                <w:rFonts w:hint="eastAsia"/>
              </w:rPr>
              <w:t>挥发性盐基氮</w:t>
            </w:r>
            <w:r>
              <w:rPr>
                <w:rFonts w:hint="eastAsia" w:ascii="宋体" w:hAnsi="宋体"/>
                <w:szCs w:val="21"/>
              </w:rPr>
              <w:t>、</w:t>
            </w:r>
            <w:r>
              <w:rPr>
                <w:rFonts w:hint="eastAsia"/>
              </w:rPr>
              <w:t>氧氟沙星</w:t>
            </w:r>
            <w:r>
              <w:rPr>
                <w:rFonts w:hint="eastAsia" w:ascii="宋体" w:hAnsi="宋体"/>
                <w:szCs w:val="21"/>
              </w:rPr>
              <w:t>、</w:t>
            </w:r>
            <w:r>
              <w:rPr>
                <w:rFonts w:hint="eastAsia"/>
              </w:rPr>
              <w:t>五氯酚酸钠</w:t>
            </w:r>
            <w:r>
              <w:rPr>
                <w:rFonts w:hint="eastAsia" w:ascii="宋体" w:hAnsi="宋体"/>
                <w:szCs w:val="21"/>
              </w:rPr>
              <w:t>等不少于11项），单份报告全部包含以上11项检测项目的得3分；缺任意一项不得分。</w:t>
            </w:r>
          </w:p>
          <w:p>
            <w:pPr>
              <w:pStyle w:val="95"/>
              <w:spacing w:line="400" w:lineRule="exact"/>
              <w:ind w:firstLine="0" w:firstLineChars="0"/>
              <w:rPr>
                <w:rFonts w:ascii="宋体" w:hAnsi="宋体"/>
                <w:szCs w:val="21"/>
              </w:rPr>
            </w:pPr>
            <w:r>
              <w:rPr>
                <w:rFonts w:hint="eastAsia" w:ascii="宋体" w:hAnsi="宋体"/>
                <w:szCs w:val="21"/>
              </w:rPr>
              <w:t>3、水果类（检测项目包含但不限于：甲胺磷、艾氏剂、六六六、敌敌畏、氟虫氰等不少于12项），单份报告全部包含以上1</w:t>
            </w:r>
            <w:r>
              <w:rPr>
                <w:rFonts w:hint="eastAsia" w:ascii="宋体" w:hAnsi="宋体"/>
                <w:szCs w:val="21"/>
                <w:lang w:val="en-US" w:eastAsia="zh-CN"/>
              </w:rPr>
              <w:t>2</w:t>
            </w:r>
            <w:r>
              <w:rPr>
                <w:rFonts w:hint="eastAsia" w:ascii="宋体" w:hAnsi="宋体"/>
                <w:szCs w:val="21"/>
              </w:rPr>
              <w:t>项检测项目的得3分；缺任意一项不得分。</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rPr>
                <w:rFonts w:ascii="宋体" w:hAnsi="宋体"/>
                <w:szCs w:val="21"/>
              </w:rPr>
            </w:pPr>
            <w:r>
              <w:rPr>
                <w:rFonts w:hint="eastAsia" w:ascii="宋体" w:hAnsi="宋体"/>
                <w:szCs w:val="21"/>
              </w:rPr>
              <w:t>1、提供与第三方检测机构合作签订的协议复印件或扫描件；</w:t>
            </w:r>
          </w:p>
          <w:p>
            <w:pPr>
              <w:pStyle w:val="95"/>
              <w:spacing w:line="400" w:lineRule="exact"/>
              <w:ind w:firstLine="0" w:firstLineChars="0"/>
              <w:rPr>
                <w:rFonts w:ascii="宋体" w:hAnsi="宋体"/>
                <w:szCs w:val="21"/>
              </w:rPr>
            </w:pPr>
            <w:r>
              <w:rPr>
                <w:rFonts w:hint="eastAsia" w:ascii="宋体" w:hAnsi="宋体"/>
                <w:szCs w:val="21"/>
              </w:rPr>
              <w:t>2、提供第三方检测机构CMA或CNAS资质证书复印件或扫描件；3、提供以上三类检测报告复印件或扫描件，原件备查；</w:t>
            </w:r>
          </w:p>
          <w:p>
            <w:pPr>
              <w:pStyle w:val="95"/>
              <w:spacing w:line="400" w:lineRule="exact"/>
              <w:ind w:firstLine="0" w:firstLineChars="0"/>
              <w:rPr>
                <w:rFonts w:ascii="宋体" w:hAnsi="宋体" w:cs="宋体"/>
                <w:bCs/>
                <w:kern w:val="0"/>
                <w:szCs w:val="21"/>
              </w:rPr>
            </w:pPr>
            <w:r>
              <w:rPr>
                <w:rFonts w:hint="eastAsia" w:ascii="宋体" w:hAnsi="宋体"/>
                <w:szCs w:val="21"/>
              </w:rPr>
              <w:t>4、未提供相关证明材料或提供的证明材料不符合要求的或者提供的证明材料不清晰导致评审专家无法辨认的，不得分。</w:t>
            </w:r>
          </w:p>
        </w:tc>
        <w:tc>
          <w:tcPr>
            <w:tcW w:w="1187" w:type="dxa"/>
            <w:vAlign w:val="center"/>
          </w:tcPr>
          <w:p>
            <w:pPr>
              <w:spacing w:line="40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65" w:hRule="atLeast"/>
          <w:jc w:val="center"/>
        </w:trPr>
        <w:tc>
          <w:tcPr>
            <w:tcW w:w="754"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6</w:t>
            </w:r>
          </w:p>
        </w:tc>
        <w:tc>
          <w:tcPr>
            <w:tcW w:w="1143" w:type="dxa"/>
            <w:vAlign w:val="center"/>
          </w:tcPr>
          <w:p>
            <w:pPr>
              <w:tabs>
                <w:tab w:val="left" w:pos="426"/>
              </w:tabs>
              <w:spacing w:line="400" w:lineRule="exact"/>
              <w:jc w:val="center"/>
              <w:rPr>
                <w:rFonts w:ascii="宋体" w:hAnsi="宋体" w:cs="仿宋"/>
                <w:szCs w:val="21"/>
              </w:rPr>
            </w:pPr>
            <w:r>
              <w:rPr>
                <w:rFonts w:hint="eastAsia" w:ascii="宋体" w:hAnsi="宋体" w:cs="宋体"/>
                <w:szCs w:val="21"/>
              </w:rPr>
              <w:t>同类项目业绩情况</w:t>
            </w:r>
          </w:p>
        </w:tc>
        <w:tc>
          <w:tcPr>
            <w:tcW w:w="709" w:type="dxa"/>
            <w:vAlign w:val="center"/>
          </w:tcPr>
          <w:p>
            <w:pPr>
              <w:tabs>
                <w:tab w:val="left" w:pos="426"/>
              </w:tabs>
              <w:spacing w:line="400" w:lineRule="exact"/>
              <w:jc w:val="center"/>
              <w:rPr>
                <w:rFonts w:ascii="宋体" w:hAnsi="宋体" w:cs="仿宋"/>
                <w:szCs w:val="21"/>
              </w:rPr>
            </w:pPr>
            <w:r>
              <w:rPr>
                <w:rFonts w:hint="eastAsia" w:ascii="宋体" w:hAnsi="宋体" w:cs="宋体"/>
                <w:szCs w:val="21"/>
              </w:rPr>
              <w:t>5</w:t>
            </w:r>
          </w:p>
        </w:tc>
        <w:tc>
          <w:tcPr>
            <w:tcW w:w="5953" w:type="dxa"/>
            <w:vAlign w:val="center"/>
          </w:tcPr>
          <w:p>
            <w:pPr>
              <w:pStyle w:val="95"/>
              <w:spacing w:line="400" w:lineRule="exact"/>
              <w:ind w:firstLine="0" w:firstLineChars="0"/>
              <w:rPr>
                <w:rFonts w:ascii="宋体" w:hAnsi="宋体"/>
                <w:szCs w:val="21"/>
              </w:rPr>
            </w:pPr>
            <w:r>
              <w:rPr>
                <w:rFonts w:hint="eastAsia" w:ascii="宋体" w:hAnsi="宋体"/>
                <w:szCs w:val="21"/>
              </w:rPr>
              <w:t>（一）评分内容：</w:t>
            </w:r>
          </w:p>
          <w:p>
            <w:pPr>
              <w:pStyle w:val="95"/>
              <w:spacing w:line="400" w:lineRule="exact"/>
              <w:ind w:firstLine="0" w:firstLineChars="0"/>
              <w:rPr>
                <w:rFonts w:ascii="宋体" w:hAnsi="宋体"/>
                <w:szCs w:val="21"/>
              </w:rPr>
            </w:pPr>
            <w:r>
              <w:rPr>
                <w:rFonts w:hint="eastAsia" w:ascii="宋体" w:hAnsi="宋体"/>
                <w:szCs w:val="21"/>
              </w:rPr>
              <w:t>投标人2019年1月1日至本项目投标截止时间，以合同签订日期为准： 每具有一项食材配送项目的得1.7分，最高得5分。</w:t>
            </w:r>
          </w:p>
          <w:p>
            <w:pPr>
              <w:pStyle w:val="95"/>
              <w:spacing w:line="400" w:lineRule="exact"/>
              <w:ind w:firstLine="0" w:firstLineChars="0"/>
              <w:rPr>
                <w:rFonts w:ascii="宋体" w:hAnsi="宋体"/>
                <w:szCs w:val="21"/>
              </w:rPr>
            </w:pPr>
            <w:r>
              <w:rPr>
                <w:rFonts w:hint="eastAsia" w:ascii="宋体" w:hAnsi="宋体"/>
                <w:szCs w:val="21"/>
              </w:rPr>
              <w:t>（二）评分依据：</w:t>
            </w:r>
          </w:p>
          <w:p>
            <w:pPr>
              <w:pStyle w:val="95"/>
              <w:spacing w:line="400" w:lineRule="exact"/>
              <w:ind w:firstLine="0" w:firstLineChars="0"/>
              <w:rPr>
                <w:rFonts w:ascii="宋体" w:hAnsi="宋体" w:cs="宋体"/>
                <w:bCs/>
                <w:kern w:val="0"/>
                <w:szCs w:val="21"/>
              </w:rPr>
            </w:pPr>
            <w:r>
              <w:rPr>
                <w:rFonts w:hint="eastAsia" w:ascii="宋体" w:hAnsi="宋体"/>
                <w:szCs w:val="21"/>
              </w:rPr>
              <w:t>每项业绩需按要求提供合同关键页，通过上述资料无法判断是否得分的，也可以同时提供能证明得分的其它资料，如项目报告或采购单位（或被服务单位）出具的证明文件等。以上均提供复印件或扫描件，原件备查。未提供有效证明文件或提供不清晰导致评委无法识别的，不计得分。</w:t>
            </w:r>
          </w:p>
        </w:tc>
        <w:tc>
          <w:tcPr>
            <w:tcW w:w="1187" w:type="dxa"/>
            <w:vAlign w:val="center"/>
          </w:tcPr>
          <w:p>
            <w:pPr>
              <w:spacing w:line="40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75" w:hRule="atLeast"/>
          <w:jc w:val="center"/>
        </w:trPr>
        <w:tc>
          <w:tcPr>
            <w:tcW w:w="754" w:type="dxa"/>
            <w:vAlign w:val="center"/>
          </w:tcPr>
          <w:p>
            <w:pPr>
              <w:autoSpaceDE w:val="0"/>
              <w:autoSpaceDN w:val="0"/>
              <w:adjustRightInd w:val="0"/>
              <w:spacing w:line="400" w:lineRule="exact"/>
              <w:jc w:val="center"/>
              <w:rPr>
                <w:rFonts w:ascii="宋体" w:hAnsi="宋体" w:cs="仿宋"/>
                <w:szCs w:val="21"/>
              </w:rPr>
            </w:pPr>
            <w:r>
              <w:rPr>
                <w:rFonts w:hint="eastAsia" w:ascii="宋体" w:hAnsi="宋体" w:cs="仿宋"/>
                <w:szCs w:val="21"/>
              </w:rPr>
              <w:t>7</w:t>
            </w:r>
          </w:p>
        </w:tc>
        <w:tc>
          <w:tcPr>
            <w:tcW w:w="1143" w:type="dxa"/>
            <w:vAlign w:val="center"/>
          </w:tcPr>
          <w:p>
            <w:pPr>
              <w:spacing w:line="400" w:lineRule="exact"/>
              <w:jc w:val="center"/>
              <w:rPr>
                <w:rFonts w:ascii="宋体" w:hAnsi="宋体"/>
                <w:szCs w:val="21"/>
              </w:rPr>
            </w:pPr>
            <w:r>
              <w:rPr>
                <w:rFonts w:hint="eastAsia" w:ascii="宋体" w:hAnsi="宋体" w:cs="仿宋"/>
                <w:szCs w:val="21"/>
              </w:rPr>
              <w:t>诚信评审</w:t>
            </w:r>
          </w:p>
        </w:tc>
        <w:tc>
          <w:tcPr>
            <w:tcW w:w="709" w:type="dxa"/>
            <w:vAlign w:val="center"/>
          </w:tcPr>
          <w:p>
            <w:pPr>
              <w:spacing w:line="400" w:lineRule="exact"/>
              <w:jc w:val="center"/>
              <w:rPr>
                <w:rFonts w:ascii="宋体" w:hAnsi="宋体"/>
                <w:szCs w:val="21"/>
              </w:rPr>
            </w:pPr>
            <w:r>
              <w:rPr>
                <w:rFonts w:hint="eastAsia" w:ascii="宋体" w:hAnsi="宋体" w:cs="仿宋"/>
                <w:szCs w:val="21"/>
              </w:rPr>
              <w:t>5</w:t>
            </w:r>
          </w:p>
        </w:tc>
        <w:tc>
          <w:tcPr>
            <w:tcW w:w="5953" w:type="dxa"/>
            <w:vAlign w:val="center"/>
          </w:tcPr>
          <w:p>
            <w:pPr>
              <w:pStyle w:val="95"/>
              <w:spacing w:line="400" w:lineRule="exact"/>
              <w:ind w:firstLine="0" w:firstLineChars="0"/>
              <w:rPr>
                <w:rFonts w:ascii="宋体" w:hAnsi="宋体"/>
                <w:szCs w:val="21"/>
              </w:rPr>
            </w:pPr>
            <w:r>
              <w:rPr>
                <w:rFonts w:hint="eastAsia" w:ascii="宋体" w:hAnsi="宋体"/>
                <w:szCs w:val="21"/>
              </w:rPr>
              <w:t>（一）评分内容：</w:t>
            </w:r>
          </w:p>
          <w:p>
            <w:pPr>
              <w:adjustRightInd w:val="0"/>
              <w:snapToGrid w:val="0"/>
              <w:spacing w:line="40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400" w:lineRule="exact"/>
              <w:jc w:val="left"/>
              <w:rPr>
                <w:rFonts w:ascii="宋体" w:hAnsi="宋体"/>
                <w:kern w:val="0"/>
                <w:szCs w:val="21"/>
              </w:rPr>
            </w:pPr>
            <w:r>
              <w:rPr>
                <w:rFonts w:hint="eastAsia" w:ascii="宋体" w:hAnsi="宋体"/>
                <w:kern w:val="0"/>
                <w:szCs w:val="21"/>
              </w:rPr>
              <w:t>（二）评分依据：</w:t>
            </w:r>
          </w:p>
          <w:p>
            <w:pPr>
              <w:tabs>
                <w:tab w:val="left" w:pos="175"/>
              </w:tabs>
              <w:spacing w:line="400" w:lineRule="exact"/>
              <w:ind w:left="33"/>
              <w:jc w:val="left"/>
              <w:rPr>
                <w:rFonts w:ascii="宋体" w:hAnsi="宋体"/>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400" w:lineRule="exact"/>
              <w:jc w:val="center"/>
              <w:rPr>
                <w:rFonts w:ascii="宋体" w:hAnsi="宋体" w:cs="仿宋"/>
                <w:szCs w:val="21"/>
                <w:lang w:val="zh-CN"/>
              </w:rPr>
            </w:pPr>
            <w:r>
              <w:rPr>
                <w:rFonts w:hint="eastAsia" w:ascii="宋体" w:hAnsi="宋体" w:cs="仿宋"/>
                <w:szCs w:val="21"/>
              </w:rPr>
              <w:t>评委打分</w:t>
            </w:r>
          </w:p>
        </w:tc>
      </w:tr>
    </w:tbl>
    <w:p>
      <w:pPr>
        <w:keepNext/>
        <w:keepLines/>
        <w:spacing w:line="416" w:lineRule="auto"/>
        <w:jc w:val="left"/>
        <w:outlineLvl w:val="1"/>
        <w:rPr>
          <w:rFonts w:ascii="宋体" w:hAnsi="宋体"/>
          <w:b/>
          <w:szCs w:val="21"/>
        </w:rPr>
      </w:pPr>
      <w:r>
        <w:rPr>
          <w:rFonts w:hint="eastAsia" w:ascii="宋体" w:hAnsi="宋体"/>
          <w:b/>
          <w:szCs w:val="21"/>
        </w:rPr>
        <w:t>备注：</w:t>
      </w:r>
      <w:bookmarkEnd w:id="10"/>
      <w:bookmarkEnd w:id="11"/>
      <w:bookmarkEnd w:id="12"/>
      <w:bookmarkEnd w:id="13"/>
      <w:bookmarkEnd w:id="14"/>
    </w:p>
    <w:p>
      <w:pPr>
        <w:keepNext/>
        <w:keepLines/>
        <w:spacing w:line="416" w:lineRule="auto"/>
        <w:jc w:val="left"/>
        <w:outlineLvl w:val="2"/>
        <w:rPr>
          <w:b/>
          <w:bCs/>
          <w:sz w:val="24"/>
          <w:szCs w:val="32"/>
        </w:rPr>
      </w:pPr>
      <w:bookmarkStart w:id="15" w:name="_Toc26711"/>
      <w:r>
        <w:rPr>
          <w:rFonts w:hint="eastAsia"/>
          <w:b/>
          <w:bCs/>
          <w:sz w:val="24"/>
          <w:szCs w:val="32"/>
        </w:rPr>
        <w:t>1、资质证书有效期</w:t>
      </w:r>
      <w:bookmarkEnd w:id="15"/>
    </w:p>
    <w:p>
      <w:pPr>
        <w:spacing w:line="360" w:lineRule="auto"/>
        <w:ind w:firstLine="424" w:firstLineChars="202"/>
        <w:rPr>
          <w:rFonts w:ascii="宋体" w:hAnsi="宋体"/>
        </w:rPr>
      </w:pPr>
      <w:r>
        <w:rPr>
          <w:rFonts w:hint="eastAsia" w:ascii="宋体" w:hAnsi="宋体"/>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供应商提供年审证明的可按原资质响应；若供应商正在申报上一级别资质，在未获批准之前，仍按原级别资质响应。</w:t>
      </w:r>
    </w:p>
    <w:p>
      <w:pPr>
        <w:adjustRightInd w:val="0"/>
        <w:spacing w:line="360" w:lineRule="exact"/>
        <w:rPr>
          <w:rFonts w:ascii="宋体" w:hAnsi="宋体"/>
          <w:b/>
        </w:rPr>
      </w:pPr>
    </w:p>
    <w:p>
      <w:pPr>
        <w:adjustRightInd w:val="0"/>
        <w:spacing w:line="360" w:lineRule="exact"/>
        <w:rPr>
          <w:rFonts w:asciiTheme="minorEastAsia" w:hAnsiTheme="minorEastAsia" w:eastAsiaTheme="minorEastAsia"/>
          <w:b/>
        </w:rPr>
      </w:pPr>
    </w:p>
    <w:p>
      <w:pPr>
        <w:widowControl/>
        <w:jc w:val="left"/>
      </w:pPr>
      <w:r>
        <w:br w:type="page"/>
      </w:r>
    </w:p>
    <w:p/>
    <w:p/>
    <w:p>
      <w:pPr>
        <w:pStyle w:val="3"/>
        <w:spacing w:before="0"/>
      </w:pPr>
      <w:bookmarkStart w:id="16" w:name="_Toc73613629"/>
      <w:r>
        <w:rPr>
          <w:rFonts w:hint="eastAsia"/>
        </w:rPr>
        <w:t>第五章  供应商须知前附表</w:t>
      </w:r>
      <w:bookmarkEnd w:id="16"/>
    </w:p>
    <w:p>
      <w:pPr>
        <w:autoSpaceDE w:val="0"/>
        <w:autoSpaceDN w:val="0"/>
        <w:adjustRightInd w:val="0"/>
        <w:spacing w:line="360" w:lineRule="auto"/>
        <w:ind w:firstLine="480" w:firstLineChars="200"/>
        <w:jc w:val="left"/>
      </w:pPr>
      <w:r>
        <w:rPr>
          <w:rFonts w:hint="eastAsia" w:ascii="仿宋_GB2312" w:eastAsia="仿宋_GB2312"/>
          <w:sz w:val="24"/>
        </w:rPr>
        <w:t>供应商须知前附表（以下简称“前附表”）是对采购文件第六章“供应商须知”的具体补充和说明，供应商须知和前附表有不一致之处，应以前附表为准。前附表的条款号与供应商须知条款号是一一对应的关系。</w:t>
      </w:r>
    </w:p>
    <w:tbl>
      <w:tblPr>
        <w:tblStyle w:val="51"/>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项号</w:t>
            </w:r>
          </w:p>
        </w:tc>
        <w:tc>
          <w:tcPr>
            <w:tcW w:w="1038" w:type="dxa"/>
            <w:vAlign w:val="center"/>
          </w:tcPr>
          <w:p>
            <w:pPr>
              <w:pStyle w:val="28"/>
              <w:spacing w:line="360" w:lineRule="auto"/>
              <w:jc w:val="center"/>
              <w:rPr>
                <w:rFonts w:hAnsi="宋体"/>
              </w:rPr>
            </w:pPr>
            <w:r>
              <w:rPr>
                <w:rFonts w:hint="eastAsia" w:hAnsi="宋体"/>
              </w:rPr>
              <w:t>条款号</w:t>
            </w:r>
          </w:p>
        </w:tc>
        <w:tc>
          <w:tcPr>
            <w:tcW w:w="1843" w:type="dxa"/>
            <w:vAlign w:val="center"/>
          </w:tcPr>
          <w:p>
            <w:pPr>
              <w:pStyle w:val="28"/>
              <w:spacing w:line="360" w:lineRule="auto"/>
              <w:jc w:val="center"/>
              <w:rPr>
                <w:rFonts w:hAnsi="宋体"/>
              </w:rPr>
            </w:pPr>
            <w:r>
              <w:rPr>
                <w:rFonts w:hint="eastAsia" w:hAnsi="宋体"/>
              </w:rPr>
              <w:t>内容</w:t>
            </w:r>
          </w:p>
        </w:tc>
        <w:tc>
          <w:tcPr>
            <w:tcW w:w="6520" w:type="dxa"/>
          </w:tcPr>
          <w:p>
            <w:pPr>
              <w:pStyle w:val="28"/>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Ansi="宋体"/>
              </w:rPr>
              <w:t>1</w:t>
            </w:r>
          </w:p>
        </w:tc>
        <w:tc>
          <w:tcPr>
            <w:tcW w:w="1038" w:type="dxa"/>
            <w:vAlign w:val="center"/>
          </w:tcPr>
          <w:p>
            <w:pPr>
              <w:pStyle w:val="28"/>
              <w:spacing w:line="360" w:lineRule="auto"/>
              <w:jc w:val="center"/>
              <w:rPr>
                <w:rFonts w:hAnsi="宋体"/>
              </w:rPr>
            </w:pPr>
            <w:r>
              <w:rPr>
                <w:rFonts w:hAnsi="宋体"/>
              </w:rPr>
              <w:t>1.1</w:t>
            </w:r>
          </w:p>
        </w:tc>
        <w:tc>
          <w:tcPr>
            <w:tcW w:w="1843" w:type="dxa"/>
            <w:vAlign w:val="center"/>
          </w:tcPr>
          <w:p>
            <w:pPr>
              <w:pStyle w:val="28"/>
              <w:spacing w:line="360" w:lineRule="exact"/>
              <w:jc w:val="center"/>
              <w:rPr>
                <w:rFonts w:hAnsi="宋体"/>
              </w:rPr>
            </w:pPr>
            <w:r>
              <w:rPr>
                <w:rFonts w:hint="eastAsia" w:hAnsi="宋体"/>
              </w:rPr>
              <w:t>项目名称</w:t>
            </w:r>
          </w:p>
        </w:tc>
        <w:tc>
          <w:tcPr>
            <w:tcW w:w="6520" w:type="dxa"/>
            <w:vAlign w:val="center"/>
          </w:tcPr>
          <w:p>
            <w:pPr>
              <w:pStyle w:val="28"/>
              <w:spacing w:line="360" w:lineRule="exact"/>
            </w:pPr>
            <w:r>
              <w:rPr>
                <w:rFonts w:hint="eastAsia" w:asciiTheme="minorEastAsia" w:hAnsiTheme="minorEastAsia" w:eastAsiaTheme="minorEastAsia"/>
              </w:rPr>
              <w:t>深圳实验幼儿园幼儿食堂八大类外食材品种配送服务采购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2</w:t>
            </w:r>
          </w:p>
        </w:tc>
        <w:tc>
          <w:tcPr>
            <w:tcW w:w="1038" w:type="dxa"/>
            <w:vAlign w:val="center"/>
          </w:tcPr>
          <w:p>
            <w:pPr>
              <w:pStyle w:val="28"/>
              <w:spacing w:line="360" w:lineRule="auto"/>
              <w:jc w:val="center"/>
              <w:rPr>
                <w:rFonts w:hAnsi="宋体"/>
              </w:rPr>
            </w:pPr>
            <w:r>
              <w:rPr>
                <w:rFonts w:hAnsi="宋体"/>
              </w:rPr>
              <w:t>2.1</w:t>
            </w:r>
          </w:p>
        </w:tc>
        <w:tc>
          <w:tcPr>
            <w:tcW w:w="1843" w:type="dxa"/>
            <w:vAlign w:val="center"/>
          </w:tcPr>
          <w:p>
            <w:pPr>
              <w:pStyle w:val="28"/>
              <w:spacing w:line="360" w:lineRule="exact"/>
              <w:jc w:val="center"/>
              <w:rPr>
                <w:rFonts w:hAnsi="宋体"/>
              </w:rPr>
            </w:pPr>
            <w:r>
              <w:rPr>
                <w:rFonts w:hint="eastAsia" w:hAnsi="宋体"/>
              </w:rPr>
              <w:t>采购人</w:t>
            </w:r>
          </w:p>
        </w:tc>
        <w:tc>
          <w:tcPr>
            <w:tcW w:w="6520" w:type="dxa"/>
            <w:vAlign w:val="center"/>
          </w:tcPr>
          <w:p>
            <w:pPr>
              <w:pStyle w:val="28"/>
              <w:spacing w:line="360" w:lineRule="exact"/>
              <w:rPr>
                <w:rFonts w:hAnsi="宋体"/>
                <w:szCs w:val="24"/>
              </w:rPr>
            </w:pPr>
            <w:r>
              <w:rPr>
                <w:rFonts w:hint="eastAsia" w:hAnsi="宋体"/>
                <w:snapToGrid w:val="0"/>
                <w:szCs w:val="21"/>
              </w:rPr>
              <w:t>深圳实验幼儿园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3</w:t>
            </w:r>
          </w:p>
        </w:tc>
        <w:tc>
          <w:tcPr>
            <w:tcW w:w="1038" w:type="dxa"/>
            <w:vAlign w:val="center"/>
          </w:tcPr>
          <w:p>
            <w:pPr>
              <w:pStyle w:val="28"/>
              <w:spacing w:line="360" w:lineRule="auto"/>
              <w:jc w:val="center"/>
              <w:rPr>
                <w:rFonts w:hAnsi="宋体"/>
              </w:rPr>
            </w:pPr>
            <w:r>
              <w:rPr>
                <w:rFonts w:hAnsi="宋体"/>
              </w:rPr>
              <w:t>2.2</w:t>
            </w:r>
          </w:p>
        </w:tc>
        <w:tc>
          <w:tcPr>
            <w:tcW w:w="1843" w:type="dxa"/>
            <w:vAlign w:val="center"/>
          </w:tcPr>
          <w:p>
            <w:pPr>
              <w:pStyle w:val="28"/>
              <w:spacing w:line="360" w:lineRule="exact"/>
              <w:jc w:val="center"/>
              <w:rPr>
                <w:rFonts w:hAnsi="宋体"/>
              </w:rPr>
            </w:pPr>
            <w:r>
              <w:rPr>
                <w:rFonts w:hint="eastAsia" w:hAnsi="宋体"/>
              </w:rPr>
              <w:t>采购代理机构</w:t>
            </w:r>
          </w:p>
        </w:tc>
        <w:tc>
          <w:tcPr>
            <w:tcW w:w="6520" w:type="dxa"/>
            <w:vAlign w:val="center"/>
          </w:tcPr>
          <w:p>
            <w:pPr>
              <w:pStyle w:val="28"/>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8"/>
              <w:spacing w:line="360" w:lineRule="auto"/>
              <w:jc w:val="center"/>
              <w:rPr>
                <w:rFonts w:hAnsi="宋体"/>
              </w:rPr>
            </w:pPr>
            <w:r>
              <w:rPr>
                <w:rFonts w:hint="eastAsia" w:hAnsi="宋体"/>
              </w:rPr>
              <w:t>4</w:t>
            </w:r>
          </w:p>
        </w:tc>
        <w:tc>
          <w:tcPr>
            <w:tcW w:w="1038" w:type="dxa"/>
            <w:vAlign w:val="center"/>
          </w:tcPr>
          <w:p>
            <w:pPr>
              <w:pStyle w:val="28"/>
              <w:spacing w:line="360" w:lineRule="auto"/>
              <w:jc w:val="center"/>
              <w:rPr>
                <w:rFonts w:hAnsi="宋体"/>
              </w:rPr>
            </w:pPr>
            <w:r>
              <w:rPr>
                <w:rFonts w:hint="eastAsia" w:hAnsi="宋体"/>
              </w:rPr>
              <w:t>3.1</w:t>
            </w:r>
          </w:p>
        </w:tc>
        <w:tc>
          <w:tcPr>
            <w:tcW w:w="1843" w:type="dxa"/>
            <w:vAlign w:val="center"/>
          </w:tcPr>
          <w:p>
            <w:pPr>
              <w:pStyle w:val="28"/>
              <w:spacing w:line="360" w:lineRule="exact"/>
              <w:jc w:val="center"/>
              <w:rPr>
                <w:rFonts w:hAnsi="宋体"/>
              </w:rPr>
            </w:pPr>
            <w:r>
              <w:rPr>
                <w:rFonts w:hint="eastAsia" w:hAnsi="宋体"/>
              </w:rPr>
              <w:t>资金来源</w:t>
            </w:r>
          </w:p>
        </w:tc>
        <w:tc>
          <w:tcPr>
            <w:tcW w:w="6520" w:type="dxa"/>
            <w:vAlign w:val="center"/>
          </w:tcPr>
          <w:p>
            <w:pPr>
              <w:pStyle w:val="28"/>
              <w:spacing w:line="360" w:lineRule="exact"/>
              <w:rPr>
                <w:rFonts w:hAnsi="宋体"/>
              </w:rPr>
            </w:pPr>
            <w:r>
              <w:rPr>
                <w:rFonts w:hint="eastAsia" w:hAnsi="宋体"/>
              </w:rPr>
              <w:t>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8"/>
              <w:spacing w:line="360" w:lineRule="auto"/>
              <w:jc w:val="center"/>
              <w:rPr>
                <w:rFonts w:hAnsi="宋体"/>
              </w:rPr>
            </w:pPr>
            <w:r>
              <w:rPr>
                <w:rFonts w:hint="eastAsia" w:hAnsi="宋体"/>
              </w:rPr>
              <w:t>5</w:t>
            </w:r>
          </w:p>
        </w:tc>
        <w:tc>
          <w:tcPr>
            <w:tcW w:w="1038" w:type="dxa"/>
            <w:vAlign w:val="center"/>
          </w:tcPr>
          <w:p>
            <w:pPr>
              <w:pStyle w:val="28"/>
              <w:spacing w:line="360" w:lineRule="auto"/>
              <w:jc w:val="center"/>
              <w:rPr>
                <w:rFonts w:hAnsi="宋体"/>
              </w:rPr>
            </w:pPr>
            <w:r>
              <w:rPr>
                <w:rFonts w:hint="eastAsia" w:hAnsi="宋体"/>
              </w:rPr>
              <w:t>4.7</w:t>
            </w:r>
          </w:p>
        </w:tc>
        <w:tc>
          <w:tcPr>
            <w:tcW w:w="1843" w:type="dxa"/>
            <w:vAlign w:val="center"/>
          </w:tcPr>
          <w:p>
            <w:pPr>
              <w:pStyle w:val="28"/>
              <w:spacing w:line="360" w:lineRule="auto"/>
              <w:jc w:val="center"/>
              <w:rPr>
                <w:rFonts w:hAnsi="宋体"/>
              </w:rPr>
            </w:pPr>
            <w:r>
              <w:rPr>
                <w:rFonts w:hint="eastAsia" w:hAnsi="宋体"/>
              </w:rPr>
              <w:t>供应商资格要求</w:t>
            </w:r>
          </w:p>
        </w:tc>
        <w:tc>
          <w:tcPr>
            <w:tcW w:w="6520" w:type="dxa"/>
            <w:vAlign w:val="center"/>
          </w:tcPr>
          <w:p>
            <w:pPr>
              <w:pStyle w:val="28"/>
              <w:spacing w:line="300" w:lineRule="auto"/>
              <w:rPr>
                <w:rFonts w:hAnsi="宋体"/>
                <w:szCs w:val="21"/>
              </w:rPr>
            </w:pPr>
            <w:r>
              <w:rPr>
                <w:rFonts w:hint="eastAsia" w:hAnsi="宋体"/>
                <w:szCs w:val="21"/>
              </w:rPr>
              <w:t>详见《第一章 采购邀请》“供应商资格要求”</w:t>
            </w:r>
            <w:r>
              <w:rPr>
                <w:rFonts w:hAnsi="宋体"/>
                <w:szCs w:val="21"/>
              </w:rPr>
              <w:t xml:space="preserve"> </w:t>
            </w:r>
          </w:p>
          <w:p>
            <w:pPr>
              <w:pStyle w:val="28"/>
              <w:spacing w:line="360" w:lineRule="auto"/>
              <w:rPr>
                <w:rFonts w:hAnsi="宋体"/>
                <w:b/>
                <w:bCs/>
                <w:szCs w:val="21"/>
              </w:rPr>
            </w:pPr>
            <w:r>
              <w:rPr>
                <w:rFonts w:hint="eastAsia" w:hAnsi="宋体"/>
                <w:b/>
                <w:bCs/>
                <w:szCs w:val="21"/>
              </w:rPr>
              <w:t>（供应商资格证明文件详见第七章 响应文件格式）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8"/>
              <w:spacing w:line="360" w:lineRule="auto"/>
              <w:jc w:val="center"/>
              <w:rPr>
                <w:rFonts w:hAnsi="宋体"/>
              </w:rPr>
            </w:pPr>
            <w:r>
              <w:rPr>
                <w:rFonts w:hint="eastAsia" w:hAnsi="宋体"/>
              </w:rPr>
              <w:t>6</w:t>
            </w:r>
          </w:p>
        </w:tc>
        <w:tc>
          <w:tcPr>
            <w:tcW w:w="1038" w:type="dxa"/>
            <w:vAlign w:val="center"/>
          </w:tcPr>
          <w:p>
            <w:pPr>
              <w:pStyle w:val="28"/>
              <w:spacing w:line="360" w:lineRule="auto"/>
              <w:jc w:val="center"/>
              <w:rPr>
                <w:rFonts w:hAnsi="宋体"/>
              </w:rPr>
            </w:pPr>
            <w:r>
              <w:rPr>
                <w:rFonts w:hint="eastAsia" w:hAnsi="宋体"/>
              </w:rPr>
              <w:t>4.8</w:t>
            </w:r>
          </w:p>
        </w:tc>
        <w:tc>
          <w:tcPr>
            <w:tcW w:w="1843" w:type="dxa"/>
            <w:vAlign w:val="center"/>
          </w:tcPr>
          <w:p>
            <w:pPr>
              <w:pStyle w:val="28"/>
              <w:spacing w:line="360" w:lineRule="auto"/>
              <w:jc w:val="center"/>
              <w:rPr>
                <w:rFonts w:hAnsi="宋体"/>
              </w:rPr>
            </w:pPr>
            <w:r>
              <w:rPr>
                <w:rFonts w:hint="eastAsia" w:hAnsi="宋体"/>
              </w:rPr>
              <w:t>联合体响应</w:t>
            </w:r>
          </w:p>
        </w:tc>
        <w:tc>
          <w:tcPr>
            <w:tcW w:w="6520" w:type="dxa"/>
          </w:tcPr>
          <w:p>
            <w:pPr>
              <w:pStyle w:val="28"/>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8"/>
              <w:spacing w:line="360" w:lineRule="auto"/>
              <w:jc w:val="center"/>
              <w:rPr>
                <w:rFonts w:hAnsi="宋体"/>
              </w:rPr>
            </w:pPr>
            <w:r>
              <w:rPr>
                <w:rFonts w:hint="eastAsia" w:hAnsi="宋体"/>
              </w:rPr>
              <w:t>7</w:t>
            </w:r>
          </w:p>
        </w:tc>
        <w:tc>
          <w:tcPr>
            <w:tcW w:w="1038" w:type="dxa"/>
            <w:vAlign w:val="center"/>
          </w:tcPr>
          <w:p>
            <w:pPr>
              <w:pStyle w:val="28"/>
              <w:spacing w:line="360" w:lineRule="auto"/>
              <w:jc w:val="center"/>
              <w:rPr>
                <w:rFonts w:hAnsi="宋体"/>
              </w:rPr>
            </w:pPr>
            <w:r>
              <w:rPr>
                <w:rFonts w:hint="eastAsia" w:hAnsi="宋体"/>
              </w:rPr>
              <w:t>6.1</w:t>
            </w:r>
          </w:p>
        </w:tc>
        <w:tc>
          <w:tcPr>
            <w:tcW w:w="1843" w:type="dxa"/>
            <w:vAlign w:val="center"/>
          </w:tcPr>
          <w:p>
            <w:pPr>
              <w:pStyle w:val="28"/>
              <w:spacing w:line="360" w:lineRule="auto"/>
              <w:jc w:val="center"/>
              <w:rPr>
                <w:rFonts w:hAnsi="宋体"/>
              </w:rPr>
            </w:pPr>
            <w:r>
              <w:rPr>
                <w:rFonts w:hint="eastAsia" w:hAnsi="宋体"/>
              </w:rPr>
              <w:t>踏勘现场</w:t>
            </w:r>
          </w:p>
        </w:tc>
        <w:tc>
          <w:tcPr>
            <w:tcW w:w="6520" w:type="dxa"/>
          </w:tcPr>
          <w:p>
            <w:pPr>
              <w:pStyle w:val="28"/>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8"/>
              <w:spacing w:line="360" w:lineRule="auto"/>
              <w:jc w:val="center"/>
              <w:rPr>
                <w:rFonts w:hAnsi="宋体"/>
              </w:rPr>
            </w:pPr>
            <w:r>
              <w:rPr>
                <w:rFonts w:hint="eastAsia" w:hAnsi="宋体"/>
              </w:rPr>
              <w:t>8</w:t>
            </w:r>
          </w:p>
        </w:tc>
        <w:tc>
          <w:tcPr>
            <w:tcW w:w="1038" w:type="dxa"/>
            <w:vAlign w:val="center"/>
          </w:tcPr>
          <w:p>
            <w:pPr>
              <w:pStyle w:val="28"/>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8"/>
              <w:spacing w:line="360" w:lineRule="auto"/>
              <w:jc w:val="center"/>
              <w:rPr>
                <w:rFonts w:hAnsi="宋体"/>
              </w:rPr>
            </w:pPr>
            <w:r>
              <w:rPr>
                <w:rFonts w:hint="eastAsia" w:hAnsi="宋体"/>
              </w:rPr>
              <w:t>响应有效期</w:t>
            </w:r>
          </w:p>
        </w:tc>
        <w:tc>
          <w:tcPr>
            <w:tcW w:w="6520" w:type="dxa"/>
          </w:tcPr>
          <w:p>
            <w:pPr>
              <w:pStyle w:val="28"/>
              <w:spacing w:line="360" w:lineRule="auto"/>
              <w:rPr>
                <w:rFonts w:hAnsi="宋体"/>
              </w:rPr>
            </w:pPr>
            <w:r>
              <w:rPr>
                <w:rFonts w:hint="eastAsia" w:hAnsi="宋体"/>
              </w:rPr>
              <w:t>90</w:t>
            </w:r>
            <w:r>
              <w:rPr>
                <w:rFonts w:hAnsi="宋体"/>
              </w:rPr>
              <w:t>日历天（从响应截止之日算起）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8"/>
              <w:spacing w:line="360" w:lineRule="auto"/>
              <w:jc w:val="center"/>
              <w:rPr>
                <w:rFonts w:hAnsi="宋体"/>
              </w:rPr>
            </w:pPr>
            <w:r>
              <w:rPr>
                <w:rFonts w:hint="eastAsia" w:hAnsi="宋体"/>
              </w:rPr>
              <w:t>9</w:t>
            </w:r>
          </w:p>
        </w:tc>
        <w:tc>
          <w:tcPr>
            <w:tcW w:w="1038" w:type="dxa"/>
            <w:vAlign w:val="center"/>
          </w:tcPr>
          <w:p>
            <w:pPr>
              <w:pStyle w:val="28"/>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8"/>
              <w:spacing w:line="360" w:lineRule="auto"/>
              <w:jc w:val="center"/>
              <w:rPr>
                <w:rFonts w:hAnsi="宋体"/>
              </w:rPr>
            </w:pPr>
            <w:r>
              <w:rPr>
                <w:rFonts w:hint="eastAsia" w:hAnsi="宋体"/>
              </w:rPr>
              <w:t>项目保证金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8"/>
              <w:spacing w:line="360" w:lineRule="auto"/>
              <w:jc w:val="center"/>
              <w:rPr>
                <w:rFonts w:hAnsi="宋体"/>
              </w:rPr>
            </w:pPr>
            <w:r>
              <w:rPr>
                <w:rFonts w:hint="eastAsia" w:hAnsi="宋体"/>
              </w:rPr>
              <w:t>10</w:t>
            </w:r>
          </w:p>
        </w:tc>
        <w:tc>
          <w:tcPr>
            <w:tcW w:w="1038" w:type="dxa"/>
            <w:vAlign w:val="center"/>
          </w:tcPr>
          <w:p>
            <w:pPr>
              <w:pStyle w:val="28"/>
              <w:spacing w:line="360" w:lineRule="auto"/>
              <w:jc w:val="center"/>
              <w:rPr>
                <w:rFonts w:hAnsi="宋体"/>
              </w:rPr>
            </w:pPr>
            <w:r>
              <w:rPr>
                <w:rFonts w:hint="eastAsia" w:hAnsi="宋体"/>
              </w:rPr>
              <w:t>16.1</w:t>
            </w:r>
          </w:p>
        </w:tc>
        <w:tc>
          <w:tcPr>
            <w:tcW w:w="1843" w:type="dxa"/>
            <w:vAlign w:val="center"/>
          </w:tcPr>
          <w:p>
            <w:pPr>
              <w:pStyle w:val="28"/>
              <w:spacing w:line="360" w:lineRule="auto"/>
              <w:jc w:val="center"/>
              <w:rPr>
                <w:rFonts w:hAnsi="宋体"/>
              </w:rPr>
            </w:pPr>
            <w:r>
              <w:rPr>
                <w:rFonts w:hint="eastAsia" w:hAnsi="宋体"/>
              </w:rPr>
              <w:t>答疑会</w:t>
            </w:r>
          </w:p>
        </w:tc>
        <w:tc>
          <w:tcPr>
            <w:tcW w:w="6520" w:type="dxa"/>
            <w:vAlign w:val="center"/>
          </w:tcPr>
          <w:p>
            <w:pPr>
              <w:pStyle w:val="28"/>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11</w:t>
            </w:r>
          </w:p>
        </w:tc>
        <w:tc>
          <w:tcPr>
            <w:tcW w:w="1038" w:type="dxa"/>
            <w:vAlign w:val="center"/>
          </w:tcPr>
          <w:p>
            <w:pPr>
              <w:pStyle w:val="28"/>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8"/>
              <w:spacing w:line="360" w:lineRule="auto"/>
              <w:jc w:val="center"/>
              <w:rPr>
                <w:rFonts w:hAnsi="宋体"/>
              </w:rPr>
            </w:pPr>
            <w:r>
              <w:rPr>
                <w:rFonts w:hint="eastAsia" w:hAnsi="宋体"/>
              </w:rPr>
              <w:t>响应文件份数</w:t>
            </w:r>
          </w:p>
        </w:tc>
        <w:tc>
          <w:tcPr>
            <w:tcW w:w="6520" w:type="dxa"/>
          </w:tcPr>
          <w:p>
            <w:pPr>
              <w:pStyle w:val="28"/>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（内容为响应文件正本盖章扫描件）。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12</w:t>
            </w:r>
          </w:p>
        </w:tc>
        <w:tc>
          <w:tcPr>
            <w:tcW w:w="1038" w:type="dxa"/>
            <w:vAlign w:val="center"/>
          </w:tcPr>
          <w:p>
            <w:pPr>
              <w:pStyle w:val="28"/>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8"/>
              <w:spacing w:line="360" w:lineRule="auto"/>
              <w:jc w:val="center"/>
              <w:rPr>
                <w:rFonts w:hAnsi="宋体"/>
              </w:rPr>
            </w:pPr>
            <w:r>
              <w:rPr>
                <w:rFonts w:hint="eastAsia" w:hAnsi="宋体"/>
              </w:rPr>
              <w:t>开标</w:t>
            </w:r>
          </w:p>
        </w:tc>
        <w:tc>
          <w:tcPr>
            <w:tcW w:w="6520" w:type="dxa"/>
          </w:tcPr>
          <w:p>
            <w:pPr>
              <w:pStyle w:val="28"/>
              <w:spacing w:line="360" w:lineRule="auto"/>
              <w:rPr>
                <w:rFonts w:hAnsi="宋体"/>
                <w:b/>
              </w:rPr>
            </w:pPr>
            <w:r>
              <w:rPr>
                <w:rFonts w:hAnsi="宋体"/>
                <w:b/>
              </w:rPr>
              <w:t>时间：</w:t>
            </w:r>
            <w:r>
              <w:rPr>
                <w:rFonts w:hint="eastAsia" w:hAnsi="宋体"/>
                <w:b/>
                <w:snapToGrid w:val="0"/>
                <w:szCs w:val="18"/>
              </w:rPr>
              <w:t>2023年</w:t>
            </w:r>
            <w:r>
              <w:rPr>
                <w:rFonts w:hint="eastAsia" w:hAnsi="宋体"/>
                <w:b/>
                <w:snapToGrid w:val="0"/>
                <w:szCs w:val="18"/>
                <w:lang w:val="en-US" w:eastAsia="zh-CN"/>
              </w:rPr>
              <w:t>8</w:t>
            </w:r>
            <w:r>
              <w:rPr>
                <w:rFonts w:hint="eastAsia" w:hAnsi="宋体"/>
                <w:b/>
                <w:snapToGrid w:val="0"/>
                <w:szCs w:val="18"/>
              </w:rPr>
              <w:t>月</w:t>
            </w:r>
            <w:r>
              <w:rPr>
                <w:rFonts w:hint="eastAsia" w:hAnsi="宋体"/>
                <w:b/>
                <w:snapToGrid w:val="0"/>
                <w:szCs w:val="18"/>
                <w:lang w:val="en-US" w:eastAsia="zh-CN"/>
              </w:rPr>
              <w:t>1</w:t>
            </w:r>
            <w:r>
              <w:rPr>
                <w:rFonts w:hint="eastAsia" w:hAnsi="宋体"/>
                <w:b/>
                <w:snapToGrid w:val="0"/>
                <w:szCs w:val="18"/>
              </w:rPr>
              <w:t>日1</w:t>
            </w:r>
            <w:r>
              <w:rPr>
                <w:rFonts w:hint="eastAsia" w:hAnsi="宋体"/>
                <w:b/>
                <w:snapToGrid w:val="0"/>
                <w:szCs w:val="18"/>
                <w:lang w:val="en-US" w:eastAsia="zh-CN"/>
              </w:rPr>
              <w:t>4</w:t>
            </w:r>
            <w:r>
              <w:rPr>
                <w:rFonts w:hint="eastAsia" w:hAnsi="宋体"/>
                <w:b/>
                <w:snapToGrid w:val="0"/>
                <w:szCs w:val="18"/>
              </w:rPr>
              <w:t>点</w:t>
            </w:r>
            <w:r>
              <w:rPr>
                <w:rFonts w:hint="eastAsia" w:hAnsi="宋体"/>
                <w:b/>
                <w:snapToGrid w:val="0"/>
                <w:szCs w:val="18"/>
                <w:lang w:val="en-US" w:eastAsia="zh-CN"/>
              </w:rPr>
              <w:t>3</w:t>
            </w:r>
            <w:r>
              <w:rPr>
                <w:rFonts w:hint="eastAsia" w:hAnsi="宋体"/>
                <w:b/>
                <w:snapToGrid w:val="0"/>
                <w:szCs w:val="18"/>
              </w:rPr>
              <w:t>0分</w:t>
            </w:r>
            <w:r>
              <w:rPr>
                <w:rFonts w:hAnsi="宋体"/>
                <w:b/>
              </w:rPr>
              <w:t>（北京时间）</w:t>
            </w:r>
          </w:p>
          <w:p>
            <w:pPr>
              <w:pStyle w:val="28"/>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13</w:t>
            </w:r>
          </w:p>
        </w:tc>
        <w:tc>
          <w:tcPr>
            <w:tcW w:w="1038" w:type="dxa"/>
            <w:vAlign w:val="center"/>
          </w:tcPr>
          <w:p>
            <w:pPr>
              <w:pStyle w:val="28"/>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8"/>
              <w:spacing w:line="360" w:lineRule="auto"/>
              <w:jc w:val="center"/>
              <w:rPr>
                <w:rFonts w:hAnsi="宋体"/>
              </w:rPr>
            </w:pPr>
            <w:r>
              <w:rPr>
                <w:rFonts w:hint="eastAsia" w:hAnsi="宋体"/>
              </w:rPr>
              <w:t>响应截止时间</w:t>
            </w:r>
          </w:p>
        </w:tc>
        <w:tc>
          <w:tcPr>
            <w:tcW w:w="6520" w:type="dxa"/>
          </w:tcPr>
          <w:p>
            <w:pPr>
              <w:pStyle w:val="28"/>
              <w:spacing w:line="360" w:lineRule="auto"/>
              <w:rPr>
                <w:rFonts w:hAnsi="宋体"/>
                <w:b/>
              </w:rPr>
            </w:pPr>
            <w:r>
              <w:rPr>
                <w:rFonts w:hint="eastAsia" w:hAnsi="宋体"/>
                <w:b/>
                <w:snapToGrid w:val="0"/>
                <w:szCs w:val="18"/>
              </w:rPr>
              <w:t>2023年</w:t>
            </w:r>
            <w:r>
              <w:rPr>
                <w:rFonts w:hint="eastAsia" w:hAnsi="宋体"/>
                <w:b/>
                <w:snapToGrid w:val="0"/>
                <w:szCs w:val="18"/>
                <w:lang w:val="en-US" w:eastAsia="zh-CN"/>
              </w:rPr>
              <w:t>8</w:t>
            </w:r>
            <w:r>
              <w:rPr>
                <w:rFonts w:hint="eastAsia" w:hAnsi="宋体"/>
                <w:b/>
                <w:snapToGrid w:val="0"/>
                <w:szCs w:val="18"/>
              </w:rPr>
              <w:t>月</w:t>
            </w:r>
            <w:r>
              <w:rPr>
                <w:rFonts w:hint="eastAsia" w:hAnsi="宋体"/>
                <w:b/>
                <w:snapToGrid w:val="0"/>
                <w:szCs w:val="18"/>
                <w:lang w:val="en-US" w:eastAsia="zh-CN"/>
              </w:rPr>
              <w:t>1</w:t>
            </w:r>
            <w:r>
              <w:rPr>
                <w:rFonts w:hint="eastAsia" w:hAnsi="宋体"/>
                <w:b/>
                <w:snapToGrid w:val="0"/>
                <w:szCs w:val="18"/>
              </w:rPr>
              <w:t>日1</w:t>
            </w:r>
            <w:r>
              <w:rPr>
                <w:rFonts w:hint="eastAsia" w:hAnsi="宋体"/>
                <w:b/>
                <w:snapToGrid w:val="0"/>
                <w:szCs w:val="18"/>
                <w:lang w:val="en-US" w:eastAsia="zh-CN"/>
              </w:rPr>
              <w:t>4</w:t>
            </w:r>
            <w:r>
              <w:rPr>
                <w:rFonts w:hint="eastAsia" w:hAnsi="宋体"/>
                <w:b/>
                <w:snapToGrid w:val="0"/>
                <w:szCs w:val="18"/>
              </w:rPr>
              <w:t>点</w:t>
            </w:r>
            <w:r>
              <w:rPr>
                <w:rFonts w:hint="eastAsia" w:hAnsi="宋体"/>
                <w:b/>
                <w:snapToGrid w:val="0"/>
                <w:szCs w:val="18"/>
                <w:lang w:val="en-US" w:eastAsia="zh-CN"/>
              </w:rPr>
              <w:t>3</w:t>
            </w:r>
            <w:r>
              <w:rPr>
                <w:rFonts w:hint="eastAsia" w:hAnsi="宋体"/>
                <w:b/>
                <w:snapToGrid w:val="0"/>
                <w:szCs w:val="18"/>
              </w:rPr>
              <w:t>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14</w:t>
            </w:r>
          </w:p>
        </w:tc>
        <w:tc>
          <w:tcPr>
            <w:tcW w:w="1038" w:type="dxa"/>
            <w:vAlign w:val="center"/>
          </w:tcPr>
          <w:p>
            <w:pPr>
              <w:pStyle w:val="28"/>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8"/>
              <w:spacing w:line="360" w:lineRule="auto"/>
              <w:jc w:val="center"/>
              <w:rPr>
                <w:rFonts w:hAnsi="宋体"/>
              </w:rPr>
            </w:pPr>
            <w:r>
              <w:rPr>
                <w:rFonts w:hint="eastAsia" w:hAnsi="宋体"/>
              </w:rPr>
              <w:t>评审办法</w:t>
            </w:r>
          </w:p>
        </w:tc>
        <w:tc>
          <w:tcPr>
            <w:tcW w:w="6520" w:type="dxa"/>
          </w:tcPr>
          <w:p>
            <w:pPr>
              <w:pStyle w:val="28"/>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15</w:t>
            </w:r>
          </w:p>
        </w:tc>
        <w:tc>
          <w:tcPr>
            <w:tcW w:w="1038" w:type="dxa"/>
            <w:vAlign w:val="center"/>
          </w:tcPr>
          <w:p>
            <w:pPr>
              <w:pStyle w:val="28"/>
              <w:spacing w:line="360" w:lineRule="auto"/>
              <w:jc w:val="center"/>
              <w:rPr>
                <w:rFonts w:hAnsi="宋体"/>
              </w:rPr>
            </w:pPr>
            <w:r>
              <w:rPr>
                <w:rFonts w:hint="eastAsia" w:hAnsi="宋体"/>
              </w:rPr>
              <w:t>33</w:t>
            </w:r>
            <w:r>
              <w:rPr>
                <w:rFonts w:hAnsi="宋体"/>
              </w:rPr>
              <w:t>.1</w:t>
            </w:r>
          </w:p>
        </w:tc>
        <w:tc>
          <w:tcPr>
            <w:tcW w:w="1843" w:type="dxa"/>
            <w:vAlign w:val="center"/>
          </w:tcPr>
          <w:p>
            <w:pPr>
              <w:pStyle w:val="28"/>
              <w:spacing w:line="360" w:lineRule="auto"/>
              <w:jc w:val="center"/>
              <w:rPr>
                <w:snapToGrid w:val="0"/>
                <w:kern w:val="0"/>
              </w:rPr>
            </w:pPr>
            <w:r>
              <w:rPr>
                <w:rFonts w:hint="eastAsia"/>
                <w:snapToGrid w:val="0"/>
                <w:kern w:val="0"/>
              </w:rPr>
              <w:t>履约保证金</w:t>
            </w:r>
          </w:p>
        </w:tc>
        <w:tc>
          <w:tcPr>
            <w:tcW w:w="6520" w:type="dxa"/>
          </w:tcPr>
          <w:p>
            <w:pPr>
              <w:pStyle w:val="28"/>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16</w:t>
            </w:r>
          </w:p>
        </w:tc>
        <w:tc>
          <w:tcPr>
            <w:tcW w:w="1038" w:type="dxa"/>
            <w:vAlign w:val="center"/>
          </w:tcPr>
          <w:p>
            <w:pPr>
              <w:pStyle w:val="28"/>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8"/>
              <w:spacing w:line="360" w:lineRule="auto"/>
              <w:jc w:val="center"/>
              <w:rPr>
                <w:rFonts w:hAnsi="宋体"/>
              </w:rPr>
            </w:pPr>
            <w:r>
              <w:rPr>
                <w:rFonts w:hint="eastAsia" w:asciiTheme="minorEastAsia" w:hAnsiTheme="minorEastAsia" w:eastAsiaTheme="minorEastAsia"/>
                <w:szCs w:val="21"/>
              </w:rPr>
              <w:t>代理</w:t>
            </w:r>
            <w:r>
              <w:rPr>
                <w:rFonts w:hint="eastAsia" w:hAnsi="宋体"/>
              </w:rPr>
              <w:t>服务费</w:t>
            </w:r>
          </w:p>
        </w:tc>
        <w:tc>
          <w:tcPr>
            <w:tcW w:w="6520" w:type="dxa"/>
          </w:tcPr>
          <w:p>
            <w:pPr>
              <w:pStyle w:val="28"/>
              <w:spacing w:line="360" w:lineRule="auto"/>
              <w:rPr>
                <w:rFonts w:hAnsi="宋体"/>
              </w:rPr>
            </w:pPr>
            <w:r>
              <w:rPr>
                <w:rFonts w:hint="eastAsia" w:hAnsi="宋体"/>
                <w:szCs w:val="21"/>
              </w:rPr>
              <w:t>按深财购[2018]27号文件的代理费用参考标准（</w:t>
            </w:r>
            <w:r>
              <w:rPr>
                <w:rFonts w:hint="eastAsia" w:hAnsi="宋体"/>
              </w:rPr>
              <w:t>详见《供应商须知》</w:t>
            </w:r>
            <w:r>
              <w:rPr>
                <w:rFonts w:hint="eastAsia" w:hAnsi="宋体"/>
                <w:szCs w:val="21"/>
              </w:rPr>
              <w:t>），向成交供应商收取</w:t>
            </w:r>
            <w:r>
              <w:rPr>
                <w:rFonts w:hint="eastAsia" w:hAnsi="宋体"/>
              </w:rPr>
              <w:t>，最低收取人民币7000元。</w:t>
            </w:r>
          </w:p>
        </w:tc>
      </w:tr>
    </w:tbl>
    <w:p>
      <w:pPr>
        <w:pStyle w:val="3"/>
        <w:spacing w:before="0" w:after="0"/>
        <w:rPr>
          <w:sz w:val="21"/>
          <w:szCs w:val="21"/>
        </w:rPr>
      </w:pPr>
    </w:p>
    <w:p>
      <w:pPr>
        <w:rPr>
          <w:rFonts w:eastAsiaTheme="minorEastAsia"/>
          <w:kern w:val="44"/>
        </w:rPr>
      </w:pPr>
      <w:r>
        <w:rPr>
          <w:szCs w:val="21"/>
        </w:rPr>
        <w:br w:type="page"/>
      </w:r>
    </w:p>
    <w:p>
      <w:pPr>
        <w:pStyle w:val="3"/>
        <w:spacing w:before="0" w:after="0"/>
        <w:rPr>
          <w:sz w:val="21"/>
          <w:szCs w:val="21"/>
        </w:rPr>
      </w:pPr>
    </w:p>
    <w:p>
      <w:pPr>
        <w:pStyle w:val="3"/>
      </w:pPr>
      <w:bookmarkStart w:id="17" w:name="_Toc73613630"/>
      <w:r>
        <w:rPr>
          <w:rFonts w:hint="eastAsia"/>
        </w:rPr>
        <w:t>第六章  供应商须知</w:t>
      </w:r>
      <w:bookmarkEnd w:id="17"/>
    </w:p>
    <w:p>
      <w:pPr>
        <w:pStyle w:val="5"/>
        <w:spacing w:before="0" w:after="0"/>
      </w:pPr>
      <w:bookmarkStart w:id="18" w:name="_Toc73613631"/>
      <w:r>
        <w:rPr>
          <w:rFonts w:hint="eastAsia"/>
        </w:rPr>
        <w:t>一、说</w:t>
      </w:r>
      <w:r>
        <w:t xml:space="preserve">  </w:t>
      </w:r>
      <w:r>
        <w:rPr>
          <w:rFonts w:hint="eastAsia"/>
        </w:rPr>
        <w:t>明</w:t>
      </w:r>
      <w:bookmarkEnd w:id="1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本采购文件仅适用于供应商须知前附表（以下简称“前附表”）第1项所叙述项目的货物、工程及服务采购。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上述采购根据采购单位内部规定及有关法规、规章、规定，择优选定供应商。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“供应商”系指向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提交响应文件的供应商。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“货物”系指供应商按采购文件规定，向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“工程”系指供应商按采购文件规定，向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“服务”系指供应商按采购文件规定，向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联合体响应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以下有关联合体响应的条款仅适用于允许供应商组成联合体响应的项目。是否允许联合体响应以《供应商须知前附表》中第6项的规定或说明为准。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由两个或两个以上的自然人、法人或者其他组织可以组成一个联合体，以一个供应商的身份共同响应时，应符合以下原则：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（1）响应联合体各方参加采购活动应当具备下列条件：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（3）是否允许联合体参加响应，应当由采购人和采购代理机构根据项目的实际情况和潜在供应商的数量自主决定，如果决定接受联合体响应则应当在采购公告中明示。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（4）采购人根据采购项目的特殊要求规定供应商特定条件的，联合体各方中至少应当有一方符合采购人规定的特定条件。对于采购公告</w:t>
      </w:r>
      <w:r>
        <w:rPr>
          <w:rFonts w:asciiTheme="minorEastAsia" w:hAnsiTheme="minorEastAsia" w:eastAsiaTheme="minorEastAsia"/>
          <w:snapToGrid w:val="0"/>
          <w:kern w:val="0"/>
        </w:rPr>
        <w:t>对供应商</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（5）供应商的响应文件及成交后签署的合同协议对联合体各方均具法律约束力。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（6）联合体各方应当签订共同响应协议，明确约定各方拟承担的工作和责任，该共同响应协议应作为响应文件不可缺的组成部分。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（7）联合体成交后，联合体各方应当共同与采购人签订合同，就成交项目向采购人承担连带责任。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（8）联合体的各方应当共同推荐一联合体响应授权代表，由联合体各方提交一份授权书，证明其有资格代表联合体各方签署响应文件，该授权书应作为响应文件不可缺的组成部分。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（9）以联合体形式参加采购活动的，联合体各方不得再单独参加或者与其他供应商另外组成联合体参加同一合同项下的采购活动，出现上述情况者，其响应和与此有关的联合体、总包单位的响应将被拒绝。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（10）本次采购中“供应商”一词亦指联合体各方，《供应商须知前附表》另有规定或说明的除外。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响应费用的承担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无论采购响应过程中的做法和结果如何，供应商自行承担所有与参加响应有关的全部费用。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将按前附表第7项的规定，组织供应商对现场及周围环境进行踏勘，以便供应商获取须自己负责的有关编制响应文件和签署合同所需的所有资料。踏勘现场所发生的费用由供应商自己承担。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向供应商提供的有关现场的资料和数据，是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现有的能使供应商利用的资料。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对供应商由此而做出的推论、理解和结论概不负责。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供应商及其人员经过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的现场，但供应商及其人员不得因此使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及其人员承担有关的责任和蒙受损失。供应商并应对由此次踏勘现场面造成的死亡、人身伤害、财产损失、损害以及任何其它损失、损害和引起的费用和开支承担责任。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如果供应商认为需要再次进行现场踏勘，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19" w:name="q5"/>
      <w:bookmarkEnd w:id="19"/>
    </w:p>
    <w:p>
      <w:pPr>
        <w:pStyle w:val="5"/>
        <w:spacing w:before="0" w:after="0"/>
      </w:pPr>
      <w:bookmarkStart w:id="20" w:name="_Toc73613632"/>
      <w:r>
        <w:rPr>
          <w:rFonts w:hint="eastAsia"/>
        </w:rPr>
        <w:t>二、采购文件说明</w:t>
      </w:r>
      <w:bookmarkEnd w:id="20"/>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采购文件的构成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采购文件是用以阐明所需设备及服务的情况，以及采购、响应程序和相应的合同条款。采购文件由下述部份组成：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采购邀请；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响应文件初审；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评审方法和标准；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供应商须知前附表；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供应商须知；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响应文件格式；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采购文件的澄清及修改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供应商对采购文件如有疑点，可要求澄清，应在响应截止日5日前按采购邀请中载明的地址以书面形式（包括信函、传真，下同）通知到采购代理机构。采购代理机构将视情况确定采用适当方式予以澄清或以书面形式予以答复，并在其认为必要时，将不标明查询来源的书面答复发给已购买采购文件的每一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在响应截止日3日前，采购代理机构可主动或依据供应商要求澄清的问题修改采购文件，并以书面形式通知所有购买采购文件的每一供应商，对方在收到该通知后应立即以书面的形式予以确认。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为了使供应商在准备响应文件时有合理的时间考虑采购文件的修改，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可酌情推迟响应截止时间和开标时间，并以书面形式通知已购买采购文件的每一供应商。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采购文件的修改将构成采购文件的一部分，对供应商有约束力。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1" w:name="q6"/>
      <w:bookmarkEnd w:id="21"/>
      <w:bookmarkStart w:id="22" w:name="_Toc73613633"/>
      <w:r>
        <w:rPr>
          <w:rFonts w:hint="eastAsia"/>
        </w:rPr>
        <w:t>三、响应文件的编写</w:t>
      </w:r>
      <w:bookmarkEnd w:id="22"/>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响应语言及计量单位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响应文件及供应商和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就响应交换的文件和往来的信件，应以中文书写。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除在采购文件的设计思路和方案中另有规定外，计量单位应使用中华人民共和国法定计量单位（国际单位制和国家选定的其他计量单位）。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响应文件的组成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响应文件应包括下列部分：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（2）评审指引表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供应商资格证明文件</w:t>
      </w:r>
      <w:r>
        <w:rPr>
          <w:rFonts w:hint="eastAsia" w:asciiTheme="minorEastAsia" w:hAnsiTheme="minorEastAsia" w:eastAsiaTheme="minorEastAsia"/>
          <w:snapToGrid w:val="0"/>
          <w:kern w:val="0"/>
        </w:rPr>
        <w:t>（响应文件格式1）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（4）法定代表人（负责人）证明书及授权委托书（响应文件格式2）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（5）声明函（响应文件格式3）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（响应文件格式4）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snapToGrid w:val="0"/>
          <w:kern w:val="0"/>
        </w:rPr>
        <w:t>报价表</w:t>
      </w:r>
      <w:r>
        <w:rPr>
          <w:rFonts w:hint="eastAsia" w:asciiTheme="minorEastAsia" w:hAnsiTheme="minorEastAsia" w:eastAsiaTheme="minorEastAsia"/>
          <w:snapToGrid w:val="0"/>
          <w:kern w:val="0"/>
        </w:rPr>
        <w:t>（响应文件格式6）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hint="eastAsia"/>
          <w:snapToGrid w:val="0"/>
          <w:kern w:val="0"/>
        </w:rPr>
        <w:t>服务方案</w:t>
      </w:r>
      <w:r>
        <w:rPr>
          <w:rFonts w:hint="eastAsia" w:asciiTheme="minorEastAsia" w:hAnsiTheme="minorEastAsia" w:eastAsiaTheme="minorEastAsia"/>
          <w:snapToGrid w:val="0"/>
          <w:kern w:val="0"/>
        </w:rPr>
        <w:t>（响应文件格式7）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供应商情况介绍</w:t>
      </w:r>
      <w:r>
        <w:rPr>
          <w:rFonts w:hint="eastAsia" w:asciiTheme="minorEastAsia" w:hAnsiTheme="minorEastAsia" w:eastAsiaTheme="minorEastAsia"/>
          <w:snapToGrid w:val="0"/>
          <w:kern w:val="0"/>
        </w:rPr>
        <w:t xml:space="preserve"> （响应文件格式8）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（10）偏离表（响应文件格式9）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（11）采购文件要求的其他资料或供应商认为需要补充的资料（响应文件格式10）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（12）装有“法定代表人（负责人）证明书、法定代表人（负责人）授权委托书”和“开标一览表”单独密封的信封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（内容为响应文件正本盖章扫描件）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响应文件格式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响应文件必须毫无遗漏地包括本须知第10条规定的内容，供应商提交的响应文件必须毫无例外地使用采购文件所提供响应文件格式（表格可以按同样格式扩展）。</w:t>
      </w:r>
      <w:r>
        <w:rPr>
          <w:rFonts w:hint="eastAsia" w:asciiTheme="minorEastAsia" w:hAnsiTheme="minorEastAsia" w:eastAsiaTheme="minorEastAsia"/>
        </w:rPr>
        <w:t>如没有相应格式的，由供应商根据采购要求自行编制。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响应报价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响应报价应为到指定地点价，以人民币为结算单位。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供应商应在采购文件所附的“开标一览表”（响应文件格式5）上写明</w:t>
      </w:r>
      <w:r>
        <w:rPr>
          <w:rFonts w:hint="eastAsia"/>
          <w:snapToGrid w:val="0"/>
          <w:kern w:val="0"/>
        </w:rPr>
        <w:t>响应报价</w:t>
      </w:r>
      <w:r>
        <w:rPr>
          <w:rFonts w:hint="eastAsia" w:asciiTheme="minorEastAsia" w:hAnsiTheme="minorEastAsia" w:eastAsiaTheme="minorEastAsia"/>
          <w:snapToGrid w:val="0"/>
          <w:kern w:val="0"/>
        </w:rPr>
        <w:t>。供应商对每种项目只允许有一个报价，采购代理机构不接受有任何选择的报价。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此报价作为评审委员会评审标准，但不能限制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供应商资格的证明文件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供应商必须提交证明其有资格进行响应，和成交后有能力履行合同的证明文件（响应文件格式1与格式7），作为响应文件的一部分。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响应有效期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响应文件的有效期按前附表第8项规定。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可于响应有效期期满之前，要求供应商同意延长响应有效期。供应商可以拒绝或同意上述要求，但要求与答复均须是书面文件。对于同意该要求的供应商，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既不要求也不允许其修改响应文件。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项目保证金（本项目不适用）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项目保证金为响应文件的组成部份之一。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供应商应向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提交一笔不少于前附表第9项所规定的项目保证金。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项目保证金用于保护本次采购免受供应商的行为而引起的风险。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项目保证金应以支票、银行转账或采购代理机构能够接受的其它非现金形式提交。（注：项目保证金必须从响应供应商基本账户转出，否则属于隐瞒真实情况，提供虚假资料。）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未按规定提交项目保证金的响应，将被视为无效响应。</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未成交的供应商的项目保证金，采购代理机构将在成交通知书发出且收到供应商的《项目保证金退还申请表》后5个工作日内退还。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成交方的项目保证金，采购代理机构将在成交方签订合同并支付成交服务费后5个工作日内退还。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发生以下情况项目保证金将被没收：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已递交了项目保证金的供应商放弃响应，而没有在项目保证金递交截止时间前书面通知采购代理机构的；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开标后供应商在响应有效期内撤回响应；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供应商串通响应或者以其他弄虚作假方式响应；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如果成交方未能做到：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按本须知第33条规定缴纳成交服务费。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认为有必要召开响应预备会，供应商应按照前附表第10项规定的或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主持的响应预备会。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响应预备会的目的是澄清、解答供应商在查阅采购文件后和现场踏勘中可能提出的任何方面的问题。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供应商提出的与响应有关的任何问题须以书面形式给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。在响应预备会上，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在响应预备会上所做出的澄清和解答，以书面答复为准，供应商在收到响应答疑纪要时应以书面形式予以确认。答疑纪要的有效性规定按照本须知第8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未出席响应预备会不作为否定供应商资格的理由。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响应文件的份数和签署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响应文件数量按前附表第11项所述。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为了便于响应文件保存，需提交一份响应文件备份光盘（或U盘）。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响应文件正本及开标一览表须打印，并经法定代表人或其授权代表签字和盖章，响应文件的副本可采用正本复印件。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除供应商对错处做必要修改外，响应文件中不许有加行、涂抹或改写，如有修改遗漏处，必须由供应商法定代表人或其授权代表签字和盖章。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电报、电话、传真形式的响应概不接受。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响应文件不符合上述规定，为无效响应。</w:t>
      </w:r>
    </w:p>
    <w:p>
      <w:pPr>
        <w:adjustRightInd w:val="0"/>
        <w:spacing w:line="360" w:lineRule="auto"/>
        <w:rPr>
          <w:rFonts w:asciiTheme="minorEastAsia" w:hAnsiTheme="minorEastAsia" w:eastAsiaTheme="minorEastAsia"/>
          <w:snapToGrid w:val="0"/>
          <w:kern w:val="0"/>
        </w:rPr>
      </w:pPr>
    </w:p>
    <w:p>
      <w:pPr>
        <w:pStyle w:val="5"/>
        <w:spacing w:before="0" w:after="0"/>
      </w:pPr>
      <w:bookmarkStart w:id="23" w:name="q7"/>
      <w:bookmarkEnd w:id="23"/>
      <w:bookmarkStart w:id="24" w:name="_Toc73613634"/>
      <w:r>
        <w:rPr>
          <w:rFonts w:hint="eastAsia"/>
        </w:rPr>
        <w:t>四、响应文件的递交</w:t>
      </w:r>
      <w:bookmarkEnd w:id="2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响应文件的密封和标记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须在每一份响应文件封面上明确注明“正本”或“副本”字样。一旦正本和副本有差异，以正本为准。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供应商应将响应文件备份文件光盘密封于一信封，在信封上注明“备份光盘（或U盘）”。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将响应文件“正本”、“副本”和密封好的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供应商名称；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注明：“响应文件正本、副本和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供应商应将“法定代表人（负责人）证明书、法定代表人（负责人）授权委托书”和“开标一览表”单独密封于一信封，在递交响应文件时单独交与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供应商名称；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除了按本须知第18.3和18.4款所要求的识别字样外，在所有响应文件密封袋上还应写明供应商的名称与地址、邮政编码，以便响应按本须知第20条宣布“迟到”时，响应文件可以原封退回。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响应文件没有按本响应须知第18.1款、第18.2款、第18.3款和第18.4款规定进行标记和密封，采购代理机构将拒收或者告知供应商，采购代理机构将不承担响应文件错放或提前开封的责任。对由此造成的提前开封的响应文件将予以拒绝，并退还给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所有响应文件的密封袋的封口处应加盖供应商印章。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供应商应按18.1～18.7中的规定进行密封和标记后，将响应文件按照前附表第12项中注明的地址送至采购代理机构。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供应商按采购文件要求如需提供实物，应随响应文件一起递交。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递交响应文件的时间、地点以及截止时间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递交响应文件的地点与开标仪式的地点相同。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所有响应文件都必须按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5" w:name="_Hlt35050056"/>
      <w:bookmarkEnd w:id="25"/>
      <w:r>
        <w:rPr>
          <w:rFonts w:hint="eastAsia" w:asciiTheme="minorEastAsia" w:hAnsiTheme="minorEastAsia" w:eastAsiaTheme="minorEastAsia"/>
          <w:snapToGrid w:val="0"/>
          <w:kern w:val="0"/>
        </w:rPr>
        <w:t>13项中规定的响应截止时间之前送至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款因采购文件修改或其他原因推迟响应截止时，则按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在响应截止时间前30分钟开始接收响应文件。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迟交的响应文件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将拒绝接收在响应截止时间后递交的响应文件。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响应文件的修改和撤销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供应商在提交响应文件后可对其响应文件进行修改或撤销，但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须在响应截止时间之前收到该修改或撤销的书面通知，该通知须有经正式授权的供应商代表签字。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供应商对响应文件修改的书面材料或撤销的通知应按本须知第17条和第18条规定进行编写、密封、标注和递交，并注明“修改响应文件”或“撤销响应”字样。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响应截止时间以后不得修改响应文件。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供应商不得在开标时间起到响应文件有效期满前撤销响应文件。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6" w:name="q8"/>
      <w:bookmarkEnd w:id="26"/>
      <w:bookmarkStart w:id="27" w:name="_Toc73613635"/>
      <w:r>
        <w:rPr>
          <w:rFonts w:hint="eastAsia"/>
        </w:rPr>
        <w:t>五、开标和评审</w:t>
      </w:r>
      <w:bookmarkEnd w:id="27"/>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将检查响应文件的密封情况，在确认无误后拆封唱标。唱标主要内容为下面几点并做好唱标记录。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响应文件中“开标一览表”的内容。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评审委员会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将根据采购货物的特点组建评审委员会，其成员由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专家组成。评审委员会对响应文件进行审查、质疑、评估和比较。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评审期间，供应商应由法定代表人或其授权代表参加询标。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对响应文件的审查和响应性的确定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采购代理机构就响应文件中的资格证明等内容对响应供应商进行资格性审查，审查不合格的，认定其响应无效。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评审委员会将审查响应文件是否完整、总体编排是否有序、文件签署是否合格、有无计算上的错误等。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（1）开标一览表内容与响应文件中相应内容不一致的，以开标一览表为准；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同时出现两种以上不一致的，按照前款规定的顺序修正。修正后的报价按照本须知25.2条的规定，经供应商确认后产生约束力，供应商不确认的，其响应无效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在对响应文件进行详细评估之前，评审委员会将依据供应商提供的“资格证明文件”审查供应商的财务、技术和生产能力。如果确定供应商无资格履行合同，其响应将被拒绝。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审委员会将确定每份响应是否对采购文件的要求，作出了实质性的响应而没有重大偏离。实质性响应的响应是指符合采购文件的所有条款、条件和规定，且没有重大偏离或保留。重大偏离或保留系指影响到采购文件规定的范围、质量和性能，或限制了采购人的权力和供应商的义务的规定。而纠正这些偏离将影响到其它提交实质性响应响应的供应商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评审委员会判断响应文件的响应性，仅基于采购文件和响应文件本身而不靠外部证据。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评审委员会将拒绝被确定为非实质性响应的供应商。供应商不能通过修正或撤销不符之处，而使其响应成为实质性响应的响应。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评审委员会允许修改响应中不构成重大偏离的、微小的、非正规、不一致或不规则的地方。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评审委员会成员对需要共同认定的事项存在争议的，应当按照少数服从多数的原则作出结论。持不同意见的评审委员会成员应当在评审报告上签署不同意见及理由，否则视为同意评审报告。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响应文件的澄清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对于响应文件中含义不明确、同类问题表述不一致或者有明显文字和计算错误的内容，评审委员会应当以书面形式要求供应商作出必要的澄清、说明或者补正。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供应商的澄清、说明或者补正应当采用书面形式，并加盖公章，或者由法定代表人或其授权的代表签字。供应商的澄清、说明或者补正不得超出响应文件的范围或者改变响应文件的实质性内容。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评审方法和详细评审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评审委员会将按照本须知第24条规定只对确定为实质上响应的响应文件进行评价和比较。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评审的基础应是本须知第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2条规定的响应报价。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26.3评审委员会按 “第四章 评审方法和标准”所述进行详细评审，并推荐成交候选人。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评审报告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审报告是评审委员会根据全体评审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评审是采购工作的重要环节，评审工作在评委会内独立进行。评委会将遵照评审原则，公正、平等地对待所有供应商。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评审期间，评委会将对响应文件中有关问题分别向供应商进行询问。各供应商应予以认真答复。重要或复杂问题的答复需以书面形式，并经法定代表人或授权人签署。澄清文件将作为响应文件的组成部份。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在开标、响应期间，供应商不得向评委询问评审情况，不得进行旨在影响评审结果的活动。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为保证定标的公正性，在评审过程中，评委不得与供应商私下交换意见。在采购工作结束后，凡与评审情况有接触的任何人，不得也不应将评审情况扩散出评委人员之外。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评委会不向落标方解释落标原因，不退还响应文件。</w:t>
      </w:r>
    </w:p>
    <w:p>
      <w:pPr>
        <w:adjustRightInd w:val="0"/>
        <w:spacing w:line="360" w:lineRule="auto"/>
        <w:ind w:left="357"/>
        <w:jc w:val="center"/>
        <w:rPr>
          <w:rFonts w:asciiTheme="minorEastAsia" w:hAnsiTheme="minorEastAsia" w:eastAsiaTheme="minorEastAsia"/>
          <w:b/>
          <w:snapToGrid w:val="0"/>
          <w:kern w:val="0"/>
        </w:rPr>
      </w:pPr>
      <w:bookmarkStart w:id="28" w:name="q9"/>
      <w:bookmarkEnd w:id="28"/>
    </w:p>
    <w:p>
      <w:pPr>
        <w:pStyle w:val="5"/>
        <w:spacing w:before="0" w:after="0"/>
      </w:pPr>
      <w:bookmarkStart w:id="29" w:name="_Toc73613636"/>
      <w:r>
        <w:rPr>
          <w:rFonts w:hint="eastAsia"/>
        </w:rPr>
        <w:t>六、授予合同</w:t>
      </w:r>
      <w:bookmarkEnd w:id="29"/>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本项目采购合同授予经采购人确定的成交供应商。</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成交通知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采购代理机构在发出《成交通知书》之前，将成交结果通过指定网站进行公示。成交结果公示期满无异议或者异议不成立的，采购代理机构将发出《成交通知书》。《成交通知书》一经发出即发生法律效力。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《成交通知书》将作为签订合同的重要依据。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成交方向采购代理机构支付成交服务费后，领取《成交通知书》。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在签订合同时，有权对采购文件中列明的货物或服务的数量，在法定范围内，依法定程序予以增加或减少。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成交方应按《成交通知书》或按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采购文件、成交方的响应文件及其澄清文件等，均为签订合同的依据。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成交方须按采购文件的规定或根据合同条款的规定向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szCs w:val="21"/>
        </w:rPr>
        <w:t>代理</w:t>
      </w:r>
      <w:r>
        <w:rPr>
          <w:rFonts w:hint="eastAsia" w:asciiTheme="minorEastAsia" w:hAnsiTheme="minorEastAsia" w:eastAsiaTheme="minorEastAsia"/>
          <w:b/>
          <w:snapToGrid w:val="0"/>
          <w:kern w:val="0"/>
        </w:rPr>
        <w:t>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w:t>
      </w:r>
      <w:r>
        <w:rPr>
          <w:rFonts w:hint="eastAsia" w:asciiTheme="minorEastAsia" w:hAnsiTheme="minorEastAsia" w:eastAsiaTheme="minorEastAsia"/>
          <w:szCs w:val="21"/>
        </w:rPr>
        <w:t>代理</w:t>
      </w:r>
      <w:r>
        <w:rPr>
          <w:rFonts w:hint="eastAsia" w:asciiTheme="minorEastAsia" w:hAnsiTheme="minorEastAsia" w:eastAsiaTheme="minorEastAsia"/>
          <w:snapToGrid w:val="0"/>
          <w:kern w:val="0"/>
        </w:rPr>
        <w:t>服务费按前附表第16项所述。</w:t>
      </w:r>
    </w:p>
    <w:p/>
    <w:p>
      <w:pPr>
        <w:widowControl/>
        <w:jc w:val="left"/>
      </w:pPr>
      <w:r>
        <w:br w:type="page"/>
      </w:r>
    </w:p>
    <w:p/>
    <w:p>
      <w:pPr>
        <w:pStyle w:val="3"/>
      </w:pPr>
      <w:bookmarkStart w:id="30" w:name="_Toc73613637"/>
      <w:r>
        <w:rPr>
          <w:rFonts w:hint="eastAsia"/>
        </w:rPr>
        <w:t>第七章  响应文件格式</w:t>
      </w:r>
      <w:bookmarkEnd w:id="30"/>
    </w:p>
    <w:p>
      <w:pPr>
        <w:jc w:val="center"/>
        <w:rPr>
          <w:b/>
          <w:sz w:val="52"/>
          <w:szCs w:val="52"/>
        </w:rPr>
      </w:pPr>
    </w:p>
    <w:p>
      <w:pPr>
        <w:pStyle w:val="5"/>
        <w:spacing w:line="400" w:lineRule="exact"/>
        <w:rPr>
          <w:rFonts w:ascii="仿宋" w:hAnsi="仿宋" w:eastAsia="仿宋"/>
        </w:rPr>
      </w:pPr>
      <w:bookmarkStart w:id="31" w:name="_Toc44690704"/>
      <w:bookmarkStart w:id="32" w:name="_Toc11772"/>
      <w:bookmarkStart w:id="33" w:name="_Toc44691163"/>
      <w:bookmarkStart w:id="34" w:name="_Toc44691395"/>
      <w:bookmarkStart w:id="35" w:name="_Toc25194"/>
      <w:bookmarkStart w:id="36" w:name="_Toc14934"/>
      <w:bookmarkStart w:id="37" w:name="_Toc73613638"/>
      <w:bookmarkStart w:id="38" w:name="_Toc44690431"/>
      <w:bookmarkStart w:id="39" w:name="_Toc31468"/>
      <w:r>
        <w:rPr>
          <w:rFonts w:hint="eastAsia" w:ascii="仿宋" w:hAnsi="仿宋" w:eastAsia="仿宋"/>
        </w:rPr>
        <w:t>响应文件编制说明</w:t>
      </w:r>
      <w:bookmarkEnd w:id="31"/>
      <w:bookmarkEnd w:id="32"/>
      <w:bookmarkEnd w:id="33"/>
      <w:bookmarkEnd w:id="34"/>
      <w:bookmarkEnd w:id="35"/>
      <w:bookmarkEnd w:id="36"/>
      <w:bookmarkEnd w:id="37"/>
      <w:bookmarkEnd w:id="38"/>
      <w:bookmarkEnd w:id="39"/>
    </w:p>
    <w:tbl>
      <w:tblPr>
        <w:tblStyle w:val="52"/>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响应文件的组成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详见第六章“供应商须知”第10条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供应商选取本章相应格式编制响应文件，如没有相应格式的，由供应商根据采购要求自行编制。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响应文件的密封和标记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详见第六章“供应商须知”第18条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响应文件应按以下两部分，分别密封包装和标记：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响应文件正本、副本和密封好的备份光盘（或U盘）（封包1）；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响应文件的签字和盖章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响应文件应按采购文件要求签字和盖章（包括响应文件格式要求、评审标准对证明文件的要求等）。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公章指供应商经备案的行政公章，不包括“响应专用章”、“业务专用章”、“合同专用章”、“财务专用章”等。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响应文件中，复印件或扫描件应加盖公章。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响应文件应加盖骑缝章。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响 应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0" w:name="_投标文件格式（第一册）"/>
      <w:bookmarkEnd w:id="40"/>
      <w:bookmarkStart w:id="41" w:name="q0"/>
      <w:r>
        <w:rPr>
          <w:rFonts w:ascii="仿宋" w:hAnsi="仿宋" w:eastAsia="仿宋"/>
        </w:rPr>
        <w:br w:type="page"/>
      </w:r>
    </w:p>
    <w:p>
      <w:pPr>
        <w:pStyle w:val="5"/>
        <w:spacing w:line="400" w:lineRule="exact"/>
        <w:rPr>
          <w:rFonts w:ascii="仿宋" w:hAnsi="仿宋" w:eastAsia="仿宋"/>
        </w:rPr>
      </w:pPr>
    </w:p>
    <w:p>
      <w:pPr>
        <w:pStyle w:val="5"/>
        <w:spacing w:line="400" w:lineRule="exact"/>
        <w:rPr>
          <w:rFonts w:ascii="仿宋" w:hAnsi="仿宋" w:eastAsia="仿宋"/>
        </w:rPr>
      </w:pPr>
      <w:bookmarkStart w:id="42" w:name="_Toc73613639"/>
      <w:r>
        <w:rPr>
          <w:rFonts w:hint="eastAsia" w:ascii="仿宋" w:hAnsi="仿宋" w:eastAsia="仿宋"/>
        </w:rPr>
        <w:t>响应文件格式</w:t>
      </w:r>
      <w:bookmarkEnd w:id="42"/>
    </w:p>
    <w:bookmarkEnd w:id="41"/>
    <w:p>
      <w:pPr>
        <w:numPr>
          <w:ilvl w:val="0"/>
          <w:numId w:val="7"/>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7"/>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评审指引表</w:t>
      </w:r>
    </w:p>
    <w:p>
      <w:pPr>
        <w:numPr>
          <w:ilvl w:val="0"/>
          <w:numId w:val="7"/>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供应商资格证明文件（格式1）</w:t>
      </w:r>
    </w:p>
    <w:p>
      <w:pPr>
        <w:numPr>
          <w:ilvl w:val="0"/>
          <w:numId w:val="7"/>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法定代表人（负责人）证明书及授权委托书（格式2）</w:t>
      </w:r>
    </w:p>
    <w:p>
      <w:pPr>
        <w:numPr>
          <w:ilvl w:val="0"/>
          <w:numId w:val="7"/>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声明函（格式3）</w:t>
      </w:r>
    </w:p>
    <w:p>
      <w:pPr>
        <w:numPr>
          <w:ilvl w:val="0"/>
          <w:numId w:val="7"/>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7"/>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注：此表应与“法定代表人（负责人）证明书、法定代表人（负责人）授权委托书”一起密封于一信封，在递交响应文件时单独交与</w:t>
      </w:r>
      <w:r>
        <w:rPr>
          <w:rFonts w:hint="eastAsia" w:asciiTheme="minorEastAsia" w:hAnsiTheme="minorEastAsia" w:eastAsiaTheme="minorEastAsia"/>
          <w:b/>
          <w:bCs/>
          <w:snapToGrid w:val="0"/>
          <w:kern w:val="0"/>
          <w:szCs w:val="21"/>
        </w:rPr>
        <w:t>采购代理机构。</w:t>
      </w:r>
    </w:p>
    <w:p>
      <w:pPr>
        <w:pStyle w:val="456"/>
        <w:numPr>
          <w:ilvl w:val="0"/>
          <w:numId w:val="7"/>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报价表</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6</w:t>
      </w:r>
      <w:r>
        <w:rPr>
          <w:rFonts w:asciiTheme="minorEastAsia" w:hAnsiTheme="minorEastAsia" w:eastAsiaTheme="minorEastAsia"/>
          <w:snapToGrid w:val="0"/>
          <w:kern w:val="0"/>
          <w:szCs w:val="21"/>
        </w:rPr>
        <w:t>）</w:t>
      </w:r>
    </w:p>
    <w:p>
      <w:pPr>
        <w:pStyle w:val="456"/>
        <w:numPr>
          <w:ilvl w:val="0"/>
          <w:numId w:val="7"/>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6"/>
        <w:numPr>
          <w:ilvl w:val="0"/>
          <w:numId w:val="7"/>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供应商情况介绍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6"/>
        <w:numPr>
          <w:ilvl w:val="0"/>
          <w:numId w:val="7"/>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6"/>
        <w:numPr>
          <w:ilvl w:val="0"/>
          <w:numId w:val="7"/>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采购文件要求的其他资料或供应商认为需要补充的资料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3" w:name="_格式1__投标人资格证明文件"/>
      <w:bookmarkEnd w:id="43"/>
      <w:r>
        <w:br w:type="page"/>
      </w:r>
    </w:p>
    <w:p>
      <w:pPr>
        <w:adjustRightInd w:val="0"/>
        <w:snapToGrid w:val="0"/>
        <w:spacing w:line="300" w:lineRule="auto"/>
        <w:jc w:val="center"/>
      </w:pPr>
    </w:p>
    <w:p>
      <w:pPr>
        <w:pStyle w:val="5"/>
        <w:spacing w:line="400" w:lineRule="exact"/>
        <w:rPr>
          <w:rFonts w:ascii="仿宋" w:hAnsi="仿宋" w:eastAsia="仿宋"/>
        </w:rPr>
      </w:pPr>
      <w:bookmarkStart w:id="44" w:name="_Toc73613640"/>
      <w:r>
        <w:rPr>
          <w:rFonts w:hint="eastAsia" w:ascii="仿宋" w:hAnsi="仿宋" w:eastAsia="仿宋"/>
        </w:rPr>
        <w:t>评审指引表</w:t>
      </w:r>
      <w:bookmarkEnd w:id="44"/>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为方便参与该项目的评委专家的评审，快速找到评审事项与该项目响应文件所对应的位置，请供应商参照下表格式，编制本项目评审指引表。</w:t>
      </w:r>
    </w:p>
    <w:p>
      <w:pPr>
        <w:spacing w:line="360" w:lineRule="exact"/>
        <w:rPr>
          <w:b/>
          <w:szCs w:val="21"/>
        </w:rPr>
      </w:pPr>
      <w:r>
        <w:rPr>
          <w:b/>
          <w:szCs w:val="21"/>
        </w:rPr>
        <w:t xml:space="preserve"> </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8"/>
        <w:gridCol w:w="283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评审方法和标准）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1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评分项目</w:t>
            </w:r>
          </w:p>
        </w:tc>
        <w:tc>
          <w:tcPr>
            <w:tcW w:w="2835"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8"/>
        <w:spacing w:line="360" w:lineRule="auto"/>
        <w:rPr>
          <w:rFonts w:hAnsi="宋体"/>
          <w:b/>
          <w:szCs w:val="21"/>
        </w:rPr>
      </w:pPr>
    </w:p>
    <w:p>
      <w:pPr>
        <w:pStyle w:val="28"/>
        <w:spacing w:line="360" w:lineRule="auto"/>
        <w:ind w:firstLine="424" w:firstLineChars="201"/>
        <w:rPr>
          <w:b/>
        </w:rPr>
      </w:pPr>
      <w:r>
        <w:rPr>
          <w:rFonts w:hint="eastAsia" w:hAnsi="宋体"/>
          <w:b/>
          <w:szCs w:val="21"/>
        </w:rPr>
        <w:t>注：请供应商按照采购文件规定的审查和评分内容，自上而下的顺序填写本表</w:t>
      </w:r>
      <w:r>
        <w:rPr>
          <w:rFonts w:hint="eastAsia"/>
          <w:b/>
          <w:szCs w:val="21"/>
        </w:rPr>
        <w:t>。因项目次序混乱而影响评审结果者，供应商自负其责。</w:t>
      </w:r>
    </w:p>
    <w:p>
      <w:pPr>
        <w:pStyle w:val="4"/>
        <w:jc w:val="center"/>
      </w:pPr>
    </w:p>
    <w:p/>
    <w:p/>
    <w:p/>
    <w:p/>
    <w:p/>
    <w:p/>
    <w:p/>
    <w:p/>
    <w:p/>
    <w:p/>
    <w:p/>
    <w:p>
      <w:pPr>
        <w:widowControl/>
        <w:jc w:val="left"/>
      </w:pPr>
      <w:r>
        <w:br w:type="page"/>
      </w:r>
    </w:p>
    <w:p/>
    <w:p>
      <w:pPr>
        <w:pStyle w:val="8"/>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5" w:name="_Toc44691164"/>
      <w:bookmarkStart w:id="46" w:name="_Toc44691396"/>
      <w:bookmarkStart w:id="47" w:name="_Toc44690432"/>
      <w:bookmarkStart w:id="48" w:name="_Toc44690705"/>
      <w:r>
        <w:rPr>
          <w:rFonts w:hint="eastAsia" w:asciiTheme="minorEastAsia" w:hAnsiTheme="minorEastAsia" w:eastAsiaTheme="minorEastAsia"/>
          <w:sz w:val="24"/>
        </w:rPr>
        <w:t>格式1  供应商资格证明文件</w:t>
      </w:r>
      <w:bookmarkEnd w:id="45"/>
      <w:bookmarkEnd w:id="46"/>
      <w:bookmarkEnd w:id="47"/>
      <w:bookmarkEnd w:id="48"/>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承诺函</w:t>
      </w:r>
    </w:p>
    <w:p>
      <w:pPr>
        <w:adjustRightInd w:val="0"/>
        <w:snapToGrid w:val="0"/>
        <w:spacing w:line="360" w:lineRule="auto"/>
        <w:ind w:firstLine="424" w:firstLineChars="202"/>
        <w:rPr>
          <w:rFonts w:ascii="宋体" w:hAnsi="宋体"/>
        </w:rPr>
      </w:pPr>
      <w:r>
        <w:rPr>
          <w:rFonts w:hint="eastAsia" w:ascii="宋体" w:hAnsi="宋体"/>
        </w:rPr>
        <w:t>3、其它资格证明材料（按第一章采购邀请“供应商资格要求”提供）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注：供应商提供的以上资料若为复印件或扫描件需加盖公章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pPr>
      <w:r>
        <w:rPr>
          <w:rFonts w:hint="eastAsia"/>
          <w:b/>
          <w:snapToGrid w:val="0"/>
          <w:kern w:val="0"/>
          <w:sz w:val="28"/>
        </w:rPr>
        <w:t>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1.我单位参与本项目</w:t>
      </w:r>
      <w:r>
        <w:rPr>
          <w:rFonts w:hint="eastAsia" w:asciiTheme="minorEastAsia" w:hAnsiTheme="minorEastAsia" w:eastAsiaTheme="minorEastAsia"/>
          <w:snapToGrid w:val="0"/>
        </w:rPr>
        <w:t>采购活动</w:t>
      </w:r>
      <w:r>
        <w:rPr>
          <w:rFonts w:hint="eastAsia" w:ascii="宋体" w:hAnsi="宋体"/>
          <w:szCs w:val="21"/>
        </w:rPr>
        <w:t>前三年内，在经营活动中没有重大违法记录。</w:t>
      </w:r>
    </w:p>
    <w:p>
      <w:pPr>
        <w:spacing w:line="400" w:lineRule="exact"/>
        <w:ind w:firstLine="420" w:firstLineChars="200"/>
      </w:pPr>
      <w:r>
        <w:rPr>
          <w:rFonts w:hint="eastAsia" w:ascii="宋体" w:hAnsi="宋体"/>
          <w:szCs w:val="21"/>
        </w:rPr>
        <w:t>2.我单位参与本项目</w:t>
      </w:r>
      <w:r>
        <w:rPr>
          <w:rFonts w:hint="eastAsia"/>
        </w:rPr>
        <w:t>采购活动时不存在被有关部门禁止参与采购活动且在有效期内的情况。</w:t>
      </w:r>
    </w:p>
    <w:p>
      <w:pPr>
        <w:spacing w:line="400" w:lineRule="exact"/>
        <w:ind w:firstLine="420" w:firstLineChars="200"/>
        <w:rPr>
          <w:rFonts w:ascii="宋体" w:hAnsi="宋体"/>
          <w:szCs w:val="21"/>
        </w:rPr>
      </w:pPr>
      <w:r>
        <w:rPr>
          <w:rFonts w:hint="eastAsia" w:ascii="宋体" w:hAnsi="宋体"/>
          <w:szCs w:val="21"/>
        </w:rPr>
        <w:t>3.我单位</w:t>
      </w:r>
      <w:r>
        <w:rPr>
          <w:rFonts w:hint="eastAsia" w:ascii="宋体" w:hAnsi="宋体" w:cs="Courier New"/>
          <w:snapToGrid w:val="0"/>
          <w:szCs w:val="18"/>
        </w:rPr>
        <w:t>与其他响应供应商不存在“单位负责人为同一人或者存在直接控股、管理关系”的情况</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联合体响应，</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5.我单位参与本项目所提供的货物或服务未侵犯知识产权。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6.我单位参与该项目响应，严格遵循公平竞争的原则，不恶意串通，不妨碍其他供应商的竞争行为，不损害采购人或者其他供应商的合法权益。我单位已清楚，如违反上述要求，将作响应无效处理。</w:t>
      </w:r>
    </w:p>
    <w:p>
      <w:pPr>
        <w:spacing w:line="400" w:lineRule="exact"/>
        <w:ind w:firstLine="420" w:firstLineChars="200"/>
        <w:rPr>
          <w:rFonts w:ascii="宋体" w:hAnsi="宋体"/>
          <w:szCs w:val="21"/>
        </w:rPr>
      </w:pPr>
      <w:r>
        <w:rPr>
          <w:rFonts w:hint="eastAsia" w:ascii="宋体" w:hAnsi="宋体"/>
          <w:szCs w:val="21"/>
        </w:rPr>
        <w:t>7.我单位如果成交，做到守信，不偷工减料，依照本项目采购文件需求内容、签署的采购合同及本单位在响应中所作的一切承诺履约。</w:t>
      </w:r>
    </w:p>
    <w:p>
      <w:pPr>
        <w:spacing w:line="400" w:lineRule="exact"/>
        <w:ind w:firstLine="420" w:firstLineChars="200"/>
        <w:rPr>
          <w:rFonts w:ascii="宋体" w:hAnsi="宋体"/>
          <w:szCs w:val="21"/>
        </w:rPr>
      </w:pPr>
      <w:r>
        <w:rPr>
          <w:rFonts w:hint="eastAsia" w:ascii="宋体" w:hAnsi="宋体"/>
          <w:szCs w:val="21"/>
        </w:rPr>
        <w:t>8.我单位已认真核实了响应文件的全部内容，所有资料均为真实资料。我单位对响应文件中全部响应资料的真实性负责，如被证实我单位的响应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pStyle w:val="8"/>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8"/>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法定代表人（负责人）证明书及授权委托书</w:t>
      </w:r>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有效日期与本公司响应文件的有效期相同。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77" o:spt="1" style="position:absolute;left:0pt;margin-left:250.65pt;margin-top:10.75pt;height:156pt;width:243pt;z-index:251663360;mso-width-relative:page;mso-height-relative:page;"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27ZfYAAAACgEAAA8AAAAAAAAAAQAgAAAAIgAAAGRycy9kb3ducmV2LnhtbFBL&#10;AQIUABQAAAAIAIdO4kB4bL+19gEAAC0EAAAOAAAAAAAAAAEAIAAAACcBAABkcnMvZTJvRG9jLnht&#10;bFBLBQYAAAAABgAGAFkBAACPBQAAAAA=&#10;">
            <v:path/>
            <v:fill focussize="0,0"/>
            <v:stroke/>
            <v:imagedata o:title=""/>
            <o:lock v:ext="edit"/>
            <v:textbox>
              <w:txbxContent>
                <w:p>
                  <w:pPr>
                    <w:ind w:firstLine="1260" w:firstLineChars="600"/>
                  </w:pPr>
                  <w:r>
                    <w:rPr>
                      <w:rFonts w:hint="eastAsia"/>
                    </w:rPr>
                    <w:t xml:space="preserve"> 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76" o:spt="1" style="position:absolute;left:0pt;margin-left:-11.85pt;margin-top:10.75pt;height:156pt;width:243pt;z-index:251662336;mso-width-relative:page;mso-height-relative:page;"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oqsNb2AQAALQ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A1nBjQ1/CeJBqZXyD4leUYX&#10;aop6dA/+7AUyE9ep8zr9iQWbsqSni6Q4RSZo82O5uq1KUlvQWXW3qmgEEmrxfN35EL+i1SwZDfeU&#10;PksJx28hzqF/QlK2YJVsd1Kp7Ph+/1l5dgTq7y5/Z/RXYcqwseF3N0siKYCGtqNhIVM7Ih5Mn/O9&#10;uhFeApf5+xdwKmwLYZgLyAgpDGotI/psDQjtF9OyeHIkrqE3xVMxGlvOFNITTFaOjCDVNZGknTIk&#10;YerM3ItkxWk/EUwy97Y9UVcPzst+IEmrXHo6oSnK2p8nPo3pSz+DPr/y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f1/F2QAAAAoBAAAPAAAAAAAAAAEAIAAAACIAAABkcnMvZG93bnJldi54bWxQ&#10;SwECFAAUAAAACACHTuJAqiqw1vYBAAAtBAAADgAAAAAAAAABACAAAAAoAQAAZHJzL2Uyb0RvYy54&#10;bWxQSwUGAAAAAAYABgBZAQAAkAUAAAAA&#10;">
            <v:path/>
            <v:fill focussize="0,0"/>
            <v:stroke/>
            <v:imagedata o:title=""/>
            <o:lock v:ext="edit"/>
            <v:textbox>
              <w:txbxContent>
                <w:p>
                  <w:pPr>
                    <w:ind w:firstLine="1260" w:firstLineChars="600"/>
                    <w:jc w:val="left"/>
                  </w:pPr>
                  <w:r>
                    <w:rPr>
                      <w:rFonts w:hint="eastAsia"/>
                    </w:rPr>
                    <w:t xml:space="preserve"> 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r>
        <w:rPr>
          <w:b/>
          <w:bCs/>
          <w:sz w:val="28"/>
        </w:rPr>
        <w:br w:type="page"/>
      </w: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（项目名称、编号） </w:t>
      </w:r>
      <w:r>
        <w:rPr>
          <w:rFonts w:hint="eastAsia"/>
        </w:rPr>
        <w:t>采购活动，全权代表我单位处理响应的有关事宜。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49" w:name="_Toc226217114"/>
      <w:r>
        <w:rPr>
          <w:rFonts w:ascii="宋体"/>
        </w:rPr>
        <w:pict>
          <v:rect id="Rectangle 2" o:spid="_x0000_s3075" o:spt="1" style="position:absolute;left:0pt;margin-left:-10.35pt;margin-top:5.6pt;height:156pt;width:243pt;z-index:251660288;mso-width-relative:page;mso-height-relative:page;"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CKzznG9gEAAC0EAAAOAAAAAAAAAAEAIAAAACcBAABkcnMvZTJvRG9jLnht&#10;bFBLBQYAAAAABgAGAFkBAACPBQ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74" o:spt="1" style="position:absolute;left:0pt;margin-left:249.9pt;margin-top:5.6pt;height:156pt;width:243pt;z-index:251661312;mso-width-relative:page;mso-height-relative:page;"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HFivbPcBAAAtBAAADgAAAAAAAAABACAAAAAnAQAAZHJzL2Uyb0RvYy54&#10;bWxQSwUGAAAAAAYABgBZAQAAkAU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49"/>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注：法定代表人（负责人）证明书和法定代表人（负责人）授权委托书除装订于响应文件中外，还须另置一份按“供应商须知”18.4项要求单独密封。</w:t>
      </w:r>
    </w:p>
    <w:p/>
    <w:p>
      <w:pPr>
        <w:widowControl/>
        <w:jc w:val="left"/>
      </w:pPr>
      <w:r>
        <w:br w:type="page"/>
      </w:r>
    </w:p>
    <w:p>
      <w:pPr>
        <w:tabs>
          <w:tab w:val="left" w:pos="720"/>
        </w:tabs>
        <w:adjustRightInd w:val="0"/>
        <w:snapToGrid w:val="0"/>
        <w:spacing w:line="300" w:lineRule="auto"/>
        <w:rPr>
          <w:b/>
          <w:snapToGrid w:val="0"/>
          <w:kern w:val="0"/>
          <w:sz w:val="28"/>
        </w:rPr>
      </w:pPr>
    </w:p>
    <w:p>
      <w:pPr>
        <w:pStyle w:val="8"/>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声明函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（项目名称） </w:t>
      </w:r>
      <w:r>
        <w:rPr>
          <w:rFonts w:asciiTheme="minorEastAsia" w:hAnsiTheme="minorEastAsia" w:eastAsiaTheme="minorEastAsia"/>
        </w:rPr>
        <w:t>采购文件，经详细研究，我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hint="eastAsia" w:asciiTheme="minorEastAsia" w:hAnsiTheme="minorEastAsia" w:eastAsiaTheme="minorEastAsia"/>
        </w:rPr>
        <w:t>的采购</w:t>
      </w:r>
      <w:r>
        <w:rPr>
          <w:rFonts w:asciiTheme="minorEastAsia" w:hAnsiTheme="minorEastAsia" w:eastAsiaTheme="minorEastAsia"/>
        </w:rPr>
        <w:t>活动，并响应。为此，我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愿以《开标一览表》中填写的响应报价并</w:t>
      </w:r>
      <w:r>
        <w:rPr>
          <w:rFonts w:hint="eastAsia" w:cs="Courier New" w:asciiTheme="minorEastAsia" w:hAnsiTheme="minorEastAsia" w:eastAsiaTheme="minorEastAsia"/>
          <w:snapToGrid w:val="0"/>
          <w:szCs w:val="18"/>
        </w:rPr>
        <w:t>按照采购文件中的一切要求，承担上述项目的全部工作。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2．我单位提交的响应文件为：响应文件正本一份，副本五份，电子备份光盘（或U盘）一份（内容为响应文件正本盖章扫描件）。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3．如果我单位响应文件被接受，我单位将履行采购文件中规定的每一项要求，按期、按质、按量完成任务。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4．我单位愿意提供采购代理机构在采购文件中要求的所有资料，且</w:t>
      </w:r>
      <w:r>
        <w:rPr>
          <w:rFonts w:hint="eastAsia" w:asciiTheme="minorEastAsia" w:hAnsiTheme="minorEastAsia" w:eastAsiaTheme="minorEastAsia"/>
        </w:rPr>
        <w:t>所递交的响应文件在响应有效期（即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的响应有可能成交，我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5．我单位理解，最低报价不是成交的唯一条件。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7．我单位同意采购文件之规定，遵守有关响应的各项规定。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同意成交后向采购代理机构支付采购文件要求数额的成交服务费。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8"/>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8"/>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4"/>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我单位承诺，在参与采购活动中不存在出现诚信相关问题且在相关主管部门处理措施实施期限内，如若响应文件与事实情况不符，我单位自愿承担“隐瞒真实情况，提供虚假资料”以及其他一切不利的法律后果。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（一）响应截止后，无正当理由撤销其响应行为，导致项目无法正常开评审的；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（三）在响应文件中未说明且未经采购人同意，将成交项目分包给他人，情节严重的；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pacing w:line="300" w:lineRule="auto"/>
        <w:ind w:hanging="2"/>
        <w:jc w:val="center"/>
        <w:rPr>
          <w:b/>
          <w:snapToGrid w:val="0"/>
          <w:kern w:val="0"/>
          <w:sz w:val="28"/>
        </w:rPr>
      </w:pPr>
    </w:p>
    <w:p>
      <w:pPr>
        <w:widowControl/>
        <w:jc w:val="left"/>
        <w:rPr>
          <w:b/>
          <w:bCs/>
        </w:rPr>
      </w:pPr>
      <w:r>
        <w:rPr>
          <w:b/>
          <w:bCs/>
        </w:rPr>
        <w:t xml:space="preserve"> </w:t>
      </w:r>
    </w:p>
    <w:p>
      <w:pPr>
        <w:adjustRightInd w:val="0"/>
        <w:snapToGrid w:val="0"/>
        <w:spacing w:line="360" w:lineRule="auto"/>
        <w:ind w:firstLine="600"/>
        <w:jc w:val="right"/>
      </w:pPr>
    </w:p>
    <w:p>
      <w:pPr>
        <w:widowControl/>
        <w:jc w:val="left"/>
      </w:pPr>
      <w:r>
        <w:br w:type="page"/>
      </w:r>
    </w:p>
    <w:p>
      <w:pPr>
        <w:adjustRightInd w:val="0"/>
        <w:snapToGrid w:val="0"/>
        <w:spacing w:line="360" w:lineRule="auto"/>
        <w:ind w:firstLine="600"/>
        <w:jc w:val="left"/>
      </w:pPr>
    </w:p>
    <w:p>
      <w:pPr>
        <w:pStyle w:val="8"/>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0" w:name="_Toc44691397"/>
      <w:bookmarkStart w:id="51" w:name="_Toc44691165"/>
      <w:bookmarkStart w:id="52" w:name="_Toc44690706"/>
      <w:bookmarkStart w:id="53" w:name="_Toc44690433"/>
      <w:r>
        <w:rPr>
          <w:rFonts w:hint="eastAsia" w:asciiTheme="minorEastAsia" w:hAnsiTheme="minorEastAsia" w:eastAsiaTheme="minorEastAsia"/>
          <w:sz w:val="24"/>
        </w:rPr>
        <w:t>格式5  开标一览表</w:t>
      </w:r>
      <w:bookmarkEnd w:id="50"/>
      <w:bookmarkEnd w:id="51"/>
      <w:bookmarkEnd w:id="52"/>
      <w:bookmarkEnd w:id="53"/>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1"/>
        <w:tblW w:w="943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6"/>
        <w:gridCol w:w="4175"/>
        <w:gridCol w:w="206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720" w:hRule="atLeast"/>
          <w:jc w:val="center"/>
        </w:trPr>
        <w:tc>
          <w:tcPr>
            <w:tcW w:w="31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17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ascii="宋体" w:hAnsi="宋体" w:cs="宋体"/>
                <w:kern w:val="0"/>
                <w:szCs w:val="21"/>
              </w:rPr>
              <w:t>投标折扣率</w:t>
            </w:r>
          </w:p>
        </w:tc>
        <w:tc>
          <w:tcPr>
            <w:tcW w:w="2062"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1419" w:hRule="atLeast"/>
          <w:jc w:val="center"/>
        </w:trPr>
        <w:tc>
          <w:tcPr>
            <w:tcW w:w="3196"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深圳实验幼儿园幼儿食堂八大类外食材品种配送服务采购</w:t>
            </w:r>
          </w:p>
        </w:tc>
        <w:tc>
          <w:tcPr>
            <w:tcW w:w="4175" w:type="dxa"/>
            <w:tcBorders>
              <w:top w:val="single" w:color="auto" w:sz="4" w:space="0"/>
            </w:tcBorders>
            <w:vAlign w:val="center"/>
          </w:tcPr>
          <w:p>
            <w:pPr>
              <w:adjustRightInd w:val="0"/>
              <w:snapToGrid w:val="0"/>
              <w:spacing w:line="360" w:lineRule="auto"/>
              <w:rPr>
                <w:snapToGrid w:val="0"/>
                <w:kern w:val="0"/>
                <w:u w:val="single"/>
              </w:rPr>
            </w:pPr>
          </w:p>
        </w:tc>
        <w:tc>
          <w:tcPr>
            <w:tcW w:w="2062"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供应商：（盖章）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w:t>
      </w:r>
      <w:r>
        <w:rPr>
          <w:rFonts w:hint="eastAsia" w:ascii="宋体" w:hAnsi="宋体"/>
          <w:snapToGrid w:val="0"/>
          <w:kern w:val="0"/>
        </w:rPr>
        <w:t>本项目以投标</w:t>
      </w:r>
      <w:r>
        <w:rPr>
          <w:rFonts w:hint="eastAsia" w:ascii="宋体" w:hAnsi="宋体" w:cs="宋体"/>
          <w:kern w:val="0"/>
          <w:szCs w:val="21"/>
        </w:rPr>
        <w:t>折扣率作为报价方式</w:t>
      </w:r>
      <w:r>
        <w:rPr>
          <w:rFonts w:ascii="宋体" w:hAnsi="宋体"/>
          <w:bCs/>
        </w:rPr>
        <w:t>。</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
          <w:highlight w:val="yellow"/>
        </w:rPr>
        <w:t>折扣率=货物实收价（即结算价）/基准价，折扣率必须小于或等于1，采用小数报价且最多保留两位小数，折扣率在服务期限内保持不变[举例说明：若某种货物在深圳市中农数据有限公司食堂采配平台(天天采配)的价格为10元/斤，折扣率为0.95，实际采购价为10*0.95=9.5元/斤，则在投标文件开标一览表中的折扣率应填0.95]</w:t>
      </w:r>
      <w:r>
        <w:rPr>
          <w:rFonts w:hint="eastAsia" w:ascii="宋体" w:hAnsi="宋体"/>
          <w:bCs/>
        </w:rPr>
        <w:t>。</w:t>
      </w:r>
    </w:p>
    <w:p>
      <w:pPr>
        <w:adjustRightInd w:val="0"/>
        <w:spacing w:line="312" w:lineRule="auto"/>
        <w:ind w:left="2" w:firstLine="424" w:firstLineChars="202"/>
        <w:rPr>
          <w:rFonts w:ascii="宋体" w:hAnsi="宋体"/>
          <w:szCs w:val="21"/>
        </w:rPr>
      </w:pPr>
      <w:r>
        <w:rPr>
          <w:rFonts w:hint="eastAsia" w:ascii="宋体" w:hAnsi="宋体"/>
          <w:szCs w:val="21"/>
        </w:rPr>
        <w:t>3、</w:t>
      </w:r>
      <w:r>
        <w:rPr>
          <w:rFonts w:ascii="宋体" w:hAnsi="宋体"/>
          <w:snapToGrid w:val="0"/>
          <w:kern w:val="0"/>
        </w:rPr>
        <w:t>此表应经法定代表人或其授权委托人签名，并加盖公章。</w:t>
      </w:r>
    </w:p>
    <w:p>
      <w:pPr>
        <w:adjustRightInd w:val="0"/>
        <w:spacing w:line="312" w:lineRule="auto"/>
        <w:ind w:firstLine="437"/>
        <w:rPr>
          <w:b/>
          <w:sz w:val="28"/>
        </w:rPr>
      </w:pPr>
      <w:r>
        <w:rPr>
          <w:rFonts w:hint="eastAsia" w:ascii="宋体" w:hAnsi="宋体"/>
          <w:b/>
          <w:snapToGrid w:val="0"/>
          <w:kern w:val="0"/>
          <w:sz w:val="24"/>
        </w:rPr>
        <w:t>4、</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需装订于正副本内，应按“供应商须知”18.</w:t>
      </w:r>
      <w:r>
        <w:rPr>
          <w:rFonts w:hint="eastAsia" w:ascii="宋体" w:hAnsi="宋体"/>
          <w:b/>
          <w:snapToGrid w:val="0"/>
          <w:kern w:val="0"/>
          <w:sz w:val="24"/>
        </w:rPr>
        <w:t>4</w:t>
      </w:r>
      <w:r>
        <w:rPr>
          <w:rFonts w:ascii="宋体" w:hAnsi="宋体"/>
          <w:b/>
          <w:snapToGrid w:val="0"/>
          <w:kern w:val="0"/>
          <w:sz w:val="24"/>
        </w:rPr>
        <w:t>项要求单独密封。</w:t>
      </w:r>
    </w:p>
    <w:p/>
    <w:p/>
    <w:p/>
    <w:p/>
    <w:p/>
    <w:p/>
    <w:p/>
    <w:p/>
    <w:p>
      <w:pPr>
        <w:widowControl/>
        <w:jc w:val="left"/>
      </w:pPr>
      <w:r>
        <w:br w:type="page"/>
      </w:r>
    </w:p>
    <w:p>
      <w:pPr>
        <w:widowControl/>
        <w:jc w:val="left"/>
      </w:pPr>
    </w:p>
    <w:p>
      <w:pPr>
        <w:pStyle w:val="8"/>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4" w:name="_Toc44691398"/>
      <w:bookmarkStart w:id="55" w:name="_Toc44690434"/>
      <w:bookmarkStart w:id="56" w:name="_Toc44690707"/>
      <w:bookmarkStart w:id="57" w:name="_Toc44691166"/>
      <w:bookmarkStart w:id="58" w:name="_Toc44691167"/>
      <w:bookmarkStart w:id="59" w:name="_Toc44690435"/>
      <w:bookmarkStart w:id="60" w:name="_Toc44691399"/>
      <w:bookmarkStart w:id="61" w:name="_Toc44690708"/>
      <w:r>
        <w:rPr>
          <w:rFonts w:hint="eastAsia" w:asciiTheme="minorEastAsia" w:hAnsiTheme="minorEastAsia" w:eastAsiaTheme="minorEastAsia"/>
          <w:sz w:val="24"/>
        </w:rPr>
        <w:t>格式6  报价表</w:t>
      </w:r>
      <w:bookmarkEnd w:id="54"/>
      <w:bookmarkEnd w:id="55"/>
      <w:bookmarkEnd w:id="56"/>
      <w:bookmarkEnd w:id="57"/>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1.1  </w:t>
      </w:r>
      <w:r>
        <w:rPr>
          <w:rFonts w:hint="eastAsia" w:ascii="宋体" w:hAnsi="宋体"/>
          <w:snapToGrid w:val="0"/>
          <w:kern w:val="0"/>
        </w:rPr>
        <w:t>本项目以投标</w:t>
      </w:r>
      <w:r>
        <w:rPr>
          <w:rFonts w:hint="eastAsia" w:ascii="宋体" w:hAnsi="宋体" w:cs="宋体"/>
          <w:kern w:val="0"/>
          <w:szCs w:val="21"/>
        </w:rPr>
        <w:t>折扣率作为报价方式</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1.2  </w:t>
      </w:r>
      <w:r>
        <w:rPr>
          <w:rFonts w:hint="eastAsia" w:ascii="宋体" w:hAnsi="宋体"/>
          <w:b/>
          <w:highlight w:val="yellow"/>
        </w:rPr>
        <w:t>折扣率=货物实收价（即结算价）/基准价，折扣率必须小于或等于1，采用小数报价且最多保留两位小数，折扣率在服务期限内保持不变[举例说明：若某种货物在深圳市中农数据有限公司食堂采配平台(天天采配)的价格为10元/斤，折扣率为0.95，实际采购价为10*0.95=9.5元/斤，则在投标文件开标一览表中的折扣率应填0.95]</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投标折扣率</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w:t>
      </w:r>
      <w:r>
        <w:rPr>
          <w:rFonts w:hint="eastAsia"/>
          <w:b/>
          <w:snapToGrid w:val="0"/>
          <w:kern w:val="0"/>
        </w:rPr>
        <w:t>投标折扣率</w:t>
      </w:r>
      <w:r>
        <w:rPr>
          <w:rFonts w:hint="eastAsia" w:asciiTheme="minorEastAsia" w:hAnsiTheme="minorEastAsia" w:eastAsiaTheme="minorEastAsia"/>
        </w:rPr>
        <w:t>应与本表中的</w:t>
      </w:r>
      <w:r>
        <w:rPr>
          <w:rFonts w:hint="eastAsia"/>
          <w:b/>
          <w:snapToGrid w:val="0"/>
          <w:kern w:val="0"/>
        </w:rPr>
        <w:t>投标折扣率</w:t>
      </w:r>
      <w:r>
        <w:rPr>
          <w:rFonts w:hint="eastAsia" w:asciiTheme="minorEastAsia" w:hAnsiTheme="minorEastAsia" w:eastAsiaTheme="minorEastAsia"/>
        </w:rPr>
        <w:t>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widowControl/>
        <w:jc w:val="left"/>
        <w:rPr>
          <w:snapToGrid w:val="0"/>
          <w:kern w:val="0"/>
        </w:rPr>
      </w:pPr>
      <w:r>
        <w:rPr>
          <w:snapToGrid w:val="0"/>
          <w:kern w:val="0"/>
        </w:rPr>
        <w:br w:type="page"/>
      </w:r>
    </w:p>
    <w:p>
      <w:pPr>
        <w:wordWrap w:val="0"/>
        <w:adjustRightInd w:val="0"/>
        <w:snapToGrid w:val="0"/>
        <w:spacing w:line="300" w:lineRule="auto"/>
        <w:jc w:val="right"/>
        <w:rPr>
          <w:snapToGrid w:val="0"/>
          <w:kern w:val="0"/>
        </w:rPr>
      </w:pPr>
    </w:p>
    <w:p>
      <w:pPr>
        <w:pStyle w:val="8"/>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服务方案</w:t>
      </w:r>
      <w:bookmarkEnd w:id="58"/>
      <w:bookmarkEnd w:id="59"/>
      <w:bookmarkEnd w:id="60"/>
      <w:bookmarkEnd w:id="61"/>
    </w:p>
    <w:p>
      <w:pPr>
        <w:pStyle w:val="9"/>
      </w:pPr>
    </w:p>
    <w:p>
      <w:pPr>
        <w:spacing w:line="400" w:lineRule="exact"/>
        <w:ind w:firstLine="422" w:firstLineChars="200"/>
        <w:rPr>
          <w:rFonts w:ascii="宋体" w:hAnsi="宋体"/>
          <w:b/>
          <w:szCs w:val="21"/>
        </w:rPr>
      </w:pPr>
      <w:r>
        <w:rPr>
          <w:rFonts w:hint="eastAsia" w:ascii="宋体" w:hAnsi="宋体"/>
          <w:b/>
          <w:szCs w:val="21"/>
        </w:rPr>
        <w:t>本部分内容是供应商根据项目需求对其响应服务方案的详细描述，主要包括服务方案及拟投入本项目的人员配置等，供应商自主编写，但应包含下列内容：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szCs w:val="21"/>
        </w:rPr>
        <w:t>项目实施方案</w:t>
      </w:r>
    </w:p>
    <w:p>
      <w:pPr>
        <w:spacing w:line="360" w:lineRule="auto"/>
        <w:ind w:firstLine="420" w:firstLineChars="200"/>
        <w:rPr>
          <w:rFonts w:ascii="宋体" w:hAnsi="宋体" w:cs="宋体"/>
          <w:szCs w:val="21"/>
        </w:rPr>
      </w:pPr>
      <w:r>
        <w:rPr>
          <w:rFonts w:hint="eastAsia" w:ascii="宋体" w:hAnsi="宋体"/>
          <w:szCs w:val="21"/>
        </w:rPr>
        <w:t>2、</w:t>
      </w:r>
      <w:r>
        <w:rPr>
          <w:rFonts w:hint="eastAsia" w:ascii="宋体" w:hAnsi="宋体" w:cs="宋体"/>
          <w:szCs w:val="21"/>
        </w:rPr>
        <w:t>物流配送方案</w:t>
      </w:r>
    </w:p>
    <w:p>
      <w:pPr>
        <w:spacing w:line="360" w:lineRule="auto"/>
        <w:ind w:firstLine="420" w:firstLineChars="200"/>
        <w:rPr>
          <w:rFonts w:ascii="宋体" w:hAnsi="宋体" w:cs="宋体"/>
          <w:szCs w:val="21"/>
        </w:rPr>
      </w:pPr>
      <w:r>
        <w:rPr>
          <w:rFonts w:hint="eastAsia" w:ascii="宋体" w:hAnsi="宋体" w:cs="宋体"/>
          <w:szCs w:val="21"/>
        </w:rPr>
        <w:t>3、质量保证方案</w:t>
      </w:r>
    </w:p>
    <w:p>
      <w:pPr>
        <w:spacing w:line="360" w:lineRule="auto"/>
        <w:ind w:firstLine="420" w:firstLineChars="200"/>
        <w:rPr>
          <w:rFonts w:ascii="宋体" w:hAnsi="宋体" w:cs="宋体"/>
          <w:szCs w:val="21"/>
        </w:rPr>
      </w:pPr>
      <w:r>
        <w:rPr>
          <w:rFonts w:hint="eastAsia" w:ascii="宋体" w:hAnsi="宋体" w:cs="宋体"/>
          <w:szCs w:val="21"/>
        </w:rPr>
        <w:t>4、特殊情况应急预案</w:t>
      </w:r>
    </w:p>
    <w:p>
      <w:pPr>
        <w:spacing w:line="360" w:lineRule="auto"/>
        <w:ind w:firstLine="420" w:firstLineChars="200"/>
        <w:rPr>
          <w:rFonts w:ascii="宋体" w:hAnsi="宋体" w:cs="宋体"/>
          <w:szCs w:val="21"/>
        </w:rPr>
      </w:pPr>
      <w:r>
        <w:rPr>
          <w:rFonts w:hint="eastAsia" w:ascii="宋体" w:hAnsi="宋体" w:cs="宋体"/>
          <w:szCs w:val="21"/>
        </w:rPr>
        <w:t>5、管理体系认证</w:t>
      </w:r>
    </w:p>
    <w:p>
      <w:pPr>
        <w:spacing w:line="360" w:lineRule="auto"/>
        <w:ind w:firstLine="420" w:firstLineChars="200"/>
        <w:rPr>
          <w:rFonts w:ascii="宋体" w:hAnsi="宋体"/>
          <w:szCs w:val="21"/>
        </w:rPr>
      </w:pPr>
      <w:r>
        <w:rPr>
          <w:rFonts w:hint="eastAsia" w:ascii="宋体" w:hAnsi="宋体"/>
          <w:szCs w:val="21"/>
        </w:rPr>
        <w:t>6、配送场地情况</w:t>
      </w:r>
    </w:p>
    <w:p>
      <w:pPr>
        <w:spacing w:line="360" w:lineRule="auto"/>
        <w:ind w:left="420"/>
        <w:rPr>
          <w:rFonts w:ascii="宋体" w:hAnsi="宋体"/>
          <w:szCs w:val="21"/>
        </w:rPr>
      </w:pPr>
      <w:r>
        <w:rPr>
          <w:rFonts w:hint="eastAsia" w:ascii="宋体" w:hAnsi="宋体"/>
          <w:bCs/>
        </w:rPr>
        <w:t>7、</w:t>
      </w:r>
      <w:r>
        <w:rPr>
          <w:rFonts w:hint="eastAsia" w:ascii="宋体" w:hAnsi="宋体"/>
          <w:szCs w:val="21"/>
        </w:rPr>
        <w:t>团队配备情况（附《项目人员情况一览表》）</w:t>
      </w:r>
    </w:p>
    <w:p>
      <w:pPr>
        <w:spacing w:line="360" w:lineRule="auto"/>
        <w:ind w:left="420"/>
        <w:rPr>
          <w:rFonts w:ascii="宋体" w:hAnsi="宋体" w:cs="宋体"/>
          <w:szCs w:val="21"/>
        </w:rPr>
      </w:pPr>
      <w:r>
        <w:rPr>
          <w:rFonts w:hint="eastAsia" w:ascii="宋体" w:hAnsi="宋体"/>
          <w:szCs w:val="21"/>
        </w:rPr>
        <w:t>8、</w:t>
      </w:r>
      <w:r>
        <w:rPr>
          <w:rFonts w:hint="eastAsia" w:ascii="宋体" w:hAnsi="宋体" w:cs="宋体"/>
          <w:szCs w:val="21"/>
        </w:rPr>
        <w:t>食品安全责任保险</w:t>
      </w:r>
    </w:p>
    <w:p>
      <w:pPr>
        <w:spacing w:line="360" w:lineRule="auto"/>
        <w:ind w:left="420"/>
        <w:rPr>
          <w:rFonts w:ascii="宋体" w:hAnsi="宋体" w:cs="宋体"/>
          <w:szCs w:val="21"/>
        </w:rPr>
      </w:pPr>
      <w:r>
        <w:rPr>
          <w:rFonts w:hint="eastAsia" w:ascii="宋体" w:hAnsi="宋体" w:cs="宋体"/>
          <w:szCs w:val="21"/>
        </w:rPr>
        <w:t>9、食材检测</w:t>
      </w:r>
    </w:p>
    <w:p>
      <w:pPr>
        <w:spacing w:line="360" w:lineRule="auto"/>
        <w:ind w:left="420"/>
        <w:rPr>
          <w:rFonts w:ascii="宋体" w:hAnsi="宋体" w:cs="宋体"/>
          <w:szCs w:val="21"/>
        </w:rPr>
      </w:pPr>
      <w:r>
        <w:rPr>
          <w:rFonts w:hint="eastAsia" w:ascii="宋体" w:hAnsi="宋体" w:cs="宋体"/>
          <w:szCs w:val="21"/>
        </w:rPr>
        <w:t>10、同类项目业绩情况</w:t>
      </w:r>
    </w:p>
    <w:p>
      <w:pPr>
        <w:spacing w:line="360" w:lineRule="auto"/>
        <w:ind w:left="420"/>
        <w:rPr>
          <w:rFonts w:ascii="宋体" w:hAnsi="宋体"/>
          <w:bCs/>
        </w:rPr>
      </w:pPr>
      <w:r>
        <w:rPr>
          <w:rFonts w:hint="eastAsia" w:ascii="宋体" w:hAnsi="宋体"/>
          <w:bCs/>
        </w:rPr>
        <w:t>11、供应商认为必要的其他方案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snapToGrid w:val="0"/>
          <w:kern w:val="0"/>
        </w:rPr>
      </w:pP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60"/>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57" w:hRule="atLeas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57"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rPr>
              <w:t>项目主管</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57"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vAlign w:val="center"/>
          </w:tcPr>
          <w:p>
            <w:pPr>
              <w:jc w:val="center"/>
              <w:rPr>
                <w:rFonts w:ascii="宋体" w:hAnsi="宋体" w:cs="Courier New"/>
                <w:snapToGrid w:val="0"/>
                <w:szCs w:val="21"/>
              </w:rPr>
            </w:pP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57"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Align w:val="center"/>
          </w:tcPr>
          <w:p>
            <w:pPr>
              <w:jc w:val="center"/>
              <w:rPr>
                <w:rFonts w:ascii="宋体" w:hAnsi="宋体" w:cs="Courier New"/>
                <w:snapToGrid w:val="0"/>
                <w:szCs w:val="21"/>
              </w:rPr>
            </w:pPr>
            <w:r>
              <w:rPr>
                <w:rFonts w:hint="eastAsia"/>
              </w:rPr>
              <w:t>项目培训师</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57" w:hRule="atLeas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57" w:hRule="atLeas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57" w:hRule="atLeas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57" w:hRule="atLeas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57" w:hRule="atLeas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57" w:hRule="atLeas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10</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57" w:hRule="atLeas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11</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57" w:hRule="atLeas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12</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1、填写时，如本表格不适合供应商的实际情况，可根据本表格格式自行划表填写。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3、本表格所要求填写的人员是指供应商将安排在此项目的具体人员。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widowControl/>
        <w:jc w:val="left"/>
      </w:pPr>
      <w:r>
        <w:br w:type="page"/>
      </w:r>
    </w:p>
    <w:p/>
    <w:p>
      <w:pPr>
        <w:pStyle w:val="8"/>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w:t>
      </w:r>
      <w:r>
        <w:rPr>
          <w:rFonts w:hint="eastAsia" w:asciiTheme="minorEastAsia" w:hAnsiTheme="minorEastAsia" w:eastAsiaTheme="minorEastAsia"/>
          <w:sz w:val="24"/>
        </w:rPr>
        <w:t>供应商情况介绍</w:t>
      </w:r>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供应商基本情况简介，格式自拟，包括但不限于经营范围、依法纳税记录等；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供应商认为有必要提供的其他文件。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注：供应商提供的以上资料若为复印件或扫描件需加盖供应商公章</w:t>
      </w:r>
    </w:p>
    <w:p>
      <w:pPr>
        <w:pStyle w:val="4"/>
        <w:spacing w:before="0"/>
        <w:rPr>
          <w:rFonts w:ascii="宋体" w:hAnsi="宋体"/>
          <w:sz w:val="28"/>
        </w:rPr>
      </w:pPr>
    </w:p>
    <w:p/>
    <w:p/>
    <w:p/>
    <w:p/>
    <w:p/>
    <w:p/>
    <w:p/>
    <w:p/>
    <w:p/>
    <w:p/>
    <w:p/>
    <w:p/>
    <w:p/>
    <w:p/>
    <w:p/>
    <w:p/>
    <w:p/>
    <w:p/>
    <w:p/>
    <w:p/>
    <w:p/>
    <w:p/>
    <w:p/>
    <w:p/>
    <w:p/>
    <w:p/>
    <w:p/>
    <w:p/>
    <w:p/>
    <w:p/>
    <w:p/>
    <w:p>
      <w:pPr>
        <w:widowControl/>
        <w:jc w:val="left"/>
      </w:pPr>
      <w:r>
        <w:br w:type="page"/>
      </w:r>
    </w:p>
    <w:p/>
    <w:p>
      <w:pPr>
        <w:pStyle w:val="8"/>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2" w:name="_Toc44691168"/>
      <w:bookmarkStart w:id="63" w:name="_Toc44690709"/>
      <w:bookmarkStart w:id="64" w:name="_Toc44690436"/>
      <w:bookmarkStart w:id="65" w:name="_Toc44691400"/>
      <w:r>
        <w:rPr>
          <w:rFonts w:hint="eastAsia" w:asciiTheme="minorEastAsia" w:hAnsiTheme="minorEastAsia" w:eastAsiaTheme="minorEastAsia"/>
          <w:sz w:val="24"/>
        </w:rPr>
        <w:t>格式9  偏离表</w:t>
      </w:r>
      <w:bookmarkEnd w:id="62"/>
      <w:bookmarkEnd w:id="63"/>
      <w:bookmarkEnd w:id="64"/>
      <w:bookmarkEnd w:id="65"/>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项目需求偏离表</w:t>
      </w:r>
    </w:p>
    <w:tbl>
      <w:tblPr>
        <w:tblStyle w:val="51"/>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项目需求</w:t>
            </w:r>
          </w:p>
        </w:tc>
        <w:tc>
          <w:tcPr>
            <w:tcW w:w="3544" w:type="dxa"/>
            <w:vAlign w:val="center"/>
          </w:tcPr>
          <w:p>
            <w:pPr>
              <w:ind w:left="136" w:leftChars="65"/>
              <w:jc w:val="center"/>
              <w:rPr>
                <w:rFonts w:ascii="宋体" w:hAnsi="宋体"/>
                <w:szCs w:val="21"/>
              </w:rPr>
            </w:pPr>
            <w:r>
              <w:rPr>
                <w:rFonts w:hint="eastAsia" w:ascii="宋体" w:hAnsi="宋体"/>
                <w:szCs w:val="21"/>
              </w:rPr>
              <w:t>响应文件响应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采购文件第二章《项目需求》中所有带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此项供应商必须完全响应满足，请供应商于“响应文件响应”栏中填写</w:t>
            </w:r>
            <w:r>
              <w:rPr>
                <w:rFonts w:hint="eastAsia" w:ascii="宋体" w:hAnsi="宋体" w:cs="Arial"/>
                <w:b/>
                <w:color w:val="0000FF"/>
                <w:sz w:val="20"/>
                <w:szCs w:val="18"/>
              </w:rPr>
              <w:t>“完全响应满足采购文件第二章《项目需求》中所有带★号条款的要求”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采购文件第二章《项目需求》中未带★号的所有条款要求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1、如供应商能完全按照此部分条款要求承诺（响应）并实施，可填写“</w:t>
            </w:r>
            <w:r>
              <w:rPr>
                <w:rFonts w:hint="eastAsia" w:ascii="宋体" w:hAnsi="宋体" w:cs="Arial"/>
                <w:b/>
                <w:color w:val="0000FF"/>
                <w:sz w:val="20"/>
                <w:szCs w:val="18"/>
              </w:rPr>
              <w:t>完全按采购文件要求响应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2、如供应商承诺（响应）内容出现正偏离或负偏离，请逐条做出说明。】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（1）供应商无需逐项填写“</w:t>
      </w:r>
      <w:r>
        <w:rPr>
          <w:rFonts w:hint="eastAsia" w:asciiTheme="minorEastAsia" w:hAnsiTheme="minorEastAsia" w:eastAsiaTheme="minorEastAsia"/>
          <w:szCs w:val="21"/>
        </w:rPr>
        <w:t>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（2）供应商必须完全响应满足所有带★号条款的要求，否则将导致响应无效。成交后被发现不能满足《项目需求》中所有带★号条款要求的，采购单位有权拒绝签订合同，一切后果由供应商自行承担。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采购文件要求提供证明材料的，响应文件需提供相应证明材料复印件或扫描件（加盖供应商公章，原件备查）并注明证明材料在响应文件中的具体位置，未按要求提供证明材料或未注明证明材料的具体位置或提供的证明资料显示不符合采购文件要求、模糊不清无法判断或未显示是否满足采购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（4）请供应商于“</w:t>
      </w:r>
      <w:r>
        <w:rPr>
          <w:rFonts w:hint="eastAsia" w:asciiTheme="minorEastAsia" w:hAnsiTheme="minorEastAsia" w:eastAsiaTheme="minorEastAsia"/>
          <w:szCs w:val="21"/>
        </w:rPr>
        <w:t>响应文件响应</w:t>
      </w:r>
      <w:r>
        <w:rPr>
          <w:rFonts w:hint="eastAsia" w:asciiTheme="minorEastAsia" w:hAnsiTheme="minorEastAsia" w:eastAsiaTheme="minorEastAsia"/>
        </w:rPr>
        <w:t>”栏中对偏离表中相关条款作出响应情况描述，“偏离情况”栏中根据响应情况填写，没有达到要求的填“负偏离”，达到要求的填“无偏离”，优于要求的填“正偏离”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8"/>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6" w:name="_格式4__"/>
      <w:bookmarkEnd w:id="66"/>
      <w:bookmarkStart w:id="67" w:name="_格式5__"/>
      <w:bookmarkEnd w:id="67"/>
      <w:bookmarkStart w:id="68" w:name="q16"/>
      <w:bookmarkEnd w:id="68"/>
      <w:bookmarkStart w:id="69" w:name="_格式2__投标保证金凭证"/>
      <w:bookmarkEnd w:id="69"/>
      <w:bookmarkStart w:id="70" w:name="q15"/>
      <w:bookmarkEnd w:id="70"/>
      <w:bookmarkStart w:id="71" w:name="_格式3__"/>
      <w:bookmarkEnd w:id="71"/>
      <w:bookmarkStart w:id="72" w:name="q17"/>
      <w:bookmarkEnd w:id="72"/>
      <w:r>
        <w:rPr>
          <w:rFonts w:asciiTheme="minorEastAsia" w:hAnsiTheme="minorEastAsia" w:eastAsiaTheme="minorEastAsia"/>
          <w:sz w:val="24"/>
        </w:rPr>
        <w:tab/>
      </w:r>
      <w:bookmarkStart w:id="73" w:name="_Toc44691401"/>
      <w:bookmarkStart w:id="74" w:name="_Toc44690710"/>
      <w:bookmarkStart w:id="75" w:name="_Toc44690437"/>
      <w:bookmarkStart w:id="76" w:name="_Toc44691169"/>
      <w:r>
        <w:rPr>
          <w:rFonts w:hint="eastAsia" w:asciiTheme="minorEastAsia" w:hAnsiTheme="minorEastAsia" w:eastAsiaTheme="minorEastAsia"/>
          <w:sz w:val="24"/>
        </w:rPr>
        <w:t xml:space="preserve">格式10  </w:t>
      </w:r>
      <w:bookmarkEnd w:id="73"/>
      <w:bookmarkEnd w:id="74"/>
      <w:bookmarkEnd w:id="75"/>
      <w:bookmarkEnd w:id="76"/>
      <w:r>
        <w:rPr>
          <w:rFonts w:hint="eastAsia" w:asciiTheme="minorEastAsia" w:hAnsiTheme="minorEastAsia" w:eastAsiaTheme="minorEastAsia"/>
          <w:sz w:val="24"/>
        </w:rPr>
        <w:t>采购文件要求的其他资料或供应商认为需要补充的资料</w:t>
      </w:r>
    </w:p>
    <w:p>
      <w:pPr>
        <w:spacing w:line="360" w:lineRule="auto"/>
        <w:jc w:val="center"/>
      </w:pPr>
    </w:p>
    <w:p>
      <w:pPr>
        <w:spacing w:line="360" w:lineRule="auto"/>
        <w:ind w:firstLine="420" w:firstLineChars="200"/>
      </w:pPr>
      <w:r>
        <w:rPr>
          <w:szCs w:val="20"/>
        </w:rPr>
        <w:t>供应商</w:t>
      </w:r>
      <w:r>
        <w:rPr>
          <w:rFonts w:hint="eastAsia"/>
          <w:szCs w:val="20"/>
        </w:rPr>
        <w:t>须</w:t>
      </w:r>
      <w:r>
        <w:rPr>
          <w:szCs w:val="20"/>
        </w:rPr>
        <w:t>按要求编制响应文件，提供的内容要详细、真实、可靠。若提供的资料不齐，将导致扣分；若严重缺项、漏项，其响应将被拒绝。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注：如需提供补充资料，本部分资料格式不做统一规定，由供应商自行设计。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3"/>
      </w:pPr>
      <w:bookmarkStart w:id="77" w:name="_Toc73613642"/>
      <w:r>
        <w:rPr>
          <w:rFonts w:hint="eastAsia"/>
        </w:rPr>
        <w:t>第八章  合同条款</w:t>
      </w:r>
      <w:bookmarkEnd w:id="77"/>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重要说明：采购人在签订合同前有权依据采购文件要求和项目实际情况对以下合同内容进行删改或补充。</w:t>
      </w:r>
    </w:p>
    <w:p>
      <w:pPr>
        <w:pStyle w:val="28"/>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成交供应商（乙方）：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采购项目（项目编号__________________）的成交结果，由_______________________单位为成交供应商。</w:t>
      </w:r>
      <w:r>
        <w:rPr>
          <w:rFonts w:hint="eastAsia" w:asciiTheme="minorEastAsia" w:hAnsiTheme="minorEastAsia"/>
          <w:szCs w:val="21"/>
        </w:rPr>
        <w:t>根据《</w:t>
      </w:r>
      <w:r>
        <w:rPr>
          <w:rFonts w:hint="eastAsia" w:ascii="宋体" w:hAnsi="宋体" w:cs="Courier New"/>
          <w:snapToGrid w:val="0"/>
          <w:szCs w:val="18"/>
        </w:rPr>
        <w:t>中华人民共和国民法典</w:t>
      </w:r>
      <w:r>
        <w:rPr>
          <w:rFonts w:hint="eastAsia" w:asciiTheme="minorEastAsia" w:hAnsiTheme="minorEastAsia"/>
          <w:szCs w:val="21"/>
        </w:rPr>
        <w:t>》等规定</w:t>
      </w:r>
      <w:r>
        <w:rPr>
          <w:rFonts w:hint="eastAsia" w:ascii="宋体" w:hAnsi="宋体"/>
          <w:szCs w:val="21"/>
        </w:rPr>
        <w:t>，经_______________________（以下简称采购人）和_______________________（以下简称成交供应商）协商，就_______________________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8"/>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8"/>
        <w:snapToGrid w:val="0"/>
        <w:spacing w:line="360" w:lineRule="auto"/>
        <w:ind w:firstLine="422" w:firstLineChars="200"/>
        <w:rPr>
          <w:rFonts w:hAnsi="宋体"/>
          <w:b/>
          <w:szCs w:val="21"/>
        </w:rPr>
      </w:pPr>
      <w:r>
        <w:rPr>
          <w:rFonts w:hint="eastAsia" w:hAnsi="宋体"/>
          <w:b/>
          <w:szCs w:val="21"/>
        </w:rPr>
        <w:t>二、合同金额</w:t>
      </w:r>
    </w:p>
    <w:p>
      <w:pPr>
        <w:pStyle w:val="28"/>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8"/>
        <w:snapToGrid w:val="0"/>
        <w:spacing w:line="360" w:lineRule="auto"/>
        <w:ind w:firstLine="422" w:firstLineChars="200"/>
        <w:rPr>
          <w:rFonts w:hAnsi="宋体"/>
          <w:b/>
          <w:szCs w:val="21"/>
        </w:rPr>
      </w:pPr>
      <w:r>
        <w:rPr>
          <w:rFonts w:hint="eastAsia" w:hAnsi="宋体"/>
          <w:b/>
          <w:szCs w:val="21"/>
        </w:rPr>
        <w:t>三、技术资料</w:t>
      </w:r>
    </w:p>
    <w:p>
      <w:pPr>
        <w:pStyle w:val="28"/>
        <w:snapToGrid w:val="0"/>
        <w:spacing w:line="360" w:lineRule="auto"/>
        <w:ind w:firstLine="420" w:firstLineChars="200"/>
        <w:rPr>
          <w:rFonts w:hAnsi="宋体"/>
          <w:szCs w:val="21"/>
        </w:rPr>
      </w:pPr>
      <w:r>
        <w:rPr>
          <w:rFonts w:hint="eastAsia" w:hAnsi="宋体"/>
          <w:szCs w:val="21"/>
        </w:rPr>
        <w:t>1、成交供应商应按采购文件规定的时间向采购人提供有关技术资料。</w:t>
      </w:r>
    </w:p>
    <w:p>
      <w:pPr>
        <w:pStyle w:val="28"/>
        <w:snapToGrid w:val="0"/>
        <w:spacing w:line="360" w:lineRule="auto"/>
        <w:ind w:firstLine="420" w:firstLineChars="200"/>
        <w:rPr>
          <w:rFonts w:hAnsi="宋体"/>
          <w:szCs w:val="21"/>
        </w:rPr>
      </w:pPr>
      <w:r>
        <w:rPr>
          <w:rFonts w:hint="eastAsia" w:hAnsi="宋体"/>
          <w:szCs w:val="21"/>
        </w:rPr>
        <w:t>2、没有采购人事先书面同意，成交供应商不得将由采购人提供的有关合同或任何合同条文、项目资料提供给与履行本合同无关的任何其他人。即使向履行本合同有关的人员提供，也应注意保密并限于履行合同的必需范围。</w:t>
      </w:r>
    </w:p>
    <w:p>
      <w:pPr>
        <w:pStyle w:val="28"/>
        <w:snapToGrid w:val="0"/>
        <w:spacing w:line="360" w:lineRule="auto"/>
        <w:ind w:firstLine="420" w:firstLineChars="200"/>
        <w:rPr>
          <w:rFonts w:hAnsi="宋体"/>
          <w:szCs w:val="21"/>
        </w:rPr>
      </w:pPr>
      <w:r>
        <w:rPr>
          <w:rFonts w:hint="eastAsia" w:hAnsi="宋体"/>
          <w:szCs w:val="21"/>
        </w:rPr>
        <w:t>3、合同履行完毕，未经采购人的书面同意，成交供应商不得保存在履行合同过程中所获得或接触到的任何内部数据资料。</w:t>
      </w:r>
    </w:p>
    <w:p>
      <w:pPr>
        <w:pStyle w:val="28"/>
        <w:snapToGrid w:val="0"/>
        <w:spacing w:line="360" w:lineRule="auto"/>
        <w:ind w:firstLine="422" w:firstLineChars="200"/>
        <w:rPr>
          <w:rFonts w:hAnsi="宋体"/>
          <w:b/>
          <w:szCs w:val="21"/>
        </w:rPr>
      </w:pPr>
      <w:r>
        <w:rPr>
          <w:rFonts w:hint="eastAsia" w:hAnsi="宋体"/>
          <w:b/>
          <w:szCs w:val="21"/>
        </w:rPr>
        <w:t>四、知识产权</w:t>
      </w:r>
    </w:p>
    <w:p>
      <w:pPr>
        <w:pStyle w:val="28"/>
        <w:snapToGrid w:val="0"/>
        <w:spacing w:line="360" w:lineRule="auto"/>
        <w:ind w:firstLine="420" w:firstLineChars="200"/>
        <w:rPr>
          <w:rFonts w:hAnsi="宋体"/>
          <w:bCs/>
          <w:szCs w:val="21"/>
        </w:rPr>
      </w:pPr>
      <w:r>
        <w:rPr>
          <w:rFonts w:hint="eastAsia" w:hAnsi="宋体"/>
          <w:szCs w:val="21"/>
        </w:rPr>
        <w:t>成交供应商应保证提供服务过程中不会侵犯任何第三方的知识产权</w:t>
      </w:r>
      <w:r>
        <w:rPr>
          <w:rFonts w:hint="eastAsia" w:hAnsi="宋体"/>
          <w:bCs/>
          <w:szCs w:val="21"/>
        </w:rPr>
        <w:t>。</w:t>
      </w:r>
    </w:p>
    <w:p>
      <w:pPr>
        <w:pStyle w:val="28"/>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七、成交供应商的权利与义务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5、成交供应商的其它权利与义务_______________________</w:t>
      </w:r>
    </w:p>
    <w:p>
      <w:pPr>
        <w:pStyle w:val="28"/>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8"/>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8"/>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8"/>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3、验收依据为采购文件、成交供应商响应文件，国家和行业有关规范、规程和标准。</w:t>
      </w:r>
    </w:p>
    <w:p>
      <w:pPr>
        <w:pStyle w:val="28"/>
        <w:snapToGrid w:val="0"/>
        <w:spacing w:line="360" w:lineRule="auto"/>
        <w:ind w:firstLine="422" w:firstLineChars="200"/>
        <w:rPr>
          <w:rFonts w:hAnsi="宋体"/>
          <w:b/>
          <w:szCs w:val="21"/>
        </w:rPr>
      </w:pPr>
      <w:r>
        <w:rPr>
          <w:rFonts w:hint="eastAsia" w:hAnsi="宋体"/>
          <w:b/>
          <w:szCs w:val="21"/>
        </w:rPr>
        <w:t>十、付款方式和税费</w:t>
      </w:r>
    </w:p>
    <w:p>
      <w:pPr>
        <w:pStyle w:val="28"/>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本合同执行中相关的一切税费均由成交供应商负担。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8"/>
        <w:snapToGrid w:val="0"/>
        <w:spacing w:line="360" w:lineRule="auto"/>
        <w:ind w:firstLine="422" w:firstLineChars="200"/>
        <w:rPr>
          <w:rFonts w:hAnsi="宋体"/>
          <w:b/>
          <w:szCs w:val="21"/>
        </w:rPr>
      </w:pPr>
      <w:r>
        <w:rPr>
          <w:rFonts w:hint="eastAsia" w:hAnsi="宋体"/>
          <w:b/>
          <w:szCs w:val="21"/>
        </w:rPr>
        <w:t>十二、违约责任</w:t>
      </w:r>
    </w:p>
    <w:p>
      <w:pPr>
        <w:pStyle w:val="28"/>
        <w:snapToGrid w:val="0"/>
        <w:spacing w:line="360" w:lineRule="auto"/>
        <w:ind w:firstLine="420" w:firstLineChars="200"/>
        <w:rPr>
          <w:rFonts w:hAnsi="宋体"/>
          <w:szCs w:val="21"/>
        </w:rPr>
      </w:pPr>
      <w:r>
        <w:rPr>
          <w:rFonts w:hint="eastAsia" w:hAnsi="宋体"/>
          <w:szCs w:val="21"/>
        </w:rPr>
        <w:t>1、因成交供应商原因，未能按规定完成本项目有关工作的，采购人可在支付合同余款中扣除合同价款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1、本合同与采购文件、成交供应商响应文件如有抵触之处，以本合同条款为准。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（1）采购文件、答疑及补充通知；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响应文件；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3、本合同一式_____份，甲、成交供应商双方各执_____份，具有同等法律效力。本合同自双方法定代表人签字（盖章）认可之日起生效。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1、《成交通知书》</w:t>
      </w:r>
    </w:p>
    <w:p>
      <w:pPr>
        <w:snapToGrid w:val="0"/>
        <w:spacing w:line="360" w:lineRule="auto"/>
        <w:ind w:firstLine="420" w:firstLineChars="200"/>
        <w:rPr>
          <w:rFonts w:ascii="宋体" w:hAnsi="宋体"/>
          <w:szCs w:val="21"/>
        </w:rPr>
      </w:pPr>
      <w:r>
        <w:rPr>
          <w:rFonts w:hint="eastAsia" w:ascii="宋体" w:hAnsi="宋体"/>
          <w:szCs w:val="21"/>
        </w:rPr>
        <w:t>2、《响应文件》</w:t>
      </w:r>
    </w:p>
    <w:p>
      <w:pPr>
        <w:snapToGrid w:val="0"/>
        <w:spacing w:line="360" w:lineRule="auto"/>
        <w:ind w:firstLine="420" w:firstLineChars="200"/>
        <w:rPr>
          <w:rFonts w:ascii="宋体" w:hAnsi="宋体"/>
          <w:szCs w:val="21"/>
        </w:rPr>
      </w:pPr>
      <w:r>
        <w:rPr>
          <w:rFonts w:hint="eastAsia" w:ascii="宋体" w:hAnsi="宋体"/>
          <w:szCs w:val="21"/>
        </w:rPr>
        <w:t>3、《采购文件》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成交供应商</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modern"/>
    <w:pitch w:val="default"/>
    <w:sig w:usb0="00000000" w:usb1="00000000" w:usb2="0000001E"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5"/>
      </w:rPr>
    </w:pPr>
    <w:r>
      <w:rPr>
        <w:rStyle w:val="55"/>
      </w:rPr>
      <w:fldChar w:fldCharType="begin"/>
    </w:r>
    <w:r>
      <w:rPr>
        <w:rStyle w:val="55"/>
      </w:rPr>
      <w:instrText xml:space="preserve">PAGE  </w:instrText>
    </w:r>
    <w:r>
      <w:rPr>
        <w:rStyle w:val="55"/>
      </w:rPr>
      <w:fldChar w:fldCharType="separate"/>
    </w:r>
    <w:r>
      <w:rPr>
        <w:rStyle w:val="55"/>
      </w:rPr>
      <w:t>2</w:t>
    </w:r>
    <w:r>
      <w:rPr>
        <w:rStyle w:val="55"/>
      </w:rPr>
      <w:fldChar w:fldCharType="end"/>
    </w:r>
  </w:p>
  <w:p>
    <w:pPr>
      <w:pStyle w:val="33"/>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19"/>
        <w:tab w:val="right" w:pos="9638"/>
      </w:tabs>
      <w:jc w:val="left"/>
      <w:rPr>
        <w:u w:val="single"/>
      </w:rPr>
    </w:pPr>
    <w:r>
      <w:rPr>
        <w:rFonts w:hint="eastAsia"/>
      </w:rPr>
      <w:t>项目名称：</w:t>
    </w:r>
    <w:r>
      <w:rPr>
        <w:rFonts w:hint="eastAsia" w:asciiTheme="minorEastAsia" w:hAnsiTheme="minorEastAsia" w:eastAsiaTheme="minorEastAsia"/>
      </w:rPr>
      <w:t xml:space="preserve">深圳实验幼儿园幼儿食堂八大类外食材品种配送服务采购        </w:t>
    </w:r>
    <w:r>
      <w:rPr>
        <w:rFonts w:hint="eastAsia"/>
      </w:rPr>
      <w:t xml:space="preserve">             项目编号：</w:t>
    </w:r>
    <w:r>
      <w:rPr>
        <w:rFonts w:hint="eastAsia" w:asciiTheme="minorEastAsia" w:hAnsiTheme="minorEastAsia" w:eastAsiaTheme="minorEastAsia"/>
      </w:rPr>
      <w:t>SZZZ2023-QC0276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C035C"/>
    <w:multiLevelType w:val="singleLevel"/>
    <w:tmpl w:val="8B2C035C"/>
    <w:lvl w:ilvl="0" w:tentative="0">
      <w:start w:val="1"/>
      <w:numFmt w:val="decimal"/>
      <w:suff w:val="nothing"/>
      <w:lvlText w:val="%1．"/>
      <w:lvlJc w:val="left"/>
      <w:pPr>
        <w:ind w:left="0" w:firstLine="400"/>
      </w:pPr>
      <w:rPr>
        <w:rFonts w:hint="default"/>
      </w:rPr>
    </w:lvl>
  </w:abstractNum>
  <w:abstractNum w:abstractNumId="1">
    <w:nsid w:val="00000002"/>
    <w:multiLevelType w:val="multilevel"/>
    <w:tmpl w:val="00000002"/>
    <w:lvl w:ilvl="0" w:tentative="0">
      <w:start w:val="1"/>
      <w:numFmt w:val="decimal"/>
      <w:pStyle w:val="18"/>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8"/>
      <w:lvlText w:val="%5)"/>
      <w:lvlJc w:val="left"/>
      <w:pPr>
        <w:tabs>
          <w:tab w:val="left" w:pos="2111"/>
        </w:tabs>
        <w:ind w:left="2111" w:hanging="420"/>
      </w:pPr>
    </w:lvl>
    <w:lvl w:ilvl="5" w:tentative="0">
      <w:start w:val="1"/>
      <w:numFmt w:val="lowerRoman"/>
      <w:pStyle w:val="10"/>
      <w:lvlText w:val="%6."/>
      <w:lvlJc w:val="right"/>
      <w:pPr>
        <w:tabs>
          <w:tab w:val="left" w:pos="2531"/>
        </w:tabs>
        <w:ind w:left="2531" w:hanging="420"/>
      </w:pPr>
    </w:lvl>
    <w:lvl w:ilvl="6" w:tentative="0">
      <w:start w:val="1"/>
      <w:numFmt w:val="decimal"/>
      <w:pStyle w:val="11"/>
      <w:lvlText w:val="%7."/>
      <w:lvlJc w:val="left"/>
      <w:pPr>
        <w:tabs>
          <w:tab w:val="left" w:pos="2951"/>
        </w:tabs>
        <w:ind w:left="2951" w:hanging="420"/>
      </w:pPr>
    </w:lvl>
    <w:lvl w:ilvl="7" w:tentative="0">
      <w:start w:val="1"/>
      <w:numFmt w:val="lowerLetter"/>
      <w:pStyle w:val="12"/>
      <w:lvlText w:val="%8)"/>
      <w:lvlJc w:val="left"/>
      <w:pPr>
        <w:tabs>
          <w:tab w:val="left" w:pos="3371"/>
        </w:tabs>
        <w:ind w:left="3371" w:hanging="420"/>
      </w:pPr>
    </w:lvl>
    <w:lvl w:ilvl="8" w:tentative="0">
      <w:start w:val="1"/>
      <w:numFmt w:val="lowerRoman"/>
      <w:pStyle w:val="13"/>
      <w:lvlText w:val="%9."/>
      <w:lvlJc w:val="right"/>
      <w:pPr>
        <w:tabs>
          <w:tab w:val="left" w:pos="3791"/>
        </w:tabs>
        <w:ind w:left="3791" w:hanging="420"/>
      </w:pPr>
    </w:lvl>
  </w:abstractNum>
  <w:abstractNum w:abstractNumId="2">
    <w:nsid w:val="0000002E"/>
    <w:multiLevelType w:val="multilevel"/>
    <w:tmpl w:val="0000002E"/>
    <w:lvl w:ilvl="0" w:tentative="0">
      <w:start w:val="1"/>
      <w:numFmt w:val="decimal"/>
      <w:pStyle w:val="398"/>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9F81FD3"/>
    <w:multiLevelType w:val="multilevel"/>
    <w:tmpl w:val="09F81FD3"/>
    <w:lvl w:ilvl="0" w:tentative="0">
      <w:start w:val="1"/>
      <w:numFmt w:val="japaneseCounting"/>
      <w:pStyle w:val="25"/>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96957C2"/>
    <w:multiLevelType w:val="singleLevel"/>
    <w:tmpl w:val="396957C2"/>
    <w:lvl w:ilvl="0" w:tentative="0">
      <w:start w:val="1"/>
      <w:numFmt w:val="chineseCounting"/>
      <w:suff w:val="nothing"/>
      <w:lvlText w:val="（%1）"/>
      <w:lvlJc w:val="left"/>
      <w:pPr>
        <w:ind w:left="0" w:firstLine="420"/>
      </w:pPr>
      <w:rPr>
        <w:rFonts w:hint="eastAsia"/>
      </w:rPr>
    </w:lvl>
  </w:abstractNum>
  <w:abstractNum w:abstractNumId="5">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6">
    <w:nsid w:val="6A1F7259"/>
    <w:multiLevelType w:val="singleLevel"/>
    <w:tmpl w:val="6A1F7259"/>
    <w:lvl w:ilvl="0" w:tentative="0">
      <w:start w:val="1"/>
      <w:numFmt w:val="chineseCounting"/>
      <w:suff w:val="nothing"/>
      <w:lvlText w:val="（%1）"/>
      <w:lvlJc w:val="left"/>
      <w:pPr>
        <w:ind w:left="0" w:firstLine="420"/>
      </w:pPr>
      <w:rPr>
        <w:rFonts w:hint="eastAsia"/>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VkZGVkYTNiOTU2NTQ1Nzc0OTI5NDMzOTUxZDg0ZWIifQ=="/>
  </w:docVars>
  <w:rsids>
    <w:rsidRoot w:val="00172A27"/>
    <w:rsid w:val="0000134D"/>
    <w:rsid w:val="00001912"/>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103E3"/>
    <w:rsid w:val="00010B8D"/>
    <w:rsid w:val="00010DC3"/>
    <w:rsid w:val="00011A45"/>
    <w:rsid w:val="00011A56"/>
    <w:rsid w:val="00011AAF"/>
    <w:rsid w:val="00012297"/>
    <w:rsid w:val="00012A6E"/>
    <w:rsid w:val="00012BC4"/>
    <w:rsid w:val="00012F81"/>
    <w:rsid w:val="00014515"/>
    <w:rsid w:val="000145C2"/>
    <w:rsid w:val="00014625"/>
    <w:rsid w:val="00014DBB"/>
    <w:rsid w:val="00015940"/>
    <w:rsid w:val="00015AF5"/>
    <w:rsid w:val="00016458"/>
    <w:rsid w:val="000165EF"/>
    <w:rsid w:val="00016FC3"/>
    <w:rsid w:val="0001728F"/>
    <w:rsid w:val="000208F8"/>
    <w:rsid w:val="00021304"/>
    <w:rsid w:val="0002197F"/>
    <w:rsid w:val="00022C27"/>
    <w:rsid w:val="00022F4F"/>
    <w:rsid w:val="00022FA9"/>
    <w:rsid w:val="00023953"/>
    <w:rsid w:val="000247CC"/>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4ABC"/>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B8C"/>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2CCC"/>
    <w:rsid w:val="000730F3"/>
    <w:rsid w:val="00073A35"/>
    <w:rsid w:val="00073B23"/>
    <w:rsid w:val="00073EE2"/>
    <w:rsid w:val="00074554"/>
    <w:rsid w:val="00074BEF"/>
    <w:rsid w:val="00075AD5"/>
    <w:rsid w:val="0007759A"/>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127F"/>
    <w:rsid w:val="0009133A"/>
    <w:rsid w:val="0009145A"/>
    <w:rsid w:val="00091526"/>
    <w:rsid w:val="0009187B"/>
    <w:rsid w:val="00091CAC"/>
    <w:rsid w:val="00092BD5"/>
    <w:rsid w:val="00095198"/>
    <w:rsid w:val="00095806"/>
    <w:rsid w:val="00095F61"/>
    <w:rsid w:val="000965CC"/>
    <w:rsid w:val="00096CE6"/>
    <w:rsid w:val="00097B04"/>
    <w:rsid w:val="000A0ABE"/>
    <w:rsid w:val="000A0DC0"/>
    <w:rsid w:val="000A1075"/>
    <w:rsid w:val="000A24AF"/>
    <w:rsid w:val="000A274D"/>
    <w:rsid w:val="000A2B5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B6D"/>
    <w:rsid w:val="000B5CC8"/>
    <w:rsid w:val="000B5DFC"/>
    <w:rsid w:val="000B61BF"/>
    <w:rsid w:val="000B620E"/>
    <w:rsid w:val="000B67E1"/>
    <w:rsid w:val="000C1B95"/>
    <w:rsid w:val="000C299D"/>
    <w:rsid w:val="000C3573"/>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032"/>
    <w:rsid w:val="000E4186"/>
    <w:rsid w:val="000E52FA"/>
    <w:rsid w:val="000E6437"/>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0B63"/>
    <w:rsid w:val="001018E6"/>
    <w:rsid w:val="00101DFC"/>
    <w:rsid w:val="00102684"/>
    <w:rsid w:val="00102A12"/>
    <w:rsid w:val="00102CC6"/>
    <w:rsid w:val="00102F0D"/>
    <w:rsid w:val="0010348D"/>
    <w:rsid w:val="00104130"/>
    <w:rsid w:val="001048BE"/>
    <w:rsid w:val="0010529C"/>
    <w:rsid w:val="001072EB"/>
    <w:rsid w:val="001075C1"/>
    <w:rsid w:val="00107924"/>
    <w:rsid w:val="001079CD"/>
    <w:rsid w:val="00107DD4"/>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0E72"/>
    <w:rsid w:val="0012174B"/>
    <w:rsid w:val="00121A55"/>
    <w:rsid w:val="00121C20"/>
    <w:rsid w:val="00121DE5"/>
    <w:rsid w:val="00123367"/>
    <w:rsid w:val="00123AC2"/>
    <w:rsid w:val="00123EA6"/>
    <w:rsid w:val="00123F89"/>
    <w:rsid w:val="00124206"/>
    <w:rsid w:val="0012537B"/>
    <w:rsid w:val="0012558C"/>
    <w:rsid w:val="0012714F"/>
    <w:rsid w:val="001277A6"/>
    <w:rsid w:val="00127915"/>
    <w:rsid w:val="0013021F"/>
    <w:rsid w:val="001305BE"/>
    <w:rsid w:val="00130693"/>
    <w:rsid w:val="00130801"/>
    <w:rsid w:val="00130A8C"/>
    <w:rsid w:val="001310AA"/>
    <w:rsid w:val="00132670"/>
    <w:rsid w:val="001328E9"/>
    <w:rsid w:val="00132C2F"/>
    <w:rsid w:val="00133E88"/>
    <w:rsid w:val="0013411A"/>
    <w:rsid w:val="001349F3"/>
    <w:rsid w:val="001365AF"/>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3EA2"/>
    <w:rsid w:val="001441C5"/>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5460"/>
    <w:rsid w:val="00156E27"/>
    <w:rsid w:val="001570A5"/>
    <w:rsid w:val="001571E8"/>
    <w:rsid w:val="0015749F"/>
    <w:rsid w:val="00160375"/>
    <w:rsid w:val="00160D4E"/>
    <w:rsid w:val="00160F50"/>
    <w:rsid w:val="00161522"/>
    <w:rsid w:val="001617AE"/>
    <w:rsid w:val="00161890"/>
    <w:rsid w:val="00161B0C"/>
    <w:rsid w:val="00161BD0"/>
    <w:rsid w:val="00161E4F"/>
    <w:rsid w:val="0016263C"/>
    <w:rsid w:val="00162AE8"/>
    <w:rsid w:val="00162C56"/>
    <w:rsid w:val="00162DB2"/>
    <w:rsid w:val="00164924"/>
    <w:rsid w:val="00164A55"/>
    <w:rsid w:val="001657B1"/>
    <w:rsid w:val="00165B02"/>
    <w:rsid w:val="00166DCC"/>
    <w:rsid w:val="00166DE3"/>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45"/>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227B"/>
    <w:rsid w:val="00192390"/>
    <w:rsid w:val="001925EC"/>
    <w:rsid w:val="00192D08"/>
    <w:rsid w:val="0019368B"/>
    <w:rsid w:val="001938D2"/>
    <w:rsid w:val="00193917"/>
    <w:rsid w:val="001941C8"/>
    <w:rsid w:val="00195B8B"/>
    <w:rsid w:val="00195DCB"/>
    <w:rsid w:val="00195F14"/>
    <w:rsid w:val="001961A2"/>
    <w:rsid w:val="00196787"/>
    <w:rsid w:val="00196B4C"/>
    <w:rsid w:val="001970AD"/>
    <w:rsid w:val="00197204"/>
    <w:rsid w:val="001A173C"/>
    <w:rsid w:val="001A1844"/>
    <w:rsid w:val="001A1998"/>
    <w:rsid w:val="001A1BE9"/>
    <w:rsid w:val="001A1BFF"/>
    <w:rsid w:val="001A20CA"/>
    <w:rsid w:val="001A2B9F"/>
    <w:rsid w:val="001A3B13"/>
    <w:rsid w:val="001A3CF6"/>
    <w:rsid w:val="001A3E35"/>
    <w:rsid w:val="001A3EE7"/>
    <w:rsid w:val="001A4420"/>
    <w:rsid w:val="001A46F2"/>
    <w:rsid w:val="001A68EC"/>
    <w:rsid w:val="001A6C49"/>
    <w:rsid w:val="001A7C91"/>
    <w:rsid w:val="001B0220"/>
    <w:rsid w:val="001B0850"/>
    <w:rsid w:val="001B1281"/>
    <w:rsid w:val="001B1D39"/>
    <w:rsid w:val="001B2126"/>
    <w:rsid w:val="001B23F5"/>
    <w:rsid w:val="001B2666"/>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67"/>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4E"/>
    <w:rsid w:val="001E11B1"/>
    <w:rsid w:val="001E208F"/>
    <w:rsid w:val="001E233C"/>
    <w:rsid w:val="001E4950"/>
    <w:rsid w:val="001E5014"/>
    <w:rsid w:val="001E630A"/>
    <w:rsid w:val="001E758B"/>
    <w:rsid w:val="001E7838"/>
    <w:rsid w:val="001E7A22"/>
    <w:rsid w:val="001E7D19"/>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5F95"/>
    <w:rsid w:val="001F64C1"/>
    <w:rsid w:val="002001F1"/>
    <w:rsid w:val="00201348"/>
    <w:rsid w:val="00201A4E"/>
    <w:rsid w:val="00201C8A"/>
    <w:rsid w:val="00202525"/>
    <w:rsid w:val="00202B43"/>
    <w:rsid w:val="002035A2"/>
    <w:rsid w:val="00203887"/>
    <w:rsid w:val="002046D6"/>
    <w:rsid w:val="00204D09"/>
    <w:rsid w:val="00204F5C"/>
    <w:rsid w:val="00205C71"/>
    <w:rsid w:val="002070C1"/>
    <w:rsid w:val="0020717B"/>
    <w:rsid w:val="00207262"/>
    <w:rsid w:val="00207468"/>
    <w:rsid w:val="00207844"/>
    <w:rsid w:val="00207DE5"/>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7"/>
    <w:rsid w:val="0022435D"/>
    <w:rsid w:val="0022442C"/>
    <w:rsid w:val="002245B1"/>
    <w:rsid w:val="00224A1D"/>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CCD"/>
    <w:rsid w:val="0023602F"/>
    <w:rsid w:val="00236048"/>
    <w:rsid w:val="002362ED"/>
    <w:rsid w:val="00237036"/>
    <w:rsid w:val="002372AC"/>
    <w:rsid w:val="00237A33"/>
    <w:rsid w:val="00237F7F"/>
    <w:rsid w:val="002402E8"/>
    <w:rsid w:val="00240B0F"/>
    <w:rsid w:val="00240E54"/>
    <w:rsid w:val="00241314"/>
    <w:rsid w:val="00241BD9"/>
    <w:rsid w:val="00242B67"/>
    <w:rsid w:val="00243381"/>
    <w:rsid w:val="00243756"/>
    <w:rsid w:val="00243EFD"/>
    <w:rsid w:val="002442A5"/>
    <w:rsid w:val="00244AF3"/>
    <w:rsid w:val="00244EFB"/>
    <w:rsid w:val="00245008"/>
    <w:rsid w:val="002451ED"/>
    <w:rsid w:val="002458E4"/>
    <w:rsid w:val="00245DD8"/>
    <w:rsid w:val="00250411"/>
    <w:rsid w:val="002506EE"/>
    <w:rsid w:val="00250E42"/>
    <w:rsid w:val="00250E89"/>
    <w:rsid w:val="00252845"/>
    <w:rsid w:val="00252912"/>
    <w:rsid w:val="00252D49"/>
    <w:rsid w:val="00253956"/>
    <w:rsid w:val="00253C51"/>
    <w:rsid w:val="002548D3"/>
    <w:rsid w:val="00254E85"/>
    <w:rsid w:val="0025568B"/>
    <w:rsid w:val="002561B7"/>
    <w:rsid w:val="00256EDB"/>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6A1"/>
    <w:rsid w:val="00276BC6"/>
    <w:rsid w:val="0027723E"/>
    <w:rsid w:val="002772D9"/>
    <w:rsid w:val="002772EA"/>
    <w:rsid w:val="00277FDA"/>
    <w:rsid w:val="0028026F"/>
    <w:rsid w:val="0028028C"/>
    <w:rsid w:val="002805C7"/>
    <w:rsid w:val="00280915"/>
    <w:rsid w:val="002814FA"/>
    <w:rsid w:val="00281DA0"/>
    <w:rsid w:val="0028242D"/>
    <w:rsid w:val="00282D45"/>
    <w:rsid w:val="00283253"/>
    <w:rsid w:val="002836C6"/>
    <w:rsid w:val="00284F48"/>
    <w:rsid w:val="0028615B"/>
    <w:rsid w:val="00286DFC"/>
    <w:rsid w:val="00287102"/>
    <w:rsid w:val="00290002"/>
    <w:rsid w:val="0029069C"/>
    <w:rsid w:val="0029244F"/>
    <w:rsid w:val="00293B82"/>
    <w:rsid w:val="00293DA4"/>
    <w:rsid w:val="0029479A"/>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804"/>
    <w:rsid w:val="002B2E09"/>
    <w:rsid w:val="002B366D"/>
    <w:rsid w:val="002B3938"/>
    <w:rsid w:val="002B3C7C"/>
    <w:rsid w:val="002B4B5E"/>
    <w:rsid w:val="002B4D16"/>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C7D44"/>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04B"/>
    <w:rsid w:val="002F11D5"/>
    <w:rsid w:val="002F21EF"/>
    <w:rsid w:val="002F2741"/>
    <w:rsid w:val="002F2B63"/>
    <w:rsid w:val="002F2BBA"/>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08E"/>
    <w:rsid w:val="00323373"/>
    <w:rsid w:val="003242E5"/>
    <w:rsid w:val="00324DD8"/>
    <w:rsid w:val="003256E0"/>
    <w:rsid w:val="00325E6C"/>
    <w:rsid w:val="00326A13"/>
    <w:rsid w:val="00327114"/>
    <w:rsid w:val="00327983"/>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2DC"/>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055E"/>
    <w:rsid w:val="00351F42"/>
    <w:rsid w:val="00352BC1"/>
    <w:rsid w:val="00352F19"/>
    <w:rsid w:val="003536EE"/>
    <w:rsid w:val="00353939"/>
    <w:rsid w:val="00354BDF"/>
    <w:rsid w:val="00354FA4"/>
    <w:rsid w:val="00355855"/>
    <w:rsid w:val="00356902"/>
    <w:rsid w:val="003571E8"/>
    <w:rsid w:val="00357CBA"/>
    <w:rsid w:val="003602AF"/>
    <w:rsid w:val="00360714"/>
    <w:rsid w:val="003619E8"/>
    <w:rsid w:val="00361FC9"/>
    <w:rsid w:val="00363CCB"/>
    <w:rsid w:val="003640EA"/>
    <w:rsid w:val="003642A2"/>
    <w:rsid w:val="003646C5"/>
    <w:rsid w:val="00365006"/>
    <w:rsid w:val="00365258"/>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C39"/>
    <w:rsid w:val="003A3CAC"/>
    <w:rsid w:val="003A4065"/>
    <w:rsid w:val="003A407A"/>
    <w:rsid w:val="003A44F3"/>
    <w:rsid w:val="003A505C"/>
    <w:rsid w:val="003A574F"/>
    <w:rsid w:val="003A58D0"/>
    <w:rsid w:val="003A6E62"/>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086"/>
    <w:rsid w:val="003C5286"/>
    <w:rsid w:val="003C542A"/>
    <w:rsid w:val="003C5B59"/>
    <w:rsid w:val="003C63D8"/>
    <w:rsid w:val="003C640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2DB5"/>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2CB1"/>
    <w:rsid w:val="003F3ED0"/>
    <w:rsid w:val="003F4095"/>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9E4"/>
    <w:rsid w:val="00403DA9"/>
    <w:rsid w:val="00404258"/>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3D46"/>
    <w:rsid w:val="004242E7"/>
    <w:rsid w:val="00424697"/>
    <w:rsid w:val="00424B8A"/>
    <w:rsid w:val="00425A62"/>
    <w:rsid w:val="00425DDC"/>
    <w:rsid w:val="00426433"/>
    <w:rsid w:val="00427383"/>
    <w:rsid w:val="00427BF1"/>
    <w:rsid w:val="004304D3"/>
    <w:rsid w:val="00430640"/>
    <w:rsid w:val="00430E30"/>
    <w:rsid w:val="00431315"/>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4D0"/>
    <w:rsid w:val="00442D09"/>
    <w:rsid w:val="00443006"/>
    <w:rsid w:val="004434AB"/>
    <w:rsid w:val="00443DFB"/>
    <w:rsid w:val="0044493B"/>
    <w:rsid w:val="00444C0A"/>
    <w:rsid w:val="00444CD2"/>
    <w:rsid w:val="0044510F"/>
    <w:rsid w:val="00445FD0"/>
    <w:rsid w:val="00446573"/>
    <w:rsid w:val="0044696A"/>
    <w:rsid w:val="004470D3"/>
    <w:rsid w:val="00447207"/>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6EBB"/>
    <w:rsid w:val="0045708B"/>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1EE7"/>
    <w:rsid w:val="0047365F"/>
    <w:rsid w:val="00474CD6"/>
    <w:rsid w:val="004751E7"/>
    <w:rsid w:val="0047562B"/>
    <w:rsid w:val="00475D1D"/>
    <w:rsid w:val="00477276"/>
    <w:rsid w:val="004776B9"/>
    <w:rsid w:val="00477C17"/>
    <w:rsid w:val="00480837"/>
    <w:rsid w:val="004813C6"/>
    <w:rsid w:val="00481B7C"/>
    <w:rsid w:val="00482A85"/>
    <w:rsid w:val="00482DF6"/>
    <w:rsid w:val="00485168"/>
    <w:rsid w:val="0048578C"/>
    <w:rsid w:val="00485872"/>
    <w:rsid w:val="00485915"/>
    <w:rsid w:val="00485EA4"/>
    <w:rsid w:val="00486C08"/>
    <w:rsid w:val="0048757E"/>
    <w:rsid w:val="00487C54"/>
    <w:rsid w:val="00487F2E"/>
    <w:rsid w:val="00490561"/>
    <w:rsid w:val="0049059F"/>
    <w:rsid w:val="00490DDD"/>
    <w:rsid w:val="00492CA8"/>
    <w:rsid w:val="004932D3"/>
    <w:rsid w:val="00493783"/>
    <w:rsid w:val="00493CC7"/>
    <w:rsid w:val="00493EFE"/>
    <w:rsid w:val="004940C3"/>
    <w:rsid w:val="004945B1"/>
    <w:rsid w:val="00494C12"/>
    <w:rsid w:val="0049523D"/>
    <w:rsid w:val="00495625"/>
    <w:rsid w:val="00496420"/>
    <w:rsid w:val="004969E9"/>
    <w:rsid w:val="00496B30"/>
    <w:rsid w:val="00496BCB"/>
    <w:rsid w:val="00496C58"/>
    <w:rsid w:val="004975A9"/>
    <w:rsid w:val="004977A8"/>
    <w:rsid w:val="00497E2B"/>
    <w:rsid w:val="004A002C"/>
    <w:rsid w:val="004A0AD0"/>
    <w:rsid w:val="004A0F14"/>
    <w:rsid w:val="004A1539"/>
    <w:rsid w:val="004A1D55"/>
    <w:rsid w:val="004A262B"/>
    <w:rsid w:val="004A2B58"/>
    <w:rsid w:val="004A2E82"/>
    <w:rsid w:val="004A3080"/>
    <w:rsid w:val="004A3B0D"/>
    <w:rsid w:val="004A4862"/>
    <w:rsid w:val="004A4E10"/>
    <w:rsid w:val="004A51B0"/>
    <w:rsid w:val="004A565E"/>
    <w:rsid w:val="004A59A4"/>
    <w:rsid w:val="004A6727"/>
    <w:rsid w:val="004A6981"/>
    <w:rsid w:val="004A6E06"/>
    <w:rsid w:val="004A73C9"/>
    <w:rsid w:val="004A7475"/>
    <w:rsid w:val="004A7F95"/>
    <w:rsid w:val="004B261D"/>
    <w:rsid w:val="004B35DD"/>
    <w:rsid w:val="004B4608"/>
    <w:rsid w:val="004C1447"/>
    <w:rsid w:val="004C15CD"/>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B0C"/>
    <w:rsid w:val="004D591C"/>
    <w:rsid w:val="004D5B92"/>
    <w:rsid w:val="004D5ED0"/>
    <w:rsid w:val="004D6A22"/>
    <w:rsid w:val="004D6CA1"/>
    <w:rsid w:val="004D6F8E"/>
    <w:rsid w:val="004D7070"/>
    <w:rsid w:val="004D7151"/>
    <w:rsid w:val="004D7171"/>
    <w:rsid w:val="004D7D6F"/>
    <w:rsid w:val="004E019A"/>
    <w:rsid w:val="004E05BE"/>
    <w:rsid w:val="004E08F2"/>
    <w:rsid w:val="004E0BF6"/>
    <w:rsid w:val="004E0D9C"/>
    <w:rsid w:val="004E10C4"/>
    <w:rsid w:val="004E1BC0"/>
    <w:rsid w:val="004E206A"/>
    <w:rsid w:val="004E345A"/>
    <w:rsid w:val="004E3F06"/>
    <w:rsid w:val="004E433E"/>
    <w:rsid w:val="004E4394"/>
    <w:rsid w:val="004E44AF"/>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4E9C"/>
    <w:rsid w:val="004F5901"/>
    <w:rsid w:val="004F59D0"/>
    <w:rsid w:val="004F5B1F"/>
    <w:rsid w:val="004F5E09"/>
    <w:rsid w:val="004F644E"/>
    <w:rsid w:val="004F73BF"/>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2D67"/>
    <w:rsid w:val="00523995"/>
    <w:rsid w:val="00523BBD"/>
    <w:rsid w:val="00523C82"/>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2C5"/>
    <w:rsid w:val="0053266F"/>
    <w:rsid w:val="00532A52"/>
    <w:rsid w:val="00532E69"/>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18C"/>
    <w:rsid w:val="00551A35"/>
    <w:rsid w:val="005531EF"/>
    <w:rsid w:val="0055408C"/>
    <w:rsid w:val="00555289"/>
    <w:rsid w:val="00557BE8"/>
    <w:rsid w:val="00557FF2"/>
    <w:rsid w:val="00560452"/>
    <w:rsid w:val="0056097F"/>
    <w:rsid w:val="00560E39"/>
    <w:rsid w:val="0056137A"/>
    <w:rsid w:val="005622D6"/>
    <w:rsid w:val="00562AD4"/>
    <w:rsid w:val="00563583"/>
    <w:rsid w:val="005635DB"/>
    <w:rsid w:val="00563722"/>
    <w:rsid w:val="005637B6"/>
    <w:rsid w:val="005644D2"/>
    <w:rsid w:val="00565126"/>
    <w:rsid w:val="0056605B"/>
    <w:rsid w:val="005664D0"/>
    <w:rsid w:val="00566509"/>
    <w:rsid w:val="00566C96"/>
    <w:rsid w:val="0056736F"/>
    <w:rsid w:val="00567D0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77B7D"/>
    <w:rsid w:val="005800A3"/>
    <w:rsid w:val="00581587"/>
    <w:rsid w:val="00581F5A"/>
    <w:rsid w:val="00582B82"/>
    <w:rsid w:val="00582EF6"/>
    <w:rsid w:val="00583464"/>
    <w:rsid w:val="00583A9B"/>
    <w:rsid w:val="00585A48"/>
    <w:rsid w:val="00585D80"/>
    <w:rsid w:val="0058619C"/>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614"/>
    <w:rsid w:val="005A66D1"/>
    <w:rsid w:val="005A708D"/>
    <w:rsid w:val="005A7559"/>
    <w:rsid w:val="005A7587"/>
    <w:rsid w:val="005B0942"/>
    <w:rsid w:val="005B1ADB"/>
    <w:rsid w:val="005B1BDC"/>
    <w:rsid w:val="005B1C58"/>
    <w:rsid w:val="005B342A"/>
    <w:rsid w:val="005B37AA"/>
    <w:rsid w:val="005B4192"/>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53C"/>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3DA6"/>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600A"/>
    <w:rsid w:val="00616417"/>
    <w:rsid w:val="0061657A"/>
    <w:rsid w:val="00616CA8"/>
    <w:rsid w:val="00617620"/>
    <w:rsid w:val="006177C3"/>
    <w:rsid w:val="00620141"/>
    <w:rsid w:val="006203C2"/>
    <w:rsid w:val="0062090B"/>
    <w:rsid w:val="00620C29"/>
    <w:rsid w:val="00620CCA"/>
    <w:rsid w:val="0062159C"/>
    <w:rsid w:val="00622077"/>
    <w:rsid w:val="00622880"/>
    <w:rsid w:val="00622A7B"/>
    <w:rsid w:val="00623647"/>
    <w:rsid w:val="00623D4B"/>
    <w:rsid w:val="006246EF"/>
    <w:rsid w:val="00624C5D"/>
    <w:rsid w:val="00625599"/>
    <w:rsid w:val="00625C14"/>
    <w:rsid w:val="006270DA"/>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834"/>
    <w:rsid w:val="006379A7"/>
    <w:rsid w:val="00637EA1"/>
    <w:rsid w:val="00640237"/>
    <w:rsid w:val="0064124F"/>
    <w:rsid w:val="00641AB6"/>
    <w:rsid w:val="00642173"/>
    <w:rsid w:val="00642997"/>
    <w:rsid w:val="006436D0"/>
    <w:rsid w:val="00643F7D"/>
    <w:rsid w:val="00645DD3"/>
    <w:rsid w:val="0064650B"/>
    <w:rsid w:val="00646641"/>
    <w:rsid w:val="00646B2F"/>
    <w:rsid w:val="00646FF5"/>
    <w:rsid w:val="00647CD3"/>
    <w:rsid w:val="0065022E"/>
    <w:rsid w:val="00650398"/>
    <w:rsid w:val="0065047A"/>
    <w:rsid w:val="006510E7"/>
    <w:rsid w:val="00651D1E"/>
    <w:rsid w:val="006524CF"/>
    <w:rsid w:val="00652AB2"/>
    <w:rsid w:val="00652E71"/>
    <w:rsid w:val="00654F65"/>
    <w:rsid w:val="006556B0"/>
    <w:rsid w:val="006557F4"/>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298"/>
    <w:rsid w:val="00667518"/>
    <w:rsid w:val="00670342"/>
    <w:rsid w:val="00670D33"/>
    <w:rsid w:val="00671AFA"/>
    <w:rsid w:val="006722F6"/>
    <w:rsid w:val="006725F0"/>
    <w:rsid w:val="00672A00"/>
    <w:rsid w:val="00673E88"/>
    <w:rsid w:val="00674DCE"/>
    <w:rsid w:val="00675104"/>
    <w:rsid w:val="00675A8E"/>
    <w:rsid w:val="00675D1F"/>
    <w:rsid w:val="00675F27"/>
    <w:rsid w:val="00676955"/>
    <w:rsid w:val="00676D3E"/>
    <w:rsid w:val="00677048"/>
    <w:rsid w:val="0068046C"/>
    <w:rsid w:val="006812C0"/>
    <w:rsid w:val="006816FD"/>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AE1"/>
    <w:rsid w:val="00691F51"/>
    <w:rsid w:val="00692328"/>
    <w:rsid w:val="0069241A"/>
    <w:rsid w:val="006935B9"/>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66FA"/>
    <w:rsid w:val="006F7BB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4146"/>
    <w:rsid w:val="00715151"/>
    <w:rsid w:val="00716559"/>
    <w:rsid w:val="00716C9E"/>
    <w:rsid w:val="007170B6"/>
    <w:rsid w:val="00717A18"/>
    <w:rsid w:val="00717C6C"/>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30966"/>
    <w:rsid w:val="00730B23"/>
    <w:rsid w:val="00731614"/>
    <w:rsid w:val="00732369"/>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3827"/>
    <w:rsid w:val="007444BF"/>
    <w:rsid w:val="007444FA"/>
    <w:rsid w:val="0074533B"/>
    <w:rsid w:val="00745BD2"/>
    <w:rsid w:val="007460BF"/>
    <w:rsid w:val="00746164"/>
    <w:rsid w:val="007463BC"/>
    <w:rsid w:val="00746A22"/>
    <w:rsid w:val="00746F94"/>
    <w:rsid w:val="00746FB8"/>
    <w:rsid w:val="00747C97"/>
    <w:rsid w:val="00747CEF"/>
    <w:rsid w:val="0075028B"/>
    <w:rsid w:val="00750567"/>
    <w:rsid w:val="00750D85"/>
    <w:rsid w:val="00750D90"/>
    <w:rsid w:val="00751041"/>
    <w:rsid w:val="00751196"/>
    <w:rsid w:val="00752B74"/>
    <w:rsid w:val="00752DC9"/>
    <w:rsid w:val="00752E07"/>
    <w:rsid w:val="00752FEA"/>
    <w:rsid w:val="00753B52"/>
    <w:rsid w:val="00755213"/>
    <w:rsid w:val="0075523F"/>
    <w:rsid w:val="00755E79"/>
    <w:rsid w:val="00756916"/>
    <w:rsid w:val="00756A61"/>
    <w:rsid w:val="00756F86"/>
    <w:rsid w:val="0075777A"/>
    <w:rsid w:val="0076013E"/>
    <w:rsid w:val="0076128E"/>
    <w:rsid w:val="0076266C"/>
    <w:rsid w:val="007645ED"/>
    <w:rsid w:val="00765002"/>
    <w:rsid w:val="007675F7"/>
    <w:rsid w:val="0077091F"/>
    <w:rsid w:val="00770FCE"/>
    <w:rsid w:val="00771266"/>
    <w:rsid w:val="00771B21"/>
    <w:rsid w:val="00772036"/>
    <w:rsid w:val="0077203D"/>
    <w:rsid w:val="00772114"/>
    <w:rsid w:val="00772150"/>
    <w:rsid w:val="007721E3"/>
    <w:rsid w:val="00772B31"/>
    <w:rsid w:val="00773B71"/>
    <w:rsid w:val="00774BE0"/>
    <w:rsid w:val="007753B7"/>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4C4"/>
    <w:rsid w:val="007929D3"/>
    <w:rsid w:val="00792DF5"/>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55A"/>
    <w:rsid w:val="00814F99"/>
    <w:rsid w:val="008155EC"/>
    <w:rsid w:val="00815C51"/>
    <w:rsid w:val="008169BD"/>
    <w:rsid w:val="00816BEF"/>
    <w:rsid w:val="00816D29"/>
    <w:rsid w:val="008179EA"/>
    <w:rsid w:val="00817A9A"/>
    <w:rsid w:val="00817F99"/>
    <w:rsid w:val="0082025A"/>
    <w:rsid w:val="008207E2"/>
    <w:rsid w:val="0082096A"/>
    <w:rsid w:val="00820DEF"/>
    <w:rsid w:val="008210EA"/>
    <w:rsid w:val="00821B46"/>
    <w:rsid w:val="00821FE3"/>
    <w:rsid w:val="008222AD"/>
    <w:rsid w:val="00822512"/>
    <w:rsid w:val="00822561"/>
    <w:rsid w:val="008225F9"/>
    <w:rsid w:val="00822D3C"/>
    <w:rsid w:val="00822FFE"/>
    <w:rsid w:val="00823691"/>
    <w:rsid w:val="008239AF"/>
    <w:rsid w:val="00824123"/>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47C24"/>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32C"/>
    <w:rsid w:val="00874AFA"/>
    <w:rsid w:val="00874BE6"/>
    <w:rsid w:val="00874BEF"/>
    <w:rsid w:val="00874C43"/>
    <w:rsid w:val="00875044"/>
    <w:rsid w:val="008752CF"/>
    <w:rsid w:val="008752D5"/>
    <w:rsid w:val="00875D1B"/>
    <w:rsid w:val="00876093"/>
    <w:rsid w:val="008774B2"/>
    <w:rsid w:val="00877570"/>
    <w:rsid w:val="00880B68"/>
    <w:rsid w:val="008815C0"/>
    <w:rsid w:val="0088250C"/>
    <w:rsid w:val="008832BB"/>
    <w:rsid w:val="00884182"/>
    <w:rsid w:val="008844CC"/>
    <w:rsid w:val="00884DE8"/>
    <w:rsid w:val="0088512A"/>
    <w:rsid w:val="00885776"/>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579"/>
    <w:rsid w:val="00894649"/>
    <w:rsid w:val="00895364"/>
    <w:rsid w:val="008959FD"/>
    <w:rsid w:val="00895C6B"/>
    <w:rsid w:val="008966F0"/>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08"/>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F99"/>
    <w:rsid w:val="008B5768"/>
    <w:rsid w:val="008B591C"/>
    <w:rsid w:val="008B5B1F"/>
    <w:rsid w:val="008B5F93"/>
    <w:rsid w:val="008B5FD5"/>
    <w:rsid w:val="008B63BB"/>
    <w:rsid w:val="008B6759"/>
    <w:rsid w:val="008B6948"/>
    <w:rsid w:val="008B6DA0"/>
    <w:rsid w:val="008B6E0E"/>
    <w:rsid w:val="008B6E85"/>
    <w:rsid w:val="008B761D"/>
    <w:rsid w:val="008B7C4A"/>
    <w:rsid w:val="008C0190"/>
    <w:rsid w:val="008C01FF"/>
    <w:rsid w:val="008C0A9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87B"/>
    <w:rsid w:val="008D5D67"/>
    <w:rsid w:val="008D5F2F"/>
    <w:rsid w:val="008D6448"/>
    <w:rsid w:val="008D682A"/>
    <w:rsid w:val="008D751E"/>
    <w:rsid w:val="008D7E7E"/>
    <w:rsid w:val="008E02A6"/>
    <w:rsid w:val="008E02FA"/>
    <w:rsid w:val="008E1922"/>
    <w:rsid w:val="008E1CD3"/>
    <w:rsid w:val="008E1F25"/>
    <w:rsid w:val="008E27CB"/>
    <w:rsid w:val="008E2AE3"/>
    <w:rsid w:val="008E364C"/>
    <w:rsid w:val="008E449D"/>
    <w:rsid w:val="008E57B4"/>
    <w:rsid w:val="008E58A8"/>
    <w:rsid w:val="008E6374"/>
    <w:rsid w:val="008E6791"/>
    <w:rsid w:val="008E72A7"/>
    <w:rsid w:val="008E7C43"/>
    <w:rsid w:val="008F0232"/>
    <w:rsid w:val="008F04AE"/>
    <w:rsid w:val="008F0682"/>
    <w:rsid w:val="008F06E3"/>
    <w:rsid w:val="008F23FE"/>
    <w:rsid w:val="008F2C96"/>
    <w:rsid w:val="008F2FD3"/>
    <w:rsid w:val="008F3767"/>
    <w:rsid w:val="008F3AB4"/>
    <w:rsid w:val="008F432B"/>
    <w:rsid w:val="008F43F9"/>
    <w:rsid w:val="008F4452"/>
    <w:rsid w:val="008F4F69"/>
    <w:rsid w:val="008F4FFD"/>
    <w:rsid w:val="008F53DF"/>
    <w:rsid w:val="008F54DD"/>
    <w:rsid w:val="008F6E39"/>
    <w:rsid w:val="008F777A"/>
    <w:rsid w:val="00900473"/>
    <w:rsid w:val="00900ED9"/>
    <w:rsid w:val="009013F6"/>
    <w:rsid w:val="00901880"/>
    <w:rsid w:val="009018CE"/>
    <w:rsid w:val="00901D16"/>
    <w:rsid w:val="00901EB2"/>
    <w:rsid w:val="0090268C"/>
    <w:rsid w:val="00902AA5"/>
    <w:rsid w:val="00903B8E"/>
    <w:rsid w:val="00904000"/>
    <w:rsid w:val="00904F14"/>
    <w:rsid w:val="0090562E"/>
    <w:rsid w:val="00905A66"/>
    <w:rsid w:val="00905DB4"/>
    <w:rsid w:val="00906446"/>
    <w:rsid w:val="00906459"/>
    <w:rsid w:val="009068B9"/>
    <w:rsid w:val="00906C94"/>
    <w:rsid w:val="009071BB"/>
    <w:rsid w:val="00911100"/>
    <w:rsid w:val="00911F3B"/>
    <w:rsid w:val="009130F8"/>
    <w:rsid w:val="00913249"/>
    <w:rsid w:val="00913494"/>
    <w:rsid w:val="00913699"/>
    <w:rsid w:val="00913C46"/>
    <w:rsid w:val="00913F80"/>
    <w:rsid w:val="009144AB"/>
    <w:rsid w:val="00914654"/>
    <w:rsid w:val="00914EC1"/>
    <w:rsid w:val="00914F50"/>
    <w:rsid w:val="009152A9"/>
    <w:rsid w:val="00915CC4"/>
    <w:rsid w:val="00916161"/>
    <w:rsid w:val="00916292"/>
    <w:rsid w:val="009175C2"/>
    <w:rsid w:val="0091789A"/>
    <w:rsid w:val="00917D64"/>
    <w:rsid w:val="009219E8"/>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454"/>
    <w:rsid w:val="00953D69"/>
    <w:rsid w:val="00953D95"/>
    <w:rsid w:val="00954226"/>
    <w:rsid w:val="00954658"/>
    <w:rsid w:val="00954C0A"/>
    <w:rsid w:val="0095569B"/>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3210"/>
    <w:rsid w:val="009833D1"/>
    <w:rsid w:val="0098376A"/>
    <w:rsid w:val="009838FA"/>
    <w:rsid w:val="00983D24"/>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9BD"/>
    <w:rsid w:val="00995F15"/>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301"/>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F25"/>
    <w:rsid w:val="009D4134"/>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732"/>
    <w:rsid w:val="009E50B4"/>
    <w:rsid w:val="009E57E8"/>
    <w:rsid w:val="009E59F4"/>
    <w:rsid w:val="009E5D79"/>
    <w:rsid w:val="009E7107"/>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954"/>
    <w:rsid w:val="00A172BA"/>
    <w:rsid w:val="00A17BA4"/>
    <w:rsid w:val="00A207DC"/>
    <w:rsid w:val="00A20CEB"/>
    <w:rsid w:val="00A21118"/>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85B"/>
    <w:rsid w:val="00A30E89"/>
    <w:rsid w:val="00A314A0"/>
    <w:rsid w:val="00A31ADE"/>
    <w:rsid w:val="00A31C7D"/>
    <w:rsid w:val="00A320DB"/>
    <w:rsid w:val="00A321F5"/>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45CC2"/>
    <w:rsid w:val="00A50E22"/>
    <w:rsid w:val="00A51121"/>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A0D"/>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77663"/>
    <w:rsid w:val="00A80CBE"/>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4D2"/>
    <w:rsid w:val="00A87BAE"/>
    <w:rsid w:val="00A90590"/>
    <w:rsid w:val="00A90976"/>
    <w:rsid w:val="00A913A1"/>
    <w:rsid w:val="00A91ACB"/>
    <w:rsid w:val="00A91AF5"/>
    <w:rsid w:val="00A92584"/>
    <w:rsid w:val="00A925A7"/>
    <w:rsid w:val="00A925DB"/>
    <w:rsid w:val="00A92710"/>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29FD"/>
    <w:rsid w:val="00AA3427"/>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897"/>
    <w:rsid w:val="00AB1B38"/>
    <w:rsid w:val="00AB217D"/>
    <w:rsid w:val="00AB2581"/>
    <w:rsid w:val="00AB2643"/>
    <w:rsid w:val="00AB2761"/>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1F2"/>
    <w:rsid w:val="00AE07E1"/>
    <w:rsid w:val="00AE1D52"/>
    <w:rsid w:val="00AE2133"/>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38"/>
    <w:rsid w:val="00B0117B"/>
    <w:rsid w:val="00B011BB"/>
    <w:rsid w:val="00B011BD"/>
    <w:rsid w:val="00B01283"/>
    <w:rsid w:val="00B0153C"/>
    <w:rsid w:val="00B02A46"/>
    <w:rsid w:val="00B035B9"/>
    <w:rsid w:val="00B03EBB"/>
    <w:rsid w:val="00B04DD4"/>
    <w:rsid w:val="00B05993"/>
    <w:rsid w:val="00B060CD"/>
    <w:rsid w:val="00B0686C"/>
    <w:rsid w:val="00B06E97"/>
    <w:rsid w:val="00B07E8A"/>
    <w:rsid w:val="00B102AD"/>
    <w:rsid w:val="00B10681"/>
    <w:rsid w:val="00B10B50"/>
    <w:rsid w:val="00B1149B"/>
    <w:rsid w:val="00B116D4"/>
    <w:rsid w:val="00B134E7"/>
    <w:rsid w:val="00B13A79"/>
    <w:rsid w:val="00B14FC0"/>
    <w:rsid w:val="00B15568"/>
    <w:rsid w:val="00B159F7"/>
    <w:rsid w:val="00B16524"/>
    <w:rsid w:val="00B165E7"/>
    <w:rsid w:val="00B16E86"/>
    <w:rsid w:val="00B170A8"/>
    <w:rsid w:val="00B175EA"/>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A00"/>
    <w:rsid w:val="00B34DAE"/>
    <w:rsid w:val="00B358BB"/>
    <w:rsid w:val="00B365CA"/>
    <w:rsid w:val="00B36CA1"/>
    <w:rsid w:val="00B3715A"/>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1057"/>
    <w:rsid w:val="00B511ED"/>
    <w:rsid w:val="00B51602"/>
    <w:rsid w:val="00B51F21"/>
    <w:rsid w:val="00B52273"/>
    <w:rsid w:val="00B52540"/>
    <w:rsid w:val="00B53392"/>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9EB"/>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280"/>
    <w:rsid w:val="00B83638"/>
    <w:rsid w:val="00B839BC"/>
    <w:rsid w:val="00B84738"/>
    <w:rsid w:val="00B84B83"/>
    <w:rsid w:val="00B85057"/>
    <w:rsid w:val="00B85087"/>
    <w:rsid w:val="00B853F9"/>
    <w:rsid w:val="00B860D7"/>
    <w:rsid w:val="00B868DC"/>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6FF"/>
    <w:rsid w:val="00BA0AC7"/>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21C"/>
    <w:rsid w:val="00BB133D"/>
    <w:rsid w:val="00BB1924"/>
    <w:rsid w:val="00BB26EB"/>
    <w:rsid w:val="00BB2C15"/>
    <w:rsid w:val="00BB3733"/>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4F2C"/>
    <w:rsid w:val="00BC52DE"/>
    <w:rsid w:val="00BC5902"/>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4234"/>
    <w:rsid w:val="00C14C9F"/>
    <w:rsid w:val="00C155CC"/>
    <w:rsid w:val="00C15941"/>
    <w:rsid w:val="00C160D1"/>
    <w:rsid w:val="00C168BD"/>
    <w:rsid w:val="00C16C1B"/>
    <w:rsid w:val="00C16E20"/>
    <w:rsid w:val="00C170CD"/>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8C0"/>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A7A"/>
    <w:rsid w:val="00C56BC5"/>
    <w:rsid w:val="00C56DB7"/>
    <w:rsid w:val="00C572FF"/>
    <w:rsid w:val="00C57991"/>
    <w:rsid w:val="00C60B64"/>
    <w:rsid w:val="00C60D23"/>
    <w:rsid w:val="00C613E0"/>
    <w:rsid w:val="00C6158F"/>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7B7"/>
    <w:rsid w:val="00C72B6C"/>
    <w:rsid w:val="00C7375A"/>
    <w:rsid w:val="00C73FAB"/>
    <w:rsid w:val="00C74CF6"/>
    <w:rsid w:val="00C75285"/>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54BD"/>
    <w:rsid w:val="00C95545"/>
    <w:rsid w:val="00C95615"/>
    <w:rsid w:val="00C97517"/>
    <w:rsid w:val="00C97CC0"/>
    <w:rsid w:val="00C97D75"/>
    <w:rsid w:val="00CA0261"/>
    <w:rsid w:val="00CA04BA"/>
    <w:rsid w:val="00CA136D"/>
    <w:rsid w:val="00CA147B"/>
    <w:rsid w:val="00CA2400"/>
    <w:rsid w:val="00CA24A1"/>
    <w:rsid w:val="00CA2AC9"/>
    <w:rsid w:val="00CA2D7A"/>
    <w:rsid w:val="00CA3CDB"/>
    <w:rsid w:val="00CA47F5"/>
    <w:rsid w:val="00CA4CA2"/>
    <w:rsid w:val="00CA5368"/>
    <w:rsid w:val="00CA59D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9BF"/>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B76"/>
    <w:rsid w:val="00D54E08"/>
    <w:rsid w:val="00D54E2D"/>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17"/>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2A59"/>
    <w:rsid w:val="00D8359E"/>
    <w:rsid w:val="00D8512B"/>
    <w:rsid w:val="00D852FD"/>
    <w:rsid w:val="00D857FE"/>
    <w:rsid w:val="00D86F69"/>
    <w:rsid w:val="00D86F82"/>
    <w:rsid w:val="00D87458"/>
    <w:rsid w:val="00D87A74"/>
    <w:rsid w:val="00D901F7"/>
    <w:rsid w:val="00D90311"/>
    <w:rsid w:val="00D907F2"/>
    <w:rsid w:val="00D910E2"/>
    <w:rsid w:val="00D913F3"/>
    <w:rsid w:val="00D915FF"/>
    <w:rsid w:val="00D91CC6"/>
    <w:rsid w:val="00D92BBF"/>
    <w:rsid w:val="00D92C35"/>
    <w:rsid w:val="00D933F6"/>
    <w:rsid w:val="00D93F68"/>
    <w:rsid w:val="00D94010"/>
    <w:rsid w:val="00D948C4"/>
    <w:rsid w:val="00D94E85"/>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357"/>
    <w:rsid w:val="00DA542C"/>
    <w:rsid w:val="00DA5A21"/>
    <w:rsid w:val="00DA5B16"/>
    <w:rsid w:val="00DA6B9A"/>
    <w:rsid w:val="00DA6CF1"/>
    <w:rsid w:val="00DA77DE"/>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A6C"/>
    <w:rsid w:val="00DD0B51"/>
    <w:rsid w:val="00DD0BE6"/>
    <w:rsid w:val="00DD1707"/>
    <w:rsid w:val="00DD1963"/>
    <w:rsid w:val="00DD1C59"/>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2F7"/>
    <w:rsid w:val="00DE39F4"/>
    <w:rsid w:val="00DE3A27"/>
    <w:rsid w:val="00DE439D"/>
    <w:rsid w:val="00DE4EA8"/>
    <w:rsid w:val="00DE50FD"/>
    <w:rsid w:val="00DE587D"/>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FAA"/>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931"/>
    <w:rsid w:val="00E35D96"/>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3C48"/>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3EAB"/>
    <w:rsid w:val="00E95897"/>
    <w:rsid w:val="00E95DDA"/>
    <w:rsid w:val="00E972A2"/>
    <w:rsid w:val="00E97A7D"/>
    <w:rsid w:val="00EA03AA"/>
    <w:rsid w:val="00EA0837"/>
    <w:rsid w:val="00EA12EA"/>
    <w:rsid w:val="00EA141E"/>
    <w:rsid w:val="00EA1B41"/>
    <w:rsid w:val="00EA1DF6"/>
    <w:rsid w:val="00EA2134"/>
    <w:rsid w:val="00EA23AC"/>
    <w:rsid w:val="00EA2563"/>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1B0"/>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D74"/>
    <w:rsid w:val="00EF0F3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E4E"/>
    <w:rsid w:val="00EF713B"/>
    <w:rsid w:val="00EF780A"/>
    <w:rsid w:val="00EF7B3E"/>
    <w:rsid w:val="00F0069B"/>
    <w:rsid w:val="00F01C37"/>
    <w:rsid w:val="00F01D44"/>
    <w:rsid w:val="00F01D6C"/>
    <w:rsid w:val="00F01F24"/>
    <w:rsid w:val="00F02BF0"/>
    <w:rsid w:val="00F03C49"/>
    <w:rsid w:val="00F03F33"/>
    <w:rsid w:val="00F0432C"/>
    <w:rsid w:val="00F04516"/>
    <w:rsid w:val="00F06034"/>
    <w:rsid w:val="00F07A6D"/>
    <w:rsid w:val="00F1097C"/>
    <w:rsid w:val="00F121F0"/>
    <w:rsid w:val="00F123F4"/>
    <w:rsid w:val="00F12A87"/>
    <w:rsid w:val="00F12DCF"/>
    <w:rsid w:val="00F12F63"/>
    <w:rsid w:val="00F1310D"/>
    <w:rsid w:val="00F133D6"/>
    <w:rsid w:val="00F13522"/>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227C"/>
    <w:rsid w:val="00F23548"/>
    <w:rsid w:val="00F2359A"/>
    <w:rsid w:val="00F2404C"/>
    <w:rsid w:val="00F2429E"/>
    <w:rsid w:val="00F25371"/>
    <w:rsid w:val="00F25545"/>
    <w:rsid w:val="00F265B9"/>
    <w:rsid w:val="00F266AA"/>
    <w:rsid w:val="00F2685A"/>
    <w:rsid w:val="00F2701E"/>
    <w:rsid w:val="00F27661"/>
    <w:rsid w:val="00F279BD"/>
    <w:rsid w:val="00F27FFD"/>
    <w:rsid w:val="00F3079C"/>
    <w:rsid w:val="00F3223F"/>
    <w:rsid w:val="00F3267F"/>
    <w:rsid w:val="00F32F3D"/>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379"/>
    <w:rsid w:val="00F53483"/>
    <w:rsid w:val="00F53548"/>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E7C"/>
    <w:rsid w:val="00F92EAB"/>
    <w:rsid w:val="00F93083"/>
    <w:rsid w:val="00F930D9"/>
    <w:rsid w:val="00F9322C"/>
    <w:rsid w:val="00F93EEE"/>
    <w:rsid w:val="00F954CA"/>
    <w:rsid w:val="00F95676"/>
    <w:rsid w:val="00F96280"/>
    <w:rsid w:val="00F96E84"/>
    <w:rsid w:val="00F97914"/>
    <w:rsid w:val="00FA01D4"/>
    <w:rsid w:val="00FA0B24"/>
    <w:rsid w:val="00FA2BD7"/>
    <w:rsid w:val="00FA3BAD"/>
    <w:rsid w:val="00FA3F06"/>
    <w:rsid w:val="00FA4744"/>
    <w:rsid w:val="00FA6DE6"/>
    <w:rsid w:val="00FA6F37"/>
    <w:rsid w:val="00FA6FA7"/>
    <w:rsid w:val="00FA77CA"/>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0A74"/>
    <w:rsid w:val="00FE1703"/>
    <w:rsid w:val="00FE18B4"/>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F0299B"/>
    <w:rsid w:val="026E4F91"/>
    <w:rsid w:val="03645050"/>
    <w:rsid w:val="041D095D"/>
    <w:rsid w:val="05C87DB9"/>
    <w:rsid w:val="06AD3AE2"/>
    <w:rsid w:val="075A0069"/>
    <w:rsid w:val="0961739E"/>
    <w:rsid w:val="098E6083"/>
    <w:rsid w:val="09FD5532"/>
    <w:rsid w:val="0A2D7BC8"/>
    <w:rsid w:val="0B205B2B"/>
    <w:rsid w:val="0B782559"/>
    <w:rsid w:val="0C862326"/>
    <w:rsid w:val="0D566BC9"/>
    <w:rsid w:val="0E180322"/>
    <w:rsid w:val="0E8C4995"/>
    <w:rsid w:val="0ED71337"/>
    <w:rsid w:val="0EF27BFB"/>
    <w:rsid w:val="0FBC50EF"/>
    <w:rsid w:val="115F3FD7"/>
    <w:rsid w:val="11A259DD"/>
    <w:rsid w:val="120474A0"/>
    <w:rsid w:val="13102ABE"/>
    <w:rsid w:val="167D280D"/>
    <w:rsid w:val="17047766"/>
    <w:rsid w:val="17935895"/>
    <w:rsid w:val="17F52C18"/>
    <w:rsid w:val="184530EF"/>
    <w:rsid w:val="19227A4B"/>
    <w:rsid w:val="194C364D"/>
    <w:rsid w:val="1B3E182A"/>
    <w:rsid w:val="1B4B5195"/>
    <w:rsid w:val="1C174C6F"/>
    <w:rsid w:val="1C7C020D"/>
    <w:rsid w:val="1C8F78BA"/>
    <w:rsid w:val="1C9B0D84"/>
    <w:rsid w:val="1CD51C99"/>
    <w:rsid w:val="1CDD3F3B"/>
    <w:rsid w:val="1D4D6869"/>
    <w:rsid w:val="21760101"/>
    <w:rsid w:val="219C0FD7"/>
    <w:rsid w:val="22B25284"/>
    <w:rsid w:val="22C07D9F"/>
    <w:rsid w:val="23056CBA"/>
    <w:rsid w:val="234C1E42"/>
    <w:rsid w:val="23C6059E"/>
    <w:rsid w:val="23C95079"/>
    <w:rsid w:val="24031A53"/>
    <w:rsid w:val="240353A6"/>
    <w:rsid w:val="24307C26"/>
    <w:rsid w:val="248E5D4C"/>
    <w:rsid w:val="24C47897"/>
    <w:rsid w:val="24E337F8"/>
    <w:rsid w:val="258D3B57"/>
    <w:rsid w:val="262336EE"/>
    <w:rsid w:val="269E4C0C"/>
    <w:rsid w:val="27024D1A"/>
    <w:rsid w:val="271C00BC"/>
    <w:rsid w:val="27411080"/>
    <w:rsid w:val="298F13F3"/>
    <w:rsid w:val="2AD85037"/>
    <w:rsid w:val="2BD0253B"/>
    <w:rsid w:val="2C444480"/>
    <w:rsid w:val="2C564DC3"/>
    <w:rsid w:val="2D6C141D"/>
    <w:rsid w:val="2EB64B4B"/>
    <w:rsid w:val="2EDB590A"/>
    <w:rsid w:val="2EF80699"/>
    <w:rsid w:val="2F0A29E3"/>
    <w:rsid w:val="30817D6A"/>
    <w:rsid w:val="3157114E"/>
    <w:rsid w:val="31F2037F"/>
    <w:rsid w:val="329B11F6"/>
    <w:rsid w:val="336E087E"/>
    <w:rsid w:val="33C3087D"/>
    <w:rsid w:val="353239C4"/>
    <w:rsid w:val="35961B12"/>
    <w:rsid w:val="364523AD"/>
    <w:rsid w:val="36700D38"/>
    <w:rsid w:val="36C4673D"/>
    <w:rsid w:val="37B10B63"/>
    <w:rsid w:val="37D17C49"/>
    <w:rsid w:val="390721D7"/>
    <w:rsid w:val="392C5F0C"/>
    <w:rsid w:val="393B510C"/>
    <w:rsid w:val="393F4767"/>
    <w:rsid w:val="39A97E97"/>
    <w:rsid w:val="3A260C29"/>
    <w:rsid w:val="3B57268D"/>
    <w:rsid w:val="3B6176CE"/>
    <w:rsid w:val="3BF9504C"/>
    <w:rsid w:val="3CD51282"/>
    <w:rsid w:val="3CF11603"/>
    <w:rsid w:val="3D7507FB"/>
    <w:rsid w:val="3E1242DF"/>
    <w:rsid w:val="3EB5127A"/>
    <w:rsid w:val="3F503E5E"/>
    <w:rsid w:val="3FC16214"/>
    <w:rsid w:val="41576FF8"/>
    <w:rsid w:val="41D9164E"/>
    <w:rsid w:val="41DD521D"/>
    <w:rsid w:val="423B7022"/>
    <w:rsid w:val="42AB53EC"/>
    <w:rsid w:val="4389060E"/>
    <w:rsid w:val="43C8028A"/>
    <w:rsid w:val="43D51667"/>
    <w:rsid w:val="443B2C25"/>
    <w:rsid w:val="448421F1"/>
    <w:rsid w:val="45D37D9B"/>
    <w:rsid w:val="47857FB0"/>
    <w:rsid w:val="48194FD5"/>
    <w:rsid w:val="484514CB"/>
    <w:rsid w:val="48C86EE1"/>
    <w:rsid w:val="49FA6EF8"/>
    <w:rsid w:val="4A784961"/>
    <w:rsid w:val="4A8F3C24"/>
    <w:rsid w:val="4ACF3A3C"/>
    <w:rsid w:val="4B1700DF"/>
    <w:rsid w:val="4EF34BF1"/>
    <w:rsid w:val="4F0F6A19"/>
    <w:rsid w:val="50B97E02"/>
    <w:rsid w:val="51D10A66"/>
    <w:rsid w:val="528A390F"/>
    <w:rsid w:val="528C6991"/>
    <w:rsid w:val="54054633"/>
    <w:rsid w:val="540605E4"/>
    <w:rsid w:val="547F0032"/>
    <w:rsid w:val="54A02A20"/>
    <w:rsid w:val="55C87B3E"/>
    <w:rsid w:val="5742662F"/>
    <w:rsid w:val="58A447CB"/>
    <w:rsid w:val="58D67D8C"/>
    <w:rsid w:val="58E10577"/>
    <w:rsid w:val="59165EF7"/>
    <w:rsid w:val="59702A12"/>
    <w:rsid w:val="5AED2A9C"/>
    <w:rsid w:val="5BC746C9"/>
    <w:rsid w:val="5CAA3F9F"/>
    <w:rsid w:val="5CC61F72"/>
    <w:rsid w:val="5CF206F7"/>
    <w:rsid w:val="5EA0340D"/>
    <w:rsid w:val="5ED66C3C"/>
    <w:rsid w:val="5FDD643B"/>
    <w:rsid w:val="60BA3E42"/>
    <w:rsid w:val="6194383B"/>
    <w:rsid w:val="61CB5375"/>
    <w:rsid w:val="623348CA"/>
    <w:rsid w:val="635051A2"/>
    <w:rsid w:val="65CA685B"/>
    <w:rsid w:val="65CF34A7"/>
    <w:rsid w:val="65F660EF"/>
    <w:rsid w:val="6664381A"/>
    <w:rsid w:val="6673798C"/>
    <w:rsid w:val="673905B6"/>
    <w:rsid w:val="681C3942"/>
    <w:rsid w:val="68460AAC"/>
    <w:rsid w:val="68AC1CFE"/>
    <w:rsid w:val="6BCD1DE6"/>
    <w:rsid w:val="6C505023"/>
    <w:rsid w:val="6D14299F"/>
    <w:rsid w:val="6D672A1E"/>
    <w:rsid w:val="6DC237D1"/>
    <w:rsid w:val="6F40725E"/>
    <w:rsid w:val="711172CF"/>
    <w:rsid w:val="71FD54DD"/>
    <w:rsid w:val="7410294D"/>
    <w:rsid w:val="754118DE"/>
    <w:rsid w:val="76AF21EA"/>
    <w:rsid w:val="76D71644"/>
    <w:rsid w:val="776C2FB6"/>
    <w:rsid w:val="777C4360"/>
    <w:rsid w:val="79982284"/>
    <w:rsid w:val="7998662D"/>
    <w:rsid w:val="7A8C5878"/>
    <w:rsid w:val="7AEF2185"/>
    <w:rsid w:val="7B471854"/>
    <w:rsid w:val="7C552333"/>
    <w:rsid w:val="7CA86C55"/>
    <w:rsid w:val="7CF019C1"/>
    <w:rsid w:val="7D461CAD"/>
    <w:rsid w:val="7E28286A"/>
    <w:rsid w:val="7E321AC6"/>
    <w:rsid w:val="7E4515FE"/>
    <w:rsid w:val="7EAD59B2"/>
    <w:rsid w:val="7F8F2756"/>
    <w:rsid w:val="7F91273C"/>
    <w:rsid w:val="7FC76C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1"/>
    <w:qFormat/>
    <w:uiPriority w:val="0"/>
    <w:pPr>
      <w:spacing w:before="340" w:after="330" w:line="360" w:lineRule="auto"/>
      <w:jc w:val="center"/>
      <w:outlineLvl w:val="0"/>
    </w:pPr>
    <w:rPr>
      <w:rFonts w:eastAsiaTheme="minorEastAsia"/>
      <w:bCs w:val="0"/>
      <w:kern w:val="44"/>
      <w:sz w:val="44"/>
      <w:szCs w:val="28"/>
    </w:rPr>
  </w:style>
  <w:style w:type="paragraph" w:styleId="5">
    <w:name w:val="heading 2"/>
    <w:basedOn w:val="1"/>
    <w:next w:val="1"/>
    <w:link w:val="62"/>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60"/>
    <w:qFormat/>
    <w:uiPriority w:val="0"/>
    <w:pPr>
      <w:keepNext/>
      <w:keepLines/>
      <w:spacing w:before="260" w:after="260" w:line="416" w:lineRule="auto"/>
      <w:jc w:val="left"/>
      <w:outlineLvl w:val="2"/>
    </w:pPr>
    <w:rPr>
      <w:b/>
      <w:bCs/>
      <w:sz w:val="24"/>
      <w:szCs w:val="32"/>
    </w:rPr>
  </w:style>
  <w:style w:type="paragraph" w:styleId="6">
    <w:name w:val="heading 4"/>
    <w:basedOn w:val="7"/>
    <w:next w:val="1"/>
    <w:link w:val="63"/>
    <w:qFormat/>
    <w:uiPriority w:val="0"/>
    <w:pPr>
      <w:keepNext/>
      <w:keepLines/>
      <w:spacing w:before="280" w:after="290" w:line="376" w:lineRule="auto"/>
      <w:outlineLvl w:val="3"/>
    </w:pPr>
    <w:rPr>
      <w:rFonts w:eastAsia="黑体"/>
      <w:sz w:val="28"/>
      <w:szCs w:val="28"/>
    </w:rPr>
  </w:style>
  <w:style w:type="paragraph" w:styleId="8">
    <w:name w:val="heading 5"/>
    <w:basedOn w:val="1"/>
    <w:next w:val="9"/>
    <w:link w:val="65"/>
    <w:qFormat/>
    <w:uiPriority w:val="0"/>
    <w:pPr>
      <w:keepNext/>
      <w:keepLines/>
      <w:numPr>
        <w:ilvl w:val="4"/>
        <w:numId w:val="1"/>
      </w:numPr>
      <w:tabs>
        <w:tab w:val="left" w:pos="371"/>
      </w:tabs>
      <w:spacing w:before="280" w:after="290" w:line="374" w:lineRule="auto"/>
      <w:outlineLvl w:val="4"/>
    </w:pPr>
    <w:rPr>
      <w:b/>
      <w:sz w:val="28"/>
    </w:rPr>
  </w:style>
  <w:style w:type="paragraph" w:styleId="10">
    <w:name w:val="heading 6"/>
    <w:basedOn w:val="1"/>
    <w:next w:val="9"/>
    <w:link w:val="66"/>
    <w:qFormat/>
    <w:uiPriority w:val="9"/>
    <w:pPr>
      <w:keepNext/>
      <w:keepLines/>
      <w:numPr>
        <w:ilvl w:val="5"/>
        <w:numId w:val="1"/>
      </w:numPr>
      <w:spacing w:before="240" w:after="64" w:line="319" w:lineRule="auto"/>
      <w:outlineLvl w:val="5"/>
    </w:pPr>
    <w:rPr>
      <w:rFonts w:ascii="Arial" w:hAnsi="Arial" w:eastAsia="黑体"/>
      <w:b/>
      <w:sz w:val="24"/>
    </w:rPr>
  </w:style>
  <w:style w:type="paragraph" w:styleId="11">
    <w:name w:val="heading 7"/>
    <w:basedOn w:val="1"/>
    <w:next w:val="9"/>
    <w:link w:val="67"/>
    <w:qFormat/>
    <w:uiPriority w:val="9"/>
    <w:pPr>
      <w:keepNext/>
      <w:keepLines/>
      <w:numPr>
        <w:ilvl w:val="6"/>
        <w:numId w:val="1"/>
      </w:numPr>
      <w:spacing w:before="240" w:after="64" w:line="319" w:lineRule="auto"/>
      <w:outlineLvl w:val="6"/>
    </w:pPr>
    <w:rPr>
      <w:b/>
      <w:sz w:val="24"/>
    </w:rPr>
  </w:style>
  <w:style w:type="paragraph" w:styleId="12">
    <w:name w:val="heading 8"/>
    <w:basedOn w:val="1"/>
    <w:next w:val="9"/>
    <w:link w:val="68"/>
    <w:qFormat/>
    <w:uiPriority w:val="9"/>
    <w:pPr>
      <w:keepNext/>
      <w:keepLines/>
      <w:numPr>
        <w:ilvl w:val="7"/>
        <w:numId w:val="1"/>
      </w:numPr>
      <w:spacing w:before="240" w:after="64" w:line="319" w:lineRule="auto"/>
      <w:outlineLvl w:val="7"/>
    </w:pPr>
    <w:rPr>
      <w:rFonts w:ascii="Arial" w:hAnsi="Arial" w:eastAsia="黑体"/>
      <w:sz w:val="24"/>
    </w:rPr>
  </w:style>
  <w:style w:type="paragraph" w:styleId="13">
    <w:name w:val="heading 9"/>
    <w:basedOn w:val="1"/>
    <w:next w:val="9"/>
    <w:link w:val="69"/>
    <w:qFormat/>
    <w:uiPriority w:val="0"/>
    <w:pPr>
      <w:keepNext/>
      <w:keepLines/>
      <w:numPr>
        <w:ilvl w:val="8"/>
        <w:numId w:val="1"/>
      </w:numPr>
      <w:spacing w:before="240" w:after="64" w:line="319" w:lineRule="auto"/>
      <w:outlineLvl w:val="8"/>
    </w:pPr>
    <w:rPr>
      <w:rFonts w:ascii="Arial" w:hAnsi="Arial" w:eastAsia="黑体"/>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rFonts w:ascii="Calibri" w:hAnsi="Calibri"/>
      <w:sz w:val="28"/>
      <w:szCs w:val="28"/>
    </w:rPr>
  </w:style>
  <w:style w:type="paragraph" w:styleId="7">
    <w:name w:val="Title"/>
    <w:basedOn w:val="1"/>
    <w:next w:val="1"/>
    <w:link w:val="82"/>
    <w:qFormat/>
    <w:uiPriority w:val="0"/>
    <w:pPr>
      <w:spacing w:before="240" w:after="60"/>
      <w:jc w:val="center"/>
      <w:outlineLvl w:val="0"/>
    </w:pPr>
    <w:rPr>
      <w:rFonts w:ascii="Arial" w:hAnsi="Arial" w:eastAsia="隶书"/>
      <w:b/>
      <w:bCs/>
      <w:sz w:val="32"/>
      <w:szCs w:val="32"/>
    </w:rPr>
  </w:style>
  <w:style w:type="paragraph" w:styleId="9">
    <w:name w:val="Normal Indent"/>
    <w:basedOn w:val="1"/>
    <w:link w:val="64"/>
    <w:qFormat/>
    <w:uiPriority w:val="0"/>
    <w:pPr>
      <w:ind w:firstLine="420" w:firstLineChars="200"/>
    </w:pPr>
  </w:style>
  <w:style w:type="paragraph" w:styleId="14">
    <w:name w:val="toc 7"/>
    <w:basedOn w:val="1"/>
    <w:next w:val="1"/>
    <w:qFormat/>
    <w:uiPriority w:val="0"/>
    <w:pPr>
      <w:ind w:left="1260"/>
      <w:jc w:val="left"/>
    </w:pPr>
    <w:rPr>
      <w:szCs w:val="21"/>
    </w:rPr>
  </w:style>
  <w:style w:type="paragraph" w:styleId="15">
    <w:name w:val="List Number 2"/>
    <w:basedOn w:val="1"/>
    <w:qFormat/>
    <w:uiPriority w:val="0"/>
    <w:pPr>
      <w:tabs>
        <w:tab w:val="left" w:pos="780"/>
      </w:tabs>
      <w:ind w:left="780" w:hanging="360"/>
    </w:pPr>
    <w:rPr>
      <w:szCs w:val="20"/>
    </w:rPr>
  </w:style>
  <w:style w:type="paragraph" w:styleId="16">
    <w:name w:val="List Bullet 4"/>
    <w:basedOn w:val="1"/>
    <w:qFormat/>
    <w:uiPriority w:val="0"/>
    <w:pPr>
      <w:tabs>
        <w:tab w:val="left" w:pos="425"/>
        <w:tab w:val="left" w:pos="1620"/>
      </w:tabs>
      <w:ind w:left="425" w:hanging="425"/>
    </w:pPr>
    <w:rPr>
      <w:szCs w:val="20"/>
    </w:rPr>
  </w:style>
  <w:style w:type="paragraph" w:styleId="17">
    <w:name w:val="caption"/>
    <w:basedOn w:val="1"/>
    <w:next w:val="1"/>
    <w:link w:val="298"/>
    <w:qFormat/>
    <w:uiPriority w:val="0"/>
    <w:rPr>
      <w:rFonts w:ascii="Cambria" w:hAnsi="Cambria" w:eastAsia="黑体"/>
    </w:rPr>
  </w:style>
  <w:style w:type="paragraph" w:styleId="18">
    <w:name w:val="List Bullet"/>
    <w:basedOn w:val="1"/>
    <w:qFormat/>
    <w:uiPriority w:val="0"/>
    <w:pPr>
      <w:numPr>
        <w:ilvl w:val="0"/>
        <w:numId w:val="1"/>
      </w:numPr>
      <w:tabs>
        <w:tab w:val="left" w:pos="360"/>
        <w:tab w:val="clear" w:pos="371"/>
      </w:tabs>
    </w:pPr>
    <w:rPr>
      <w:szCs w:val="20"/>
    </w:rPr>
  </w:style>
  <w:style w:type="paragraph" w:styleId="19">
    <w:name w:val="Document Map"/>
    <w:basedOn w:val="1"/>
    <w:link w:val="74"/>
    <w:qFormat/>
    <w:uiPriority w:val="0"/>
    <w:pPr>
      <w:shd w:val="clear" w:color="auto" w:fill="000080"/>
    </w:pPr>
  </w:style>
  <w:style w:type="paragraph" w:styleId="20">
    <w:name w:val="annotation text"/>
    <w:basedOn w:val="1"/>
    <w:link w:val="70"/>
    <w:qFormat/>
    <w:uiPriority w:val="99"/>
    <w:pPr>
      <w:jc w:val="left"/>
    </w:pPr>
  </w:style>
  <w:style w:type="paragraph" w:styleId="21">
    <w:name w:val="Body Text 3"/>
    <w:basedOn w:val="1"/>
    <w:link w:val="459"/>
    <w:unhideWhenUsed/>
    <w:qFormat/>
    <w:uiPriority w:val="0"/>
    <w:pPr>
      <w:spacing w:after="120"/>
    </w:pPr>
    <w:rPr>
      <w:sz w:val="16"/>
      <w:szCs w:val="16"/>
    </w:rPr>
  </w:style>
  <w:style w:type="paragraph" w:styleId="22">
    <w:name w:val="Body Text"/>
    <w:basedOn w:val="1"/>
    <w:link w:val="72"/>
    <w:qFormat/>
    <w:uiPriority w:val="0"/>
    <w:pPr>
      <w:spacing w:after="120"/>
    </w:pPr>
  </w:style>
  <w:style w:type="paragraph" w:styleId="23">
    <w:name w:val="Body Text Indent"/>
    <w:basedOn w:val="1"/>
    <w:link w:val="75"/>
    <w:qFormat/>
    <w:uiPriority w:val="0"/>
    <w:pPr>
      <w:spacing w:after="120"/>
      <w:ind w:left="420" w:leftChars="200"/>
    </w:pPr>
  </w:style>
  <w:style w:type="paragraph" w:styleId="24">
    <w:name w:val="Block Text"/>
    <w:basedOn w:val="1"/>
    <w:qFormat/>
    <w:uiPriority w:val="0"/>
    <w:pPr>
      <w:spacing w:after="120"/>
      <w:ind w:left="1440" w:leftChars="700" w:right="1440" w:rightChars="700"/>
    </w:pPr>
  </w:style>
  <w:style w:type="paragraph" w:styleId="25">
    <w:name w:val="List Bullet 2"/>
    <w:basedOn w:val="1"/>
    <w:qFormat/>
    <w:uiPriority w:val="0"/>
    <w:pPr>
      <w:numPr>
        <w:ilvl w:val="0"/>
        <w:numId w:val="2"/>
      </w:numPr>
      <w:tabs>
        <w:tab w:val="left" w:pos="780"/>
      </w:tabs>
    </w:pPr>
    <w:rPr>
      <w:szCs w:val="20"/>
    </w:rPr>
  </w:style>
  <w:style w:type="paragraph" w:styleId="26">
    <w:name w:val="toc 5"/>
    <w:basedOn w:val="1"/>
    <w:next w:val="1"/>
    <w:qFormat/>
    <w:uiPriority w:val="0"/>
    <w:pPr>
      <w:ind w:left="840"/>
      <w:jc w:val="left"/>
    </w:pPr>
    <w:rPr>
      <w:szCs w:val="21"/>
    </w:rPr>
  </w:style>
  <w:style w:type="paragraph" w:styleId="27">
    <w:name w:val="toc 3"/>
    <w:basedOn w:val="1"/>
    <w:next w:val="1"/>
    <w:qFormat/>
    <w:uiPriority w:val="39"/>
    <w:pPr>
      <w:ind w:left="420"/>
      <w:jc w:val="left"/>
    </w:pPr>
    <w:rPr>
      <w:iCs/>
    </w:rPr>
  </w:style>
  <w:style w:type="paragraph" w:styleId="28">
    <w:name w:val="Plain Text"/>
    <w:basedOn w:val="1"/>
    <w:link w:val="76"/>
    <w:qFormat/>
    <w:uiPriority w:val="0"/>
    <w:rPr>
      <w:rFonts w:ascii="宋体" w:hAnsi="Courier New"/>
      <w:szCs w:val="20"/>
    </w:rPr>
  </w:style>
  <w:style w:type="paragraph" w:styleId="29">
    <w:name w:val="toc 8"/>
    <w:basedOn w:val="1"/>
    <w:next w:val="1"/>
    <w:qFormat/>
    <w:uiPriority w:val="0"/>
    <w:pPr>
      <w:ind w:left="1470"/>
      <w:jc w:val="left"/>
    </w:pPr>
    <w:rPr>
      <w:szCs w:val="21"/>
    </w:rPr>
  </w:style>
  <w:style w:type="paragraph" w:styleId="30">
    <w:name w:val="Date"/>
    <w:basedOn w:val="1"/>
    <w:next w:val="1"/>
    <w:link w:val="317"/>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31">
    <w:name w:val="Body Text Indent 2"/>
    <w:basedOn w:val="1"/>
    <w:link w:val="77"/>
    <w:qFormat/>
    <w:uiPriority w:val="0"/>
    <w:pPr>
      <w:spacing w:after="120" w:line="480" w:lineRule="auto"/>
      <w:ind w:left="420" w:leftChars="200"/>
    </w:pPr>
  </w:style>
  <w:style w:type="paragraph" w:styleId="32">
    <w:name w:val="Balloon Text"/>
    <w:basedOn w:val="1"/>
    <w:link w:val="78"/>
    <w:qFormat/>
    <w:uiPriority w:val="0"/>
    <w:rPr>
      <w:sz w:val="18"/>
      <w:szCs w:val="18"/>
    </w:rPr>
  </w:style>
  <w:style w:type="paragraph" w:styleId="33">
    <w:name w:val="footer"/>
    <w:basedOn w:val="1"/>
    <w:link w:val="79"/>
    <w:qFormat/>
    <w:uiPriority w:val="99"/>
    <w:pPr>
      <w:tabs>
        <w:tab w:val="center" w:pos="4153"/>
        <w:tab w:val="right" w:pos="8306"/>
      </w:tabs>
      <w:snapToGrid w:val="0"/>
      <w:jc w:val="left"/>
    </w:pPr>
    <w:rPr>
      <w:sz w:val="18"/>
      <w:szCs w:val="18"/>
    </w:rPr>
  </w:style>
  <w:style w:type="paragraph" w:styleId="34">
    <w:name w:val="header"/>
    <w:basedOn w:val="1"/>
    <w:link w:val="80"/>
    <w:qFormat/>
    <w:uiPriority w:val="99"/>
    <w:pPr>
      <w:pBdr>
        <w:bottom w:val="single" w:color="auto" w:sz="6" w:space="1"/>
      </w:pBdr>
      <w:tabs>
        <w:tab w:val="center" w:pos="4153"/>
        <w:tab w:val="right" w:pos="8306"/>
      </w:tabs>
      <w:snapToGrid w:val="0"/>
      <w:jc w:val="center"/>
    </w:pPr>
    <w:rPr>
      <w:sz w:val="18"/>
      <w:szCs w:val="18"/>
    </w:rPr>
  </w:style>
  <w:style w:type="paragraph" w:styleId="35">
    <w:name w:val="Signature"/>
    <w:basedOn w:val="1"/>
    <w:link w:val="288"/>
    <w:qFormat/>
    <w:uiPriority w:val="0"/>
    <w:pPr>
      <w:ind w:left="4320"/>
    </w:pPr>
    <w:rPr>
      <w:rFonts w:eastAsia="楷体_GB2312"/>
      <w:szCs w:val="20"/>
    </w:rPr>
  </w:style>
  <w:style w:type="paragraph" w:styleId="36">
    <w:name w:val="toc 1"/>
    <w:basedOn w:val="1"/>
    <w:next w:val="1"/>
    <w:qFormat/>
    <w:uiPriority w:val="39"/>
    <w:pPr>
      <w:spacing w:before="120" w:after="120"/>
      <w:jc w:val="left"/>
    </w:pPr>
    <w:rPr>
      <w:b/>
      <w:bCs/>
      <w:caps/>
    </w:rPr>
  </w:style>
  <w:style w:type="paragraph" w:styleId="37">
    <w:name w:val="toc 4"/>
    <w:basedOn w:val="1"/>
    <w:next w:val="1"/>
    <w:qFormat/>
    <w:uiPriority w:val="0"/>
    <w:pPr>
      <w:ind w:left="630"/>
      <w:jc w:val="left"/>
    </w:pPr>
    <w:rPr>
      <w:szCs w:val="21"/>
    </w:rPr>
  </w:style>
  <w:style w:type="paragraph" w:styleId="38">
    <w:name w:val="index heading"/>
    <w:basedOn w:val="1"/>
    <w:next w:val="39"/>
    <w:qFormat/>
    <w:uiPriority w:val="0"/>
    <w:rPr>
      <w:szCs w:val="20"/>
    </w:rPr>
  </w:style>
  <w:style w:type="paragraph" w:styleId="39">
    <w:name w:val="index 1"/>
    <w:basedOn w:val="1"/>
    <w:next w:val="1"/>
    <w:qFormat/>
    <w:uiPriority w:val="0"/>
  </w:style>
  <w:style w:type="paragraph" w:styleId="40">
    <w:name w:val="footnote text"/>
    <w:basedOn w:val="1"/>
    <w:link w:val="482"/>
    <w:qFormat/>
    <w:uiPriority w:val="0"/>
    <w:pPr>
      <w:snapToGrid w:val="0"/>
      <w:jc w:val="left"/>
    </w:pPr>
    <w:rPr>
      <w:sz w:val="18"/>
      <w:szCs w:val="18"/>
    </w:rPr>
  </w:style>
  <w:style w:type="paragraph" w:styleId="41">
    <w:name w:val="toc 6"/>
    <w:basedOn w:val="1"/>
    <w:next w:val="1"/>
    <w:qFormat/>
    <w:uiPriority w:val="0"/>
    <w:pPr>
      <w:ind w:left="1050"/>
      <w:jc w:val="left"/>
    </w:pPr>
    <w:rPr>
      <w:szCs w:val="21"/>
    </w:rPr>
  </w:style>
  <w:style w:type="paragraph" w:styleId="42">
    <w:name w:val="Body Text Indent 3"/>
    <w:basedOn w:val="1"/>
    <w:link w:val="314"/>
    <w:qFormat/>
    <w:uiPriority w:val="0"/>
    <w:pPr>
      <w:ind w:firstLine="426"/>
    </w:pPr>
    <w:rPr>
      <w:szCs w:val="20"/>
    </w:rPr>
  </w:style>
  <w:style w:type="paragraph" w:styleId="43">
    <w:name w:val="toc 2"/>
    <w:basedOn w:val="1"/>
    <w:next w:val="1"/>
    <w:qFormat/>
    <w:uiPriority w:val="39"/>
    <w:pPr>
      <w:ind w:left="210"/>
      <w:jc w:val="left"/>
    </w:pPr>
    <w:rPr>
      <w:smallCaps/>
    </w:rPr>
  </w:style>
  <w:style w:type="paragraph" w:styleId="44">
    <w:name w:val="toc 9"/>
    <w:basedOn w:val="1"/>
    <w:next w:val="1"/>
    <w:qFormat/>
    <w:uiPriority w:val="0"/>
    <w:pPr>
      <w:ind w:left="1680"/>
      <w:jc w:val="left"/>
    </w:pPr>
    <w:rPr>
      <w:szCs w:val="21"/>
    </w:rPr>
  </w:style>
  <w:style w:type="paragraph" w:styleId="45">
    <w:name w:val="Body Text 2"/>
    <w:basedOn w:val="1"/>
    <w:link w:val="307"/>
    <w:qFormat/>
    <w:uiPriority w:val="0"/>
    <w:rPr>
      <w:sz w:val="28"/>
      <w:szCs w:val="20"/>
    </w:rPr>
  </w:style>
  <w:style w:type="paragraph" w:styleId="46">
    <w:name w:val="HTML Preformatted"/>
    <w:basedOn w:val="1"/>
    <w:link w:val="8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7">
    <w:name w:val="Normal (Web)"/>
    <w:basedOn w:val="1"/>
    <w:qFormat/>
    <w:uiPriority w:val="0"/>
    <w:pPr>
      <w:widowControl/>
      <w:spacing w:before="100" w:beforeAutospacing="1" w:after="100" w:afterAutospacing="1"/>
      <w:jc w:val="left"/>
    </w:pPr>
    <w:rPr>
      <w:kern w:val="0"/>
      <w:sz w:val="24"/>
    </w:rPr>
  </w:style>
  <w:style w:type="paragraph" w:styleId="48">
    <w:name w:val="annotation subject"/>
    <w:basedOn w:val="20"/>
    <w:next w:val="20"/>
    <w:link w:val="71"/>
    <w:qFormat/>
    <w:uiPriority w:val="0"/>
    <w:rPr>
      <w:b/>
      <w:bCs/>
    </w:rPr>
  </w:style>
  <w:style w:type="paragraph" w:styleId="49">
    <w:name w:val="Body Text First Indent"/>
    <w:basedOn w:val="22"/>
    <w:link w:val="73"/>
    <w:qFormat/>
    <w:uiPriority w:val="0"/>
    <w:pPr>
      <w:ind w:firstLine="420" w:firstLineChars="100"/>
    </w:pPr>
  </w:style>
  <w:style w:type="paragraph" w:styleId="50">
    <w:name w:val="Body Text First Indent 2"/>
    <w:basedOn w:val="23"/>
    <w:link w:val="293"/>
    <w:qFormat/>
    <w:uiPriority w:val="0"/>
    <w:pPr>
      <w:spacing w:after="160" w:line="360" w:lineRule="auto"/>
      <w:ind w:firstLine="480" w:firstLineChars="200"/>
    </w:pPr>
    <w:rPr>
      <w:kern w:val="0"/>
      <w:sz w:val="24"/>
    </w:r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basedOn w:val="53"/>
    <w:unhideWhenUsed/>
    <w:qFormat/>
    <w:uiPriority w:val="0"/>
    <w:rPr>
      <w:color w:val="800080"/>
      <w:u w:val="single"/>
    </w:rPr>
  </w:style>
  <w:style w:type="character" w:styleId="57">
    <w:name w:val="Emphasis"/>
    <w:qFormat/>
    <w:uiPriority w:val="20"/>
    <w:rPr>
      <w:i/>
      <w:iCs/>
    </w:rPr>
  </w:style>
  <w:style w:type="character" w:styleId="58">
    <w:name w:val="Hyperlink"/>
    <w:qFormat/>
    <w:uiPriority w:val="99"/>
    <w:rPr>
      <w:color w:val="0000FF"/>
      <w:u w:val="single"/>
    </w:rPr>
  </w:style>
  <w:style w:type="character" w:styleId="59">
    <w:name w:val="annotation reference"/>
    <w:qFormat/>
    <w:uiPriority w:val="99"/>
    <w:rPr>
      <w:sz w:val="21"/>
      <w:szCs w:val="21"/>
    </w:rPr>
  </w:style>
  <w:style w:type="character" w:customStyle="1" w:styleId="60">
    <w:name w:val="标题 3 Char"/>
    <w:basedOn w:val="53"/>
    <w:link w:val="4"/>
    <w:qFormat/>
    <w:uiPriority w:val="0"/>
    <w:rPr>
      <w:b/>
      <w:bCs/>
      <w:kern w:val="2"/>
      <w:sz w:val="24"/>
      <w:szCs w:val="32"/>
    </w:rPr>
  </w:style>
  <w:style w:type="character" w:customStyle="1" w:styleId="61">
    <w:name w:val="标题 1 Char"/>
    <w:basedOn w:val="53"/>
    <w:link w:val="3"/>
    <w:qFormat/>
    <w:uiPriority w:val="0"/>
    <w:rPr>
      <w:rFonts w:eastAsiaTheme="minorEastAsia"/>
      <w:b/>
      <w:kern w:val="44"/>
      <w:sz w:val="44"/>
      <w:szCs w:val="28"/>
    </w:rPr>
  </w:style>
  <w:style w:type="character" w:customStyle="1" w:styleId="62">
    <w:name w:val="标题 2 Char"/>
    <w:basedOn w:val="53"/>
    <w:link w:val="5"/>
    <w:qFormat/>
    <w:uiPriority w:val="0"/>
    <w:rPr>
      <w:rFonts w:ascii="Arial" w:hAnsi="Arial" w:eastAsiaTheme="minorEastAsia"/>
      <w:b/>
      <w:bCs/>
      <w:kern w:val="2"/>
      <w:sz w:val="28"/>
      <w:szCs w:val="32"/>
    </w:rPr>
  </w:style>
  <w:style w:type="character" w:customStyle="1" w:styleId="63">
    <w:name w:val="标题 4 Char1"/>
    <w:basedOn w:val="53"/>
    <w:link w:val="6"/>
    <w:qFormat/>
    <w:uiPriority w:val="99"/>
    <w:rPr>
      <w:rFonts w:ascii="Arial" w:hAnsi="Arial" w:eastAsia="黑体"/>
      <w:b/>
      <w:bCs/>
      <w:kern w:val="2"/>
      <w:sz w:val="28"/>
      <w:szCs w:val="28"/>
    </w:rPr>
  </w:style>
  <w:style w:type="character" w:customStyle="1" w:styleId="64">
    <w:name w:val="正文缩进 Char"/>
    <w:link w:val="9"/>
    <w:qFormat/>
    <w:uiPriority w:val="0"/>
    <w:rPr>
      <w:rFonts w:eastAsia="宋体"/>
      <w:kern w:val="2"/>
      <w:sz w:val="21"/>
      <w:szCs w:val="24"/>
      <w:lang w:val="en-US" w:eastAsia="zh-CN" w:bidi="ar-SA"/>
    </w:rPr>
  </w:style>
  <w:style w:type="character" w:customStyle="1" w:styleId="65">
    <w:name w:val="标题 5 Char1"/>
    <w:basedOn w:val="53"/>
    <w:link w:val="8"/>
    <w:qFormat/>
    <w:uiPriority w:val="0"/>
    <w:rPr>
      <w:b/>
      <w:kern w:val="2"/>
      <w:sz w:val="28"/>
      <w:szCs w:val="24"/>
    </w:rPr>
  </w:style>
  <w:style w:type="character" w:customStyle="1" w:styleId="66">
    <w:name w:val="标题 6 Char1"/>
    <w:basedOn w:val="53"/>
    <w:link w:val="10"/>
    <w:qFormat/>
    <w:uiPriority w:val="9"/>
    <w:rPr>
      <w:rFonts w:ascii="Arial" w:hAnsi="Arial" w:eastAsia="黑体"/>
      <w:b/>
      <w:kern w:val="2"/>
      <w:sz w:val="24"/>
      <w:szCs w:val="24"/>
    </w:rPr>
  </w:style>
  <w:style w:type="character" w:customStyle="1" w:styleId="67">
    <w:name w:val="标题 7 Char1"/>
    <w:basedOn w:val="53"/>
    <w:link w:val="11"/>
    <w:qFormat/>
    <w:uiPriority w:val="9"/>
    <w:rPr>
      <w:b/>
      <w:kern w:val="2"/>
      <w:sz w:val="24"/>
      <w:szCs w:val="24"/>
    </w:rPr>
  </w:style>
  <w:style w:type="character" w:customStyle="1" w:styleId="68">
    <w:name w:val="标题 8 Char1"/>
    <w:basedOn w:val="53"/>
    <w:link w:val="12"/>
    <w:qFormat/>
    <w:uiPriority w:val="9"/>
    <w:rPr>
      <w:rFonts w:ascii="Arial" w:hAnsi="Arial" w:eastAsia="黑体"/>
      <w:kern w:val="2"/>
      <w:sz w:val="24"/>
      <w:szCs w:val="24"/>
    </w:rPr>
  </w:style>
  <w:style w:type="character" w:customStyle="1" w:styleId="69">
    <w:name w:val="标题 9 Char1"/>
    <w:basedOn w:val="53"/>
    <w:link w:val="13"/>
    <w:qFormat/>
    <w:uiPriority w:val="0"/>
    <w:rPr>
      <w:rFonts w:ascii="Arial" w:hAnsi="Arial" w:eastAsia="黑体"/>
      <w:kern w:val="2"/>
      <w:sz w:val="21"/>
      <w:szCs w:val="24"/>
    </w:rPr>
  </w:style>
  <w:style w:type="character" w:customStyle="1" w:styleId="70">
    <w:name w:val="批注文字 Char"/>
    <w:link w:val="20"/>
    <w:qFormat/>
    <w:uiPriority w:val="99"/>
    <w:rPr>
      <w:kern w:val="2"/>
      <w:sz w:val="21"/>
      <w:szCs w:val="24"/>
    </w:rPr>
  </w:style>
  <w:style w:type="character" w:customStyle="1" w:styleId="71">
    <w:name w:val="批注主题 Char"/>
    <w:basedOn w:val="70"/>
    <w:link w:val="48"/>
    <w:qFormat/>
    <w:uiPriority w:val="0"/>
    <w:rPr>
      <w:b/>
      <w:bCs/>
      <w:kern w:val="2"/>
      <w:sz w:val="21"/>
      <w:szCs w:val="24"/>
    </w:rPr>
  </w:style>
  <w:style w:type="character" w:customStyle="1" w:styleId="72">
    <w:name w:val="正文文本 Char"/>
    <w:basedOn w:val="53"/>
    <w:link w:val="22"/>
    <w:qFormat/>
    <w:uiPriority w:val="0"/>
    <w:rPr>
      <w:kern w:val="2"/>
      <w:sz w:val="21"/>
      <w:szCs w:val="24"/>
    </w:rPr>
  </w:style>
  <w:style w:type="character" w:customStyle="1" w:styleId="73">
    <w:name w:val="正文首行缩进 Char"/>
    <w:link w:val="49"/>
    <w:qFormat/>
    <w:uiPriority w:val="0"/>
    <w:rPr>
      <w:rFonts w:eastAsia="宋体"/>
      <w:kern w:val="2"/>
      <w:sz w:val="21"/>
      <w:szCs w:val="24"/>
      <w:lang w:val="en-US" w:eastAsia="zh-CN" w:bidi="ar-SA"/>
    </w:rPr>
  </w:style>
  <w:style w:type="character" w:customStyle="1" w:styleId="74">
    <w:name w:val="文档结构图 Char"/>
    <w:basedOn w:val="53"/>
    <w:link w:val="19"/>
    <w:qFormat/>
    <w:uiPriority w:val="0"/>
    <w:rPr>
      <w:kern w:val="2"/>
      <w:sz w:val="21"/>
      <w:szCs w:val="24"/>
      <w:shd w:val="clear" w:color="auto" w:fill="000080"/>
    </w:rPr>
  </w:style>
  <w:style w:type="character" w:customStyle="1" w:styleId="75">
    <w:name w:val="正文文本缩进 Char1"/>
    <w:basedOn w:val="53"/>
    <w:link w:val="23"/>
    <w:qFormat/>
    <w:uiPriority w:val="0"/>
    <w:rPr>
      <w:kern w:val="2"/>
      <w:sz w:val="21"/>
      <w:szCs w:val="24"/>
    </w:rPr>
  </w:style>
  <w:style w:type="character" w:customStyle="1" w:styleId="76">
    <w:name w:val="纯文本 Char"/>
    <w:link w:val="28"/>
    <w:qFormat/>
    <w:uiPriority w:val="0"/>
    <w:rPr>
      <w:rFonts w:ascii="宋体" w:hAnsi="Courier New" w:eastAsia="宋体"/>
      <w:kern w:val="2"/>
      <w:sz w:val="21"/>
      <w:lang w:val="en-US" w:eastAsia="zh-CN" w:bidi="ar-SA"/>
    </w:rPr>
  </w:style>
  <w:style w:type="character" w:customStyle="1" w:styleId="77">
    <w:name w:val="正文文本缩进 2 Char1"/>
    <w:link w:val="31"/>
    <w:qFormat/>
    <w:uiPriority w:val="0"/>
    <w:rPr>
      <w:kern w:val="2"/>
      <w:sz w:val="21"/>
      <w:szCs w:val="24"/>
    </w:rPr>
  </w:style>
  <w:style w:type="character" w:customStyle="1" w:styleId="78">
    <w:name w:val="批注框文本 Char"/>
    <w:basedOn w:val="53"/>
    <w:link w:val="32"/>
    <w:qFormat/>
    <w:uiPriority w:val="99"/>
    <w:rPr>
      <w:kern w:val="2"/>
      <w:sz w:val="18"/>
      <w:szCs w:val="18"/>
    </w:rPr>
  </w:style>
  <w:style w:type="character" w:customStyle="1" w:styleId="79">
    <w:name w:val="页脚 Char"/>
    <w:basedOn w:val="53"/>
    <w:link w:val="33"/>
    <w:qFormat/>
    <w:uiPriority w:val="99"/>
    <w:rPr>
      <w:kern w:val="2"/>
      <w:sz w:val="18"/>
      <w:szCs w:val="18"/>
    </w:rPr>
  </w:style>
  <w:style w:type="character" w:customStyle="1" w:styleId="80">
    <w:name w:val="页眉 Char"/>
    <w:link w:val="34"/>
    <w:qFormat/>
    <w:uiPriority w:val="99"/>
    <w:rPr>
      <w:kern w:val="2"/>
      <w:sz w:val="18"/>
      <w:szCs w:val="18"/>
    </w:rPr>
  </w:style>
  <w:style w:type="character" w:customStyle="1" w:styleId="81">
    <w:name w:val="HTML 预设格式 Char1"/>
    <w:link w:val="46"/>
    <w:qFormat/>
    <w:uiPriority w:val="0"/>
    <w:rPr>
      <w:rFonts w:ascii="宋体" w:hAnsi="宋体" w:cs="宋体"/>
      <w:sz w:val="24"/>
      <w:szCs w:val="24"/>
    </w:rPr>
  </w:style>
  <w:style w:type="character" w:customStyle="1" w:styleId="82">
    <w:name w:val="标题 Char"/>
    <w:link w:val="7"/>
    <w:qFormat/>
    <w:uiPriority w:val="0"/>
    <w:rPr>
      <w:rFonts w:ascii="Arial" w:hAnsi="Arial" w:eastAsia="隶书" w:cs="Arial"/>
      <w:b/>
      <w:bCs/>
      <w:kern w:val="2"/>
      <w:sz w:val="32"/>
      <w:szCs w:val="32"/>
    </w:rPr>
  </w:style>
  <w:style w:type="paragraph" w:customStyle="1" w:styleId="8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样式1 Char Char"/>
    <w:basedOn w:val="1"/>
    <w:next w:val="1"/>
    <w:link w:val="85"/>
    <w:qFormat/>
    <w:uiPriority w:val="0"/>
    <w:pPr>
      <w:spacing w:line="360" w:lineRule="auto"/>
      <w:ind w:firstLine="516" w:firstLineChars="215"/>
    </w:pPr>
    <w:rPr>
      <w:sz w:val="24"/>
      <w:szCs w:val="20"/>
    </w:rPr>
  </w:style>
  <w:style w:type="character" w:customStyle="1" w:styleId="85">
    <w:name w:val="样式1 Char Char Char"/>
    <w:link w:val="84"/>
    <w:qFormat/>
    <w:uiPriority w:val="0"/>
    <w:rPr>
      <w:rFonts w:eastAsia="宋体"/>
      <w:kern w:val="2"/>
      <w:sz w:val="24"/>
      <w:lang w:val="en-US" w:eastAsia="zh-CN" w:bidi="ar-SA"/>
    </w:rPr>
  </w:style>
  <w:style w:type="paragraph" w:customStyle="1" w:styleId="86">
    <w:name w:val="样式1"/>
    <w:basedOn w:val="7"/>
    <w:link w:val="87"/>
    <w:qFormat/>
    <w:uiPriority w:val="0"/>
    <w:pPr>
      <w:spacing w:before="120" w:after="120"/>
    </w:pPr>
    <w:rPr>
      <w:rFonts w:eastAsia="黑体" w:cs="Arial"/>
      <w:b w:val="0"/>
      <w:sz w:val="30"/>
      <w:szCs w:val="21"/>
    </w:rPr>
  </w:style>
  <w:style w:type="character" w:customStyle="1" w:styleId="87">
    <w:name w:val="样式1 Char"/>
    <w:link w:val="86"/>
    <w:qFormat/>
    <w:uiPriority w:val="0"/>
    <w:rPr>
      <w:rFonts w:ascii="Arial" w:hAnsi="Arial" w:eastAsia="黑体" w:cs="Arial"/>
      <w:bCs/>
      <w:kern w:val="2"/>
      <w:sz w:val="30"/>
      <w:szCs w:val="21"/>
      <w:lang w:val="en-US" w:eastAsia="zh-CN" w:bidi="ar-SA"/>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1">
    <w:name w:val="Char1"/>
    <w:basedOn w:val="1"/>
    <w:qFormat/>
    <w:uiPriority w:val="0"/>
    <w:rPr>
      <w:rFonts w:ascii="仿宋_GB2312" w:eastAsia="仿宋_GB2312"/>
      <w:b/>
      <w:sz w:val="32"/>
      <w:szCs w:val="32"/>
    </w:rPr>
  </w:style>
  <w:style w:type="character" w:customStyle="1" w:styleId="92">
    <w:name w:val="tpc_title1"/>
    <w:qFormat/>
    <w:uiPriority w:val="0"/>
    <w:rPr>
      <w:b/>
      <w:bCs/>
      <w:sz w:val="18"/>
      <w:szCs w:val="18"/>
    </w:rPr>
  </w:style>
  <w:style w:type="character" w:customStyle="1" w:styleId="93">
    <w:name w:val="tpc_content1"/>
    <w:qFormat/>
    <w:uiPriority w:val="0"/>
    <w:rPr>
      <w:sz w:val="20"/>
      <w:szCs w:val="20"/>
    </w:rPr>
  </w:style>
  <w:style w:type="paragraph" w:customStyle="1" w:styleId="9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5">
    <w:name w:val="列出段落1"/>
    <w:basedOn w:val="1"/>
    <w:link w:val="96"/>
    <w:qFormat/>
    <w:uiPriority w:val="0"/>
    <w:pPr>
      <w:ind w:firstLine="420" w:firstLineChars="200"/>
    </w:pPr>
  </w:style>
  <w:style w:type="character" w:customStyle="1" w:styleId="96">
    <w:name w:val="列表段落 字符"/>
    <w:link w:val="95"/>
    <w:qFormat/>
    <w:uiPriority w:val="34"/>
    <w:rPr>
      <w:kern w:val="2"/>
      <w:sz w:val="21"/>
      <w:szCs w:val="24"/>
    </w:rPr>
  </w:style>
  <w:style w:type="paragraph" w:customStyle="1" w:styleId="97">
    <w:name w:val="正文1"/>
    <w:basedOn w:val="1"/>
    <w:qFormat/>
    <w:uiPriority w:val="0"/>
    <w:pPr>
      <w:tabs>
        <w:tab w:val="left" w:pos="4"/>
      </w:tabs>
      <w:spacing w:line="360" w:lineRule="auto"/>
      <w:ind w:left="-2" w:firstLine="482"/>
    </w:pPr>
    <w:rPr>
      <w:rFonts w:ascii="宋体" w:hAnsi="宋体"/>
      <w:sz w:val="24"/>
    </w:rPr>
  </w:style>
  <w:style w:type="paragraph" w:customStyle="1" w:styleId="98">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9">
    <w:name w:val="缩进正文"/>
    <w:basedOn w:val="1"/>
    <w:link w:val="100"/>
    <w:qFormat/>
    <w:uiPriority w:val="0"/>
    <w:pPr>
      <w:ind w:firstLine="560" w:firstLineChars="200"/>
    </w:pPr>
    <w:rPr>
      <w:rFonts w:eastAsia="仿宋_GB2312" w:cs="宋体"/>
      <w:sz w:val="28"/>
      <w:szCs w:val="20"/>
    </w:rPr>
  </w:style>
  <w:style w:type="character" w:customStyle="1" w:styleId="100">
    <w:name w:val="缩进正文 Char"/>
    <w:link w:val="99"/>
    <w:qFormat/>
    <w:uiPriority w:val="0"/>
    <w:rPr>
      <w:rFonts w:eastAsia="仿宋_GB2312" w:cs="宋体"/>
      <w:kern w:val="2"/>
      <w:sz w:val="28"/>
      <w:lang w:val="en-US" w:eastAsia="zh-CN" w:bidi="ar-SA"/>
    </w:rPr>
  </w:style>
  <w:style w:type="character" w:customStyle="1" w:styleId="101">
    <w:name w:val="访问过的超链接1"/>
    <w:qFormat/>
    <w:uiPriority w:val="0"/>
    <w:rPr>
      <w:color w:val="800080"/>
      <w:u w:val="single"/>
    </w:rPr>
  </w:style>
  <w:style w:type="paragraph" w:customStyle="1" w:styleId="102">
    <w:name w:val="Char Char Char Char Char Char Char"/>
    <w:basedOn w:val="1"/>
    <w:qFormat/>
    <w:uiPriority w:val="0"/>
    <w:pPr>
      <w:widowControl/>
      <w:adjustRightInd w:val="0"/>
      <w:spacing w:after="160" w:line="240" w:lineRule="exact"/>
      <w:jc w:val="left"/>
      <w:textAlignment w:val="baseline"/>
    </w:pPr>
  </w:style>
  <w:style w:type="character" w:customStyle="1" w:styleId="103">
    <w:name w:val="正文缩进 Char1"/>
    <w:qFormat/>
    <w:uiPriority w:val="0"/>
    <w:rPr>
      <w:rFonts w:eastAsia="宋体"/>
      <w:kern w:val="2"/>
      <w:sz w:val="21"/>
      <w:lang w:val="en-US" w:eastAsia="zh-CN" w:bidi="ar-SA"/>
    </w:rPr>
  </w:style>
  <w:style w:type="paragraph" w:customStyle="1" w:styleId="104">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5">
    <w:name w:val="列出段落11"/>
    <w:basedOn w:val="1"/>
    <w:unhideWhenUsed/>
    <w:qFormat/>
    <w:uiPriority w:val="34"/>
    <w:pPr>
      <w:ind w:firstLine="420" w:firstLineChars="200"/>
    </w:pPr>
  </w:style>
  <w:style w:type="paragraph" w:customStyle="1" w:styleId="106">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7">
    <w:name w:val="font11"/>
    <w:basedOn w:val="53"/>
    <w:qFormat/>
    <w:uiPriority w:val="0"/>
    <w:rPr>
      <w:rFonts w:hint="eastAsia" w:ascii="宋体" w:hAnsi="宋体" w:eastAsia="宋体" w:cs="宋体"/>
      <w:b/>
      <w:color w:val="000000"/>
      <w:sz w:val="21"/>
      <w:szCs w:val="21"/>
      <w:u w:val="none"/>
    </w:rPr>
  </w:style>
  <w:style w:type="character" w:customStyle="1" w:styleId="108">
    <w:name w:val="批注文字 Char1"/>
    <w:qFormat/>
    <w:locked/>
    <w:uiPriority w:val="0"/>
    <w:rPr>
      <w:rFonts w:ascii="Calibri" w:hAnsi="Calibri" w:eastAsia="宋体" w:cs="Calibri"/>
      <w:szCs w:val="21"/>
    </w:rPr>
  </w:style>
  <w:style w:type="character" w:customStyle="1" w:styleId="109">
    <w:name w:val="title1"/>
    <w:qFormat/>
    <w:uiPriority w:val="0"/>
    <w:rPr>
      <w:rFonts w:hint="eastAsia" w:ascii="微软雅黑" w:hAnsi="微软雅黑" w:eastAsia="微软雅黑"/>
      <w:sz w:val="21"/>
      <w:szCs w:val="21"/>
    </w:rPr>
  </w:style>
  <w:style w:type="character" w:customStyle="1" w:styleId="110">
    <w:name w:val="sect2title1"/>
    <w:qFormat/>
    <w:uiPriority w:val="0"/>
    <w:rPr>
      <w:rFonts w:hint="eastAsia" w:ascii="微软雅黑" w:hAnsi="微软雅黑" w:eastAsia="微软雅黑"/>
      <w:b/>
      <w:bCs/>
      <w:sz w:val="21"/>
      <w:szCs w:val="21"/>
    </w:rPr>
  </w:style>
  <w:style w:type="paragraph" w:customStyle="1" w:styleId="111">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2">
    <w:name w:val="font01"/>
    <w:basedOn w:val="53"/>
    <w:qFormat/>
    <w:uiPriority w:val="0"/>
    <w:rPr>
      <w:rFonts w:ascii="Tahoma" w:hAnsi="Tahoma" w:eastAsia="Tahoma" w:cs="Tahoma"/>
      <w:color w:val="000000"/>
      <w:sz w:val="20"/>
      <w:szCs w:val="20"/>
      <w:u w:val="none"/>
    </w:rPr>
  </w:style>
  <w:style w:type="paragraph" w:customStyle="1" w:styleId="113">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8">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9">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20">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1">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2">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3">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7">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2">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5">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40">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5">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6">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8">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9">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5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2">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5">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8">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9">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2">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3">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4">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7">
    <w:name w:val="font41"/>
    <w:basedOn w:val="53"/>
    <w:qFormat/>
    <w:uiPriority w:val="0"/>
    <w:rPr>
      <w:rFonts w:hint="eastAsia" w:ascii="仿宋_GB2312" w:eastAsia="仿宋_GB2312" w:cs="仿宋_GB2312"/>
      <w:color w:val="000000"/>
      <w:sz w:val="20"/>
      <w:szCs w:val="20"/>
      <w:u w:val="none"/>
    </w:rPr>
  </w:style>
  <w:style w:type="character" w:customStyle="1" w:styleId="168">
    <w:name w:val="font31"/>
    <w:basedOn w:val="53"/>
    <w:qFormat/>
    <w:uiPriority w:val="0"/>
    <w:rPr>
      <w:rFonts w:hint="default" w:ascii="Symbol" w:hAnsi="Symbol" w:cs="Symbol"/>
      <w:color w:val="000000"/>
      <w:sz w:val="20"/>
      <w:szCs w:val="20"/>
      <w:u w:val="none"/>
    </w:rPr>
  </w:style>
  <w:style w:type="character" w:customStyle="1" w:styleId="169">
    <w:name w:val="font71"/>
    <w:basedOn w:val="53"/>
    <w:qFormat/>
    <w:uiPriority w:val="0"/>
    <w:rPr>
      <w:rFonts w:ascii="Arial" w:hAnsi="Arial" w:cs="Arial"/>
      <w:color w:val="000000"/>
      <w:sz w:val="20"/>
      <w:szCs w:val="20"/>
      <w:u w:val="none"/>
    </w:rPr>
  </w:style>
  <w:style w:type="character" w:customStyle="1" w:styleId="170">
    <w:name w:val="font21"/>
    <w:basedOn w:val="53"/>
    <w:qFormat/>
    <w:uiPriority w:val="0"/>
    <w:rPr>
      <w:rFonts w:hint="default" w:ascii="Symbol" w:hAnsi="Symbol" w:cs="Symbol"/>
      <w:color w:val="000000"/>
      <w:sz w:val="20"/>
      <w:szCs w:val="20"/>
      <w:u w:val="none"/>
    </w:rPr>
  </w:style>
  <w:style w:type="character" w:customStyle="1" w:styleId="171">
    <w:name w:val="font91"/>
    <w:basedOn w:val="53"/>
    <w:qFormat/>
    <w:uiPriority w:val="0"/>
    <w:rPr>
      <w:rFonts w:ascii="Arial" w:hAnsi="Arial" w:cs="Arial"/>
      <w:color w:val="000000"/>
      <w:sz w:val="20"/>
      <w:szCs w:val="20"/>
      <w:u w:val="none"/>
    </w:rPr>
  </w:style>
  <w:style w:type="character" w:customStyle="1" w:styleId="172">
    <w:name w:val="font51"/>
    <w:basedOn w:val="53"/>
    <w:qFormat/>
    <w:uiPriority w:val="0"/>
    <w:rPr>
      <w:rFonts w:ascii="仿宋" w:hAnsi="仿宋" w:eastAsia="仿宋" w:cs="仿宋"/>
      <w:color w:val="000000"/>
      <w:sz w:val="21"/>
      <w:szCs w:val="21"/>
      <w:u w:val="none"/>
    </w:rPr>
  </w:style>
  <w:style w:type="character" w:customStyle="1" w:styleId="173">
    <w:name w:val="font101"/>
    <w:basedOn w:val="53"/>
    <w:qFormat/>
    <w:uiPriority w:val="0"/>
    <w:rPr>
      <w:rFonts w:hint="eastAsia" w:ascii="仿宋_GB2312" w:eastAsia="仿宋_GB2312" w:cs="仿宋_GB2312"/>
      <w:color w:val="000000"/>
      <w:sz w:val="20"/>
      <w:szCs w:val="20"/>
      <w:u w:val="none"/>
    </w:rPr>
  </w:style>
  <w:style w:type="character" w:customStyle="1" w:styleId="174">
    <w:name w:val="font61"/>
    <w:basedOn w:val="53"/>
    <w:qFormat/>
    <w:uiPriority w:val="0"/>
    <w:rPr>
      <w:rFonts w:hint="eastAsia" w:ascii="宋体" w:hAnsi="宋体" w:eastAsia="宋体" w:cs="宋体"/>
      <w:color w:val="000000"/>
      <w:sz w:val="20"/>
      <w:szCs w:val="20"/>
      <w:u w:val="none"/>
    </w:rPr>
  </w:style>
  <w:style w:type="character" w:customStyle="1" w:styleId="175">
    <w:name w:val="font81"/>
    <w:basedOn w:val="53"/>
    <w:qFormat/>
    <w:uiPriority w:val="0"/>
    <w:rPr>
      <w:rFonts w:hint="eastAsia" w:ascii="仿宋" w:hAnsi="仿宋" w:eastAsia="仿宋" w:cs="仿宋"/>
      <w:color w:val="000000"/>
      <w:sz w:val="21"/>
      <w:szCs w:val="21"/>
      <w:u w:val="none"/>
    </w:rPr>
  </w:style>
  <w:style w:type="character" w:customStyle="1" w:styleId="176">
    <w:name w:val="font111"/>
    <w:basedOn w:val="53"/>
    <w:qFormat/>
    <w:uiPriority w:val="0"/>
    <w:rPr>
      <w:rFonts w:hint="eastAsia" w:ascii="仿宋_GB2312" w:eastAsia="仿宋_GB2312" w:cs="仿宋_GB2312"/>
      <w:color w:val="000000"/>
      <w:sz w:val="21"/>
      <w:szCs w:val="21"/>
      <w:u w:val="none"/>
    </w:rPr>
  </w:style>
  <w:style w:type="character" w:customStyle="1" w:styleId="177">
    <w:name w:val="font121"/>
    <w:basedOn w:val="53"/>
    <w:qFormat/>
    <w:uiPriority w:val="0"/>
    <w:rPr>
      <w:rFonts w:ascii="Arial" w:hAnsi="Arial" w:cs="Arial"/>
      <w:color w:val="000000"/>
      <w:sz w:val="20"/>
      <w:szCs w:val="20"/>
      <w:u w:val="none"/>
    </w:rPr>
  </w:style>
  <w:style w:type="character" w:customStyle="1" w:styleId="178">
    <w:name w:val="font112"/>
    <w:basedOn w:val="53"/>
    <w:qFormat/>
    <w:uiPriority w:val="0"/>
    <w:rPr>
      <w:rFonts w:hint="eastAsia" w:ascii="仿宋_GB2312" w:eastAsia="仿宋_GB2312" w:cs="仿宋_GB2312"/>
      <w:color w:val="000000"/>
      <w:sz w:val="21"/>
      <w:szCs w:val="21"/>
      <w:u w:val="none"/>
    </w:rPr>
  </w:style>
  <w:style w:type="paragraph" w:customStyle="1" w:styleId="179">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80">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1">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3">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4">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5">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6">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7">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8">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9">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0">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2">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4">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5">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6">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7">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8">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9">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0">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1">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2">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3">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4">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6">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7">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8">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9">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0">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6">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7">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8">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9">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20">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2">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3">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5">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8">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9">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0">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1">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2">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3">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4">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5">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6">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7">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8">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1">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2">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3">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5">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6">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7">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8">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1">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3">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4">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6">
    <w:name w:val=".正文"/>
    <w:basedOn w:val="1"/>
    <w:qFormat/>
    <w:uiPriority w:val="0"/>
    <w:pPr>
      <w:spacing w:beforeLines="50"/>
      <w:ind w:firstLine="200" w:firstLineChars="200"/>
    </w:pPr>
    <w:rPr>
      <w:rFonts w:ascii="Calibri" w:hAnsi="Calibri" w:eastAsia="华文仿宋"/>
      <w:szCs w:val="22"/>
    </w:rPr>
  </w:style>
  <w:style w:type="paragraph" w:customStyle="1" w:styleId="257">
    <w:name w:val="正文A缩进"/>
    <w:basedOn w:val="1"/>
    <w:qFormat/>
    <w:uiPriority w:val="0"/>
    <w:pPr>
      <w:spacing w:line="360" w:lineRule="auto"/>
      <w:ind w:firstLine="200" w:firstLineChars="200"/>
    </w:pPr>
    <w:rPr>
      <w:kern w:val="0"/>
      <w:sz w:val="28"/>
      <w:szCs w:val="20"/>
    </w:rPr>
  </w:style>
  <w:style w:type="paragraph" w:customStyle="1" w:styleId="258">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9">
    <w:name w:val="标题 5 Char"/>
    <w:basedOn w:val="53"/>
    <w:qFormat/>
    <w:uiPriority w:val="0"/>
    <w:rPr>
      <w:b/>
      <w:bCs/>
      <w:kern w:val="2"/>
      <w:sz w:val="28"/>
      <w:szCs w:val="28"/>
    </w:rPr>
  </w:style>
  <w:style w:type="character" w:customStyle="1" w:styleId="260">
    <w:name w:val="标题 6 Char"/>
    <w:basedOn w:val="53"/>
    <w:qFormat/>
    <w:uiPriority w:val="9"/>
    <w:rPr>
      <w:rFonts w:asciiTheme="majorHAnsi" w:hAnsiTheme="majorHAnsi" w:eastAsiaTheme="majorEastAsia" w:cstheme="majorBidi"/>
      <w:b/>
      <w:bCs/>
      <w:kern w:val="2"/>
      <w:sz w:val="24"/>
      <w:szCs w:val="24"/>
    </w:rPr>
  </w:style>
  <w:style w:type="character" w:customStyle="1" w:styleId="261">
    <w:name w:val="标题 7 Char"/>
    <w:basedOn w:val="53"/>
    <w:qFormat/>
    <w:uiPriority w:val="9"/>
    <w:rPr>
      <w:b/>
      <w:bCs/>
      <w:kern w:val="2"/>
      <w:sz w:val="24"/>
      <w:szCs w:val="24"/>
    </w:rPr>
  </w:style>
  <w:style w:type="character" w:customStyle="1" w:styleId="262">
    <w:name w:val="标题 8 Char"/>
    <w:basedOn w:val="53"/>
    <w:qFormat/>
    <w:uiPriority w:val="9"/>
    <w:rPr>
      <w:rFonts w:asciiTheme="majorHAnsi" w:hAnsiTheme="majorHAnsi" w:eastAsiaTheme="majorEastAsia" w:cstheme="majorBidi"/>
      <w:kern w:val="2"/>
      <w:sz w:val="24"/>
      <w:szCs w:val="24"/>
    </w:rPr>
  </w:style>
  <w:style w:type="character" w:customStyle="1" w:styleId="263">
    <w:name w:val="标题 9 Char"/>
    <w:basedOn w:val="53"/>
    <w:qFormat/>
    <w:uiPriority w:val="0"/>
    <w:rPr>
      <w:rFonts w:asciiTheme="majorHAnsi" w:hAnsiTheme="majorHAnsi" w:eastAsiaTheme="majorEastAsia" w:cstheme="majorBidi"/>
      <w:kern w:val="2"/>
      <w:sz w:val="21"/>
      <w:szCs w:val="21"/>
    </w:rPr>
  </w:style>
  <w:style w:type="paragraph" w:customStyle="1" w:styleId="264">
    <w:name w:val="！表格内容"/>
    <w:basedOn w:val="1"/>
    <w:qFormat/>
    <w:uiPriority w:val="0"/>
    <w:pPr>
      <w:spacing w:line="320" w:lineRule="atLeast"/>
    </w:pPr>
  </w:style>
  <w:style w:type="character" w:customStyle="1" w:styleId="265">
    <w:name w:val="页眉 Char2"/>
    <w:basedOn w:val="53"/>
    <w:qFormat/>
    <w:uiPriority w:val="99"/>
    <w:rPr>
      <w:rFonts w:ascii="Times New Roman" w:hAnsi="Times New Roman" w:eastAsia="宋体" w:cs="Times New Roman"/>
      <w:sz w:val="18"/>
      <w:szCs w:val="18"/>
    </w:rPr>
  </w:style>
  <w:style w:type="character" w:customStyle="1" w:styleId="266">
    <w:name w:val="页脚 Char1"/>
    <w:basedOn w:val="53"/>
    <w:qFormat/>
    <w:uiPriority w:val="99"/>
    <w:rPr>
      <w:rFonts w:ascii="Times New Roman" w:hAnsi="Times New Roman" w:eastAsia="宋体" w:cs="Times New Roman"/>
      <w:sz w:val="18"/>
      <w:szCs w:val="18"/>
    </w:rPr>
  </w:style>
  <w:style w:type="paragraph" w:customStyle="1" w:styleId="267">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8">
    <w:name w:val="批注文字 字符"/>
    <w:basedOn w:val="53"/>
    <w:qFormat/>
    <w:uiPriority w:val="99"/>
    <w:rPr>
      <w:rFonts w:ascii="Times New Roman" w:hAnsi="Times New Roman" w:eastAsia="宋体" w:cs="Times New Roman"/>
      <w:szCs w:val="24"/>
    </w:rPr>
  </w:style>
  <w:style w:type="character" w:customStyle="1" w:styleId="269">
    <w:name w:val="文档结构图 Char1"/>
    <w:basedOn w:val="53"/>
    <w:qFormat/>
    <w:uiPriority w:val="0"/>
    <w:rPr>
      <w:rFonts w:ascii="宋体" w:hAnsi="Times New Roman" w:eastAsia="宋体" w:cs="Times New Roman"/>
      <w:sz w:val="18"/>
      <w:szCs w:val="18"/>
    </w:rPr>
  </w:style>
  <w:style w:type="character" w:customStyle="1" w:styleId="270">
    <w:name w:val="批注主题 Char1"/>
    <w:basedOn w:val="108"/>
    <w:qFormat/>
    <w:uiPriority w:val="0"/>
    <w:rPr>
      <w:rFonts w:ascii="Times New Roman" w:hAnsi="Times New Roman" w:eastAsia="宋体" w:cs="Times New Roman"/>
      <w:b/>
      <w:bCs/>
      <w:szCs w:val="24"/>
    </w:rPr>
  </w:style>
  <w:style w:type="character" w:customStyle="1" w:styleId="271">
    <w:name w:val="批注框文本 Char1"/>
    <w:basedOn w:val="53"/>
    <w:qFormat/>
    <w:uiPriority w:val="0"/>
    <w:rPr>
      <w:rFonts w:ascii="Times New Roman" w:hAnsi="Times New Roman" w:eastAsia="宋体" w:cs="Times New Roman"/>
      <w:sz w:val="18"/>
      <w:szCs w:val="18"/>
    </w:rPr>
  </w:style>
  <w:style w:type="character" w:customStyle="1" w:styleId="272">
    <w:name w:val="标题 1 Char1"/>
    <w:basedOn w:val="53"/>
    <w:qFormat/>
    <w:uiPriority w:val="0"/>
    <w:rPr>
      <w:b/>
      <w:bCs/>
      <w:kern w:val="44"/>
      <w:sz w:val="44"/>
      <w:szCs w:val="44"/>
    </w:rPr>
  </w:style>
  <w:style w:type="character" w:customStyle="1" w:styleId="273">
    <w:name w:val="标题 2 Char1"/>
    <w:basedOn w:val="53"/>
    <w:qFormat/>
    <w:uiPriority w:val="0"/>
    <w:rPr>
      <w:rFonts w:asciiTheme="majorHAnsi" w:hAnsiTheme="majorHAnsi" w:eastAsiaTheme="majorEastAsia" w:cstheme="majorBidi"/>
      <w:b/>
      <w:bCs/>
      <w:kern w:val="2"/>
      <w:sz w:val="32"/>
      <w:szCs w:val="32"/>
    </w:rPr>
  </w:style>
  <w:style w:type="character" w:customStyle="1" w:styleId="274">
    <w:name w:val="标题 3 Char1"/>
    <w:basedOn w:val="53"/>
    <w:qFormat/>
    <w:uiPriority w:val="99"/>
    <w:rPr>
      <w:rFonts w:ascii="宋体" w:hAnsi="Arial"/>
      <w:b/>
      <w:kern w:val="2"/>
      <w:sz w:val="28"/>
    </w:rPr>
  </w:style>
  <w:style w:type="character" w:customStyle="1" w:styleId="275">
    <w:name w:val="Char Char3"/>
    <w:qFormat/>
    <w:uiPriority w:val="0"/>
    <w:rPr>
      <w:rFonts w:hint="eastAsia" w:ascii="宋体" w:hAnsi="宋体" w:eastAsia="宋体"/>
      <w:kern w:val="2"/>
      <w:sz w:val="21"/>
      <w:szCs w:val="24"/>
      <w:lang w:val="en-US" w:eastAsia="zh-CN" w:bidi="ar-SA"/>
    </w:rPr>
  </w:style>
  <w:style w:type="character" w:customStyle="1" w:styleId="276">
    <w:name w:val="正文－段落 Char Char"/>
    <w:link w:val="277"/>
    <w:qFormat/>
    <w:uiPriority w:val="0"/>
    <w:rPr>
      <w:rFonts w:eastAsia="Times New Roman"/>
      <w:sz w:val="24"/>
      <w:szCs w:val="24"/>
    </w:rPr>
  </w:style>
  <w:style w:type="paragraph" w:customStyle="1" w:styleId="277">
    <w:name w:val="正文－段落"/>
    <w:link w:val="276"/>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8">
    <w:name w:val="纯文本 Char1"/>
    <w:qFormat/>
    <w:uiPriority w:val="0"/>
    <w:rPr>
      <w:rFonts w:ascii="宋体" w:hAnsi="Courier New"/>
      <w:spacing w:val="-8"/>
      <w:kern w:val="2"/>
      <w:sz w:val="24"/>
    </w:rPr>
  </w:style>
  <w:style w:type="character" w:customStyle="1" w:styleId="279">
    <w:name w:val="日期 Char"/>
    <w:qFormat/>
    <w:uiPriority w:val="0"/>
    <w:rPr>
      <w:rFonts w:ascii="宋体" w:hAnsi="宋体"/>
      <w:sz w:val="24"/>
    </w:rPr>
  </w:style>
  <w:style w:type="character" w:customStyle="1" w:styleId="280">
    <w:name w:val="Char Char9"/>
    <w:qFormat/>
    <w:uiPriority w:val="0"/>
    <w:rPr>
      <w:rFonts w:hint="default" w:ascii="Calibri" w:hAnsi="Calibri" w:eastAsia="宋体"/>
      <w:sz w:val="18"/>
      <w:szCs w:val="18"/>
      <w:lang w:bidi="ar-SA"/>
    </w:rPr>
  </w:style>
  <w:style w:type="character" w:customStyle="1" w:styleId="281">
    <w:name w:val="Char Char17"/>
    <w:qFormat/>
    <w:uiPriority w:val="0"/>
    <w:rPr>
      <w:rFonts w:hint="eastAsia" w:ascii="仿宋_GB2312" w:hAnsi="Calibri" w:eastAsia="仿宋_GB2312"/>
      <w:b/>
      <w:bCs/>
      <w:color w:val="000000"/>
      <w:kern w:val="2"/>
      <w:sz w:val="32"/>
      <w:szCs w:val="32"/>
      <w:lang w:bidi="ar-SA"/>
    </w:rPr>
  </w:style>
  <w:style w:type="character" w:customStyle="1" w:styleId="282">
    <w:name w:val="HTML 预设格式 Char"/>
    <w:qFormat/>
    <w:uiPriority w:val="0"/>
    <w:rPr>
      <w:rFonts w:ascii="黑体" w:hAnsi="Courier New" w:eastAsia="黑体" w:cs="Courier New"/>
    </w:rPr>
  </w:style>
  <w:style w:type="character" w:customStyle="1" w:styleId="283">
    <w:name w:val="1.5倍行距 Char Char"/>
    <w:link w:val="284"/>
    <w:qFormat/>
    <w:uiPriority w:val="0"/>
    <w:rPr>
      <w:kern w:val="2"/>
      <w:sz w:val="21"/>
      <w:szCs w:val="24"/>
    </w:rPr>
  </w:style>
  <w:style w:type="paragraph" w:customStyle="1" w:styleId="284">
    <w:name w:val="1.5倍行距"/>
    <w:basedOn w:val="1"/>
    <w:link w:val="283"/>
    <w:qFormat/>
    <w:uiPriority w:val="0"/>
    <w:pPr>
      <w:spacing w:line="360" w:lineRule="auto"/>
      <w:ind w:firstLine="420"/>
    </w:pPr>
  </w:style>
  <w:style w:type="character" w:customStyle="1" w:styleId="285">
    <w:name w:val="H2 Char1"/>
    <w:qFormat/>
    <w:uiPriority w:val="0"/>
    <w:rPr>
      <w:rFonts w:ascii="Cambria" w:hAnsi="Cambria"/>
      <w:b/>
      <w:bCs/>
      <w:sz w:val="32"/>
      <w:szCs w:val="32"/>
    </w:rPr>
  </w:style>
  <w:style w:type="character" w:customStyle="1" w:styleId="286">
    <w:name w:val="Char Char4"/>
    <w:qFormat/>
    <w:uiPriority w:val="0"/>
    <w:rPr>
      <w:rFonts w:hint="default" w:ascii="Calibri" w:hAnsi="Calibri" w:eastAsia="宋体"/>
      <w:kern w:val="2"/>
      <w:sz w:val="21"/>
      <w:szCs w:val="22"/>
      <w:lang w:val="en-US" w:eastAsia="zh-CN" w:bidi="ar-SA"/>
    </w:rPr>
  </w:style>
  <w:style w:type="character" w:customStyle="1" w:styleId="287">
    <w:name w:val="正文文本缩进 2 Char"/>
    <w:qFormat/>
    <w:uiPriority w:val="0"/>
    <w:rPr>
      <w:kern w:val="2"/>
      <w:sz w:val="21"/>
    </w:rPr>
  </w:style>
  <w:style w:type="character" w:customStyle="1" w:styleId="288">
    <w:name w:val="签名 Char1"/>
    <w:link w:val="35"/>
    <w:qFormat/>
    <w:uiPriority w:val="0"/>
    <w:rPr>
      <w:rFonts w:eastAsia="楷体_GB2312"/>
      <w:kern w:val="2"/>
      <w:sz w:val="21"/>
    </w:rPr>
  </w:style>
  <w:style w:type="character" w:customStyle="1" w:styleId="289">
    <w:name w:val="标题2 Char"/>
    <w:link w:val="290"/>
    <w:qFormat/>
    <w:uiPriority w:val="0"/>
    <w:rPr>
      <w:rFonts w:ascii="仿宋" w:hAnsi="仿宋" w:eastAsia="仿宋"/>
      <w:b/>
      <w:bCs/>
      <w:color w:val="000000"/>
      <w:kern w:val="2"/>
      <w:sz w:val="24"/>
      <w:szCs w:val="24"/>
    </w:rPr>
  </w:style>
  <w:style w:type="paragraph" w:customStyle="1" w:styleId="290">
    <w:name w:val="标题2"/>
    <w:basedOn w:val="291"/>
    <w:link w:val="289"/>
    <w:qFormat/>
    <w:uiPriority w:val="0"/>
    <w:pPr>
      <w:tabs>
        <w:tab w:val="left" w:pos="425"/>
        <w:tab w:val="left" w:pos="709"/>
        <w:tab w:val="left" w:pos="851"/>
        <w:tab w:val="left" w:pos="1419"/>
      </w:tabs>
    </w:pPr>
    <w:rPr>
      <w:szCs w:val="24"/>
    </w:rPr>
  </w:style>
  <w:style w:type="paragraph" w:customStyle="1" w:styleId="291">
    <w:name w:val="三级"/>
    <w:basedOn w:val="4"/>
    <w:link w:val="292"/>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2">
    <w:name w:val="三级 Char"/>
    <w:link w:val="291"/>
    <w:qFormat/>
    <w:uiPriority w:val="0"/>
    <w:rPr>
      <w:rFonts w:ascii="仿宋" w:hAnsi="仿宋" w:eastAsia="仿宋"/>
      <w:b/>
      <w:bCs/>
      <w:color w:val="000000"/>
      <w:kern w:val="2"/>
      <w:sz w:val="32"/>
      <w:szCs w:val="32"/>
    </w:rPr>
  </w:style>
  <w:style w:type="character" w:customStyle="1" w:styleId="293">
    <w:name w:val="正文首行缩进 2 Char"/>
    <w:link w:val="50"/>
    <w:qFormat/>
    <w:uiPriority w:val="0"/>
    <w:rPr>
      <w:sz w:val="24"/>
      <w:szCs w:val="24"/>
    </w:rPr>
  </w:style>
  <w:style w:type="character" w:customStyle="1" w:styleId="294">
    <w:name w:val="正文首行缩进 Char Char Char1"/>
    <w:qFormat/>
    <w:uiPriority w:val="0"/>
    <w:rPr>
      <w:rFonts w:ascii="Times New Roman" w:hAnsi="Times New Roman"/>
      <w:kern w:val="2"/>
      <w:sz w:val="24"/>
      <w:szCs w:val="24"/>
    </w:rPr>
  </w:style>
  <w:style w:type="character" w:customStyle="1" w:styleId="295">
    <w:name w:val="标题 Char1"/>
    <w:qFormat/>
    <w:uiPriority w:val="0"/>
    <w:rPr>
      <w:rFonts w:ascii="Arial" w:hAnsi="Arial"/>
      <w:b/>
      <w:kern w:val="2"/>
      <w:sz w:val="36"/>
      <w:szCs w:val="24"/>
    </w:rPr>
  </w:style>
  <w:style w:type="character" w:customStyle="1" w:styleId="296">
    <w:name w:val="正文文本 字符"/>
    <w:qFormat/>
    <w:uiPriority w:val="0"/>
    <w:rPr>
      <w:rFonts w:eastAsia="宋体"/>
      <w:kern w:val="2"/>
      <w:sz w:val="21"/>
      <w:szCs w:val="24"/>
      <w:lang w:bidi="ar-SA"/>
    </w:rPr>
  </w:style>
  <w:style w:type="character" w:customStyle="1" w:styleId="297">
    <w:name w:val="正文文本缩进 Char"/>
    <w:qFormat/>
    <w:uiPriority w:val="0"/>
    <w:rPr>
      <w:kern w:val="2"/>
      <w:sz w:val="24"/>
    </w:rPr>
  </w:style>
  <w:style w:type="character" w:customStyle="1" w:styleId="298">
    <w:name w:val="题注 Char1"/>
    <w:link w:val="17"/>
    <w:qFormat/>
    <w:uiPriority w:val="0"/>
    <w:rPr>
      <w:rFonts w:ascii="Cambria" w:hAnsi="Cambria" w:eastAsia="黑体"/>
      <w:kern w:val="2"/>
      <w:sz w:val="21"/>
      <w:szCs w:val="24"/>
    </w:rPr>
  </w:style>
  <w:style w:type="character" w:customStyle="1" w:styleId="299">
    <w:name w:val="bt Char1"/>
    <w:qFormat/>
    <w:uiPriority w:val="0"/>
    <w:rPr>
      <w:rFonts w:ascii="Times New Roman" w:hAnsi="Times New Roman"/>
      <w:kern w:val="2"/>
      <w:sz w:val="24"/>
      <w:szCs w:val="24"/>
    </w:rPr>
  </w:style>
  <w:style w:type="character" w:customStyle="1" w:styleId="300">
    <w:name w:val="Char Char18"/>
    <w:qFormat/>
    <w:uiPriority w:val="0"/>
    <w:rPr>
      <w:rFonts w:hint="default" w:ascii="Cambria" w:hAnsi="Cambria" w:eastAsia="宋体"/>
      <w:b/>
      <w:bCs/>
      <w:sz w:val="32"/>
      <w:szCs w:val="32"/>
      <w:lang w:bidi="ar-SA"/>
    </w:rPr>
  </w:style>
  <w:style w:type="character" w:customStyle="1" w:styleId="301">
    <w:name w:val="四级 Char"/>
    <w:link w:val="302"/>
    <w:qFormat/>
    <w:uiPriority w:val="0"/>
    <w:rPr>
      <w:rFonts w:ascii="仿宋" w:hAnsi="仿宋" w:eastAsia="仿宋"/>
      <w:bCs/>
      <w:kern w:val="2"/>
      <w:sz w:val="32"/>
      <w:szCs w:val="32"/>
    </w:rPr>
  </w:style>
  <w:style w:type="paragraph" w:customStyle="1" w:styleId="302">
    <w:name w:val="四级"/>
    <w:basedOn w:val="6"/>
    <w:link w:val="301"/>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3">
    <w:name w:val="cnfont1"/>
    <w:basedOn w:val="53"/>
    <w:qFormat/>
    <w:uiPriority w:val="0"/>
  </w:style>
  <w:style w:type="character" w:customStyle="1" w:styleId="304">
    <w:name w:val="p141"/>
    <w:qFormat/>
    <w:uiPriority w:val="0"/>
    <w:rPr>
      <w:sz w:val="21"/>
      <w:szCs w:val="21"/>
    </w:rPr>
  </w:style>
  <w:style w:type="character" w:customStyle="1" w:styleId="305">
    <w:name w:val="正文文本缩进 3 Char"/>
    <w:qFormat/>
    <w:uiPriority w:val="0"/>
    <w:rPr>
      <w:kern w:val="2"/>
      <w:sz w:val="21"/>
    </w:rPr>
  </w:style>
  <w:style w:type="character" w:customStyle="1" w:styleId="306">
    <w:name w:val="Char Char13"/>
    <w:qFormat/>
    <w:uiPriority w:val="0"/>
    <w:rPr>
      <w:rFonts w:ascii="Cambria" w:hAnsi="Cambria" w:eastAsia="宋体"/>
      <w:sz w:val="24"/>
      <w:szCs w:val="24"/>
      <w:lang w:bidi="ar-SA"/>
    </w:rPr>
  </w:style>
  <w:style w:type="character" w:customStyle="1" w:styleId="307">
    <w:name w:val="正文文本 2 Char1"/>
    <w:link w:val="45"/>
    <w:qFormat/>
    <w:uiPriority w:val="0"/>
    <w:rPr>
      <w:kern w:val="2"/>
      <w:sz w:val="28"/>
    </w:rPr>
  </w:style>
  <w:style w:type="character" w:customStyle="1" w:styleId="308">
    <w:name w:val="Char Char5"/>
    <w:qFormat/>
    <w:uiPriority w:val="0"/>
    <w:rPr>
      <w:rFonts w:ascii="宋体" w:hAnsi="宋体" w:eastAsia="宋体"/>
      <w:b/>
      <w:bCs/>
      <w:szCs w:val="24"/>
      <w:lang w:bidi="ar-SA"/>
    </w:rPr>
  </w:style>
  <w:style w:type="character" w:customStyle="1" w:styleId="309">
    <w:name w:val="正文文本 2 Char"/>
    <w:qFormat/>
    <w:uiPriority w:val="0"/>
    <w:rPr>
      <w:kern w:val="2"/>
      <w:sz w:val="28"/>
    </w:rPr>
  </w:style>
  <w:style w:type="character" w:customStyle="1" w:styleId="310">
    <w:name w:val="Char Char6"/>
    <w:qFormat/>
    <w:uiPriority w:val="0"/>
    <w:rPr>
      <w:rFonts w:ascii="宋体" w:hAnsi="宋体" w:eastAsia="宋体"/>
      <w:szCs w:val="24"/>
      <w:lang w:bidi="ar-SA"/>
    </w:rPr>
  </w:style>
  <w:style w:type="character" w:customStyle="1" w:styleId="311">
    <w:name w:val="Char Char15"/>
    <w:qFormat/>
    <w:uiPriority w:val="0"/>
    <w:rPr>
      <w:rFonts w:hint="default" w:ascii="Cambria" w:hAnsi="Cambria" w:eastAsia="宋体"/>
      <w:b/>
      <w:bCs/>
      <w:sz w:val="24"/>
      <w:szCs w:val="24"/>
      <w:lang w:bidi="ar-SA"/>
    </w:rPr>
  </w:style>
  <w:style w:type="character" w:customStyle="1" w:styleId="312">
    <w:name w:val="H4 Char"/>
    <w:qFormat/>
    <w:uiPriority w:val="0"/>
    <w:rPr>
      <w:rFonts w:ascii="Cambria" w:hAnsi="Cambria" w:eastAsia="仿宋_GB2312"/>
      <w:b/>
      <w:bCs/>
      <w:sz w:val="32"/>
      <w:szCs w:val="28"/>
    </w:rPr>
  </w:style>
  <w:style w:type="character" w:customStyle="1" w:styleId="313">
    <w:name w:val="Char Char20"/>
    <w:qFormat/>
    <w:uiPriority w:val="0"/>
    <w:rPr>
      <w:rFonts w:eastAsia="宋体"/>
      <w:b/>
      <w:kern w:val="2"/>
      <w:sz w:val="28"/>
      <w:lang w:bidi="ar-SA"/>
    </w:rPr>
  </w:style>
  <w:style w:type="character" w:customStyle="1" w:styleId="314">
    <w:name w:val="正文文本缩进 3 Char1"/>
    <w:link w:val="42"/>
    <w:qFormat/>
    <w:uiPriority w:val="0"/>
    <w:rPr>
      <w:kern w:val="2"/>
      <w:sz w:val="21"/>
    </w:rPr>
  </w:style>
  <w:style w:type="character" w:customStyle="1" w:styleId="315">
    <w:name w:val="Char Char16"/>
    <w:qFormat/>
    <w:uiPriority w:val="0"/>
    <w:rPr>
      <w:rFonts w:hint="eastAsia" w:ascii="仿宋_GB2313" w:hAnsi="仿宋_GB2313" w:eastAsia="仿宋_GB2312"/>
      <w:b/>
      <w:bCs/>
      <w:sz w:val="32"/>
      <w:szCs w:val="28"/>
      <w:lang w:bidi="ar-SA"/>
    </w:rPr>
  </w:style>
  <w:style w:type="character" w:customStyle="1" w:styleId="316">
    <w:name w:val="Char Char7"/>
    <w:qFormat/>
    <w:uiPriority w:val="0"/>
    <w:rPr>
      <w:rFonts w:ascii="宋体" w:hAnsi="宋体" w:eastAsia="宋体"/>
      <w:sz w:val="24"/>
      <w:szCs w:val="24"/>
      <w:lang w:bidi="ar-SA"/>
    </w:rPr>
  </w:style>
  <w:style w:type="character" w:customStyle="1" w:styleId="317">
    <w:name w:val="日期 Char1"/>
    <w:link w:val="30"/>
    <w:qFormat/>
    <w:uiPriority w:val="0"/>
    <w:rPr>
      <w:rFonts w:ascii="宋体" w:hAnsi="宋体"/>
      <w:kern w:val="2"/>
      <w:sz w:val="24"/>
      <w:szCs w:val="24"/>
    </w:rPr>
  </w:style>
  <w:style w:type="character" w:customStyle="1" w:styleId="318">
    <w:name w:val="Char Char12"/>
    <w:qFormat/>
    <w:uiPriority w:val="0"/>
    <w:rPr>
      <w:rFonts w:hint="default" w:ascii="Cambria" w:hAnsi="Cambria" w:eastAsia="宋体"/>
      <w:szCs w:val="21"/>
      <w:lang w:bidi="ar-SA"/>
    </w:rPr>
  </w:style>
  <w:style w:type="character" w:customStyle="1" w:styleId="319">
    <w:name w:val="标题 4 Char"/>
    <w:qFormat/>
    <w:uiPriority w:val="0"/>
    <w:rPr>
      <w:rFonts w:ascii="Arial" w:hAnsi="Arial" w:eastAsia="黑体"/>
      <w:b/>
      <w:kern w:val="2"/>
      <w:sz w:val="24"/>
    </w:rPr>
  </w:style>
  <w:style w:type="character" w:customStyle="1" w:styleId="320">
    <w:name w:val="Char Char2"/>
    <w:qFormat/>
    <w:uiPriority w:val="0"/>
    <w:rPr>
      <w:rFonts w:ascii="宋体" w:hAnsi="宋体" w:eastAsia="宋体"/>
      <w:kern w:val="2"/>
      <w:sz w:val="24"/>
      <w:szCs w:val="24"/>
      <w:lang w:val="en-US" w:eastAsia="zh-CN" w:bidi="ar-SA"/>
    </w:rPr>
  </w:style>
  <w:style w:type="character" w:customStyle="1" w:styleId="321">
    <w:name w:val="*正文 Char"/>
    <w:link w:val="322"/>
    <w:qFormat/>
    <w:uiPriority w:val="0"/>
    <w:rPr>
      <w:rFonts w:ascii="宋体" w:hAnsi="宋体"/>
      <w:sz w:val="24"/>
      <w:szCs w:val="24"/>
    </w:rPr>
  </w:style>
  <w:style w:type="paragraph" w:customStyle="1" w:styleId="322">
    <w:name w:val="*正文"/>
    <w:basedOn w:val="1"/>
    <w:link w:val="321"/>
    <w:qFormat/>
    <w:uiPriority w:val="0"/>
    <w:pPr>
      <w:spacing w:line="360" w:lineRule="auto"/>
      <w:ind w:firstLine="200" w:firstLineChars="200"/>
    </w:pPr>
    <w:rPr>
      <w:rFonts w:ascii="宋体" w:hAnsi="宋体"/>
      <w:kern w:val="0"/>
      <w:sz w:val="24"/>
    </w:rPr>
  </w:style>
  <w:style w:type="character" w:customStyle="1" w:styleId="323">
    <w:name w:val="页脚 字符1"/>
    <w:qFormat/>
    <w:uiPriority w:val="0"/>
    <w:rPr>
      <w:rFonts w:eastAsia="宋体"/>
      <w:kern w:val="2"/>
      <w:sz w:val="18"/>
      <w:lang w:bidi="ar-SA"/>
    </w:rPr>
  </w:style>
  <w:style w:type="character" w:customStyle="1" w:styleId="324">
    <w:name w:val="GP正文[858D7CFB-ED40-4347-BF05-701D383B685F]"/>
    <w:link w:val="325"/>
    <w:qFormat/>
    <w:uiPriority w:val="0"/>
    <w:rPr>
      <w:rFonts w:ascii="宋体" w:hAnsi="宋体"/>
      <w:kern w:val="2"/>
      <w:sz w:val="24"/>
      <w:szCs w:val="24"/>
    </w:rPr>
  </w:style>
  <w:style w:type="paragraph" w:customStyle="1" w:styleId="325">
    <w:name w:val="GP正文"/>
    <w:basedOn w:val="1"/>
    <w:link w:val="324"/>
    <w:qFormat/>
    <w:uiPriority w:val="0"/>
    <w:pPr>
      <w:spacing w:line="360" w:lineRule="auto"/>
      <w:ind w:firstLine="200" w:firstLineChars="200"/>
      <w:jc w:val="left"/>
    </w:pPr>
    <w:rPr>
      <w:rFonts w:ascii="宋体" w:hAnsi="宋体"/>
      <w:sz w:val="24"/>
    </w:rPr>
  </w:style>
  <w:style w:type="character" w:customStyle="1" w:styleId="326">
    <w:name w:val="Char Char14"/>
    <w:qFormat/>
    <w:uiPriority w:val="0"/>
    <w:rPr>
      <w:rFonts w:ascii="Calibri" w:hAnsi="Calibri" w:eastAsia="宋体"/>
      <w:b/>
      <w:bCs/>
      <w:sz w:val="24"/>
      <w:szCs w:val="24"/>
      <w:lang w:bidi="ar-SA"/>
    </w:rPr>
  </w:style>
  <w:style w:type="character" w:customStyle="1" w:styleId="327">
    <w:name w:val="Char Char19"/>
    <w:qFormat/>
    <w:uiPriority w:val="0"/>
    <w:rPr>
      <w:rFonts w:ascii="Arial" w:hAnsi="Arial" w:eastAsia="黑体"/>
      <w:b/>
      <w:kern w:val="2"/>
      <w:sz w:val="24"/>
      <w:lang w:bidi="ar-SA"/>
    </w:rPr>
  </w:style>
  <w:style w:type="character" w:customStyle="1" w:styleId="328">
    <w:name w:val="正文文本 Char1"/>
    <w:qFormat/>
    <w:uiPriority w:val="0"/>
    <w:rPr>
      <w:kern w:val="2"/>
      <w:sz w:val="21"/>
      <w:szCs w:val="24"/>
    </w:rPr>
  </w:style>
  <w:style w:type="character" w:customStyle="1" w:styleId="329">
    <w:name w:val="二级 Char"/>
    <w:link w:val="330"/>
    <w:qFormat/>
    <w:uiPriority w:val="0"/>
    <w:rPr>
      <w:rFonts w:ascii="仿宋" w:hAnsi="仿宋" w:eastAsia="仿宋"/>
      <w:b/>
      <w:bCs/>
      <w:spacing w:val="24"/>
      <w:kern w:val="2"/>
      <w:sz w:val="32"/>
      <w:szCs w:val="32"/>
    </w:rPr>
  </w:style>
  <w:style w:type="paragraph" w:customStyle="1" w:styleId="330">
    <w:name w:val="二级"/>
    <w:basedOn w:val="5"/>
    <w:link w:val="329"/>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1">
    <w:name w:val="签名 Char"/>
    <w:qFormat/>
    <w:uiPriority w:val="0"/>
    <w:rPr>
      <w:rFonts w:eastAsia="楷体_GB2312"/>
      <w:kern w:val="2"/>
      <w:sz w:val="21"/>
    </w:rPr>
  </w:style>
  <w:style w:type="character" w:customStyle="1" w:styleId="332">
    <w:name w:val="Char Char"/>
    <w:qFormat/>
    <w:uiPriority w:val="0"/>
    <w:rPr>
      <w:rFonts w:hint="eastAsia" w:ascii="宋体" w:hAnsi="Courier New" w:eastAsia="宋体"/>
      <w:spacing w:val="-8"/>
      <w:kern w:val="2"/>
      <w:sz w:val="24"/>
      <w:lang w:val="en-US" w:eastAsia="zh-CN" w:bidi="ar-SA"/>
    </w:rPr>
  </w:style>
  <w:style w:type="character" w:customStyle="1" w:styleId="333">
    <w:name w:val="Char Char11"/>
    <w:qFormat/>
    <w:uiPriority w:val="0"/>
    <w:rPr>
      <w:rFonts w:hint="default" w:ascii="Calibri" w:hAnsi="Calibri" w:eastAsia="宋体"/>
      <w:sz w:val="18"/>
      <w:szCs w:val="18"/>
      <w:lang w:bidi="ar-SA"/>
    </w:rPr>
  </w:style>
  <w:style w:type="character" w:customStyle="1" w:styleId="334">
    <w:name w:val="页眉 字符1"/>
    <w:qFormat/>
    <w:uiPriority w:val="0"/>
    <w:rPr>
      <w:rFonts w:eastAsia="宋体"/>
      <w:kern w:val="2"/>
      <w:sz w:val="18"/>
      <w:szCs w:val="18"/>
      <w:lang w:bidi="ar-SA"/>
    </w:rPr>
  </w:style>
  <w:style w:type="character" w:customStyle="1" w:styleId="335">
    <w:name w:val="正文首行缩进 Char1"/>
    <w:qFormat/>
    <w:uiPriority w:val="0"/>
    <w:rPr>
      <w:kern w:val="2"/>
      <w:sz w:val="21"/>
    </w:rPr>
  </w:style>
  <w:style w:type="character" w:customStyle="1" w:styleId="336">
    <w:name w:val="页眉 Char1"/>
    <w:qFormat/>
    <w:uiPriority w:val="0"/>
    <w:rPr>
      <w:rFonts w:eastAsia="宋体"/>
      <w:kern w:val="2"/>
      <w:sz w:val="18"/>
      <w:szCs w:val="18"/>
      <w:lang w:val="en-US" w:eastAsia="zh-CN" w:bidi="ar-SA"/>
    </w:rPr>
  </w:style>
  <w:style w:type="character" w:customStyle="1" w:styleId="337">
    <w:name w:val="题注 Char"/>
    <w:qFormat/>
    <w:uiPriority w:val="0"/>
    <w:rPr>
      <w:rFonts w:ascii="Cambria" w:hAnsi="Cambria" w:eastAsia="黑体"/>
      <w:kern w:val="2"/>
      <w:lang w:bidi="ar-SA"/>
    </w:rPr>
  </w:style>
  <w:style w:type="character" w:customStyle="1" w:styleId="338">
    <w:name w:val="样式 标题 3 + 小四 Char"/>
    <w:qFormat/>
    <w:uiPriority w:val="0"/>
    <w:rPr>
      <w:rFonts w:ascii="宋体" w:hAnsi="宋体" w:cs="Arial"/>
      <w:b/>
      <w:bCs/>
      <w:smallCaps/>
      <w:sz w:val="24"/>
      <w:lang w:val="en-US" w:eastAsia="zh-CN"/>
    </w:rPr>
  </w:style>
  <w:style w:type="character" w:customStyle="1" w:styleId="339">
    <w:name w:val="unnamed21"/>
    <w:qFormat/>
    <w:uiPriority w:val="0"/>
    <w:rPr>
      <w:color w:val="CC6633"/>
      <w:u w:val="none"/>
    </w:rPr>
  </w:style>
  <w:style w:type="character" w:customStyle="1" w:styleId="340">
    <w:name w:val="16"/>
    <w:qFormat/>
    <w:uiPriority w:val="0"/>
    <w:rPr>
      <w:rFonts w:hint="eastAsia" w:ascii="宋体" w:hAnsi="宋体" w:eastAsia="宋体" w:cs="Arial"/>
      <w:b/>
      <w:bCs/>
      <w:smallCaps/>
      <w:kern w:val="2"/>
      <w:sz w:val="24"/>
      <w:szCs w:val="24"/>
    </w:rPr>
  </w:style>
  <w:style w:type="character" w:customStyle="1" w:styleId="341">
    <w:name w:val="正文文本缩进 字符"/>
    <w:qFormat/>
    <w:uiPriority w:val="0"/>
    <w:rPr>
      <w:rFonts w:eastAsia="宋体"/>
      <w:kern w:val="2"/>
      <w:sz w:val="24"/>
      <w:lang w:bidi="ar-SA"/>
    </w:rPr>
  </w:style>
  <w:style w:type="character" w:customStyle="1" w:styleId="342">
    <w:name w:val="Char Char8"/>
    <w:qFormat/>
    <w:uiPriority w:val="0"/>
    <w:rPr>
      <w:rFonts w:hint="default" w:ascii="Calibri" w:hAnsi="Calibri" w:eastAsia="宋体"/>
      <w:kern w:val="2"/>
      <w:sz w:val="21"/>
      <w:szCs w:val="22"/>
      <w:lang w:val="en-US" w:eastAsia="zh-CN" w:bidi="ar-SA"/>
    </w:rPr>
  </w:style>
  <w:style w:type="character" w:customStyle="1" w:styleId="343">
    <w:name w:val="H3 Char1"/>
    <w:qFormat/>
    <w:uiPriority w:val="0"/>
    <w:rPr>
      <w:rFonts w:ascii="仿宋_GB2312" w:eastAsia="仿宋_GB2312"/>
      <w:b/>
      <w:bCs/>
      <w:color w:val="000000"/>
      <w:kern w:val="2"/>
      <w:sz w:val="32"/>
      <w:szCs w:val="32"/>
    </w:rPr>
  </w:style>
  <w:style w:type="character" w:customStyle="1" w:styleId="344">
    <w:name w:val="Char Char1"/>
    <w:qFormat/>
    <w:uiPriority w:val="0"/>
    <w:rPr>
      <w:rFonts w:hint="eastAsia" w:ascii="宋体" w:hAnsi="宋体" w:eastAsia="宋体"/>
      <w:kern w:val="2"/>
      <w:sz w:val="21"/>
      <w:szCs w:val="24"/>
      <w:lang w:val="en-US" w:eastAsia="zh-CN" w:bidi="ar-SA"/>
    </w:rPr>
  </w:style>
  <w:style w:type="character" w:customStyle="1" w:styleId="345">
    <w:name w:val="Char Char10"/>
    <w:qFormat/>
    <w:uiPriority w:val="0"/>
    <w:rPr>
      <w:rFonts w:eastAsia="宋体"/>
      <w:kern w:val="2"/>
      <w:sz w:val="18"/>
      <w:szCs w:val="18"/>
      <w:lang w:val="en-US" w:eastAsia="zh-CN" w:bidi="ar-SA"/>
    </w:rPr>
  </w:style>
  <w:style w:type="character" w:customStyle="1" w:styleId="346">
    <w:name w:val="文档正文 Char"/>
    <w:link w:val="347"/>
    <w:qFormat/>
    <w:uiPriority w:val="0"/>
    <w:rPr>
      <w:rFonts w:ascii="Arial" w:hAnsi="Arial" w:cs="Arial"/>
      <w:bCs/>
      <w:kern w:val="2"/>
      <w:sz w:val="24"/>
      <w:szCs w:val="24"/>
    </w:rPr>
  </w:style>
  <w:style w:type="paragraph" w:customStyle="1" w:styleId="347">
    <w:name w:val="文档正文"/>
    <w:basedOn w:val="1"/>
    <w:link w:val="346"/>
    <w:qFormat/>
    <w:uiPriority w:val="99"/>
    <w:rPr>
      <w:rFonts w:ascii="Arial" w:hAnsi="Arial" w:cs="Arial"/>
      <w:bCs/>
      <w:sz w:val="24"/>
    </w:rPr>
  </w:style>
  <w:style w:type="character" w:customStyle="1" w:styleId="348">
    <w:name w:val="正文文本 2 Char2"/>
    <w:basedOn w:val="53"/>
    <w:semiHidden/>
    <w:qFormat/>
    <w:uiPriority w:val="0"/>
    <w:rPr>
      <w:kern w:val="2"/>
      <w:sz w:val="21"/>
      <w:szCs w:val="24"/>
    </w:rPr>
  </w:style>
  <w:style w:type="character" w:customStyle="1" w:styleId="349">
    <w:name w:val="标题 字符1"/>
    <w:basedOn w:val="53"/>
    <w:qFormat/>
    <w:uiPriority w:val="10"/>
    <w:rPr>
      <w:rFonts w:asciiTheme="majorHAnsi" w:hAnsiTheme="majorHAnsi" w:eastAsiaTheme="majorEastAsia" w:cstheme="majorBidi"/>
      <w:b/>
      <w:bCs/>
      <w:kern w:val="2"/>
      <w:sz w:val="32"/>
      <w:szCs w:val="32"/>
    </w:rPr>
  </w:style>
  <w:style w:type="character" w:customStyle="1" w:styleId="350">
    <w:name w:val="正文首行缩进 2 Char1"/>
    <w:basedOn w:val="75"/>
    <w:qFormat/>
    <w:uiPriority w:val="0"/>
    <w:rPr>
      <w:kern w:val="2"/>
      <w:sz w:val="21"/>
      <w:szCs w:val="24"/>
    </w:rPr>
  </w:style>
  <w:style w:type="character" w:customStyle="1" w:styleId="351">
    <w:name w:val="签名 Char2"/>
    <w:basedOn w:val="53"/>
    <w:semiHidden/>
    <w:qFormat/>
    <w:uiPriority w:val="0"/>
    <w:rPr>
      <w:kern w:val="2"/>
      <w:sz w:val="21"/>
      <w:szCs w:val="24"/>
    </w:rPr>
  </w:style>
  <w:style w:type="character" w:customStyle="1" w:styleId="352">
    <w:name w:val="正文文本缩进 3 Char2"/>
    <w:basedOn w:val="53"/>
    <w:semiHidden/>
    <w:qFormat/>
    <w:uiPriority w:val="0"/>
    <w:rPr>
      <w:kern w:val="2"/>
      <w:sz w:val="16"/>
      <w:szCs w:val="16"/>
    </w:rPr>
  </w:style>
  <w:style w:type="character" w:customStyle="1" w:styleId="353">
    <w:name w:val="日期 Char2"/>
    <w:basedOn w:val="53"/>
    <w:semiHidden/>
    <w:qFormat/>
    <w:uiPriority w:val="0"/>
    <w:rPr>
      <w:kern w:val="2"/>
      <w:sz w:val="21"/>
      <w:szCs w:val="24"/>
    </w:rPr>
  </w:style>
  <w:style w:type="paragraph" w:customStyle="1" w:styleId="354">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7">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8">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9">
    <w:name w:val="Table Heading"/>
    <w:basedOn w:val="1"/>
    <w:qFormat/>
    <w:uiPriority w:val="0"/>
    <w:pPr>
      <w:widowControl/>
      <w:jc w:val="center"/>
    </w:pPr>
    <w:rPr>
      <w:rFonts w:ascii="Arial" w:hAnsi="Arial"/>
      <w:b/>
      <w:kern w:val="0"/>
      <w:sz w:val="18"/>
      <w:szCs w:val="20"/>
    </w:rPr>
  </w:style>
  <w:style w:type="paragraph" w:customStyle="1" w:styleId="360">
    <w:name w:val="4"/>
    <w:basedOn w:val="1"/>
    <w:next w:val="1"/>
    <w:qFormat/>
    <w:uiPriority w:val="0"/>
  </w:style>
  <w:style w:type="paragraph" w:customStyle="1" w:styleId="36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2">
    <w:name w:val="--规划正文"/>
    <w:basedOn w:val="1"/>
    <w:qFormat/>
    <w:uiPriority w:val="0"/>
    <w:pPr>
      <w:spacing w:line="360" w:lineRule="auto"/>
      <w:ind w:firstLine="200" w:firstLineChars="200"/>
    </w:pPr>
    <w:rPr>
      <w:szCs w:val="20"/>
    </w:rPr>
  </w:style>
  <w:style w:type="paragraph" w:customStyle="1" w:styleId="363">
    <w:name w:val="样式 标题 5H5dashdsddh5PIM 5口一heading 5Titre5Table label...3"/>
    <w:basedOn w:val="8"/>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4">
    <w:name w:val="修订1"/>
    <w:qFormat/>
    <w:uiPriority w:val="99"/>
    <w:rPr>
      <w:rFonts w:ascii="Times New Roman" w:hAnsi="Times New Roman" w:eastAsia="宋体" w:cs="Times New Roman"/>
      <w:kern w:val="2"/>
      <w:sz w:val="21"/>
      <w:szCs w:val="22"/>
      <w:lang w:val="en-US" w:eastAsia="zh-CN" w:bidi="ar-SA"/>
    </w:rPr>
  </w:style>
  <w:style w:type="paragraph" w:customStyle="1" w:styleId="365">
    <w:name w:val="样式2"/>
    <w:basedOn w:val="27"/>
    <w:qFormat/>
    <w:uiPriority w:val="0"/>
    <w:pPr>
      <w:tabs>
        <w:tab w:val="right" w:leader="dot" w:pos="9458"/>
      </w:tabs>
    </w:pPr>
    <w:rPr>
      <w:rFonts w:ascii="Arial" w:cs="Arial"/>
      <w:i/>
    </w:rPr>
  </w:style>
  <w:style w:type="paragraph" w:customStyle="1" w:styleId="36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7">
    <w:name w:val="l2"/>
    <w:basedOn w:val="1"/>
    <w:qFormat/>
    <w:uiPriority w:val="0"/>
    <w:pPr>
      <w:keepLines/>
      <w:widowControl/>
      <w:spacing w:beforeLines="50" w:afterLines="50" w:line="300" w:lineRule="auto"/>
    </w:pPr>
    <w:rPr>
      <w:rFonts w:ascii="Arial" w:hAnsi="Arial"/>
      <w:bCs/>
    </w:rPr>
  </w:style>
  <w:style w:type="paragraph" w:customStyle="1" w:styleId="368">
    <w:name w:val="样式5"/>
    <w:basedOn w:val="369"/>
    <w:next w:val="369"/>
    <w:qFormat/>
    <w:uiPriority w:val="0"/>
    <w:pPr>
      <w:tabs>
        <w:tab w:val="right" w:leader="dot" w:pos="9458"/>
      </w:tabs>
    </w:pPr>
  </w:style>
  <w:style w:type="paragraph" w:customStyle="1" w:styleId="369">
    <w:name w:val="样式4"/>
    <w:basedOn w:val="36"/>
    <w:qFormat/>
    <w:uiPriority w:val="0"/>
    <w:pPr>
      <w:tabs>
        <w:tab w:val="right" w:leader="dot" w:pos="9458"/>
      </w:tabs>
    </w:pPr>
    <w:rPr>
      <w:b w:val="0"/>
    </w:rPr>
  </w:style>
  <w:style w:type="paragraph" w:customStyle="1" w:styleId="370">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2">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
    <w:name w:val="Table Body"/>
    <w:basedOn w:val="1"/>
    <w:qFormat/>
    <w:uiPriority w:val="0"/>
    <w:pPr>
      <w:widowControl/>
      <w:jc w:val="center"/>
    </w:pPr>
    <w:rPr>
      <w:rFonts w:ascii="Arial" w:hAnsi="Arial"/>
      <w:snapToGrid w:val="0"/>
      <w:kern w:val="0"/>
      <w:sz w:val="18"/>
      <w:szCs w:val="20"/>
    </w:rPr>
  </w:style>
  <w:style w:type="paragraph" w:customStyle="1" w:styleId="375">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6">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8">
    <w:name w:val="签名 - 公司"/>
    <w:basedOn w:val="35"/>
    <w:next w:val="379"/>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9">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80">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3">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4">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5">
    <w:name w:val="正文缩进1"/>
    <w:basedOn w:val="1"/>
    <w:qFormat/>
    <w:uiPriority w:val="0"/>
    <w:pPr>
      <w:ind w:firstLine="567"/>
    </w:pPr>
    <w:rPr>
      <w:spacing w:val="20"/>
      <w:sz w:val="24"/>
      <w:szCs w:val="20"/>
    </w:rPr>
  </w:style>
  <w:style w:type="paragraph" w:customStyle="1" w:styleId="386">
    <w:name w:val="_正文"/>
    <w:basedOn w:val="1"/>
    <w:qFormat/>
    <w:uiPriority w:val="99"/>
    <w:pPr>
      <w:spacing w:line="360" w:lineRule="auto"/>
      <w:ind w:firstLine="200" w:firstLineChars="200"/>
    </w:pPr>
    <w:rPr>
      <w:rFonts w:ascii="宋体" w:hAnsi="宋体"/>
      <w:sz w:val="24"/>
    </w:rPr>
  </w:style>
  <w:style w:type="paragraph" w:customStyle="1" w:styleId="387">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8">
    <w:name w:val="列出段落6"/>
    <w:basedOn w:val="1"/>
    <w:qFormat/>
    <w:uiPriority w:val="0"/>
    <w:pPr>
      <w:ind w:firstLine="420" w:firstLineChars="200"/>
    </w:pPr>
    <w:rPr>
      <w:rFonts w:ascii="仿宋_GB2312" w:eastAsia="仿宋_GB2312" w:cs="宋体"/>
      <w:spacing w:val="6"/>
      <w:sz w:val="30"/>
      <w:szCs w:val="30"/>
    </w:rPr>
  </w:style>
  <w:style w:type="paragraph" w:customStyle="1" w:styleId="389">
    <w:name w:val="_Style 15"/>
    <w:basedOn w:val="1"/>
    <w:qFormat/>
    <w:uiPriority w:val="0"/>
  </w:style>
  <w:style w:type="paragraph" w:customStyle="1" w:styleId="39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1">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2">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3">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4">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5">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7">
    <w:name w:val="样式"/>
    <w:basedOn w:val="1"/>
    <w:next w:val="24"/>
    <w:qFormat/>
    <w:uiPriority w:val="0"/>
    <w:pPr>
      <w:ind w:left="572" w:right="32" w:firstLine="478"/>
    </w:pPr>
    <w:rPr>
      <w:szCs w:val="21"/>
    </w:rPr>
  </w:style>
  <w:style w:type="paragraph" w:customStyle="1" w:styleId="398">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9">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400">
    <w:name w:val="图表"/>
    <w:basedOn w:val="1"/>
    <w:qFormat/>
    <w:uiPriority w:val="0"/>
    <w:pPr>
      <w:spacing w:line="360" w:lineRule="auto"/>
      <w:ind w:hanging="420"/>
      <w:jc w:val="center"/>
    </w:pPr>
    <w:rPr>
      <w:sz w:val="24"/>
      <w:szCs w:val="20"/>
    </w:rPr>
  </w:style>
  <w:style w:type="paragraph" w:customStyle="1" w:styleId="401">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2">
    <w:name w:val="正文_0"/>
    <w:basedOn w:val="1"/>
    <w:qFormat/>
    <w:uiPriority w:val="0"/>
  </w:style>
  <w:style w:type="paragraph" w:customStyle="1" w:styleId="403">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4">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5">
    <w:name w:val="简单回函地址"/>
    <w:basedOn w:val="1"/>
    <w:qFormat/>
    <w:uiPriority w:val="0"/>
  </w:style>
  <w:style w:type="paragraph" w:customStyle="1" w:styleId="40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7">
    <w:name w:val="样式3"/>
    <w:basedOn w:val="27"/>
    <w:qFormat/>
    <w:uiPriority w:val="0"/>
    <w:pPr>
      <w:tabs>
        <w:tab w:val="right" w:leader="dot" w:pos="9458"/>
      </w:tabs>
    </w:pPr>
    <w:rPr>
      <w:i/>
    </w:rPr>
  </w:style>
  <w:style w:type="paragraph" w:customStyle="1" w:styleId="408">
    <w:name w:val="msolistparagraph"/>
    <w:basedOn w:val="1"/>
    <w:qFormat/>
    <w:uiPriority w:val="0"/>
    <w:pPr>
      <w:ind w:firstLine="420" w:firstLineChars="200"/>
    </w:pPr>
    <w:rPr>
      <w:rFonts w:ascii="Calibri" w:hAnsi="Calibri"/>
      <w:szCs w:val="22"/>
    </w:rPr>
  </w:style>
  <w:style w:type="paragraph" w:customStyle="1" w:styleId="409">
    <w:name w:val="Char Char16 Char Char"/>
    <w:basedOn w:val="1"/>
    <w:qFormat/>
    <w:uiPriority w:val="0"/>
    <w:rPr>
      <w:rFonts w:ascii="Tahoma" w:hAnsi="Tahoma"/>
      <w:sz w:val="24"/>
      <w:szCs w:val="20"/>
    </w:rPr>
  </w:style>
  <w:style w:type="paragraph" w:customStyle="1" w:styleId="410">
    <w:name w:val="正文内容"/>
    <w:basedOn w:val="1"/>
    <w:qFormat/>
    <w:uiPriority w:val="0"/>
    <w:rPr>
      <w:rFonts w:ascii="Arial" w:hAnsi="Arial"/>
      <w:spacing w:val="-12"/>
      <w:szCs w:val="20"/>
    </w:rPr>
  </w:style>
  <w:style w:type="paragraph" w:customStyle="1" w:styleId="41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2">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3">
    <w:name w:val="WPSOffice手动目录 1"/>
    <w:qFormat/>
    <w:uiPriority w:val="0"/>
    <w:rPr>
      <w:rFonts w:ascii="Times New Roman" w:hAnsi="Times New Roman" w:eastAsia="宋体" w:cs="Times New Roman"/>
      <w:lang w:val="en-US" w:eastAsia="zh-CN" w:bidi="ar-SA"/>
    </w:rPr>
  </w:style>
  <w:style w:type="paragraph" w:customStyle="1" w:styleId="41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5">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7">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9">
    <w:name w:val="Char1 Char Char Char Char Char Char Char Char"/>
    <w:basedOn w:val="1"/>
    <w:qFormat/>
    <w:uiPriority w:val="0"/>
  </w:style>
  <w:style w:type="paragraph" w:customStyle="1" w:styleId="420">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1">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2">
    <w:name w:val="标题5"/>
    <w:basedOn w:val="1"/>
    <w:qFormat/>
    <w:uiPriority w:val="0"/>
    <w:pPr>
      <w:spacing w:before="120" w:after="120"/>
    </w:pPr>
    <w:rPr>
      <w:rFonts w:ascii="宋体"/>
      <w:b/>
      <w:sz w:val="28"/>
    </w:rPr>
  </w:style>
  <w:style w:type="paragraph" w:customStyle="1" w:styleId="423">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4">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6">
    <w:name w:val="Char4"/>
    <w:basedOn w:val="1"/>
    <w:qFormat/>
    <w:uiPriority w:val="0"/>
    <w:pPr>
      <w:ind w:left="980" w:hanging="420"/>
    </w:pPr>
    <w:rPr>
      <w:sz w:val="24"/>
    </w:rPr>
  </w:style>
  <w:style w:type="paragraph" w:customStyle="1" w:styleId="427">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8">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9">
    <w:name w:val="样式 首行缩进:  0.85 厘米"/>
    <w:basedOn w:val="1"/>
    <w:qFormat/>
    <w:uiPriority w:val="0"/>
    <w:pPr>
      <w:ind w:firstLine="480" w:firstLineChars="200"/>
    </w:pPr>
    <w:rPr>
      <w:rFonts w:cs="宋体"/>
      <w:szCs w:val="20"/>
    </w:rPr>
  </w:style>
  <w:style w:type="paragraph" w:customStyle="1" w:styleId="430">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2">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3">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4">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7">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8">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4">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5">
    <w:name w:val="列出段落 Char"/>
    <w:link w:val="456"/>
    <w:qFormat/>
    <w:uiPriority w:val="34"/>
    <w:rPr>
      <w:kern w:val="2"/>
      <w:sz w:val="21"/>
      <w:szCs w:val="24"/>
    </w:rPr>
  </w:style>
  <w:style w:type="paragraph" w:styleId="456">
    <w:name w:val="List Paragraph"/>
    <w:basedOn w:val="1"/>
    <w:link w:val="455"/>
    <w:qFormat/>
    <w:uiPriority w:val="34"/>
    <w:pPr>
      <w:ind w:firstLine="420" w:firstLineChars="200"/>
    </w:pPr>
  </w:style>
  <w:style w:type="paragraph" w:customStyle="1" w:styleId="457">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8">
    <w:name w:val="评价"/>
    <w:basedOn w:val="1"/>
    <w:qFormat/>
    <w:uiPriority w:val="0"/>
    <w:pPr>
      <w:spacing w:afterLines="20"/>
      <w:ind w:firstLine="1446" w:firstLineChars="200"/>
    </w:pPr>
    <w:rPr>
      <w:rFonts w:ascii="Calibri" w:hAnsi="Calibri"/>
      <w:sz w:val="24"/>
    </w:rPr>
  </w:style>
  <w:style w:type="character" w:customStyle="1" w:styleId="459">
    <w:name w:val="正文文本 3 Char"/>
    <w:basedOn w:val="53"/>
    <w:link w:val="21"/>
    <w:qFormat/>
    <w:uiPriority w:val="0"/>
    <w:rPr>
      <w:kern w:val="2"/>
      <w:sz w:val="16"/>
      <w:szCs w:val="16"/>
    </w:rPr>
  </w:style>
  <w:style w:type="character" w:customStyle="1" w:styleId="460">
    <w:name w:val="content"/>
    <w:basedOn w:val="53"/>
    <w:qFormat/>
    <w:uiPriority w:val="0"/>
  </w:style>
  <w:style w:type="character" w:customStyle="1" w:styleId="461">
    <w:name w:val="ca-3"/>
    <w:basedOn w:val="53"/>
    <w:qFormat/>
    <w:uiPriority w:val="0"/>
  </w:style>
  <w:style w:type="character" w:customStyle="1" w:styleId="462">
    <w:name w:val="textcontents1"/>
    <w:qFormat/>
    <w:uiPriority w:val="0"/>
    <w:rPr>
      <w:rFonts w:hint="default" w:ascii="ˎ̥" w:hAnsi="ˎ̥"/>
      <w:sz w:val="21"/>
      <w:szCs w:val="21"/>
    </w:rPr>
  </w:style>
  <w:style w:type="character" w:customStyle="1" w:styleId="463">
    <w:name w:val="脚注文本 Char1"/>
    <w:qFormat/>
    <w:uiPriority w:val="0"/>
    <w:rPr>
      <w:kern w:val="2"/>
      <w:sz w:val="18"/>
      <w:szCs w:val="18"/>
    </w:rPr>
  </w:style>
  <w:style w:type="character" w:customStyle="1" w:styleId="464">
    <w:name w:val="脚注文本 Char"/>
    <w:link w:val="40"/>
    <w:qFormat/>
    <w:uiPriority w:val="0"/>
    <w:rPr>
      <w:kern w:val="2"/>
      <w:sz w:val="18"/>
      <w:szCs w:val="18"/>
    </w:rPr>
  </w:style>
  <w:style w:type="character" w:customStyle="1" w:styleId="465">
    <w:name w:val="正文首行缩进（绿盟科技） Char"/>
    <w:link w:val="466"/>
    <w:qFormat/>
    <w:uiPriority w:val="0"/>
    <w:rPr>
      <w:rFonts w:ascii="Arial" w:hAnsi="Arial"/>
      <w:szCs w:val="21"/>
    </w:rPr>
  </w:style>
  <w:style w:type="paragraph" w:customStyle="1" w:styleId="466">
    <w:name w:val="正文首行缩进（绿盟科技）"/>
    <w:basedOn w:val="1"/>
    <w:link w:val="465"/>
    <w:qFormat/>
    <w:uiPriority w:val="0"/>
    <w:pPr>
      <w:widowControl/>
      <w:spacing w:after="50" w:line="300" w:lineRule="auto"/>
      <w:ind w:firstLine="200" w:firstLineChars="200"/>
      <w:jc w:val="left"/>
    </w:pPr>
    <w:rPr>
      <w:rFonts w:ascii="Arial" w:hAnsi="Arial"/>
      <w:kern w:val="0"/>
      <w:sz w:val="20"/>
      <w:szCs w:val="21"/>
    </w:rPr>
  </w:style>
  <w:style w:type="character" w:customStyle="1" w:styleId="467">
    <w:name w:val="c lh15"/>
    <w:basedOn w:val="53"/>
    <w:qFormat/>
    <w:uiPriority w:val="0"/>
  </w:style>
  <w:style w:type="character" w:customStyle="1" w:styleId="468">
    <w:name w:val="Char Char21"/>
    <w:qFormat/>
    <w:uiPriority w:val="0"/>
    <w:rPr>
      <w:b/>
      <w:bCs/>
      <w:kern w:val="2"/>
      <w:sz w:val="32"/>
      <w:szCs w:val="32"/>
    </w:rPr>
  </w:style>
  <w:style w:type="character" w:customStyle="1" w:styleId="469">
    <w:name w:val="content1"/>
    <w:qFormat/>
    <w:uiPriority w:val="0"/>
    <w:rPr>
      <w:rFonts w:hint="default" w:ascii="??" w:hAnsi="??"/>
      <w:sz w:val="16"/>
      <w:szCs w:val="16"/>
      <w:u w:val="none"/>
    </w:rPr>
  </w:style>
  <w:style w:type="character" w:customStyle="1" w:styleId="470">
    <w:name w:val="text21"/>
    <w:basedOn w:val="53"/>
    <w:qFormat/>
    <w:uiPriority w:val="0"/>
  </w:style>
  <w:style w:type="character" w:customStyle="1" w:styleId="471">
    <w:name w:val="apple-style-span"/>
    <w:basedOn w:val="53"/>
    <w:qFormat/>
    <w:uiPriority w:val="0"/>
  </w:style>
  <w:style w:type="paragraph" w:customStyle="1" w:styleId="472">
    <w:name w:val="缺省文本"/>
    <w:basedOn w:val="1"/>
    <w:qFormat/>
    <w:uiPriority w:val="0"/>
    <w:pPr>
      <w:autoSpaceDE w:val="0"/>
      <w:autoSpaceDN w:val="0"/>
      <w:adjustRightInd w:val="0"/>
      <w:jc w:val="left"/>
    </w:pPr>
    <w:rPr>
      <w:kern w:val="0"/>
      <w:sz w:val="24"/>
    </w:rPr>
  </w:style>
  <w:style w:type="paragraph" w:customStyle="1" w:styleId="473">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4">
    <w:name w:val="1"/>
    <w:basedOn w:val="1"/>
    <w:next w:val="28"/>
    <w:qFormat/>
    <w:uiPriority w:val="0"/>
    <w:rPr>
      <w:rFonts w:ascii="宋体" w:hAnsi="Courier New"/>
      <w:szCs w:val="20"/>
    </w:rPr>
  </w:style>
  <w:style w:type="paragraph" w:customStyle="1" w:styleId="475">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6">
    <w:name w:val="Char Char Char Char Char Char Char1"/>
    <w:basedOn w:val="1"/>
    <w:qFormat/>
    <w:uiPriority w:val="0"/>
    <w:pPr>
      <w:widowControl/>
      <w:spacing w:after="160" w:line="240" w:lineRule="exact"/>
      <w:jc w:val="left"/>
    </w:pPr>
  </w:style>
  <w:style w:type="paragraph" w:customStyle="1" w:styleId="477">
    <w:name w:val="USE 1"/>
    <w:basedOn w:val="1"/>
    <w:qFormat/>
    <w:uiPriority w:val="0"/>
    <w:pPr>
      <w:spacing w:line="200" w:lineRule="atLeast"/>
      <w:jc w:val="left"/>
    </w:pPr>
    <w:rPr>
      <w:rFonts w:ascii="宋体" w:hAnsi="宋体"/>
      <w:b/>
      <w:sz w:val="24"/>
      <w:szCs w:val="28"/>
    </w:rPr>
  </w:style>
  <w:style w:type="paragraph" w:customStyle="1" w:styleId="478">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9">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0">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1">
    <w:name w:val="_Style 54"/>
    <w:basedOn w:val="1"/>
    <w:next w:val="28"/>
    <w:qFormat/>
    <w:uiPriority w:val="0"/>
    <w:rPr>
      <w:rFonts w:ascii="宋体" w:hAnsi="Courier New"/>
      <w:szCs w:val="20"/>
    </w:rPr>
  </w:style>
  <w:style w:type="character" w:customStyle="1" w:styleId="482">
    <w:name w:val="脚注文本 Char2"/>
    <w:basedOn w:val="53"/>
    <w:link w:val="40"/>
    <w:semiHidden/>
    <w:qFormat/>
    <w:uiPriority w:val="0"/>
    <w:rPr>
      <w:kern w:val="2"/>
      <w:sz w:val="18"/>
      <w:szCs w:val="18"/>
    </w:rPr>
  </w:style>
  <w:style w:type="paragraph" w:customStyle="1" w:styleId="483">
    <w:name w:val="_Style 56"/>
    <w:basedOn w:val="1"/>
    <w:next w:val="28"/>
    <w:qFormat/>
    <w:uiPriority w:val="0"/>
    <w:rPr>
      <w:rFonts w:ascii="宋体" w:hAnsi="Courier New"/>
      <w:szCs w:val="20"/>
    </w:rPr>
  </w:style>
  <w:style w:type="paragraph" w:customStyle="1" w:styleId="484">
    <w:name w:val="Char Char Char Char2"/>
    <w:basedOn w:val="1"/>
    <w:qFormat/>
    <w:uiPriority w:val="0"/>
    <w:pPr>
      <w:widowControl/>
      <w:spacing w:after="160" w:line="240" w:lineRule="exact"/>
      <w:jc w:val="center"/>
    </w:pPr>
  </w:style>
  <w:style w:type="paragraph" w:customStyle="1" w:styleId="485">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6">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7">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8">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9">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90">
    <w:name w:val="Char2 Char Char Char Char Char Char"/>
    <w:basedOn w:val="1"/>
    <w:qFormat/>
    <w:uiPriority w:val="0"/>
    <w:pPr>
      <w:widowControl/>
      <w:spacing w:after="160" w:line="240" w:lineRule="exact"/>
      <w:jc w:val="left"/>
    </w:pPr>
  </w:style>
  <w:style w:type="paragraph" w:customStyle="1" w:styleId="491">
    <w:name w:val="_Style 50"/>
    <w:basedOn w:val="1"/>
    <w:next w:val="31"/>
    <w:qFormat/>
    <w:uiPriority w:val="0"/>
    <w:pPr>
      <w:adjustRightInd w:val="0"/>
      <w:snapToGrid w:val="0"/>
      <w:spacing w:line="300" w:lineRule="auto"/>
      <w:ind w:firstLine="630" w:firstLineChars="300"/>
    </w:pPr>
    <w:rPr>
      <w:snapToGrid w:val="0"/>
      <w:kern w:val="0"/>
    </w:rPr>
  </w:style>
  <w:style w:type="paragraph" w:customStyle="1" w:styleId="49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3">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4">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5">
    <w:name w:val="5"/>
    <w:basedOn w:val="1"/>
    <w:next w:val="28"/>
    <w:qFormat/>
    <w:uiPriority w:val="0"/>
    <w:rPr>
      <w:rFonts w:ascii="宋体" w:hAnsi="Courier New"/>
      <w:szCs w:val="20"/>
    </w:rPr>
  </w:style>
  <w:style w:type="paragraph" w:customStyle="1" w:styleId="496">
    <w:name w:val="Char Char Char"/>
    <w:basedOn w:val="1"/>
    <w:qFormat/>
    <w:uiPriority w:val="0"/>
    <w:rPr>
      <w:szCs w:val="20"/>
    </w:rPr>
  </w:style>
  <w:style w:type="paragraph" w:customStyle="1" w:styleId="497">
    <w:name w:val="Char2"/>
    <w:basedOn w:val="1"/>
    <w:qFormat/>
    <w:uiPriority w:val="0"/>
    <w:rPr>
      <w:rFonts w:ascii="Tahoma" w:hAnsi="Tahoma"/>
      <w:sz w:val="24"/>
      <w:szCs w:val="20"/>
    </w:rPr>
  </w:style>
  <w:style w:type="paragraph" w:customStyle="1" w:styleId="498">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9">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50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1">
    <w:name w:val="6"/>
    <w:basedOn w:val="1"/>
    <w:next w:val="28"/>
    <w:qFormat/>
    <w:uiPriority w:val="0"/>
    <w:rPr>
      <w:rFonts w:ascii="宋体" w:hAnsi="Courier New"/>
      <w:szCs w:val="20"/>
    </w:rPr>
  </w:style>
  <w:style w:type="paragraph" w:customStyle="1" w:styleId="502">
    <w:name w:val="2"/>
    <w:basedOn w:val="1"/>
    <w:next w:val="47"/>
    <w:qFormat/>
    <w:uiPriority w:val="0"/>
    <w:pPr>
      <w:widowControl/>
      <w:spacing w:before="100" w:beforeAutospacing="1" w:after="100" w:afterAutospacing="1"/>
      <w:jc w:val="left"/>
    </w:pPr>
    <w:rPr>
      <w:rFonts w:ascii="宋体" w:hAnsi="宋体"/>
      <w:kern w:val="0"/>
      <w:sz w:val="24"/>
    </w:rPr>
  </w:style>
  <w:style w:type="paragraph" w:customStyle="1" w:styleId="503">
    <w:name w:val="7"/>
    <w:basedOn w:val="1"/>
    <w:next w:val="31"/>
    <w:qFormat/>
    <w:uiPriority w:val="0"/>
    <w:pPr>
      <w:adjustRightInd w:val="0"/>
      <w:snapToGrid w:val="0"/>
      <w:spacing w:line="300" w:lineRule="auto"/>
      <w:ind w:firstLine="630" w:firstLineChars="300"/>
    </w:pPr>
    <w:rPr>
      <w:snapToGrid w:val="0"/>
      <w:kern w:val="0"/>
    </w:rPr>
  </w:style>
  <w:style w:type="paragraph" w:customStyle="1" w:styleId="504">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6">
    <w:name w:val="Ｒ07-正!!文 Char Char"/>
    <w:link w:val="507"/>
    <w:qFormat/>
    <w:uiPriority w:val="0"/>
    <w:rPr>
      <w:rFonts w:ascii="宋体" w:hAnsi="宋体" w:cs="宋体"/>
      <w:snapToGrid w:val="0"/>
      <w:spacing w:val="4"/>
      <w:kern w:val="2"/>
      <w:sz w:val="24"/>
      <w:szCs w:val="24"/>
    </w:rPr>
  </w:style>
  <w:style w:type="paragraph" w:customStyle="1" w:styleId="507">
    <w:name w:val="Ｒ07-正!!文"/>
    <w:link w:val="506"/>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8">
    <w:name w:val="Ｒ07-!正! Char Char"/>
    <w:link w:val="509"/>
    <w:qFormat/>
    <w:uiPriority w:val="0"/>
    <w:rPr>
      <w:rFonts w:ascii="宋体" w:hAnsi="宋体" w:cs="宋体"/>
      <w:snapToGrid w:val="0"/>
      <w:spacing w:val="8"/>
      <w:kern w:val="2"/>
      <w:sz w:val="24"/>
      <w:szCs w:val="24"/>
    </w:rPr>
  </w:style>
  <w:style w:type="paragraph" w:customStyle="1" w:styleId="509">
    <w:name w:val="Ｒ07-!正!"/>
    <w:link w:val="508"/>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 w:type="character" w:customStyle="1" w:styleId="510">
    <w:name w:val="NormalCharacter"/>
    <w:qFormat/>
    <w:uiPriority w:val="0"/>
  </w:style>
  <w:style w:type="paragraph" w:customStyle="1" w:styleId="511">
    <w:name w:val="表格内文字"/>
    <w:basedOn w:val="1"/>
    <w:qFormat/>
    <w:uiPriority w:val="0"/>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77"/>
    <customShpInfo spid="_x0000_s3076"/>
    <customShpInfo spid="_x0000_s3075"/>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8655D0-4F95-4F97-87D0-F705B4A67793}">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48</Pages>
  <Words>23102</Words>
  <Characters>24641</Characters>
  <Lines>204</Lines>
  <Paragraphs>57</Paragraphs>
  <TotalTime>1</TotalTime>
  <ScaleCrop>false</ScaleCrop>
  <LinksUpToDate>false</LinksUpToDate>
  <CharactersWithSpaces>26170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中正招标罗敏仪</cp:lastModifiedBy>
  <cp:lastPrinted>2020-05-26T01:03:00Z</cp:lastPrinted>
  <dcterms:modified xsi:type="dcterms:W3CDTF">2023-07-19T08:29:41Z</dcterms:modified>
  <dc:title>招标编号：UHO2010-G0029</dc:title>
  <cp:revision>483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DEA368AC27E04B20835B879991E6AF27</vt:lpwstr>
  </property>
</Properties>
</file>