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default" w:ascii="黑体" w:hAnsi="黑体" w:eastAsia="黑体" w:cs="黑体"/>
          <w:b w:val="0"/>
          <w:bCs/>
          <w:sz w:val="32"/>
          <w:szCs w:val="32"/>
          <w:lang w:val="en-US" w:eastAsia="zh-CN"/>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after="188" w:afterLines="60" w:line="579" w:lineRule="exact"/>
        <w:jc w:val="center"/>
        <w:textAlignment w:val="auto"/>
        <w:outlineLvl w:val="0"/>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《兴业银行</w:t>
      </w:r>
      <w:r>
        <w:rPr>
          <w:rFonts w:hint="eastAsia" w:ascii="宋体" w:hAnsi="宋体" w:cs="宋体"/>
          <w:b/>
          <w:sz w:val="44"/>
          <w:szCs w:val="44"/>
          <w:lang w:val="en-US" w:eastAsia="zh-CN"/>
        </w:rPr>
        <w:t>深圳分行</w:t>
      </w:r>
      <w:r>
        <w:rPr>
          <w:rFonts w:hint="eastAsia" w:ascii="宋体" w:hAnsi="宋体" w:eastAsia="宋体" w:cs="宋体"/>
          <w:b/>
          <w:sz w:val="44"/>
          <w:szCs w:val="44"/>
          <w:lang w:val="en-US" w:eastAsia="zh-CN"/>
        </w:rPr>
        <w:t>关于开展2025年私行客户双节营销活动宣传品采购项目》供应商征集反馈材料-公司名称（全称）</w:t>
      </w:r>
    </w:p>
    <w:p>
      <w:pPr>
        <w:ind w:left="0" w:leftChars="0" w:firstLine="0" w:firstLineChars="0"/>
        <w:jc w:val="center"/>
        <w:rPr>
          <w:rFonts w:hint="eastAsia" w:ascii="仿宋" w:hAnsi="仿宋" w:eastAsia="仿宋"/>
          <w:b/>
          <w:bCs/>
          <w:sz w:val="36"/>
          <w:szCs w:val="36"/>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5"/>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对应页码P1-P20</w:t>
      </w:r>
    </w:p>
    <w:p>
      <w:pPr>
        <w:pStyle w:val="5"/>
        <w:tabs>
          <w:tab w:val="left" w:pos="992"/>
        </w:tabs>
        <w:ind w:left="0" w:leftChars="0" w:firstLine="0" w:firstLineChars="0"/>
        <w:jc w:val="center"/>
        <w:outlineLvl w:val="0"/>
        <w:rPr>
          <w:rFonts w:hint="eastAsia"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对应页码P21-P30</w:t>
      </w:r>
    </w:p>
    <w:p>
      <w:pPr>
        <w:pStyle w:val="5"/>
        <w:tabs>
          <w:tab w:val="left" w:pos="992"/>
        </w:tabs>
        <w:ind w:left="0" w:leftChars="0" w:firstLine="0" w:firstLineChars="0"/>
        <w:jc w:val="center"/>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对应页码P31-P40</w:t>
      </w:r>
    </w:p>
    <w:p>
      <w:pPr>
        <w:pStyle w:val="5"/>
        <w:tabs>
          <w:tab w:val="left" w:pos="992"/>
        </w:tabs>
        <w:ind w:firstLine="0" w:firstLineChars="0"/>
        <w:jc w:val="center"/>
        <w:outlineLvl w:val="0"/>
        <w:rPr>
          <w:rFonts w:hint="eastAsia"/>
          <w:lang w:val="en-US" w:eastAsia="zh-CN"/>
        </w:rPr>
      </w:pPr>
      <w:r>
        <w:rPr>
          <w:rFonts w:hint="eastAsia" w:ascii="仿宋" w:hAnsi="仿宋" w:eastAsia="仿宋" w:cs="Times New Roman"/>
          <w:b/>
          <w:bCs/>
          <w:kern w:val="2"/>
          <w:sz w:val="28"/>
          <w:szCs w:val="28"/>
          <w:lang w:val="en-US" w:eastAsia="zh-CN" w:bidi="ar-SA"/>
        </w:rPr>
        <w:t>第四部分 对应页码P41-P50</w:t>
      </w:r>
    </w:p>
    <w:p>
      <w:pPr>
        <w:pStyle w:val="1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（该部分的“审核事项”列由</w:t>
      </w:r>
      <w:r>
        <w:rPr>
          <w:rFonts w:hint="eastAsia" w:ascii="仿宋" w:hAnsi="仿宋" w:eastAsia="仿宋" w:cs="仿宋"/>
          <w:b w:val="0"/>
          <w:bCs w:val="0"/>
          <w:color w:val="000000" w:themeColor="text1"/>
          <w:sz w:val="32"/>
          <w:szCs w:val="32"/>
          <w:lang w:eastAsia="zh-CN"/>
          <w14:textFill>
            <w14:solidFill>
              <w14:schemeClr w14:val="tx1"/>
            </w14:solidFill>
          </w14:textFill>
        </w:rPr>
        <w:t>需求（统筹管理）部门</w:t>
      </w:r>
      <w:r>
        <w:rPr>
          <w:rFonts w:hint="eastAsia" w:ascii="仿宋" w:hAnsi="仿宋" w:eastAsia="仿宋" w:cs="仿宋"/>
          <w:b w:val="0"/>
          <w:bCs w:val="0"/>
          <w:color w:val="000000" w:themeColor="text1"/>
          <w:sz w:val="32"/>
          <w:szCs w:val="32"/>
          <w14:textFill>
            <w14:solidFill>
              <w14:schemeClr w14:val="tx1"/>
            </w14:solidFill>
          </w14:textFill>
        </w:rPr>
        <w:t>填写，“审核事项”中的各点，请和征集公告文档中的第一和第二部分要求一一对应。“是否满足”和“基本情况说明”列由供应商填写。）</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7"/>
        <w:gridCol w:w="2016"/>
        <w:gridCol w:w="4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1.1</w:t>
            </w:r>
            <w:r>
              <w:rPr>
                <w:rFonts w:hint="eastAsia" w:ascii="仿宋" w:hAnsi="仿宋" w:eastAsia="仿宋" w:cs="仿宋"/>
                <w:b w:val="0"/>
                <w:bCs w:val="0"/>
                <w:sz w:val="28"/>
                <w:szCs w:val="28"/>
              </w:rPr>
              <w:t>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1.1.1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kern w:val="0"/>
                <w:sz w:val="32"/>
                <w:szCs w:val="32"/>
                <w:lang w:val="en-US" w:eastAsia="zh-CN" w:bidi="ar"/>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1.1.2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kern w:val="0"/>
                <w:sz w:val="32"/>
                <w:szCs w:val="32"/>
                <w:lang w:val="en-US" w:eastAsia="zh-CN" w:bidi="ar"/>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9" w:lineRule="exact"/>
              <w:textAlignment w:val="auto"/>
              <w:outlineLvl w:val="1"/>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1.2服务要求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8</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9</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2.8</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9"/>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pPr>
              <w:pStyle w:val="12"/>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pPr>
        <w:pStyle w:val="4"/>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pPr>
        <w:pStyle w:val="4"/>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4"/>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w:t>
      </w:r>
      <w:r>
        <w:rPr>
          <w:rFonts w:hint="eastAsia" w:ascii="仿宋" w:hAnsi="仿宋" w:eastAsia="仿宋" w:cs="仿宋"/>
          <w:kern w:val="0"/>
          <w:sz w:val="32"/>
          <w:szCs w:val="32"/>
          <w:lang w:val="en-US" w:eastAsia="zh-CN" w:bidi="ar"/>
        </w:rPr>
        <w:t>具有2022年7月1日至今</w:t>
      </w:r>
      <w:r>
        <w:rPr>
          <w:rFonts w:hint="eastAsia" w:ascii="仿宋" w:hAnsi="仿宋" w:eastAsia="仿宋" w:cs="仿宋"/>
          <w:sz w:val="32"/>
          <w:szCs w:val="32"/>
          <w:highlight w:val="none"/>
        </w:rPr>
        <w:t>与20家国内系统重要性银行</w:t>
      </w:r>
      <w:r>
        <w:rPr>
          <w:rStyle w:val="11"/>
          <w:rFonts w:hint="eastAsia" w:ascii="仿宋" w:hAnsi="仿宋" w:eastAsia="仿宋" w:cs="仿宋"/>
          <w:kern w:val="0"/>
          <w:sz w:val="32"/>
          <w:szCs w:val="32"/>
          <w:highlight w:val="none"/>
          <w:lang w:val="en-US" w:eastAsia="zh-CN" w:bidi="ar"/>
        </w:rPr>
        <w:footnoteReference w:id="0"/>
      </w:r>
      <w:r>
        <w:rPr>
          <w:rFonts w:hint="eastAsia" w:ascii="仿宋" w:hAnsi="仿宋" w:eastAsia="仿宋" w:cs="仿宋"/>
          <w:i w:val="0"/>
          <w:iCs w:val="0"/>
          <w:sz w:val="32"/>
          <w:szCs w:val="32"/>
          <w:highlight w:val="none"/>
          <w:lang w:val="en-US" w:eastAsia="zh-CN"/>
        </w:rPr>
        <w:t>分行级/或其子公司</w:t>
      </w:r>
      <w:r>
        <w:rPr>
          <w:rFonts w:hint="eastAsia" w:ascii="仿宋" w:hAnsi="仿宋" w:eastAsia="仿宋" w:cs="仿宋"/>
          <w:sz w:val="32"/>
          <w:szCs w:val="32"/>
          <w:highlight w:val="none"/>
          <w:lang w:val="en-US" w:eastAsia="zh-CN"/>
        </w:rPr>
        <w:t>合作开展</w:t>
      </w:r>
      <w:r>
        <w:rPr>
          <w:rFonts w:hint="eastAsia" w:ascii="仿宋" w:hAnsi="仿宋" w:eastAsia="仿宋" w:cs="仿宋"/>
          <w:sz w:val="32"/>
          <w:szCs w:val="32"/>
          <w:highlight w:val="none"/>
        </w:rPr>
        <w:t>与</w:t>
      </w:r>
      <w:r>
        <w:rPr>
          <w:rFonts w:hint="eastAsia" w:ascii="仿宋" w:hAnsi="仿宋" w:eastAsia="仿宋" w:cs="仿宋"/>
          <w:sz w:val="32"/>
          <w:szCs w:val="32"/>
          <w:highlight w:val="none"/>
          <w:lang w:val="en-US" w:eastAsia="zh-CN"/>
        </w:rPr>
        <w:t>本</w:t>
      </w:r>
      <w:r>
        <w:rPr>
          <w:rFonts w:hint="eastAsia" w:ascii="仿宋" w:hAnsi="仿宋" w:eastAsia="仿宋" w:cs="仿宋"/>
          <w:sz w:val="32"/>
          <w:szCs w:val="32"/>
          <w:highlight w:val="none"/>
        </w:rPr>
        <w:t>项目</w:t>
      </w:r>
      <w:r>
        <w:rPr>
          <w:rFonts w:hint="eastAsia" w:ascii="仿宋" w:hAnsi="仿宋" w:eastAsia="仿宋" w:cs="仿宋"/>
          <w:sz w:val="32"/>
          <w:szCs w:val="32"/>
          <w:highlight w:val="none"/>
          <w:lang w:val="en-US" w:eastAsia="zh-CN"/>
        </w:rPr>
        <w:t>私行客户双节营销活动宣传品</w:t>
      </w:r>
      <w:r>
        <w:rPr>
          <w:rFonts w:hint="eastAsia" w:ascii="仿宋" w:hAnsi="仿宋" w:eastAsia="仿宋" w:cs="仿宋"/>
          <w:sz w:val="32"/>
          <w:szCs w:val="32"/>
          <w:highlight w:val="none"/>
        </w:rPr>
        <w:t>相似</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成功案例</w:t>
      </w:r>
      <w:bookmarkStart w:id="1" w:name="_GoBack"/>
      <w:bookmarkEnd w:id="1"/>
      <w:r>
        <w:rPr>
          <w:rFonts w:hint="eastAsia" w:ascii="仿宋" w:hAnsi="仿宋" w:eastAsia="仿宋" w:cs="仿宋"/>
          <w:b w:val="0"/>
          <w:bCs w:val="0"/>
          <w:sz w:val="32"/>
          <w:szCs w:val="32"/>
        </w:rPr>
        <w:t>》相关案例情况：</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须提供相关案例合同证明材料，以合同签订日期为准）。</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（三）与兴业银行历史合作情况</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u w:val="none"/>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bl>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6"/>
        <w:keepNext w:val="0"/>
        <w:keepLines w:val="0"/>
        <w:pageBreakBefore w:val="0"/>
        <w:widowControl w:val="0"/>
        <w:kinsoku/>
        <w:wordWrap/>
        <w:overflowPunct/>
        <w:topLinePunct/>
        <w:autoSpaceDE/>
        <w:autoSpaceDN/>
        <w:bidi w:val="0"/>
        <w:adjustRightInd/>
        <w:snapToGrid w:val="0"/>
        <w:spacing w:line="440" w:lineRule="exact"/>
        <w:textAlignment w:val="auto"/>
        <w:rPr>
          <w:rStyle w:val="11"/>
          <w:rFonts w:hint="eastAsia" w:ascii="宋体" w:hAnsi="宋体" w:eastAsia="宋体" w:cs="宋体"/>
          <w:sz w:val="21"/>
          <w:szCs w:val="21"/>
          <w:vertAlign w:val="baseline"/>
          <w:lang w:eastAsia="zh-CN"/>
        </w:rPr>
      </w:pPr>
      <w:r>
        <w:rPr>
          <w:rStyle w:val="11"/>
          <w:rFonts w:hint="eastAsia" w:ascii="宋体" w:hAnsi="宋体" w:eastAsia="宋体" w:cs="宋体"/>
          <w:sz w:val="28"/>
          <w:szCs w:val="28"/>
        </w:rPr>
        <w:footnoteRef/>
      </w:r>
      <w:r>
        <w:rPr>
          <w:rStyle w:val="11"/>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1"/>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C894020"/>
    <w:rsid w:val="0DED7F9F"/>
    <w:rsid w:val="0FDC732D"/>
    <w:rsid w:val="13DD0D7A"/>
    <w:rsid w:val="170D2BBF"/>
    <w:rsid w:val="213C1A54"/>
    <w:rsid w:val="23F06269"/>
    <w:rsid w:val="365B1D40"/>
    <w:rsid w:val="3DA253E2"/>
    <w:rsid w:val="411A3BD9"/>
    <w:rsid w:val="4387636B"/>
    <w:rsid w:val="503B1E49"/>
    <w:rsid w:val="5966279D"/>
    <w:rsid w:val="5CA15073"/>
    <w:rsid w:val="79330017"/>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6">
    <w:name w:val="footnote text"/>
    <w:basedOn w:val="1"/>
    <w:qFormat/>
    <w:uiPriority w:val="0"/>
    <w:pPr>
      <w:snapToGrid w:val="0"/>
      <w:jc w:val="left"/>
    </w:pPr>
    <w:rPr>
      <w:sz w:val="18"/>
    </w:rPr>
  </w:style>
  <w:style w:type="paragraph" w:styleId="7">
    <w:name w:val="HTML Preformatted"/>
    <w:basedOn w:val="1"/>
    <w:semiHidden/>
    <w:qFormat/>
    <w:uiPriority w:val="0"/>
    <w:pPr>
      <w:topLinePunct w:val="0"/>
    </w:pPr>
    <w:rPr>
      <w:rFonts w:ascii="Courier New" w:hAnsi="Courier New" w:cs="Courier New"/>
      <w:sz w:val="20"/>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otnote reference"/>
    <w:basedOn w:val="10"/>
    <w:qFormat/>
    <w:uiPriority w:val="0"/>
    <w:rPr>
      <w:rFonts w:ascii="仿宋_GB2312" w:hAnsi="仿宋"/>
      <w:bCs/>
      <w:color w:val="000000"/>
      <w:szCs w:val="28"/>
      <w:vertAlign w:val="superscript"/>
    </w:rPr>
  </w:style>
  <w:style w:type="paragraph" w:customStyle="1" w:styleId="12">
    <w:name w:val="正文首行缩进 21"/>
    <w:basedOn w:val="13"/>
    <w:qFormat/>
    <w:uiPriority w:val="0"/>
    <w:pPr>
      <w:widowControl/>
      <w:ind w:firstLine="420"/>
    </w:pPr>
    <w:rPr>
      <w:szCs w:val="20"/>
    </w:rPr>
  </w:style>
  <w:style w:type="paragraph" w:customStyle="1" w:styleId="13">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张珊珊-135433</cp:lastModifiedBy>
  <dcterms:modified xsi:type="dcterms:W3CDTF">2025-07-17T09:09:44Z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