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72"/>
          <w:szCs w:val="70"/>
        </w:rPr>
      </w:pPr>
      <w:r>
        <w:rPr>
          <w:rFonts w:hint="eastAsia" w:ascii="仿宋" w:hAnsi="仿宋" w:eastAsia="仿宋"/>
          <w:b/>
          <w:bCs/>
          <w:snapToGrid w:val="0"/>
          <w:kern w:val="0"/>
          <w:sz w:val="72"/>
          <w:szCs w:val="70"/>
        </w:rPr>
        <w:t>罗湖智慧边防建设项目监理服务项目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ZZZ2021-QC0</w:t>
      </w:r>
      <w:r>
        <w:rPr>
          <w:rFonts w:hint="eastAsia" w:ascii="仿宋" w:hAnsi="仿宋" w:eastAsia="仿宋"/>
          <w:b/>
          <w:snapToGrid w:val="0"/>
          <w:kern w:val="0"/>
          <w:sz w:val="32"/>
          <w:lang w:val="en-US" w:eastAsia="zh-CN"/>
        </w:rPr>
        <w:t>200</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8"/>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二〇二一年</w:t>
      </w:r>
      <w:r>
        <w:rPr>
          <w:rFonts w:hint="eastAsia" w:ascii="仿宋" w:hAnsi="仿宋" w:eastAsia="仿宋"/>
          <w:b/>
          <w:snapToGrid w:val="0"/>
          <w:sz w:val="30"/>
          <w:lang w:val="en-US" w:eastAsia="zh-CN"/>
        </w:rPr>
        <w:t>七</w:t>
      </w:r>
      <w:r>
        <w:rPr>
          <w:rFonts w:hint="eastAsia" w:ascii="仿宋" w:hAnsi="仿宋" w:eastAsia="仿宋"/>
          <w:b/>
          <w:snapToGrid w:val="0"/>
          <w:sz w:val="30"/>
        </w:rPr>
        <w:t>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4"/>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罗湖智慧边防建设项目监理服务项目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SZZZ2021-QC0</w:t>
            </w:r>
            <w:r>
              <w:rPr>
                <w:rFonts w:hint="eastAsia" w:ascii="仿宋" w:hAnsi="仿宋" w:eastAsia="仿宋" w:cs="Arial Unicode MS"/>
                <w:sz w:val="24"/>
                <w:lang w:val="en-US" w:eastAsia="zh-CN"/>
              </w:rPr>
              <w:t>200</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格式7 差异表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格式8 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b/>
          <w:snapToGrid w:val="0"/>
          <w:color w:val="auto"/>
          <w:kern w:val="0"/>
          <w:sz w:val="72"/>
        </w:rPr>
      </w:pPr>
    </w:p>
    <w:p>
      <w:pPr>
        <w:pStyle w:val="2"/>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罗湖智慧边防建设项目监理服务项目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罗湖智慧边防建设项目监理服务项目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2021</w:t>
      </w:r>
      <w:r>
        <w:rPr>
          <w:rFonts w:hint="eastAsia" w:ascii="仿宋" w:hAnsi="仿宋" w:eastAsia="仿宋"/>
          <w:bCs/>
          <w:sz w:val="24"/>
          <w:szCs w:val="24"/>
        </w:rPr>
        <w:t>年</w:t>
      </w:r>
      <w:r>
        <w:rPr>
          <w:rFonts w:hint="eastAsia" w:ascii="仿宋" w:hAnsi="仿宋" w:eastAsia="仿宋"/>
          <w:bCs/>
          <w:sz w:val="24"/>
          <w:szCs w:val="24"/>
          <w:u w:val="single"/>
          <w:lang w:val="en-US" w:eastAsia="zh-CN"/>
        </w:rPr>
        <w:t>07</w:t>
      </w:r>
      <w:r>
        <w:rPr>
          <w:rFonts w:hint="eastAsia" w:ascii="仿宋" w:hAnsi="仿宋" w:eastAsia="仿宋"/>
          <w:bCs/>
          <w:sz w:val="24"/>
          <w:szCs w:val="24"/>
        </w:rPr>
        <w:t>月</w:t>
      </w:r>
      <w:r>
        <w:rPr>
          <w:rFonts w:hint="eastAsia" w:ascii="仿宋" w:hAnsi="仿宋" w:eastAsia="仿宋"/>
          <w:bCs/>
          <w:sz w:val="24"/>
          <w:szCs w:val="24"/>
          <w:u w:val="single"/>
          <w:lang w:val="en-US" w:eastAsia="zh-CN"/>
        </w:rPr>
        <w:t>27</w:t>
      </w:r>
      <w:r>
        <w:rPr>
          <w:rFonts w:hint="eastAsia" w:ascii="仿宋" w:hAnsi="仿宋" w:eastAsia="仿宋"/>
          <w:bCs/>
          <w:sz w:val="24"/>
          <w:szCs w:val="24"/>
        </w:rPr>
        <w:t>日</w:t>
      </w:r>
      <w:r>
        <w:rPr>
          <w:rFonts w:hint="eastAsia" w:ascii="仿宋" w:hAnsi="仿宋" w:eastAsia="仿宋"/>
          <w:bCs/>
          <w:sz w:val="24"/>
          <w:szCs w:val="24"/>
          <w:u w:val="single"/>
        </w:rPr>
        <w:t>1</w:t>
      </w:r>
      <w:r>
        <w:rPr>
          <w:rFonts w:hint="eastAsia" w:ascii="仿宋" w:hAnsi="仿宋" w:eastAsia="仿宋"/>
          <w:bCs/>
          <w:sz w:val="24"/>
          <w:szCs w:val="24"/>
          <w:u w:val="single"/>
          <w:lang w:val="en-US" w:eastAsia="zh-CN"/>
        </w:rPr>
        <w:t>0</w:t>
      </w:r>
      <w:r>
        <w:rPr>
          <w:rFonts w:hint="eastAsia" w:ascii="仿宋" w:hAnsi="仿宋" w:eastAsia="仿宋"/>
          <w:bCs/>
          <w:sz w:val="24"/>
          <w:szCs w:val="24"/>
        </w:rPr>
        <w:t>点</w:t>
      </w:r>
      <w:r>
        <w:rPr>
          <w:rFonts w:hint="eastAsia" w:ascii="仿宋" w:hAnsi="仿宋" w:eastAsia="仿宋"/>
          <w:bCs/>
          <w:sz w:val="24"/>
          <w:szCs w:val="24"/>
          <w:u w:val="single"/>
          <w:lang w:val="en-US" w:eastAsia="zh-CN"/>
        </w:rPr>
        <w:t>3</w:t>
      </w:r>
      <w:r>
        <w:rPr>
          <w:rFonts w:hint="eastAsia" w:ascii="仿宋" w:hAnsi="仿宋" w:eastAsia="仿宋"/>
          <w:bCs/>
          <w:sz w:val="24"/>
          <w:szCs w:val="24"/>
          <w:u w:val="single"/>
        </w:rPr>
        <w:t>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rPr>
        <w:t>1</w:t>
      </w:r>
      <w:r>
        <w:rPr>
          <w:rFonts w:ascii="仿宋" w:hAnsi="仿宋" w:eastAsia="仿宋"/>
          <w:bCs/>
          <w:sz w:val="24"/>
          <w:szCs w:val="24"/>
        </w:rPr>
        <w:t>-Q</w:t>
      </w:r>
      <w:r>
        <w:rPr>
          <w:rFonts w:hint="eastAsia" w:ascii="仿宋" w:hAnsi="仿宋" w:eastAsia="仿宋"/>
          <w:bCs/>
          <w:sz w:val="24"/>
          <w:szCs w:val="24"/>
        </w:rPr>
        <w:t>C</w:t>
      </w:r>
      <w:r>
        <w:rPr>
          <w:rFonts w:ascii="仿宋" w:hAnsi="仿宋" w:eastAsia="仿宋"/>
          <w:bCs/>
          <w:sz w:val="24"/>
          <w:szCs w:val="24"/>
        </w:rPr>
        <w:t>0</w:t>
      </w:r>
      <w:r>
        <w:rPr>
          <w:rFonts w:hint="eastAsia" w:ascii="仿宋" w:hAnsi="仿宋" w:eastAsia="仿宋"/>
          <w:bCs/>
          <w:sz w:val="24"/>
          <w:szCs w:val="24"/>
          <w:lang w:val="en-US" w:eastAsia="zh-CN"/>
        </w:rPr>
        <w:t>200</w:t>
      </w:r>
      <w:bookmarkStart w:id="12" w:name="_GoBack"/>
      <w:bookmarkEnd w:id="12"/>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2、项目名称：罗湖智慧边防建设项目监理服务项目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w:t>
      </w:r>
      <w:r>
        <w:rPr>
          <w:rFonts w:hint="eastAsia" w:ascii="仿宋" w:hAnsi="仿宋" w:eastAsia="仿宋"/>
          <w:bCs/>
          <w:sz w:val="24"/>
          <w:szCs w:val="24"/>
          <w:lang w:val="en-US" w:eastAsia="zh-CN"/>
        </w:rPr>
        <w:t>30</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w:t>
      </w:r>
      <w:r>
        <w:rPr>
          <w:rFonts w:hint="eastAsia" w:ascii="仿宋" w:hAnsi="仿宋" w:eastAsia="仿宋"/>
          <w:bCs/>
          <w:sz w:val="24"/>
          <w:szCs w:val="24"/>
          <w:lang w:val="en-US" w:eastAsia="zh-CN"/>
        </w:rPr>
        <w:t>30</w:t>
      </w:r>
      <w:r>
        <w:rPr>
          <w:rFonts w:hint="eastAsia" w:ascii="仿宋" w:hAnsi="仿宋" w:eastAsia="仿宋"/>
          <w:bCs/>
          <w:sz w:val="24"/>
          <w:szCs w:val="24"/>
        </w:rPr>
        <w:t>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5、采购方式：公开征集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3"/>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罗湖智慧边防建设项目监理服务项目</w:t>
            </w:r>
          </w:p>
        </w:tc>
        <w:tc>
          <w:tcPr>
            <w:tcW w:w="992" w:type="dxa"/>
            <w:vAlign w:val="center"/>
          </w:tcPr>
          <w:p>
            <w:pPr>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rPr>
              <w:t>1</w:t>
            </w:r>
            <w:r>
              <w:rPr>
                <w:rFonts w:hint="eastAsia" w:ascii="仿宋" w:hAnsi="仿宋" w:eastAsia="仿宋"/>
                <w:bCs/>
                <w:sz w:val="24"/>
                <w:szCs w:val="24"/>
                <w:lang w:val="en-US" w:eastAsia="zh-CN"/>
              </w:rPr>
              <w:t>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w:t>
      </w:r>
      <w:r>
        <w:rPr>
          <w:rFonts w:hint="eastAsia" w:ascii="仿宋" w:hAnsi="仿宋" w:eastAsia="仿宋"/>
          <w:bCs/>
          <w:sz w:val="24"/>
          <w:szCs w:val="24"/>
          <w:lang w:val="en-US" w:eastAsia="zh-CN"/>
        </w:rPr>
        <w:t>自合同签订之日起至项目最终验收通过为止</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2</w:t>
      </w:r>
      <w:r>
        <w:rPr>
          <w:rFonts w:hint="eastAsia" w:ascii="仿宋" w:hAnsi="仿宋" w:eastAsia="仿宋"/>
          <w:bCs/>
          <w:sz w:val="24"/>
          <w:szCs w:val="24"/>
        </w:rPr>
        <w:t>、参与本项目投标前三年内，在经营活动中没有重大违法记录。【由投标人按采购文件规定的格式在《政府采购投标及履约承诺函》中作出声明】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4</w:t>
      </w:r>
      <w:r>
        <w:rPr>
          <w:rFonts w:hint="eastAsia" w:ascii="仿宋" w:hAnsi="仿宋" w:eastAsia="仿宋"/>
          <w:bCs/>
          <w:sz w:val="24"/>
          <w:szCs w:val="24"/>
        </w:rPr>
        <w:t>、参与本项目的供应商具备《中华人民共和国政府采购法》第二十二条规定。【由响应投标人按采购文件规定的格式在《政府采购投标及履约承诺函》中作出声明】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、投标</w:t>
      </w:r>
      <w:r>
        <w:rPr>
          <w:rFonts w:ascii="仿宋" w:hAnsi="仿宋" w:eastAsia="仿宋"/>
          <w:bCs/>
          <w:sz w:val="24"/>
          <w:szCs w:val="24"/>
        </w:rPr>
        <w:t>截止时间前，</w:t>
      </w:r>
      <w:r>
        <w:rPr>
          <w:rFonts w:hint="eastAsia" w:ascii="仿宋" w:hAnsi="仿宋" w:eastAsia="仿宋"/>
          <w:bCs/>
          <w:sz w:val="24"/>
          <w:szCs w:val="24"/>
        </w:rPr>
        <w:t>参与本项目的供应商</w:t>
      </w:r>
      <w:r>
        <w:rPr>
          <w:rFonts w:ascii="仿宋" w:hAnsi="仿宋" w:eastAsia="仿宋"/>
          <w:bCs/>
          <w:sz w:val="24"/>
          <w:szCs w:val="24"/>
        </w:rPr>
        <w:t>未被列入失信被执行人、重大税收违法案件当事人名单</w:t>
      </w:r>
      <w:r>
        <w:rPr>
          <w:rFonts w:hint="eastAsia" w:ascii="仿宋" w:hAnsi="仿宋" w:eastAsia="仿宋"/>
          <w:bCs/>
          <w:sz w:val="24"/>
          <w:szCs w:val="24"/>
        </w:rPr>
        <w:t>和</w:t>
      </w:r>
      <w:r>
        <w:rPr>
          <w:rFonts w:ascii="仿宋" w:hAnsi="仿宋" w:eastAsia="仿宋"/>
          <w:bCs/>
          <w:sz w:val="24"/>
          <w:szCs w:val="24"/>
        </w:rPr>
        <w:t>政府采购严重违法失信行为记录名单</w:t>
      </w:r>
      <w:r>
        <w:rPr>
          <w:rFonts w:hint="eastAsia" w:ascii="仿宋" w:hAnsi="仿宋" w:eastAsia="仿宋"/>
          <w:bCs/>
          <w:sz w:val="24"/>
          <w:szCs w:val="24"/>
        </w:rPr>
        <w:t>。【</w:t>
      </w:r>
      <w:r>
        <w:rPr>
          <w:rFonts w:ascii="仿宋" w:hAnsi="仿宋" w:eastAsia="仿宋"/>
          <w:bCs/>
          <w:sz w:val="24"/>
          <w:szCs w:val="24"/>
        </w:rPr>
        <w:t>采购代理机构将通过</w:t>
      </w:r>
      <w:r>
        <w:rPr>
          <w:rFonts w:hint="eastAsia" w:ascii="仿宋" w:hAnsi="仿宋" w:eastAsia="仿宋"/>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6</w:t>
      </w:r>
      <w:r>
        <w:rPr>
          <w:rFonts w:hint="eastAsia" w:ascii="仿宋" w:hAnsi="仿宋" w:eastAsia="仿宋"/>
          <w:bCs/>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20</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26</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2</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网上报名响应：发送报名资料至我司邮箱进行报名登记及获取采购文件，邮箱地址：qtszzzzb@163.com。报名响应邮件需附以下资料: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27</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0</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lang w:val="en-US" w:eastAsia="zh-CN"/>
        </w:rPr>
        <w:t>3</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hint="eastAsia" w:ascii="仿宋" w:hAnsi="仿宋" w:eastAsia="仿宋"/>
          <w:bCs/>
          <w:sz w:val="24"/>
          <w:szCs w:val="24"/>
        </w:rPr>
        <w:t>投标人</w:t>
      </w:r>
      <w:r>
        <w:rPr>
          <w:rFonts w:ascii="仿宋" w:hAnsi="仿宋" w:eastAsia="仿宋"/>
          <w:bCs/>
          <w:sz w:val="24"/>
          <w:szCs w:val="24"/>
        </w:rPr>
        <w:t>未参加现场开标的，视同认可开标结果</w:t>
      </w:r>
      <w:r>
        <w:rPr>
          <w:rFonts w:hint="eastAsia" w:ascii="仿宋" w:hAnsi="仿宋" w:eastAsia="仿宋"/>
          <w:bCs/>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1、本项目需要落实的政府采购政策：《财政部工业和信息化部关于印发《政府采购促进中小企业发展管理办法》的通知》(财库〔2020〕46号)、《关于政府采购支持监狱企业发展有关问题的通知》</w:t>
      </w:r>
      <w:r>
        <w:rPr>
          <w:rFonts w:ascii="仿宋" w:hAnsi="仿宋" w:eastAsia="仿宋"/>
          <w:bCs/>
          <w:sz w:val="24"/>
          <w:szCs w:val="24"/>
        </w:rPr>
        <w:t>(</w:t>
      </w:r>
      <w:r>
        <w:rPr>
          <w:rFonts w:hint="eastAsia" w:ascii="仿宋" w:hAnsi="仿宋" w:eastAsia="仿宋"/>
          <w:bCs/>
          <w:sz w:val="24"/>
          <w:szCs w:val="24"/>
        </w:rPr>
        <w:t>财库〔</w:t>
      </w:r>
      <w:r>
        <w:rPr>
          <w:rFonts w:ascii="仿宋" w:hAnsi="仿宋" w:eastAsia="仿宋"/>
          <w:bCs/>
          <w:sz w:val="24"/>
          <w:szCs w:val="24"/>
        </w:rPr>
        <w:t>2014</w:t>
      </w:r>
      <w:r>
        <w:rPr>
          <w:rFonts w:hint="eastAsia" w:ascii="仿宋" w:hAnsi="仿宋" w:eastAsia="仿宋"/>
          <w:bCs/>
          <w:sz w:val="24"/>
          <w:szCs w:val="24"/>
        </w:rPr>
        <w:t>〕</w:t>
      </w:r>
      <w:r>
        <w:rPr>
          <w:rFonts w:ascii="仿宋" w:hAnsi="仿宋" w:eastAsia="仿宋"/>
          <w:bCs/>
          <w:sz w:val="24"/>
          <w:szCs w:val="24"/>
        </w:rPr>
        <w:t>68</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、《关于促进残疾人就业政府采购政策的通知》（财库〔</w:t>
      </w:r>
      <w:r>
        <w:rPr>
          <w:rFonts w:ascii="仿宋" w:hAnsi="仿宋" w:eastAsia="仿宋"/>
          <w:bCs/>
          <w:sz w:val="24"/>
          <w:szCs w:val="24"/>
        </w:rPr>
        <w:t>2017</w:t>
      </w:r>
      <w:r>
        <w:rPr>
          <w:rFonts w:hint="eastAsia" w:ascii="仿宋" w:hAnsi="仿宋" w:eastAsia="仿宋"/>
          <w:bCs/>
          <w:sz w:val="24"/>
          <w:szCs w:val="24"/>
        </w:rPr>
        <w:t>〕</w:t>
      </w:r>
      <w:r>
        <w:rPr>
          <w:rFonts w:ascii="仿宋" w:hAnsi="仿宋" w:eastAsia="仿宋"/>
          <w:bCs/>
          <w:sz w:val="24"/>
          <w:szCs w:val="24"/>
        </w:rPr>
        <w:t>141</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w:t>
      </w:r>
    </w:p>
    <w:p>
      <w:pPr>
        <w:spacing w:line="360" w:lineRule="auto"/>
        <w:ind w:firstLine="426" w:firstLineChars="177"/>
        <w:rPr>
          <w:rFonts w:ascii="仿宋" w:hAnsi="仿宋" w:eastAsia="仿宋"/>
          <w:b/>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lang w:val="en-US" w:eastAsia="zh-CN"/>
        </w:rPr>
        <w:t>其他未列明行业</w:t>
      </w:r>
      <w:r>
        <w:rPr>
          <w:rFonts w:hint="eastAsia" w:ascii="仿宋" w:hAnsi="仿宋" w:eastAsia="仿宋"/>
          <w:b/>
          <w:bCs/>
          <w:sz w:val="24"/>
          <w:szCs w:val="24"/>
          <w:u w:val="single"/>
        </w:rPr>
        <w:t xml:space="preserve">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hint="default" w:ascii="仿宋" w:hAnsi="仿宋" w:eastAsia="仿宋"/>
          <w:bCs/>
          <w:sz w:val="24"/>
          <w:szCs w:val="24"/>
          <w:lang w:val="en-US" w:eastAsia="zh-CN"/>
        </w:rPr>
      </w:pPr>
      <w:r>
        <w:rPr>
          <w:rFonts w:hint="eastAsia" w:ascii="仿宋" w:hAnsi="仿宋" w:eastAsia="仿宋"/>
          <w:bCs/>
          <w:sz w:val="24"/>
          <w:szCs w:val="24"/>
        </w:rPr>
        <w:t>名　    称：</w:t>
      </w:r>
      <w:r>
        <w:rPr>
          <w:rFonts w:hint="eastAsia" w:ascii="仿宋" w:hAnsi="仿宋" w:eastAsia="仿宋"/>
          <w:bCs/>
          <w:sz w:val="24"/>
          <w:szCs w:val="24"/>
          <w:u w:val="single"/>
        </w:rPr>
        <w:t>深圳市</w:t>
      </w:r>
      <w:r>
        <w:rPr>
          <w:rFonts w:hint="eastAsia" w:ascii="仿宋" w:hAnsi="仿宋" w:eastAsia="仿宋"/>
          <w:bCs/>
          <w:sz w:val="24"/>
          <w:szCs w:val="24"/>
          <w:u w:val="single"/>
          <w:lang w:val="en-US" w:eastAsia="zh-CN"/>
        </w:rPr>
        <w:t>公安局罗湖分局视频大队</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3、项目</w:t>
      </w:r>
      <w:r>
        <w:rPr>
          <w:rFonts w:ascii="仿宋" w:hAnsi="仿宋" w:eastAsia="仿宋"/>
          <w:bCs/>
          <w:sz w:val="24"/>
          <w:szCs w:val="24"/>
        </w:rPr>
        <w:t>联系方式</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项目负责人：</w:t>
      </w:r>
      <w:r>
        <w:rPr>
          <w:rFonts w:hint="eastAsia" w:ascii="仿宋" w:hAnsi="仿宋" w:eastAsia="仿宋"/>
          <w:bCs/>
          <w:sz w:val="24"/>
          <w:szCs w:val="24"/>
          <w:u w:val="single"/>
        </w:rPr>
        <w:t>陈工</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  方式：</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rPr>
        <w:t>1</w:t>
      </w:r>
      <w:r>
        <w:rPr>
          <w:rFonts w:ascii="仿宋" w:hAnsi="仿宋" w:eastAsia="仿宋"/>
          <w:bCs/>
          <w:sz w:val="24"/>
          <w:szCs w:val="24"/>
        </w:rPr>
        <w:t>年</w:t>
      </w:r>
      <w:r>
        <w:rPr>
          <w:rFonts w:hint="eastAsia" w:ascii="仿宋" w:hAnsi="仿宋" w:eastAsia="仿宋"/>
          <w:bCs/>
          <w:sz w:val="24"/>
          <w:szCs w:val="24"/>
          <w:lang w:val="en-US" w:eastAsia="zh-CN"/>
        </w:rPr>
        <w:t>07</w:t>
      </w:r>
      <w:r>
        <w:rPr>
          <w:rFonts w:ascii="仿宋" w:hAnsi="仿宋" w:eastAsia="仿宋"/>
          <w:bCs/>
          <w:sz w:val="24"/>
          <w:szCs w:val="24"/>
        </w:rPr>
        <w:t>月</w:t>
      </w:r>
      <w:r>
        <w:rPr>
          <w:rFonts w:hint="eastAsia" w:ascii="仿宋" w:hAnsi="仿宋" w:eastAsia="仿宋"/>
          <w:bCs/>
          <w:sz w:val="24"/>
          <w:szCs w:val="24"/>
          <w:lang w:val="en-US" w:eastAsia="zh-CN"/>
        </w:rPr>
        <w:t>20</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3"/>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1985"/>
        <w:gridCol w:w="56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条款号</w:t>
            </w:r>
          </w:p>
        </w:tc>
        <w:tc>
          <w:tcPr>
            <w:tcW w:w="1985"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w:t>
            </w:r>
          </w:p>
        </w:tc>
        <w:tc>
          <w:tcPr>
            <w:tcW w:w="5669" w:type="dxa"/>
            <w:tcBorders>
              <w:top w:val="double" w:color="auto" w:sz="4" w:space="0"/>
              <w:bottom w:val="single" w:color="auto" w:sz="4" w:space="0"/>
            </w:tcBorders>
            <w:shd w:val="clear" w:color="auto" w:fill="C6D9F0" w:themeFill="text2" w:themeFillTint="33"/>
            <w:vAlign w:val="center"/>
          </w:tcPr>
          <w:p>
            <w:pPr>
              <w:pStyle w:val="7"/>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7"/>
              <w:spacing w:line="360" w:lineRule="auto"/>
              <w:jc w:val="center"/>
              <w:rPr>
                <w:rFonts w:hAnsi="宋体"/>
              </w:rPr>
            </w:pPr>
            <w:r>
              <w:rPr>
                <w:rFonts w:hAnsi="宋体"/>
              </w:rPr>
              <w:t>1</w:t>
            </w:r>
          </w:p>
        </w:tc>
        <w:tc>
          <w:tcPr>
            <w:tcW w:w="850" w:type="dxa"/>
            <w:tcBorders>
              <w:top w:val="single" w:color="auto" w:sz="4" w:space="0"/>
            </w:tcBorders>
            <w:vAlign w:val="center"/>
          </w:tcPr>
          <w:p>
            <w:pPr>
              <w:pStyle w:val="7"/>
              <w:spacing w:line="360" w:lineRule="auto"/>
              <w:jc w:val="center"/>
              <w:rPr>
                <w:rFonts w:hAnsi="宋体"/>
              </w:rPr>
            </w:pPr>
            <w:r>
              <w:rPr>
                <w:rFonts w:hAnsi="宋体"/>
              </w:rPr>
              <w:t>1.1</w:t>
            </w:r>
          </w:p>
        </w:tc>
        <w:tc>
          <w:tcPr>
            <w:tcW w:w="1985" w:type="dxa"/>
            <w:tcBorders>
              <w:top w:val="single" w:color="auto" w:sz="4" w:space="0"/>
            </w:tcBorders>
            <w:vAlign w:val="center"/>
          </w:tcPr>
          <w:p>
            <w:pPr>
              <w:pStyle w:val="7"/>
              <w:spacing w:line="360" w:lineRule="auto"/>
              <w:jc w:val="center"/>
            </w:pPr>
            <w:r>
              <w:rPr>
                <w:rFonts w:hint="eastAsia"/>
              </w:rPr>
              <w:t>项目名称</w:t>
            </w:r>
          </w:p>
        </w:tc>
        <w:tc>
          <w:tcPr>
            <w:tcW w:w="5669" w:type="dxa"/>
            <w:tcBorders>
              <w:top w:val="single" w:color="auto" w:sz="4" w:space="0"/>
            </w:tcBorders>
            <w:vAlign w:val="center"/>
          </w:tcPr>
          <w:p>
            <w:pPr>
              <w:pStyle w:val="7"/>
              <w:spacing w:line="360" w:lineRule="auto"/>
            </w:pPr>
            <w:r>
              <w:rPr>
                <w:rFonts w:hint="eastAsia" w:ascii="宋体" w:hAnsi="宋体"/>
              </w:rPr>
              <w:t>罗湖智慧边防建设项目监理服务项目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2</w:t>
            </w:r>
          </w:p>
        </w:tc>
        <w:tc>
          <w:tcPr>
            <w:tcW w:w="850" w:type="dxa"/>
            <w:vAlign w:val="center"/>
          </w:tcPr>
          <w:p>
            <w:pPr>
              <w:pStyle w:val="7"/>
              <w:spacing w:line="360" w:lineRule="auto"/>
              <w:jc w:val="center"/>
              <w:rPr>
                <w:rFonts w:hAnsi="宋体"/>
              </w:rPr>
            </w:pPr>
            <w:r>
              <w:rPr>
                <w:rFonts w:hAnsi="宋体"/>
              </w:rPr>
              <w:t>2.1</w:t>
            </w:r>
          </w:p>
        </w:tc>
        <w:tc>
          <w:tcPr>
            <w:tcW w:w="1985" w:type="dxa"/>
            <w:vAlign w:val="center"/>
          </w:tcPr>
          <w:p>
            <w:pPr>
              <w:pStyle w:val="7"/>
              <w:spacing w:line="360" w:lineRule="auto"/>
              <w:jc w:val="center"/>
              <w:rPr>
                <w:rFonts w:hAnsi="宋体"/>
              </w:rPr>
            </w:pPr>
            <w:r>
              <w:rPr>
                <w:rFonts w:hint="eastAsia" w:hAnsi="宋体"/>
                <w:bCs/>
              </w:rPr>
              <w:t>采购人</w:t>
            </w:r>
            <w:r>
              <w:rPr>
                <w:rFonts w:hint="eastAsia" w:hAnsi="宋体"/>
              </w:rPr>
              <w:t>名称</w:t>
            </w:r>
          </w:p>
        </w:tc>
        <w:tc>
          <w:tcPr>
            <w:tcW w:w="5669" w:type="dxa"/>
            <w:vAlign w:val="center"/>
          </w:tcPr>
          <w:p>
            <w:r>
              <w:rPr>
                <w:rFonts w:hint="eastAsia"/>
              </w:rPr>
              <w:t>深圳市</w:t>
            </w:r>
            <w:r>
              <w:rPr>
                <w:rFonts w:hint="eastAsia"/>
                <w:lang w:val="en-US" w:eastAsia="zh-CN"/>
              </w:rPr>
              <w:t>公安局罗湖分局视频大队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3</w:t>
            </w:r>
          </w:p>
        </w:tc>
        <w:tc>
          <w:tcPr>
            <w:tcW w:w="850" w:type="dxa"/>
            <w:vAlign w:val="center"/>
          </w:tcPr>
          <w:p>
            <w:pPr>
              <w:pStyle w:val="7"/>
              <w:spacing w:line="360" w:lineRule="auto"/>
              <w:jc w:val="center"/>
              <w:rPr>
                <w:rFonts w:hAnsi="宋体"/>
              </w:rPr>
            </w:pPr>
            <w:r>
              <w:rPr>
                <w:rFonts w:hAnsi="宋体"/>
              </w:rPr>
              <w:t>2.2</w:t>
            </w:r>
          </w:p>
        </w:tc>
        <w:tc>
          <w:tcPr>
            <w:tcW w:w="1985" w:type="dxa"/>
            <w:vAlign w:val="center"/>
          </w:tcPr>
          <w:p>
            <w:pPr>
              <w:pStyle w:val="7"/>
              <w:spacing w:line="360" w:lineRule="auto"/>
              <w:jc w:val="center"/>
              <w:rPr>
                <w:rFonts w:hAnsi="宋体"/>
                <w:bCs/>
              </w:rPr>
            </w:pPr>
            <w:r>
              <w:rPr>
                <w:rFonts w:hint="eastAsia" w:hAnsi="宋体"/>
                <w:bCs/>
              </w:rPr>
              <w:t>采购代理机构</w:t>
            </w:r>
          </w:p>
        </w:tc>
        <w:tc>
          <w:tcPr>
            <w:tcW w:w="5669" w:type="dxa"/>
            <w:vAlign w:val="center"/>
          </w:tcPr>
          <w:p>
            <w:pPr>
              <w:pStyle w:val="7"/>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4</w:t>
            </w:r>
          </w:p>
        </w:tc>
        <w:tc>
          <w:tcPr>
            <w:tcW w:w="850" w:type="dxa"/>
            <w:vAlign w:val="center"/>
          </w:tcPr>
          <w:p>
            <w:pPr>
              <w:pStyle w:val="7"/>
              <w:spacing w:line="360" w:lineRule="auto"/>
              <w:jc w:val="center"/>
              <w:rPr>
                <w:rFonts w:hAnsi="宋体"/>
              </w:rPr>
            </w:pPr>
            <w:r>
              <w:rPr>
                <w:rFonts w:hint="eastAsia" w:hAnsi="宋体"/>
              </w:rPr>
              <w:t>3.1</w:t>
            </w:r>
          </w:p>
        </w:tc>
        <w:tc>
          <w:tcPr>
            <w:tcW w:w="1985" w:type="dxa"/>
            <w:vAlign w:val="center"/>
          </w:tcPr>
          <w:p>
            <w:pPr>
              <w:pStyle w:val="7"/>
              <w:spacing w:line="360" w:lineRule="auto"/>
              <w:jc w:val="center"/>
              <w:rPr>
                <w:rFonts w:hAnsi="宋体"/>
              </w:rPr>
            </w:pPr>
            <w:r>
              <w:rPr>
                <w:rFonts w:hint="eastAsia" w:hAnsi="宋体"/>
              </w:rPr>
              <w:t>资金来源</w:t>
            </w:r>
          </w:p>
        </w:tc>
        <w:tc>
          <w:tcPr>
            <w:tcW w:w="5669" w:type="dxa"/>
            <w:vAlign w:val="center"/>
          </w:tcPr>
          <w:p>
            <w:pPr>
              <w:pStyle w:val="7"/>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5</w:t>
            </w:r>
          </w:p>
        </w:tc>
        <w:tc>
          <w:tcPr>
            <w:tcW w:w="850" w:type="dxa"/>
            <w:vAlign w:val="center"/>
          </w:tcPr>
          <w:p>
            <w:pPr>
              <w:pStyle w:val="7"/>
              <w:spacing w:line="360" w:lineRule="auto"/>
              <w:jc w:val="center"/>
              <w:rPr>
                <w:rFonts w:hAnsi="宋体"/>
              </w:rPr>
            </w:pPr>
            <w:r>
              <w:rPr>
                <w:rFonts w:hint="eastAsia" w:hAnsi="宋体"/>
              </w:rPr>
              <w:t>4.7</w:t>
            </w:r>
          </w:p>
        </w:tc>
        <w:tc>
          <w:tcPr>
            <w:tcW w:w="1985" w:type="dxa"/>
            <w:vAlign w:val="center"/>
          </w:tcPr>
          <w:p>
            <w:pPr>
              <w:pStyle w:val="7"/>
              <w:spacing w:line="360" w:lineRule="auto"/>
              <w:jc w:val="center"/>
              <w:rPr>
                <w:rFonts w:hAnsi="宋体"/>
              </w:rPr>
            </w:pPr>
            <w:r>
              <w:rPr>
                <w:rFonts w:hint="eastAsia" w:hAnsi="宋体"/>
              </w:rPr>
              <w:t>供应商资格要求</w:t>
            </w:r>
          </w:p>
        </w:tc>
        <w:tc>
          <w:tcPr>
            <w:tcW w:w="5669" w:type="dxa"/>
            <w:vAlign w:val="center"/>
          </w:tcPr>
          <w:p>
            <w:pPr>
              <w:pStyle w:val="7"/>
              <w:spacing w:line="360" w:lineRule="auto"/>
              <w:ind w:left="378" w:hanging="378" w:hangingChars="180"/>
              <w:rPr>
                <w:rFonts w:hAnsi="宋体"/>
                <w:szCs w:val="21"/>
              </w:rPr>
            </w:pPr>
            <w:r>
              <w:rPr>
                <w:rFonts w:hint="eastAsia" w:hAnsi="宋体"/>
                <w:szCs w:val="21"/>
              </w:rPr>
              <w:t>1、</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7"/>
              <w:spacing w:line="360" w:lineRule="auto"/>
              <w:ind w:left="378" w:hanging="378" w:hangingChars="180"/>
              <w:rPr>
                <w:rFonts w:hAnsi="宋体"/>
                <w:szCs w:val="21"/>
              </w:rPr>
            </w:pPr>
            <w:r>
              <w:rPr>
                <w:rFonts w:hint="eastAsia" w:hAnsi="宋体"/>
                <w:szCs w:val="21"/>
                <w:lang w:val="en-US" w:eastAsia="zh-CN"/>
              </w:rPr>
              <w:t>2</w:t>
            </w:r>
            <w:r>
              <w:rPr>
                <w:rFonts w:hint="eastAsia" w:hAnsi="宋体"/>
                <w:szCs w:val="21"/>
              </w:rPr>
              <w:t>、参与本项目投标前三年内，在经营活动中没有重大违法记录。【由投标人按采购文件规定的格式在《政府采购投标及履约承诺函》中作出声明】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lang w:val="en-US" w:eastAsia="zh-CN"/>
              </w:rPr>
              <w:t>3</w:t>
            </w:r>
            <w:r>
              <w:rPr>
                <w:rFonts w:hint="eastAsia" w:hAnsi="宋体"/>
                <w:szCs w:val="21"/>
              </w:rPr>
              <w:t>、</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lang w:val="en-US" w:eastAsia="zh-CN"/>
              </w:rPr>
              <w:t>4</w:t>
            </w:r>
            <w:r>
              <w:rPr>
                <w:rFonts w:hint="eastAsia" w:hAnsi="宋体"/>
                <w:szCs w:val="21"/>
              </w:rPr>
              <w:t>、参与本项目的供应商具备《中华人民共和国政府采购法》第二十二条规定。【由响应投标人按采购文件规定的格式在《政府采购投标及履约承诺函》中作出声明】</w:t>
            </w:r>
          </w:p>
          <w:p>
            <w:pPr>
              <w:pStyle w:val="7"/>
              <w:spacing w:line="360" w:lineRule="auto"/>
              <w:ind w:left="378" w:hanging="378" w:hangingChars="180"/>
              <w:rPr>
                <w:rFonts w:hAnsi="宋体"/>
                <w:szCs w:val="21"/>
              </w:rPr>
            </w:pPr>
            <w:r>
              <w:rPr>
                <w:rFonts w:hint="eastAsia" w:hAnsi="宋体"/>
                <w:szCs w:val="21"/>
                <w:lang w:val="en-US" w:eastAsia="zh-CN"/>
              </w:rPr>
              <w:t>5</w:t>
            </w:r>
            <w:r>
              <w:rPr>
                <w:rFonts w:hint="eastAsia" w:hAnsi="宋体"/>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pPr>
              <w:pStyle w:val="7"/>
              <w:spacing w:line="360" w:lineRule="auto"/>
              <w:ind w:left="378" w:hanging="378" w:hangingChars="180"/>
              <w:rPr>
                <w:rFonts w:hAnsi="宋体"/>
                <w:szCs w:val="21"/>
              </w:rPr>
            </w:pPr>
            <w:r>
              <w:rPr>
                <w:rFonts w:hint="eastAsia" w:hAnsi="宋体"/>
                <w:szCs w:val="21"/>
                <w:lang w:val="en-US" w:eastAsia="zh-CN"/>
              </w:rPr>
              <w:t>6</w:t>
            </w:r>
            <w:r>
              <w:rPr>
                <w:rFonts w:hint="eastAsia" w:hAnsi="宋体"/>
                <w:szCs w:val="21"/>
              </w:rPr>
              <w:t>、本项目不接受联合体投标，不允许分包或转包。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6</w:t>
            </w:r>
          </w:p>
        </w:tc>
        <w:tc>
          <w:tcPr>
            <w:tcW w:w="850" w:type="dxa"/>
            <w:vAlign w:val="center"/>
          </w:tcPr>
          <w:p>
            <w:pPr>
              <w:pStyle w:val="7"/>
              <w:spacing w:line="360" w:lineRule="auto"/>
              <w:jc w:val="center"/>
              <w:rPr>
                <w:rFonts w:hAnsi="宋体"/>
              </w:rPr>
            </w:pPr>
            <w:r>
              <w:rPr>
                <w:rFonts w:hint="eastAsia" w:hAnsi="宋体"/>
              </w:rPr>
              <w:t>6.1</w:t>
            </w:r>
          </w:p>
        </w:tc>
        <w:tc>
          <w:tcPr>
            <w:tcW w:w="1985" w:type="dxa"/>
            <w:vAlign w:val="center"/>
          </w:tcPr>
          <w:p>
            <w:pPr>
              <w:pStyle w:val="7"/>
              <w:spacing w:line="360" w:lineRule="auto"/>
              <w:jc w:val="center"/>
              <w:rPr>
                <w:rFonts w:hAnsi="宋体"/>
              </w:rPr>
            </w:pPr>
            <w:r>
              <w:rPr>
                <w:rFonts w:hint="eastAsia" w:hAnsi="宋体"/>
              </w:rPr>
              <w:t>踏勘现场</w:t>
            </w:r>
          </w:p>
        </w:tc>
        <w:tc>
          <w:tcPr>
            <w:tcW w:w="5669" w:type="dxa"/>
            <w:vAlign w:val="center"/>
          </w:tcPr>
          <w:p>
            <w:pPr>
              <w:pStyle w:val="7"/>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7</w:t>
            </w:r>
          </w:p>
        </w:tc>
        <w:tc>
          <w:tcPr>
            <w:tcW w:w="850" w:type="dxa"/>
            <w:vAlign w:val="center"/>
          </w:tcPr>
          <w:p>
            <w:pPr>
              <w:pStyle w:val="7"/>
              <w:spacing w:line="360" w:lineRule="auto"/>
              <w:jc w:val="center"/>
              <w:rPr>
                <w:rFonts w:hAnsi="宋体"/>
              </w:rPr>
            </w:pPr>
            <w:r>
              <w:rPr>
                <w:rFonts w:hAnsi="宋体"/>
              </w:rPr>
              <w:t>1</w:t>
            </w:r>
            <w:r>
              <w:rPr>
                <w:rFonts w:hint="eastAsia" w:hAnsi="宋体"/>
              </w:rPr>
              <w:t>4</w:t>
            </w:r>
            <w:r>
              <w:rPr>
                <w:rFonts w:hAnsi="宋体"/>
              </w:rPr>
              <w:t>.1</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有效期</w:t>
            </w:r>
          </w:p>
        </w:tc>
        <w:tc>
          <w:tcPr>
            <w:tcW w:w="5669" w:type="dxa"/>
            <w:vAlign w:val="center"/>
          </w:tcPr>
          <w:p>
            <w:pPr>
              <w:pStyle w:val="7"/>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8</w:t>
            </w:r>
          </w:p>
        </w:tc>
        <w:tc>
          <w:tcPr>
            <w:tcW w:w="850" w:type="dxa"/>
            <w:vAlign w:val="center"/>
          </w:tcPr>
          <w:p>
            <w:pPr>
              <w:pStyle w:val="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985" w:type="dxa"/>
            <w:vAlign w:val="center"/>
          </w:tcPr>
          <w:p>
            <w:pPr>
              <w:pStyle w:val="7"/>
              <w:spacing w:line="360" w:lineRule="auto"/>
              <w:jc w:val="center"/>
              <w:rPr>
                <w:rFonts w:hAnsi="宋体"/>
              </w:rPr>
            </w:pPr>
            <w:r>
              <w:rPr>
                <w:rFonts w:hint="eastAsia" w:hAnsi="宋体"/>
              </w:rPr>
              <w:t>项目保证金</w:t>
            </w:r>
          </w:p>
        </w:tc>
        <w:tc>
          <w:tcPr>
            <w:tcW w:w="5669" w:type="dxa"/>
            <w:vAlign w:val="center"/>
          </w:tcPr>
          <w:p>
            <w:pPr>
              <w:pStyle w:val="7"/>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10</w:t>
            </w:r>
          </w:p>
        </w:tc>
        <w:tc>
          <w:tcPr>
            <w:tcW w:w="850" w:type="dxa"/>
            <w:vAlign w:val="center"/>
          </w:tcPr>
          <w:p>
            <w:pPr>
              <w:pStyle w:val="7"/>
              <w:spacing w:line="360" w:lineRule="auto"/>
              <w:jc w:val="center"/>
              <w:rPr>
                <w:rFonts w:hAnsi="宋体"/>
              </w:rPr>
            </w:pPr>
            <w:r>
              <w:rPr>
                <w:rFonts w:hAnsi="宋体"/>
              </w:rPr>
              <w:t>1</w:t>
            </w:r>
            <w:r>
              <w:rPr>
                <w:rFonts w:hint="eastAsia" w:hAnsi="宋体"/>
              </w:rPr>
              <w:t>7</w:t>
            </w:r>
            <w:r>
              <w:rPr>
                <w:rFonts w:hAnsi="宋体"/>
              </w:rPr>
              <w:t>.1</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份数</w:t>
            </w:r>
          </w:p>
        </w:tc>
        <w:tc>
          <w:tcPr>
            <w:tcW w:w="5669" w:type="dxa"/>
            <w:vAlign w:val="center"/>
          </w:tcPr>
          <w:p>
            <w:pPr>
              <w:pStyle w:val="7"/>
              <w:rPr>
                <w:rFonts w:hAnsi="宋体"/>
              </w:rPr>
            </w:pPr>
            <w:r>
              <w:rPr>
                <w:rFonts w:hint="eastAsia" w:hAnsi="宋体"/>
              </w:rPr>
              <w:t>正本1份，副本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11</w:t>
            </w:r>
          </w:p>
        </w:tc>
        <w:tc>
          <w:tcPr>
            <w:tcW w:w="850" w:type="dxa"/>
            <w:vAlign w:val="center"/>
          </w:tcPr>
          <w:p>
            <w:pPr>
              <w:pStyle w:val="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985" w:type="dxa"/>
            <w:vAlign w:val="center"/>
          </w:tcPr>
          <w:p>
            <w:pPr>
              <w:pStyle w:val="7"/>
              <w:spacing w:line="360" w:lineRule="auto"/>
              <w:jc w:val="center"/>
              <w:rPr>
                <w:rFonts w:hAnsi="宋体"/>
              </w:rPr>
            </w:pPr>
            <w:r>
              <w:rPr>
                <w:rFonts w:hint="eastAsia" w:hAnsi="宋体"/>
              </w:rPr>
              <w:t>开标</w:t>
            </w:r>
          </w:p>
        </w:tc>
        <w:tc>
          <w:tcPr>
            <w:tcW w:w="5669" w:type="dxa"/>
            <w:vAlign w:val="center"/>
          </w:tcPr>
          <w:p>
            <w:pPr>
              <w:pStyle w:val="7"/>
              <w:rPr>
                <w:rFonts w:hAnsi="宋体"/>
              </w:rPr>
            </w:pPr>
            <w:r>
              <w:rPr>
                <w:rFonts w:hint="eastAsia" w:hAnsi="宋体"/>
              </w:rPr>
              <w:t>时间：</w:t>
            </w: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07</w:t>
            </w:r>
            <w:r>
              <w:rPr>
                <w:rFonts w:ascii="Times New Roman" w:hAnsi="Times New Roman"/>
                <w:b/>
                <w:snapToGrid w:val="0"/>
                <w:highlight w:val="yellow"/>
              </w:rPr>
              <w:t>月</w:t>
            </w:r>
            <w:r>
              <w:rPr>
                <w:rFonts w:hint="eastAsia" w:ascii="Times New Roman" w:hAnsi="Times New Roman"/>
                <w:b/>
                <w:snapToGrid w:val="0"/>
                <w:highlight w:val="yellow"/>
                <w:lang w:val="en-US" w:eastAsia="zh-CN"/>
              </w:rPr>
              <w:t>27</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lang w:val="en-US" w:eastAsia="zh-CN"/>
              </w:rPr>
              <w:t>3</w:t>
            </w:r>
            <w:r>
              <w:rPr>
                <w:rFonts w:ascii="Times New Roman" w:hAnsi="Times New Roman"/>
                <w:b/>
                <w:snapToGrid w:val="0"/>
                <w:highlight w:val="yellow"/>
              </w:rPr>
              <w:t>0时（北京时间）</w:t>
            </w:r>
          </w:p>
          <w:p>
            <w:pPr>
              <w:pStyle w:val="7"/>
              <w:spacing w:line="360" w:lineRule="auto"/>
              <w:ind w:left="735" w:hanging="735" w:hangingChars="350"/>
              <w:rPr>
                <w:rFonts w:hAnsi="宋体"/>
              </w:rPr>
            </w:pPr>
            <w:r>
              <w:rPr>
                <w:rFonts w:hint="eastAsia" w:hAnsi="宋体"/>
              </w:rPr>
              <w:t>地点：</w:t>
            </w:r>
            <w:r>
              <w:rPr>
                <w:rFonts w:hAnsi="宋体"/>
              </w:rPr>
              <w:t>深圳市福田区民田路</w:t>
            </w:r>
            <w:r>
              <w:rPr>
                <w:rFonts w:hint="eastAsia" w:hAnsi="宋体"/>
              </w:rPr>
              <w:t>171号</w:t>
            </w:r>
            <w:r>
              <w:rPr>
                <w:rFonts w:hAnsi="宋体"/>
              </w:rPr>
              <w:t>新华保险大厦</w:t>
            </w:r>
            <w:r>
              <w:rPr>
                <w:rFonts w:hint="eastAsia" w:hAnsi="宋体"/>
              </w:rPr>
              <w:t>903</w:t>
            </w:r>
            <w:r>
              <w:rPr>
                <w:rFonts w:hAnsi="宋体"/>
              </w:rPr>
              <w:t>中正招标</w:t>
            </w:r>
            <w:r>
              <w:rPr>
                <w:rFonts w:hint="eastAsia" w:hAnsi="宋体"/>
              </w:rPr>
              <w:t>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12</w:t>
            </w:r>
          </w:p>
        </w:tc>
        <w:tc>
          <w:tcPr>
            <w:tcW w:w="850" w:type="dxa"/>
            <w:vAlign w:val="center"/>
          </w:tcPr>
          <w:p>
            <w:pPr>
              <w:pStyle w:val="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985" w:type="dxa"/>
            <w:vAlign w:val="center"/>
          </w:tcPr>
          <w:p>
            <w:pPr>
              <w:pStyle w:val="7"/>
              <w:spacing w:line="360" w:lineRule="auto"/>
              <w:jc w:val="center"/>
              <w:rPr>
                <w:rFonts w:hAnsi="宋体"/>
              </w:rPr>
            </w:pPr>
            <w:r>
              <w:rPr>
                <w:rFonts w:hint="eastAsia" w:hAnsi="宋体"/>
                <w:bCs/>
              </w:rPr>
              <w:t>投标文件</w:t>
            </w:r>
            <w:r>
              <w:rPr>
                <w:rFonts w:hint="eastAsia" w:hAnsi="宋体"/>
              </w:rPr>
              <w:t>截止时间</w:t>
            </w:r>
          </w:p>
        </w:tc>
        <w:tc>
          <w:tcPr>
            <w:tcW w:w="5669" w:type="dxa"/>
            <w:vAlign w:val="center"/>
          </w:tcPr>
          <w:p>
            <w:pPr>
              <w:pStyle w:val="7"/>
              <w:spacing w:line="360" w:lineRule="auto"/>
              <w:rPr>
                <w:rFonts w:hAnsi="宋体"/>
                <w:b/>
              </w:rPr>
            </w:pP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07</w:t>
            </w:r>
            <w:r>
              <w:rPr>
                <w:rFonts w:ascii="Times New Roman" w:hAnsi="Times New Roman"/>
                <w:b/>
                <w:snapToGrid w:val="0"/>
                <w:highlight w:val="yellow"/>
              </w:rPr>
              <w:t>月</w:t>
            </w:r>
            <w:r>
              <w:rPr>
                <w:rFonts w:hint="eastAsia" w:ascii="Times New Roman" w:hAnsi="Times New Roman"/>
                <w:b/>
                <w:snapToGrid w:val="0"/>
                <w:highlight w:val="yellow"/>
                <w:lang w:val="en-US" w:eastAsia="zh-CN"/>
              </w:rPr>
              <w:t>27</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lang w:val="en-US" w:eastAsia="zh-CN"/>
              </w:rPr>
              <w:t>3</w:t>
            </w:r>
            <w:r>
              <w:rPr>
                <w:rFonts w:ascii="Times New Roman" w:hAnsi="Times New Roman"/>
                <w:b/>
                <w:snapToGrid w:val="0"/>
                <w:highlight w:val="yellow"/>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7"/>
              <w:spacing w:line="360" w:lineRule="auto"/>
              <w:jc w:val="center"/>
              <w:rPr>
                <w:rFonts w:hAnsi="宋体"/>
              </w:rPr>
            </w:pPr>
            <w:r>
              <w:rPr>
                <w:rFonts w:hint="eastAsia" w:hAnsi="宋体"/>
              </w:rPr>
              <w:t>13</w:t>
            </w:r>
          </w:p>
        </w:tc>
        <w:tc>
          <w:tcPr>
            <w:tcW w:w="850" w:type="dxa"/>
            <w:vAlign w:val="center"/>
          </w:tcPr>
          <w:p>
            <w:pPr>
              <w:pStyle w:val="7"/>
              <w:spacing w:line="360" w:lineRule="auto"/>
              <w:jc w:val="center"/>
              <w:rPr>
                <w:rFonts w:hAnsi="宋体"/>
              </w:rPr>
            </w:pPr>
            <w:r>
              <w:rPr>
                <w:rFonts w:hint="eastAsia" w:hAnsi="宋体"/>
              </w:rPr>
              <w:t>26</w:t>
            </w:r>
            <w:r>
              <w:rPr>
                <w:rFonts w:hAnsi="宋体"/>
              </w:rPr>
              <w:t>.</w:t>
            </w:r>
            <w:r>
              <w:rPr>
                <w:rFonts w:hint="eastAsia" w:hAnsi="宋体"/>
              </w:rPr>
              <w:t>5</w:t>
            </w:r>
          </w:p>
        </w:tc>
        <w:tc>
          <w:tcPr>
            <w:tcW w:w="1985" w:type="dxa"/>
            <w:vAlign w:val="center"/>
          </w:tcPr>
          <w:p>
            <w:pPr>
              <w:pStyle w:val="7"/>
              <w:spacing w:line="360" w:lineRule="auto"/>
              <w:jc w:val="center"/>
              <w:rPr>
                <w:rFonts w:hAnsi="宋体"/>
              </w:rPr>
            </w:pPr>
            <w:r>
              <w:rPr>
                <w:rFonts w:hint="eastAsia" w:hAnsi="宋体"/>
              </w:rPr>
              <w:t>评标办法</w:t>
            </w:r>
          </w:p>
        </w:tc>
        <w:tc>
          <w:tcPr>
            <w:tcW w:w="5669" w:type="dxa"/>
            <w:vAlign w:val="center"/>
          </w:tcPr>
          <w:p>
            <w:pPr>
              <w:pStyle w:val="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Ansi="宋体"/>
              </w:rPr>
            </w:pPr>
            <w:r>
              <w:rPr>
                <w:rFonts w:hint="eastAsia" w:hAnsi="宋体"/>
              </w:rPr>
              <w:t>14</w:t>
            </w:r>
          </w:p>
        </w:tc>
        <w:tc>
          <w:tcPr>
            <w:tcW w:w="850" w:type="dxa"/>
            <w:vAlign w:val="center"/>
          </w:tcPr>
          <w:p>
            <w:pPr>
              <w:pStyle w:val="7"/>
              <w:spacing w:line="360" w:lineRule="auto"/>
              <w:jc w:val="center"/>
              <w:rPr>
                <w:rFonts w:hAnsi="宋体"/>
              </w:rPr>
            </w:pPr>
            <w:r>
              <w:rPr>
                <w:rFonts w:hint="eastAsia" w:hAnsi="宋体"/>
              </w:rPr>
              <w:t>33.1</w:t>
            </w:r>
          </w:p>
        </w:tc>
        <w:tc>
          <w:tcPr>
            <w:tcW w:w="1985" w:type="dxa"/>
            <w:vAlign w:val="center"/>
          </w:tcPr>
          <w:p>
            <w:pPr>
              <w:pStyle w:val="7"/>
              <w:spacing w:line="340" w:lineRule="exact"/>
              <w:jc w:val="center"/>
              <w:rPr>
                <w:rFonts w:hAnsi="宋体"/>
              </w:rPr>
            </w:pPr>
            <w:r>
              <w:rPr>
                <w:rFonts w:hint="eastAsia" w:hAnsi="宋体"/>
              </w:rPr>
              <w:t>采购代理服务费</w:t>
            </w:r>
          </w:p>
        </w:tc>
        <w:tc>
          <w:tcPr>
            <w:tcW w:w="5669" w:type="dxa"/>
            <w:vAlign w:val="center"/>
          </w:tcPr>
          <w:p>
            <w:pPr>
              <w:pStyle w:val="7"/>
              <w:spacing w:line="340" w:lineRule="exact"/>
              <w:rPr>
                <w:rFonts w:hAnsi="宋体"/>
              </w:rPr>
            </w:pPr>
            <w:r>
              <w:rPr>
                <w:rFonts w:hint="eastAsia" w:hAnsi="宋体"/>
              </w:rPr>
              <w:t>采购代理机构按中标金额的一定比例向中标人收取。</w:t>
            </w:r>
          </w:p>
          <w:p>
            <w:pPr>
              <w:pStyle w:val="7"/>
              <w:spacing w:line="340" w:lineRule="exact"/>
              <w:rPr>
                <w:rFonts w:hAnsi="宋体"/>
              </w:rPr>
            </w:pPr>
            <w:r>
              <w:rPr>
                <w:rFonts w:hint="eastAsia" w:hAnsi="宋体"/>
              </w:rPr>
              <w:t>（详见“第五部分-通用条款（供应商须知）第33小条”）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7"/>
              <w:spacing w:line="360" w:lineRule="auto"/>
              <w:jc w:val="center"/>
              <w:rPr>
                <w:rFonts w:hAnsi="宋体"/>
              </w:rPr>
            </w:pPr>
            <w:r>
              <w:rPr>
                <w:rFonts w:hint="eastAsia" w:hAnsi="宋体"/>
              </w:rPr>
              <w:t>15</w:t>
            </w:r>
          </w:p>
        </w:tc>
        <w:tc>
          <w:tcPr>
            <w:tcW w:w="850" w:type="dxa"/>
            <w:vAlign w:val="center"/>
          </w:tcPr>
          <w:p>
            <w:pPr>
              <w:pStyle w:val="7"/>
              <w:spacing w:line="360" w:lineRule="auto"/>
              <w:jc w:val="center"/>
              <w:rPr>
                <w:rFonts w:hAnsi="宋体"/>
              </w:rPr>
            </w:pPr>
          </w:p>
        </w:tc>
        <w:tc>
          <w:tcPr>
            <w:tcW w:w="1985" w:type="dxa"/>
            <w:vAlign w:val="center"/>
          </w:tcPr>
          <w:p>
            <w:pPr>
              <w:pStyle w:val="7"/>
              <w:spacing w:line="340" w:lineRule="exact"/>
              <w:jc w:val="center"/>
              <w:rPr>
                <w:rFonts w:hAnsi="宋体"/>
              </w:rPr>
            </w:pPr>
            <w:r>
              <w:rPr>
                <w:rFonts w:hint="eastAsia" w:hAnsi="宋体"/>
              </w:rPr>
              <w:t>采购控制金额</w:t>
            </w:r>
          </w:p>
          <w:p>
            <w:pPr>
              <w:pStyle w:val="7"/>
              <w:spacing w:line="340" w:lineRule="exact"/>
              <w:jc w:val="center"/>
              <w:rPr>
                <w:rFonts w:hAnsi="宋体"/>
              </w:rPr>
            </w:pPr>
            <w:r>
              <w:rPr>
                <w:rFonts w:hint="eastAsia" w:hAnsi="宋体"/>
              </w:rPr>
              <w:t>（最高投标限价）</w:t>
            </w:r>
          </w:p>
        </w:tc>
        <w:tc>
          <w:tcPr>
            <w:tcW w:w="5669" w:type="dxa"/>
            <w:vAlign w:val="center"/>
          </w:tcPr>
          <w:p>
            <w:pPr>
              <w:pStyle w:val="7"/>
              <w:spacing w:line="340" w:lineRule="exact"/>
              <w:rPr>
                <w:rFonts w:hAnsi="宋体"/>
                <w:b/>
              </w:rPr>
            </w:pPr>
            <w:r>
              <w:rPr>
                <w:rFonts w:hint="eastAsia" w:hAnsi="宋体"/>
                <w:b/>
                <w:highlight w:val="yellow"/>
              </w:rPr>
              <w:t>人民币叁拾万元整（￥</w:t>
            </w:r>
            <w:r>
              <w:rPr>
                <w:rFonts w:hint="eastAsia" w:hAnsi="宋体"/>
                <w:b/>
                <w:highlight w:val="yellow"/>
                <w:u w:val="single"/>
              </w:rPr>
              <w:t>3</w:t>
            </w:r>
            <w:r>
              <w:rPr>
                <w:rFonts w:hint="eastAsia" w:hAnsi="宋体"/>
                <w:b/>
                <w:highlight w:val="yellow"/>
                <w:u w:val="single"/>
                <w:lang w:val="en-US" w:eastAsia="zh-CN"/>
              </w:rPr>
              <w:t>0</w:t>
            </w:r>
            <w:r>
              <w:rPr>
                <w:rFonts w:hint="eastAsia" w:hAnsi="宋体"/>
                <w:b/>
                <w:highlight w:val="yellow"/>
                <w:u w:val="single"/>
              </w:rPr>
              <w:t>0</w:t>
            </w:r>
            <w:r>
              <w:rPr>
                <w:rFonts w:hAnsi="宋体"/>
                <w:b/>
                <w:highlight w:val="yellow"/>
                <w:u w:val="single"/>
              </w:rPr>
              <w:t>,</w:t>
            </w:r>
            <w:r>
              <w:rPr>
                <w:rFonts w:hint="eastAsia" w:hAnsi="宋体"/>
                <w:b/>
                <w:highlight w:val="yellow"/>
                <w:u w:val="single"/>
              </w:rPr>
              <w:t>0</w:t>
            </w:r>
            <w:r>
              <w:rPr>
                <w:rFonts w:hAnsi="宋体"/>
                <w:b/>
                <w:highlight w:val="yellow"/>
                <w:u w:val="single"/>
              </w:rPr>
              <w:t>00.00</w:t>
            </w:r>
            <w:r>
              <w:rPr>
                <w:rFonts w:hint="eastAsia" w:hAnsi="宋体"/>
                <w:b/>
                <w:highlight w:val="yellow"/>
              </w:rPr>
              <w:t>）</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综合评分法，是指投标文件满足采购文件全部实质性要求，且按照评审因素的量化指标评审得分最高的投标人为中标候选人的评标方法。</w:t>
      </w: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评分项目</w:t>
            </w:r>
          </w:p>
        </w:tc>
        <w:tc>
          <w:tcPr>
            <w:tcW w:w="709"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snapToGrid w:val="0"/>
                <w:kern w:val="0"/>
                <w:sz w:val="22"/>
              </w:rPr>
            </w:pPr>
            <w:r>
              <w:rPr>
                <w:rFonts w:hint="eastAsia" w:ascii="仿宋" w:hAnsi="仿宋" w:eastAsia="仿宋"/>
                <w:b/>
                <w:bCs/>
                <w:snapToGrid w:val="0"/>
                <w:kern w:val="0"/>
                <w:sz w:val="22"/>
              </w:rPr>
              <w:t>分值</w:t>
            </w:r>
          </w:p>
        </w:tc>
        <w:tc>
          <w:tcPr>
            <w:tcW w:w="6335"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价格标（G）</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w:t>
            </w:r>
            <w:r>
              <w:rPr>
                <w:rFonts w:hint="eastAsia" w:ascii="仿宋" w:hAnsi="仿宋" w:eastAsia="仿宋"/>
                <w:b/>
                <w:bCs/>
                <w:snapToGrid w:val="0"/>
                <w:kern w:val="0"/>
                <w:sz w:val="22"/>
                <w:lang w:val="en-US" w:eastAsia="zh-CN"/>
              </w:rPr>
              <w:t>2</w:t>
            </w:r>
            <w:r>
              <w:rPr>
                <w:rFonts w:hint="eastAsia" w:ascii="仿宋" w:hAnsi="仿宋" w:eastAsia="仿宋"/>
                <w:b/>
                <w:bCs/>
                <w:snapToGrid w:val="0"/>
                <w:kern w:val="0"/>
                <w:sz w:val="22"/>
              </w:rPr>
              <w:t>0分）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投标总价</w:t>
            </w:r>
          </w:p>
        </w:tc>
        <w:tc>
          <w:tcPr>
            <w:tcW w:w="709"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lang w:val="en-US" w:eastAsia="zh-CN"/>
              </w:rPr>
              <w:t>2</w:t>
            </w:r>
            <w:r>
              <w:rPr>
                <w:rFonts w:hint="eastAsia" w:ascii="仿宋" w:hAnsi="仿宋" w:eastAsia="仿宋" w:cs="宋体"/>
                <w:kern w:val="0"/>
                <w:sz w:val="22"/>
              </w:rPr>
              <w:t>0</w:t>
            </w:r>
          </w:p>
        </w:tc>
        <w:tc>
          <w:tcPr>
            <w:tcW w:w="6335" w:type="dxa"/>
            <w:tcBorders>
              <w:right w:val="double" w:color="auto" w:sz="4" w:space="0"/>
            </w:tcBorders>
            <w:vAlign w:val="center"/>
          </w:tcPr>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价格分按以下方案计算：</w:t>
            </w:r>
          </w:p>
          <w:p>
            <w:pPr>
              <w:adjustRightInd w:val="0"/>
              <w:spacing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rPr>
              <w:t>投标报价得分= Z/Sn×</w:t>
            </w:r>
            <w:r>
              <w:rPr>
                <w:rFonts w:hint="eastAsia" w:ascii="仿宋" w:hAnsi="仿宋" w:eastAsia="仿宋" w:cs="宋体"/>
                <w:kern w:val="0"/>
                <w:sz w:val="22"/>
                <w:lang w:val="en-US" w:eastAsia="zh-CN"/>
              </w:rPr>
              <w:t>20</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其中： Z --评标基准价，即通过资格性审查和符合性审查且投标价格最低的投标报价</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ab/>
            </w:r>
            <w:r>
              <w:rPr>
                <w:rFonts w:hint="eastAsia" w:ascii="仿宋" w:hAnsi="仿宋" w:eastAsia="仿宋" w:cs="宋体"/>
                <w:kern w:val="0"/>
                <w:sz w:val="22"/>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技术标（J）</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w:t>
            </w:r>
            <w:r>
              <w:rPr>
                <w:rFonts w:hint="eastAsia" w:ascii="仿宋" w:hAnsi="仿宋" w:eastAsia="仿宋"/>
                <w:b/>
                <w:bCs/>
                <w:snapToGrid w:val="0"/>
                <w:kern w:val="0"/>
                <w:sz w:val="22"/>
                <w:lang w:val="en-US" w:eastAsia="zh-CN"/>
              </w:rPr>
              <w:t>35</w:t>
            </w:r>
            <w:r>
              <w:rPr>
                <w:rFonts w:hint="eastAsia" w:ascii="仿宋" w:hAnsi="仿宋" w:eastAsia="仿宋"/>
                <w:b/>
                <w:bCs/>
                <w:snapToGrid w:val="0"/>
                <w:kern w:val="0"/>
                <w:sz w:val="22"/>
              </w:rPr>
              <w:t>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实施方案</w:t>
            </w:r>
          </w:p>
        </w:tc>
        <w:tc>
          <w:tcPr>
            <w:tcW w:w="709" w:type="dxa"/>
            <w:vAlign w:val="center"/>
          </w:tcPr>
          <w:p>
            <w:pPr>
              <w:spacing w:line="360" w:lineRule="auto"/>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10</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实施方案</w:t>
            </w:r>
            <w:r>
              <w:rPr>
                <w:rFonts w:hint="eastAsia" w:ascii="仿宋" w:hAnsi="仿宋" w:eastAsia="仿宋" w:cs="宋体"/>
                <w:kern w:val="0"/>
                <w:sz w:val="22"/>
                <w:lang w:val="en-US" w:eastAsia="zh-CN"/>
              </w:rPr>
              <w:t>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1）项目监理方案内容全面。2）对工作措施、工作方法、工作手段、工作流程和项目管理服务承诺描述全面、科学、合理。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3）项目实施方案内容具体。4）项目实施方案内容针对性强。</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5）项目实施方案内容可操作性强。</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1）响应方案满足但不限于以上5项，得</w:t>
            </w:r>
            <w:r>
              <w:rPr>
                <w:rFonts w:hint="eastAsia" w:ascii="仿宋" w:hAnsi="仿宋" w:eastAsia="仿宋" w:cs="宋体"/>
                <w:kern w:val="0"/>
                <w:sz w:val="22"/>
                <w:lang w:val="en-US" w:eastAsia="zh-CN"/>
              </w:rPr>
              <w:t>10</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2）响应方案满足以上其中4项，得</w:t>
            </w:r>
            <w:r>
              <w:rPr>
                <w:rFonts w:hint="eastAsia" w:ascii="仿宋" w:hAnsi="仿宋" w:eastAsia="仿宋" w:cs="宋体"/>
                <w:kern w:val="0"/>
                <w:sz w:val="22"/>
                <w:lang w:val="en-US" w:eastAsia="zh-CN"/>
              </w:rPr>
              <w:t>7</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3）响应方案满足以上其中3项，得</w:t>
            </w:r>
            <w:r>
              <w:rPr>
                <w:rFonts w:hint="eastAsia" w:ascii="仿宋" w:hAnsi="仿宋" w:eastAsia="仿宋" w:cs="宋体"/>
                <w:kern w:val="0"/>
                <w:sz w:val="22"/>
                <w:lang w:val="en-US" w:eastAsia="zh-CN"/>
              </w:rPr>
              <w:t>4</w:t>
            </w:r>
            <w:r>
              <w:rPr>
                <w:rFonts w:hint="eastAsia" w:ascii="仿宋" w:hAnsi="仿宋" w:eastAsia="仿宋" w:cs="宋体"/>
                <w:kern w:val="0"/>
                <w:sz w:val="22"/>
              </w:rPr>
              <w:t>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项目重点难点分析、应对措施及相关的合理化建议</w:t>
            </w:r>
          </w:p>
        </w:tc>
        <w:tc>
          <w:tcPr>
            <w:tcW w:w="709" w:type="dxa"/>
            <w:vAlign w:val="center"/>
          </w:tcPr>
          <w:p>
            <w:pPr>
              <w:spacing w:line="360" w:lineRule="auto"/>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8</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项目重点难点分析、应对措施及相关的合理化建议</w:t>
            </w:r>
            <w:r>
              <w:rPr>
                <w:rFonts w:hint="eastAsia" w:ascii="仿宋" w:hAnsi="仿宋" w:eastAsia="仿宋" w:cs="宋体"/>
                <w:kern w:val="0"/>
                <w:sz w:val="22"/>
                <w:lang w:val="en-US" w:eastAsia="zh-CN"/>
              </w:rPr>
              <w:t>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1）项目重点难点分析内容全面。2）项目重点难点分析内容具体。3）项目重点难点分析内容科学合理。4）应对措施或合理化建议针对性强。5）应对措施或合理化建议可操作性强。</w:t>
            </w:r>
          </w:p>
          <w:p>
            <w:pPr>
              <w:adjustRightInd w:val="0"/>
              <w:spacing w:line="360" w:lineRule="auto"/>
              <w:rPr>
                <w:rFonts w:hint="eastAsia" w:ascii="仿宋" w:hAnsi="仿宋" w:eastAsia="仿宋" w:cs="宋体"/>
                <w:b/>
                <w:bCs/>
                <w:kern w:val="0"/>
                <w:sz w:val="22"/>
                <w:highlight w:val="yellow"/>
              </w:rPr>
            </w:pPr>
            <w:r>
              <w:rPr>
                <w:rFonts w:hint="eastAsia" w:ascii="仿宋" w:hAnsi="仿宋" w:eastAsia="仿宋" w:cs="宋体"/>
                <w:b/>
                <w:bCs/>
                <w:kern w:val="0"/>
                <w:sz w:val="22"/>
                <w:highlight w:val="yellow"/>
              </w:rPr>
              <w:t>评分细则：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1）响应方案满足但不限于以上5项，得</w:t>
            </w:r>
            <w:r>
              <w:rPr>
                <w:rFonts w:hint="eastAsia" w:ascii="仿宋" w:hAnsi="仿宋" w:eastAsia="仿宋" w:cs="宋体"/>
                <w:kern w:val="0"/>
                <w:sz w:val="22"/>
                <w:lang w:val="en-US" w:eastAsia="zh-CN"/>
              </w:rPr>
              <w:t>8</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2）响应方案满足以上其中4项，得</w:t>
            </w:r>
            <w:r>
              <w:rPr>
                <w:rFonts w:hint="eastAsia" w:ascii="仿宋" w:hAnsi="仿宋" w:eastAsia="仿宋" w:cs="宋体"/>
                <w:kern w:val="0"/>
                <w:sz w:val="22"/>
                <w:lang w:val="en-US" w:eastAsia="zh-CN"/>
              </w:rPr>
              <w:t>6</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3）响应方案满足以上其中3项，得</w:t>
            </w:r>
            <w:r>
              <w:rPr>
                <w:rFonts w:hint="eastAsia" w:ascii="仿宋" w:hAnsi="仿宋" w:eastAsia="仿宋" w:cs="宋体"/>
                <w:kern w:val="0"/>
                <w:sz w:val="22"/>
                <w:lang w:val="en-US" w:eastAsia="zh-CN"/>
              </w:rPr>
              <w:t>4</w:t>
            </w:r>
            <w:r>
              <w:rPr>
                <w:rFonts w:hint="eastAsia" w:ascii="仿宋" w:hAnsi="仿宋" w:eastAsia="仿宋" w:cs="宋体"/>
                <w:kern w:val="0"/>
                <w:sz w:val="22"/>
              </w:rPr>
              <w:t>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质量保障措施及方案</w:t>
            </w:r>
          </w:p>
        </w:tc>
        <w:tc>
          <w:tcPr>
            <w:tcW w:w="709" w:type="dxa"/>
            <w:vAlign w:val="center"/>
          </w:tcPr>
          <w:p>
            <w:pPr>
              <w:spacing w:line="360" w:lineRule="auto"/>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8</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质量保障措施及方案</w:t>
            </w:r>
            <w:r>
              <w:rPr>
                <w:rFonts w:hint="eastAsia" w:ascii="仿宋" w:hAnsi="仿宋" w:eastAsia="仿宋" w:cs="宋体"/>
                <w:kern w:val="0"/>
                <w:sz w:val="22"/>
                <w:lang w:val="en-US" w:eastAsia="zh-CN"/>
              </w:rPr>
              <w:t>等</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1）质量保障措施及方案内容全面。2）质量保障措施及方案内容具体。3）质量保障措施及方案科学合理。4）质量保障措施及方案针对性强。5）质量保障措施及方案可操作性强。</w:t>
            </w:r>
          </w:p>
          <w:p>
            <w:pPr>
              <w:adjustRightInd w:val="0"/>
              <w:spacing w:line="360" w:lineRule="auto"/>
              <w:rPr>
                <w:rFonts w:hint="eastAsia" w:ascii="仿宋" w:hAnsi="仿宋" w:eastAsia="仿宋" w:cs="宋体"/>
                <w:b/>
                <w:bCs/>
                <w:kern w:val="0"/>
                <w:sz w:val="22"/>
                <w:highlight w:val="yellow"/>
              </w:rPr>
            </w:pPr>
            <w:r>
              <w:rPr>
                <w:rFonts w:hint="eastAsia" w:ascii="仿宋" w:hAnsi="仿宋" w:eastAsia="仿宋" w:cs="宋体"/>
                <w:b/>
                <w:bCs/>
                <w:kern w:val="0"/>
                <w:sz w:val="22"/>
                <w:highlight w:val="yellow"/>
              </w:rPr>
              <w:t>评分细则：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1）响应方案满足但不限于以上5项，得</w:t>
            </w:r>
            <w:r>
              <w:rPr>
                <w:rFonts w:hint="eastAsia" w:ascii="仿宋" w:hAnsi="仿宋" w:eastAsia="仿宋" w:cs="宋体"/>
                <w:kern w:val="0"/>
                <w:sz w:val="22"/>
                <w:lang w:val="en-US" w:eastAsia="zh-CN"/>
              </w:rPr>
              <w:t>8</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2）响应方案满足以上其中4项，得</w:t>
            </w:r>
            <w:r>
              <w:rPr>
                <w:rFonts w:hint="eastAsia" w:ascii="仿宋" w:hAnsi="仿宋" w:eastAsia="仿宋" w:cs="宋体"/>
                <w:kern w:val="0"/>
                <w:sz w:val="22"/>
                <w:lang w:val="en-US" w:eastAsia="zh-CN"/>
              </w:rPr>
              <w:t>6</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3）响应方案满足以上其中3项，得</w:t>
            </w:r>
            <w:r>
              <w:rPr>
                <w:rFonts w:hint="eastAsia" w:ascii="仿宋" w:hAnsi="仿宋" w:eastAsia="仿宋" w:cs="宋体"/>
                <w:kern w:val="0"/>
                <w:sz w:val="22"/>
                <w:lang w:val="en-US" w:eastAsia="zh-CN"/>
              </w:rPr>
              <w:t>4</w:t>
            </w:r>
            <w:r>
              <w:rPr>
                <w:rFonts w:hint="eastAsia" w:ascii="仿宋" w:hAnsi="仿宋" w:eastAsia="仿宋" w:cs="宋体"/>
                <w:kern w:val="0"/>
                <w:sz w:val="22"/>
              </w:rPr>
              <w:t>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投资控制的方法和措施</w:t>
            </w:r>
          </w:p>
        </w:tc>
        <w:tc>
          <w:tcPr>
            <w:tcW w:w="709" w:type="dxa"/>
            <w:vAlign w:val="center"/>
          </w:tcPr>
          <w:p>
            <w:pPr>
              <w:spacing w:line="360" w:lineRule="auto"/>
              <w:jc w:val="center"/>
              <w:rPr>
                <w:rFonts w:hint="eastAsia" w:ascii="仿宋" w:hAnsi="仿宋" w:eastAsia="仿宋" w:cs="宋体"/>
                <w:kern w:val="0"/>
                <w:sz w:val="22"/>
                <w:lang w:eastAsia="zh-CN"/>
              </w:rPr>
            </w:pPr>
            <w:r>
              <w:rPr>
                <w:rFonts w:hint="eastAsia" w:ascii="仿宋" w:hAnsi="仿宋" w:eastAsia="仿宋" w:cs="宋体"/>
                <w:kern w:val="0"/>
                <w:sz w:val="22"/>
                <w:lang w:val="en-US" w:eastAsia="zh-CN"/>
              </w:rPr>
              <w:t>5</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评标委员会根据投标人提供的项目</w:t>
            </w:r>
            <w:r>
              <w:rPr>
                <w:rFonts w:hint="eastAsia" w:ascii="仿宋" w:hAnsi="仿宋" w:eastAsia="仿宋" w:cs="宋体"/>
                <w:kern w:val="0"/>
                <w:sz w:val="22"/>
              </w:rPr>
              <w:t>投资控制方法和措施</w:t>
            </w:r>
            <w:r>
              <w:rPr>
                <w:rFonts w:hint="eastAsia" w:ascii="仿宋" w:hAnsi="仿宋" w:eastAsia="仿宋" w:cs="宋体"/>
                <w:kern w:val="0"/>
                <w:sz w:val="22"/>
                <w:lang w:val="en-US" w:eastAsia="zh-CN"/>
              </w:rPr>
              <w:t>的</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numPr>
                <w:ilvl w:val="0"/>
                <w:numId w:val="0"/>
              </w:numPr>
              <w:adjustRightInd w:val="0"/>
              <w:spacing w:line="360" w:lineRule="auto"/>
              <w:rPr>
                <w:rFonts w:hint="eastAsia" w:ascii="仿宋" w:hAnsi="仿宋" w:eastAsia="仿宋" w:cs="宋体"/>
                <w:kern w:val="0"/>
                <w:sz w:val="22"/>
                <w:lang w:eastAsia="zh-CN"/>
              </w:rPr>
            </w:pPr>
            <w:r>
              <w:rPr>
                <w:rFonts w:hint="eastAsia" w:ascii="仿宋" w:hAnsi="仿宋" w:eastAsia="仿宋" w:cs="宋体"/>
                <w:kern w:val="0"/>
                <w:sz w:val="22"/>
                <w:lang w:val="en-US" w:eastAsia="zh-CN"/>
              </w:rPr>
              <w:t>1）项目</w:t>
            </w:r>
            <w:r>
              <w:rPr>
                <w:rFonts w:hint="eastAsia" w:ascii="仿宋" w:hAnsi="仿宋" w:eastAsia="仿宋" w:cs="宋体"/>
                <w:kern w:val="0"/>
                <w:sz w:val="22"/>
              </w:rPr>
              <w:t>投资控制的方法和措施</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2）</w:t>
            </w:r>
            <w:r>
              <w:rPr>
                <w:rFonts w:hint="eastAsia" w:ascii="仿宋" w:hAnsi="仿宋" w:eastAsia="仿宋" w:cs="宋体"/>
                <w:kern w:val="0"/>
                <w:sz w:val="22"/>
              </w:rPr>
              <w:t>进度目标明确</w:t>
            </w:r>
            <w:r>
              <w:rPr>
                <w:rFonts w:hint="eastAsia" w:ascii="仿宋" w:hAnsi="仿宋" w:eastAsia="仿宋" w:cs="宋体"/>
                <w:kern w:val="0"/>
                <w:sz w:val="22"/>
                <w:lang w:val="en-US" w:eastAsia="zh-CN"/>
              </w:rPr>
              <w:t>具体</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3）</w:t>
            </w:r>
            <w:r>
              <w:rPr>
                <w:rFonts w:hint="eastAsia" w:ascii="仿宋" w:hAnsi="仿宋" w:eastAsia="仿宋" w:cs="宋体"/>
                <w:kern w:val="0"/>
                <w:sz w:val="22"/>
              </w:rPr>
              <w:t>方法合理可行性，措施针对性</w:t>
            </w:r>
            <w:r>
              <w:rPr>
                <w:rFonts w:hint="eastAsia" w:ascii="仿宋" w:hAnsi="仿宋" w:eastAsia="仿宋" w:cs="宋体"/>
                <w:kern w:val="0"/>
                <w:sz w:val="22"/>
                <w:lang w:eastAsia="zh-CN"/>
              </w:rPr>
              <w:t>。</w:t>
            </w:r>
            <w:r>
              <w:rPr>
                <w:rFonts w:hint="eastAsia" w:ascii="仿宋" w:hAnsi="仿宋" w:eastAsia="仿宋" w:cs="宋体"/>
                <w:kern w:val="0"/>
                <w:sz w:val="22"/>
                <w:lang w:val="en-US" w:eastAsia="zh-CN"/>
              </w:rPr>
              <w:t>4）</w:t>
            </w:r>
            <w:r>
              <w:rPr>
                <w:rFonts w:hint="eastAsia" w:ascii="仿宋" w:hAnsi="仿宋" w:eastAsia="仿宋" w:cs="宋体"/>
                <w:kern w:val="0"/>
                <w:sz w:val="22"/>
              </w:rPr>
              <w:t>对系统建设的人力资源、软硬件等方面的资金使用把握情况等方面</w:t>
            </w:r>
            <w:r>
              <w:rPr>
                <w:rFonts w:hint="eastAsia" w:ascii="仿宋" w:hAnsi="仿宋" w:eastAsia="仿宋" w:cs="宋体"/>
                <w:kern w:val="0"/>
                <w:sz w:val="22"/>
                <w:lang w:eastAsia="zh-CN"/>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1）响应方案满足但不限于以上</w:t>
            </w:r>
            <w:r>
              <w:rPr>
                <w:rFonts w:hint="eastAsia" w:ascii="仿宋" w:hAnsi="仿宋" w:eastAsia="仿宋" w:cs="宋体"/>
                <w:kern w:val="0"/>
                <w:sz w:val="22"/>
                <w:lang w:val="en-US" w:eastAsia="zh-CN"/>
              </w:rPr>
              <w:t>4</w:t>
            </w:r>
            <w:r>
              <w:rPr>
                <w:rFonts w:hint="eastAsia" w:ascii="仿宋" w:hAnsi="仿宋" w:eastAsia="仿宋" w:cs="宋体"/>
                <w:kern w:val="0"/>
                <w:sz w:val="22"/>
              </w:rPr>
              <w:t>项，得</w:t>
            </w:r>
            <w:r>
              <w:rPr>
                <w:rFonts w:hint="eastAsia" w:ascii="仿宋" w:hAnsi="仿宋" w:eastAsia="仿宋" w:cs="宋体"/>
                <w:kern w:val="0"/>
                <w:sz w:val="22"/>
                <w:lang w:val="en-US" w:eastAsia="zh-CN"/>
              </w:rPr>
              <w:t>5</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2）响应方案满足以上其中</w:t>
            </w:r>
            <w:r>
              <w:rPr>
                <w:rFonts w:hint="eastAsia" w:ascii="仿宋" w:hAnsi="仿宋" w:eastAsia="仿宋" w:cs="宋体"/>
                <w:kern w:val="0"/>
                <w:sz w:val="22"/>
                <w:lang w:val="en-US" w:eastAsia="zh-CN"/>
              </w:rPr>
              <w:t>3</w:t>
            </w:r>
            <w:r>
              <w:rPr>
                <w:rFonts w:hint="eastAsia" w:ascii="仿宋" w:hAnsi="仿宋" w:eastAsia="仿宋" w:cs="宋体"/>
                <w:kern w:val="0"/>
                <w:sz w:val="22"/>
              </w:rPr>
              <w:t>项，得</w:t>
            </w:r>
            <w:r>
              <w:rPr>
                <w:rFonts w:hint="eastAsia" w:ascii="仿宋" w:hAnsi="仿宋" w:eastAsia="仿宋" w:cs="宋体"/>
                <w:kern w:val="0"/>
                <w:sz w:val="22"/>
                <w:lang w:val="en-US" w:eastAsia="zh-CN"/>
              </w:rPr>
              <w:t>3</w:t>
            </w:r>
            <w:r>
              <w:rPr>
                <w:rFonts w:hint="eastAsia" w:ascii="仿宋" w:hAnsi="仿宋" w:eastAsia="仿宋" w:cs="宋体"/>
                <w:kern w:val="0"/>
                <w:sz w:val="22"/>
              </w:rPr>
              <w:t>分。</w:t>
            </w:r>
          </w:p>
          <w:p>
            <w:pPr>
              <w:adjustRightInd w:val="0"/>
              <w:spacing w:line="360" w:lineRule="auto"/>
              <w:rPr>
                <w:rFonts w:hint="eastAsia" w:ascii="仿宋" w:hAnsi="仿宋" w:eastAsia="仿宋" w:cs="宋体"/>
                <w:kern w:val="0"/>
                <w:sz w:val="22"/>
              </w:rPr>
            </w:pPr>
            <w:r>
              <w:rPr>
                <w:rFonts w:hint="eastAsia" w:ascii="仿宋" w:hAnsi="仿宋" w:eastAsia="仿宋" w:cs="宋体"/>
                <w:kern w:val="0"/>
                <w:sz w:val="22"/>
              </w:rPr>
              <w:t>3）响应方案满足以上其中</w:t>
            </w:r>
            <w:r>
              <w:rPr>
                <w:rFonts w:hint="eastAsia" w:ascii="仿宋" w:hAnsi="仿宋" w:eastAsia="仿宋" w:cs="宋体"/>
                <w:kern w:val="0"/>
                <w:sz w:val="22"/>
                <w:lang w:val="en-US" w:eastAsia="zh-CN"/>
              </w:rPr>
              <w:t>2</w:t>
            </w:r>
            <w:r>
              <w:rPr>
                <w:rFonts w:hint="eastAsia" w:ascii="仿宋" w:hAnsi="仿宋" w:eastAsia="仿宋" w:cs="宋体"/>
                <w:kern w:val="0"/>
                <w:sz w:val="22"/>
              </w:rPr>
              <w:t>项，得</w:t>
            </w:r>
            <w:r>
              <w:rPr>
                <w:rFonts w:hint="eastAsia" w:ascii="仿宋" w:hAnsi="仿宋" w:eastAsia="仿宋" w:cs="宋体"/>
                <w:kern w:val="0"/>
                <w:sz w:val="22"/>
                <w:lang w:val="en-US" w:eastAsia="zh-CN"/>
              </w:rPr>
              <w:t>1</w:t>
            </w:r>
            <w:r>
              <w:rPr>
                <w:rFonts w:hint="eastAsia" w:ascii="仿宋" w:hAnsi="仿宋" w:eastAsia="仿宋" w:cs="宋体"/>
                <w:kern w:val="0"/>
                <w:sz w:val="22"/>
              </w:rPr>
              <w:t>分。</w:t>
            </w:r>
          </w:p>
          <w:p>
            <w:pPr>
              <w:numPr>
                <w:ilvl w:val="0"/>
                <w:numId w:val="0"/>
              </w:numPr>
              <w:adjustRightInd w:val="0"/>
              <w:spacing w:line="360" w:lineRule="auto"/>
              <w:rPr>
                <w:rFonts w:ascii="仿宋" w:hAnsi="仿宋" w:eastAsia="仿宋" w:cs="宋体"/>
                <w:kern w:val="0"/>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仿宋"/>
                <w:kern w:val="0"/>
                <w:sz w:val="22"/>
              </w:rPr>
              <w:t>违约承诺</w:t>
            </w:r>
          </w:p>
        </w:tc>
        <w:tc>
          <w:tcPr>
            <w:tcW w:w="709" w:type="dxa"/>
            <w:vAlign w:val="center"/>
          </w:tcPr>
          <w:p>
            <w:pPr>
              <w:spacing w:line="360" w:lineRule="auto"/>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4</w:t>
            </w:r>
          </w:p>
        </w:tc>
        <w:tc>
          <w:tcPr>
            <w:tcW w:w="6335" w:type="dxa"/>
            <w:tcBorders>
              <w:right w:val="double" w:color="auto" w:sz="4" w:space="0"/>
            </w:tcBorders>
            <w:vAlign w:val="center"/>
          </w:tcPr>
          <w:p>
            <w:pPr>
              <w:adjustRightInd w:val="0"/>
              <w:snapToGrid w:val="0"/>
              <w:spacing w:line="360" w:lineRule="auto"/>
              <w:rPr>
                <w:rFonts w:hint="eastAsia" w:ascii="仿宋" w:hAnsi="仿宋" w:eastAsia="仿宋" w:cs="宋体"/>
                <w:kern w:val="0"/>
                <w:sz w:val="22"/>
              </w:rPr>
            </w:pPr>
            <w:r>
              <w:rPr>
                <w:rFonts w:hint="eastAsia" w:ascii="仿宋" w:hAnsi="仿宋" w:eastAsia="仿宋" w:cs="仿宋"/>
                <w:sz w:val="22"/>
              </w:rPr>
              <w:t>投标人自行承诺在履约期间如若违约应履行的义务和赔偿，得</w:t>
            </w:r>
            <w:r>
              <w:rPr>
                <w:rFonts w:hint="eastAsia" w:ascii="仿宋" w:hAnsi="仿宋" w:eastAsia="仿宋" w:cs="仿宋"/>
                <w:sz w:val="22"/>
                <w:lang w:val="en-US" w:eastAsia="zh-CN"/>
              </w:rPr>
              <w:t>4</w:t>
            </w:r>
            <w:r>
              <w:rPr>
                <w:rFonts w:hint="eastAsia" w:ascii="仿宋" w:hAnsi="仿宋" w:eastAsia="仿宋" w:cs="仿宋"/>
                <w:sz w:val="22"/>
              </w:rPr>
              <w:t>分。提供承诺函，格式自拟。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商务标（S）</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w:t>
            </w:r>
            <w:r>
              <w:rPr>
                <w:rFonts w:hint="eastAsia" w:ascii="仿宋" w:hAnsi="仿宋" w:eastAsia="仿宋"/>
                <w:b/>
                <w:bCs/>
                <w:snapToGrid w:val="0"/>
                <w:kern w:val="0"/>
                <w:sz w:val="22"/>
                <w:lang w:val="en-US" w:eastAsia="zh-CN"/>
              </w:rPr>
              <w:t>45</w:t>
            </w:r>
            <w:r>
              <w:rPr>
                <w:rFonts w:hint="eastAsia" w:ascii="仿宋" w:hAnsi="仿宋" w:eastAsia="仿宋"/>
                <w:b/>
                <w:bCs/>
                <w:snapToGrid w:val="0"/>
                <w:kern w:val="0"/>
                <w:sz w:val="22"/>
              </w:rPr>
              <w:t>分）</w:t>
            </w:r>
          </w:p>
        </w:tc>
        <w:tc>
          <w:tcPr>
            <w:tcW w:w="1182" w:type="dxa"/>
            <w:vAlign w:val="center"/>
          </w:tcPr>
          <w:p>
            <w:pPr>
              <w:spacing w:line="360" w:lineRule="auto"/>
              <w:jc w:val="center"/>
              <w:rPr>
                <w:rFonts w:hint="default" w:ascii="仿宋" w:hAnsi="仿宋" w:eastAsia="仿宋"/>
                <w:sz w:val="22"/>
                <w:lang w:val="en-US" w:eastAsia="zh-CN"/>
              </w:rPr>
            </w:pPr>
            <w:r>
              <w:rPr>
                <w:rFonts w:hint="eastAsia" w:ascii="仿宋" w:hAnsi="仿宋" w:eastAsia="仿宋"/>
                <w:sz w:val="22"/>
                <w:lang w:val="en-US" w:eastAsia="zh-CN"/>
              </w:rPr>
              <w:t>认证情况</w:t>
            </w:r>
          </w:p>
        </w:tc>
        <w:tc>
          <w:tcPr>
            <w:tcW w:w="709" w:type="dxa"/>
            <w:tcBorders>
              <w:right w:val="single" w:color="auto" w:sz="4" w:space="0"/>
            </w:tcBorders>
            <w:vAlign w:val="center"/>
          </w:tcPr>
          <w:p>
            <w:pPr>
              <w:widowControl/>
              <w:adjustRightInd w:val="0"/>
              <w:spacing w:line="360" w:lineRule="auto"/>
              <w:jc w:val="center"/>
              <w:rPr>
                <w:rFonts w:hint="default" w:ascii="仿宋" w:hAnsi="仿宋" w:eastAsia="仿宋"/>
                <w:sz w:val="22"/>
                <w:lang w:val="en-US" w:eastAsia="zh-CN"/>
              </w:rPr>
            </w:pPr>
            <w:r>
              <w:rPr>
                <w:rFonts w:hint="eastAsia" w:ascii="仿宋" w:hAnsi="仿宋" w:eastAsia="仿宋"/>
                <w:sz w:val="22"/>
                <w:lang w:val="en-US" w:eastAsia="zh-CN"/>
              </w:rPr>
              <w:t>6</w:t>
            </w:r>
          </w:p>
        </w:tc>
        <w:tc>
          <w:tcPr>
            <w:tcW w:w="6335" w:type="dxa"/>
            <w:tcBorders>
              <w:left w:val="single" w:color="auto" w:sz="4" w:space="0"/>
              <w:right w:val="double" w:color="auto" w:sz="4" w:space="0"/>
            </w:tcBorders>
            <w:vAlign w:val="center"/>
          </w:tcPr>
          <w:p>
            <w:pPr>
              <w:widowControl/>
              <w:spacing w:line="360" w:lineRule="auto"/>
              <w:jc w:val="left"/>
              <w:textAlignment w:val="center"/>
              <w:rPr>
                <w:rFonts w:hint="eastAsia" w:ascii="仿宋" w:hAnsi="仿宋" w:eastAsia="宋体"/>
                <w:sz w:val="22"/>
                <w:lang w:val="en-US" w:eastAsia="zh-CN"/>
              </w:rPr>
            </w:pPr>
            <w:r>
              <w:rPr>
                <w:rFonts w:hint="eastAsia" w:ascii="仿宋" w:hAnsi="仿宋" w:eastAsia="仿宋"/>
                <w:sz w:val="22"/>
                <w:lang w:val="en-US" w:eastAsia="zh-CN"/>
              </w:rPr>
              <w:t>投标人具有</w:t>
            </w:r>
            <w:r>
              <w:rPr>
                <w:rFonts w:hint="eastAsia"/>
                <w:lang w:eastAsia="zh-CN"/>
              </w:rPr>
              <w:t>：</w:t>
            </w:r>
          </w:p>
          <w:p>
            <w:pPr>
              <w:widowControl/>
              <w:spacing w:line="360" w:lineRule="auto"/>
              <w:ind w:left="0" w:leftChars="0" w:firstLine="0" w:firstLineChars="0"/>
              <w:jc w:val="left"/>
              <w:textAlignment w:val="center"/>
              <w:rPr>
                <w:rFonts w:hint="eastAsia" w:ascii="仿宋" w:hAnsi="仿宋" w:eastAsia="仿宋"/>
                <w:sz w:val="22"/>
                <w:lang w:val="en-US" w:eastAsia="zh-CN"/>
              </w:rPr>
            </w:pPr>
            <w:r>
              <w:rPr>
                <w:rFonts w:hint="eastAsia" w:ascii="仿宋" w:hAnsi="仿宋" w:eastAsia="仿宋"/>
                <w:sz w:val="22"/>
                <w:lang w:val="en-US" w:eastAsia="zh-CN"/>
              </w:rPr>
              <w:t>1）由中国网络安全审查与认证中心颁发的系统集成安全服务资质，得2分。</w:t>
            </w:r>
          </w:p>
          <w:p>
            <w:pPr>
              <w:widowControl/>
              <w:spacing w:line="360" w:lineRule="auto"/>
              <w:ind w:left="0" w:leftChars="0" w:firstLine="0" w:firstLineChars="0"/>
              <w:jc w:val="left"/>
              <w:textAlignment w:val="center"/>
              <w:rPr>
                <w:rFonts w:hint="eastAsia" w:ascii="仿宋" w:hAnsi="仿宋" w:eastAsia="仿宋"/>
                <w:sz w:val="22"/>
                <w:lang w:val="en-US" w:eastAsia="zh-CN"/>
              </w:rPr>
            </w:pPr>
            <w:r>
              <w:rPr>
                <w:rFonts w:hint="eastAsia" w:ascii="仿宋" w:hAnsi="仿宋" w:eastAsia="仿宋"/>
                <w:sz w:val="22"/>
                <w:lang w:val="en-US" w:eastAsia="zh-CN"/>
              </w:rPr>
              <w:t>2）由中国电子企业协会颁发的信息系统工程监理甲级等级证书，得2分。</w:t>
            </w:r>
          </w:p>
          <w:p>
            <w:pPr>
              <w:widowControl/>
              <w:spacing w:line="360" w:lineRule="auto"/>
              <w:ind w:left="440" w:hanging="440" w:hangingChars="200"/>
              <w:jc w:val="left"/>
              <w:textAlignment w:val="center"/>
              <w:rPr>
                <w:rFonts w:hint="eastAsia" w:ascii="仿宋" w:hAnsi="仿宋" w:eastAsia="仿宋"/>
                <w:sz w:val="22"/>
                <w:lang w:val="en-US" w:eastAsia="zh-CN"/>
              </w:rPr>
            </w:pPr>
            <w:r>
              <w:rPr>
                <w:rFonts w:hint="eastAsia" w:ascii="仿宋" w:hAnsi="仿宋" w:eastAsia="仿宋"/>
                <w:sz w:val="22"/>
                <w:lang w:val="en-US" w:eastAsia="zh-CN"/>
              </w:rPr>
              <w:t>3）ITSS信息技术运维标准符合性三级及以上证书,得1分。</w:t>
            </w:r>
          </w:p>
          <w:p>
            <w:pPr>
              <w:widowControl/>
              <w:spacing w:line="360" w:lineRule="auto"/>
              <w:ind w:left="0" w:leftChars="0" w:firstLine="0" w:firstLineChars="0"/>
              <w:jc w:val="left"/>
              <w:textAlignment w:val="center"/>
              <w:rPr>
                <w:rFonts w:hint="default" w:ascii="仿宋" w:hAnsi="仿宋" w:eastAsia="仿宋"/>
                <w:sz w:val="22"/>
                <w:lang w:val="en-US" w:eastAsia="zh-CN"/>
              </w:rPr>
            </w:pPr>
            <w:r>
              <w:rPr>
                <w:rFonts w:hint="eastAsia" w:ascii="仿宋" w:hAnsi="仿宋" w:eastAsia="仿宋"/>
                <w:sz w:val="22"/>
                <w:lang w:val="en-US" w:eastAsia="zh-CN"/>
              </w:rPr>
              <w:t>4）具有ISO质量管理体系认证、信息技术服务管理体系、信息安全管理体系、环境管理体系、职业健康安全管理体系认证（认证范围须同时包括：信息系统监理、信息工程咨询、信息系统测评、信息化建设项目绩效评价服务，且证书在有效期内），得1分。</w:t>
            </w:r>
          </w:p>
          <w:p>
            <w:pPr>
              <w:widowControl/>
              <w:spacing w:line="360" w:lineRule="auto"/>
              <w:jc w:val="left"/>
              <w:textAlignment w:val="center"/>
              <w:rPr>
                <w:rFonts w:hint="default" w:ascii="仿宋" w:hAnsi="仿宋" w:eastAsia="仿宋"/>
                <w:sz w:val="22"/>
                <w:lang w:val="en-US" w:eastAsia="zh-CN"/>
              </w:rPr>
            </w:pPr>
            <w:r>
              <w:rPr>
                <w:rFonts w:hint="eastAsia" w:ascii="仿宋" w:hAnsi="仿宋" w:eastAsia="仿宋"/>
                <w:sz w:val="22"/>
                <w:lang w:val="en-US" w:eastAsia="zh-CN"/>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hint="default" w:ascii="仿宋" w:hAnsi="仿宋" w:eastAsia="仿宋"/>
                <w:sz w:val="22"/>
                <w:lang w:val="en-US" w:eastAsia="zh-CN"/>
              </w:rPr>
            </w:pPr>
            <w:r>
              <w:rPr>
                <w:rFonts w:hint="eastAsia" w:ascii="仿宋" w:hAnsi="仿宋" w:eastAsia="仿宋"/>
                <w:sz w:val="22"/>
                <w:lang w:val="en-US" w:eastAsia="zh-CN"/>
              </w:rPr>
              <w:t>拟派项目总监理工程师（仅限一名）</w:t>
            </w:r>
          </w:p>
        </w:tc>
        <w:tc>
          <w:tcPr>
            <w:tcW w:w="709" w:type="dxa"/>
            <w:tcBorders>
              <w:right w:val="single" w:color="auto" w:sz="4" w:space="0"/>
            </w:tcBorders>
            <w:vAlign w:val="center"/>
          </w:tcPr>
          <w:p>
            <w:pPr>
              <w:widowControl/>
              <w:spacing w:line="360" w:lineRule="auto"/>
              <w:jc w:val="center"/>
              <w:rPr>
                <w:rFonts w:hint="eastAsia" w:ascii="仿宋" w:hAnsi="仿宋" w:eastAsia="仿宋"/>
                <w:snapToGrid w:val="0"/>
                <w:kern w:val="0"/>
                <w:sz w:val="22"/>
                <w:lang w:val="en-US" w:eastAsia="zh-CN"/>
              </w:rPr>
            </w:pPr>
            <w:r>
              <w:rPr>
                <w:rFonts w:hint="eastAsia" w:ascii="仿宋" w:hAnsi="仿宋" w:eastAsia="仿宋"/>
                <w:snapToGrid w:val="0"/>
                <w:kern w:val="0"/>
                <w:sz w:val="22"/>
                <w:lang w:val="en-US" w:eastAsia="zh-CN"/>
              </w:rPr>
              <w:t>8</w:t>
            </w:r>
          </w:p>
        </w:tc>
        <w:tc>
          <w:tcPr>
            <w:tcW w:w="6335" w:type="dxa"/>
            <w:tcBorders>
              <w:left w:val="single" w:color="auto" w:sz="4" w:space="0"/>
              <w:right w:val="double" w:color="auto" w:sz="4" w:space="0"/>
            </w:tcBorders>
            <w:vAlign w:val="center"/>
          </w:tcPr>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拟派项目总监理工程师（仅限一名）须是投标单位员工【投标单位提供为其缴纳的社保证明（2021年4月至6月，如开标日前近一个月的社保证明因社保部门原因暂时无法提供，可往前顺延一个月）】且具有由工信部颁发信息系统监理师证书，未满足要求本项不得分。在此基础上进行以下评审：</w:t>
            </w:r>
          </w:p>
          <w:p>
            <w:pPr>
              <w:snapToGrid w:val="0"/>
              <w:spacing w:line="360" w:lineRule="auto"/>
              <w:ind w:left="440" w:hanging="440" w:hangingChars="20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1）具有由工信部颁发的高级信息系统项目管理师。</w:t>
            </w:r>
          </w:p>
          <w:p>
            <w:pPr>
              <w:snapToGrid w:val="0"/>
              <w:spacing w:line="360" w:lineRule="auto"/>
              <w:ind w:left="440" w:hanging="440" w:hangingChars="20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2）具有由公安部颁发的重要信息系统保护人员证（CIIP-D）。</w:t>
            </w:r>
          </w:p>
          <w:p>
            <w:pPr>
              <w:snapToGrid w:val="0"/>
              <w:spacing w:line="360" w:lineRule="auto"/>
              <w:ind w:left="440" w:hanging="440" w:hangingChars="20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3）具有由住建部颁发的监理师。</w:t>
            </w:r>
          </w:p>
          <w:p>
            <w:pPr>
              <w:snapToGrid w:val="0"/>
              <w:spacing w:line="360" w:lineRule="auto"/>
              <w:ind w:left="440" w:hanging="440" w:hangingChars="20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4）具有由住建部颁发造价工程师。</w:t>
            </w:r>
          </w:p>
          <w:p>
            <w:pPr>
              <w:snapToGrid w:val="0"/>
              <w:spacing w:line="360" w:lineRule="auto"/>
              <w:ind w:left="440" w:hanging="440" w:hangingChars="20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5）具有由中国电子技术标准化研究院颁发的IT审计师。</w:t>
            </w:r>
          </w:p>
          <w:p>
            <w:pPr>
              <w:snapToGrid w:val="0"/>
              <w:spacing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全部满足得8分，每缺少一项扣3分，扣完为止。</w:t>
            </w:r>
          </w:p>
          <w:p>
            <w:pPr>
              <w:snapToGrid w:val="0"/>
              <w:spacing w:line="360" w:lineRule="auto"/>
              <w:ind w:left="440" w:hanging="440" w:hangingChars="200"/>
              <w:jc w:val="left"/>
              <w:rPr>
                <w:rFonts w:hint="default" w:ascii="仿宋" w:hAnsi="仿宋" w:eastAsia="仿宋" w:cs="宋体"/>
                <w:kern w:val="0"/>
                <w:sz w:val="22"/>
                <w:highlight w:val="yellow"/>
                <w:lang w:val="en-US" w:eastAsia="zh-CN"/>
              </w:rPr>
            </w:pPr>
            <w:r>
              <w:rPr>
                <w:rFonts w:hint="eastAsia" w:ascii="仿宋" w:hAnsi="仿宋" w:eastAsia="仿宋" w:cs="宋体"/>
                <w:kern w:val="0"/>
                <w:sz w:val="22"/>
                <w:lang w:val="en-US" w:eastAsia="zh-CN"/>
              </w:rPr>
              <w:t>【提供相关证明材料的扫描件并加盖投标人公章，原件备查。未按要求提供或提供不清晰导致专家无法有效判断的不得分】</w:t>
            </w:r>
          </w:p>
          <w:p>
            <w:pPr>
              <w:snapToGrid w:val="0"/>
              <w:spacing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keepNext w:val="0"/>
              <w:keepLines w:val="0"/>
              <w:pageBreakBefore w:val="0"/>
              <w:widowControl/>
              <w:kinsoku/>
              <w:wordWrap/>
              <w:overflowPunct/>
              <w:topLinePunct w:val="0"/>
              <w:autoSpaceDE/>
              <w:autoSpaceDN/>
              <w:bidi w:val="0"/>
              <w:adjustRightInd/>
              <w:spacing w:beforeAutospacing="0" w:line="360" w:lineRule="auto"/>
              <w:jc w:val="center"/>
              <w:textAlignment w:val="center"/>
              <w:rPr>
                <w:rFonts w:hint="default" w:ascii="仿宋" w:hAnsi="仿宋" w:eastAsia="仿宋"/>
                <w:sz w:val="22"/>
                <w:lang w:val="en-US" w:eastAsia="zh-CN"/>
              </w:rPr>
            </w:pPr>
            <w:r>
              <w:rPr>
                <w:rFonts w:hint="eastAsia" w:ascii="仿宋" w:hAnsi="仿宋" w:eastAsia="仿宋"/>
                <w:sz w:val="22"/>
                <w:lang w:val="en-US" w:eastAsia="zh-CN"/>
              </w:rPr>
              <w:t>拟派项目监理团队成员情况（总监理工程师除外）</w:t>
            </w:r>
          </w:p>
        </w:tc>
        <w:tc>
          <w:tcPr>
            <w:tcW w:w="7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pacing w:beforeAutospacing="0" w:line="360" w:lineRule="auto"/>
              <w:jc w:val="center"/>
              <w:rPr>
                <w:rFonts w:hint="default" w:ascii="仿宋" w:hAnsi="仿宋" w:eastAsia="仿宋"/>
                <w:snapToGrid w:val="0"/>
                <w:kern w:val="0"/>
                <w:sz w:val="22"/>
                <w:lang w:val="en-US" w:eastAsia="zh-CN"/>
              </w:rPr>
            </w:pPr>
            <w:r>
              <w:rPr>
                <w:rFonts w:hint="eastAsia" w:ascii="仿宋" w:hAnsi="仿宋" w:eastAsia="仿宋"/>
                <w:snapToGrid w:val="0"/>
                <w:kern w:val="0"/>
                <w:sz w:val="22"/>
                <w:lang w:val="en-US" w:eastAsia="zh-CN"/>
              </w:rPr>
              <w:t>13</w:t>
            </w:r>
          </w:p>
        </w:tc>
        <w:tc>
          <w:tcPr>
            <w:tcW w:w="6335"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拟派项目监理团队成员（总监理工程师除外）数量不少于4名均是投标单位员工【投标单位提供为其缴纳的社保证明（2021年4月至6月，如开标日前近一个月的社保证明因社保部门原因暂时无法提供，可往前顺延一个月）】且均具有由工信部颁发信息系统监理师证书，未满足本项不得分。在此基础上进行以下评审：</w:t>
            </w:r>
          </w:p>
          <w:p>
            <w:pPr>
              <w:keepNext w:val="0"/>
              <w:keepLines w:val="0"/>
              <w:pageBreakBefore w:val="0"/>
              <w:kinsoku/>
              <w:wordWrap/>
              <w:overflowPunct/>
              <w:topLinePunct w:val="0"/>
              <w:autoSpaceDE/>
              <w:autoSpaceDN/>
              <w:bidi w:val="0"/>
              <w:adjustRightInd/>
              <w:snapToGrid w:val="0"/>
              <w:spacing w:beforeAutospacing="0" w:line="360" w:lineRule="auto"/>
              <w:ind w:left="0" w:leftChars="0" w:firstLine="0" w:firstLineChars="0"/>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1）项目经理（1名），同时具备ITSS-IT服务项目经理证书和检验检测机构认定内审员，得4分。</w:t>
            </w:r>
          </w:p>
          <w:p>
            <w:pPr>
              <w:keepNext w:val="0"/>
              <w:keepLines w:val="0"/>
              <w:pageBreakBefore w:val="0"/>
              <w:kinsoku/>
              <w:wordWrap/>
              <w:overflowPunct/>
              <w:topLinePunct w:val="0"/>
              <w:autoSpaceDE/>
              <w:autoSpaceDN/>
              <w:bidi w:val="0"/>
              <w:adjustRightInd/>
              <w:snapToGrid w:val="0"/>
              <w:spacing w:beforeAutospacing="0" w:line="360" w:lineRule="auto"/>
              <w:ind w:left="0" w:leftChars="0" w:firstLine="0" w:firstLineChars="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2）系统监理师（1名），同时具有由工信部颁发的系统集成项目管理师和由住建部颁发的建造师（机电专业），得4分。</w:t>
            </w:r>
          </w:p>
          <w:p>
            <w:pPr>
              <w:keepNext w:val="0"/>
              <w:keepLines w:val="0"/>
              <w:pageBreakBefore w:val="0"/>
              <w:kinsoku/>
              <w:wordWrap/>
              <w:overflowPunct/>
              <w:topLinePunct w:val="0"/>
              <w:autoSpaceDE/>
              <w:autoSpaceDN/>
              <w:bidi w:val="0"/>
              <w:adjustRightInd/>
              <w:snapToGrid w:val="0"/>
              <w:spacing w:beforeAutospacing="0" w:line="360" w:lineRule="auto"/>
              <w:ind w:left="0" w:leftChars="0" w:firstLine="0" w:firstLineChars="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3）安全工程师（1名），同时具备由工信部颁发的高级网络安全工程师和信息安全保障员CISAW（安全集成）证书的，得3分。</w:t>
            </w:r>
          </w:p>
          <w:p>
            <w:pPr>
              <w:keepNext w:val="0"/>
              <w:keepLines w:val="0"/>
              <w:pageBreakBefore w:val="0"/>
              <w:kinsoku/>
              <w:wordWrap/>
              <w:overflowPunct/>
              <w:topLinePunct w:val="0"/>
              <w:autoSpaceDE/>
              <w:autoSpaceDN/>
              <w:bidi w:val="0"/>
              <w:adjustRightInd/>
              <w:snapToGrid w:val="0"/>
              <w:spacing w:beforeAutospacing="0" w:line="360" w:lineRule="auto"/>
              <w:ind w:left="0" w:leftChars="0" w:firstLine="0" w:firstLineChars="0"/>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4）技术支持工程师（1名），同时具备信息安全保障员CISAW（安全运维）和由工信部颁发的高级网络工程师资格，得2分。</w:t>
            </w:r>
          </w:p>
          <w:p>
            <w:pPr>
              <w:keepNext w:val="0"/>
              <w:keepLines w:val="0"/>
              <w:pageBreakBefore w:val="0"/>
              <w:kinsoku/>
              <w:wordWrap/>
              <w:overflowPunct/>
              <w:topLinePunct w:val="0"/>
              <w:autoSpaceDE/>
              <w:autoSpaceDN/>
              <w:bidi w:val="0"/>
              <w:adjustRightInd/>
              <w:snapToGrid w:val="0"/>
              <w:spacing w:beforeAutospacing="0"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rPr>
              <w:t>【</w:t>
            </w:r>
            <w:r>
              <w:rPr>
                <w:rFonts w:hint="eastAsia" w:ascii="仿宋" w:hAnsi="仿宋" w:eastAsia="仿宋" w:cs="宋体"/>
                <w:kern w:val="0"/>
                <w:sz w:val="22"/>
                <w:lang w:val="en-US" w:eastAsia="zh-CN"/>
              </w:rPr>
              <w:t>同一人员具有多项证书的不可重复得分，提供相关证明材料的扫描件并加盖投标人公章，原件备查。未按要求提供或提供不清晰导致专家无法有效判断的不得分</w:t>
            </w:r>
            <w:r>
              <w:rPr>
                <w:rFonts w:hint="eastAsia" w:ascii="仿宋" w:hAnsi="仿宋" w:eastAsia="仿宋" w:cs="宋体"/>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hint="eastAsia" w:ascii="仿宋" w:hAnsi="仿宋" w:eastAsia="仿宋" w:cs="Times New Roman"/>
                <w:kern w:val="2"/>
                <w:sz w:val="22"/>
                <w:szCs w:val="22"/>
                <w:lang w:val="en-US" w:eastAsia="zh-CN" w:bidi="ar-SA"/>
              </w:rPr>
            </w:pPr>
            <w:r>
              <w:rPr>
                <w:rFonts w:hint="eastAsia" w:ascii="仿宋" w:hAnsi="仿宋" w:eastAsia="仿宋"/>
                <w:sz w:val="22"/>
              </w:rPr>
              <w:t>同类业绩</w:t>
            </w:r>
          </w:p>
        </w:tc>
        <w:tc>
          <w:tcPr>
            <w:tcW w:w="709" w:type="dxa"/>
            <w:tcBorders>
              <w:right w:val="single" w:color="auto" w:sz="4" w:space="0"/>
            </w:tcBorders>
            <w:vAlign w:val="center"/>
          </w:tcPr>
          <w:p>
            <w:pPr>
              <w:widowControl/>
              <w:spacing w:line="360" w:lineRule="auto"/>
              <w:jc w:val="center"/>
              <w:rPr>
                <w:rFonts w:hint="eastAsia" w:ascii="仿宋" w:hAnsi="仿宋" w:eastAsia="仿宋" w:cs="Times New Roman"/>
                <w:snapToGrid w:val="0"/>
                <w:kern w:val="0"/>
                <w:sz w:val="22"/>
                <w:szCs w:val="22"/>
                <w:lang w:val="en-US" w:eastAsia="zh-CN" w:bidi="ar-SA"/>
              </w:rPr>
            </w:pPr>
            <w:r>
              <w:rPr>
                <w:rFonts w:hint="eastAsia" w:ascii="仿宋" w:hAnsi="仿宋" w:eastAsia="仿宋"/>
                <w:snapToGrid w:val="0"/>
                <w:kern w:val="0"/>
                <w:sz w:val="22"/>
                <w:lang w:val="en-US" w:eastAsia="zh-CN"/>
              </w:rPr>
              <w:t>2</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ascii="仿宋" w:hAnsi="仿宋" w:eastAsia="仿宋" w:cs="宋体"/>
                <w:kern w:val="0"/>
                <w:sz w:val="22"/>
              </w:rPr>
              <w:t>投标人近</w:t>
            </w:r>
            <w:r>
              <w:rPr>
                <w:rFonts w:hint="eastAsia" w:ascii="仿宋" w:hAnsi="仿宋" w:eastAsia="仿宋" w:cs="宋体"/>
                <w:kern w:val="0"/>
                <w:sz w:val="22"/>
                <w:lang w:val="en-US" w:eastAsia="zh-CN"/>
              </w:rPr>
              <w:t>两</w:t>
            </w:r>
            <w:r>
              <w:rPr>
                <w:rFonts w:ascii="仿宋" w:hAnsi="仿宋" w:eastAsia="仿宋" w:cs="宋体"/>
                <w:kern w:val="0"/>
                <w:sz w:val="22"/>
              </w:rPr>
              <w:t>年相关同类业绩（以合同签订时间签订为准,从201</w:t>
            </w:r>
            <w:r>
              <w:rPr>
                <w:rFonts w:hint="eastAsia" w:ascii="仿宋" w:hAnsi="仿宋" w:eastAsia="仿宋" w:cs="宋体"/>
                <w:kern w:val="0"/>
                <w:sz w:val="22"/>
                <w:lang w:val="en-US" w:eastAsia="zh-CN"/>
              </w:rPr>
              <w:t>9</w:t>
            </w:r>
            <w:r>
              <w:rPr>
                <w:rFonts w:ascii="仿宋" w:hAnsi="仿宋" w:eastAsia="仿宋" w:cs="宋体"/>
                <w:kern w:val="0"/>
                <w:sz w:val="22"/>
              </w:rPr>
              <w:t>年1月1日开始，截止日为本项目发布招标公告之日），每提供一个有效业绩得</w:t>
            </w:r>
            <w:r>
              <w:rPr>
                <w:rFonts w:hint="eastAsia" w:ascii="仿宋" w:hAnsi="仿宋" w:eastAsia="仿宋" w:cs="宋体"/>
                <w:kern w:val="0"/>
                <w:sz w:val="22"/>
                <w:lang w:val="en-US" w:eastAsia="zh-CN"/>
              </w:rPr>
              <w:t>0.5</w:t>
            </w:r>
            <w:r>
              <w:rPr>
                <w:rFonts w:hint="eastAsia" w:ascii="仿宋" w:hAnsi="仿宋" w:eastAsia="仿宋" w:cs="宋体"/>
                <w:kern w:val="0"/>
                <w:sz w:val="22"/>
              </w:rPr>
              <w:t>分</w:t>
            </w:r>
            <w:r>
              <w:rPr>
                <w:rFonts w:ascii="仿宋" w:hAnsi="仿宋" w:eastAsia="仿宋" w:cs="宋体"/>
                <w:kern w:val="0"/>
                <w:sz w:val="22"/>
              </w:rPr>
              <w:t>，本项得分最高得</w:t>
            </w:r>
            <w:r>
              <w:rPr>
                <w:rFonts w:hint="eastAsia" w:ascii="仿宋" w:hAnsi="仿宋" w:eastAsia="仿宋" w:cs="宋体"/>
                <w:kern w:val="0"/>
                <w:sz w:val="22"/>
                <w:lang w:val="en-US" w:eastAsia="zh-CN"/>
              </w:rPr>
              <w:t>2</w:t>
            </w:r>
            <w:r>
              <w:rPr>
                <w:rFonts w:hint="eastAsia" w:ascii="仿宋" w:hAnsi="仿宋" w:eastAsia="仿宋" w:cs="宋体"/>
                <w:kern w:val="0"/>
                <w:sz w:val="22"/>
              </w:rPr>
              <w:t>分</w:t>
            </w:r>
            <w:r>
              <w:rPr>
                <w:rFonts w:ascii="仿宋" w:hAnsi="仿宋" w:eastAsia="仿宋" w:cs="宋体"/>
                <w:kern w:val="0"/>
                <w:sz w:val="22"/>
              </w:rPr>
              <w:t>。</w:t>
            </w:r>
          </w:p>
          <w:p>
            <w:pPr>
              <w:snapToGrid w:val="0"/>
              <w:spacing w:line="360" w:lineRule="auto"/>
              <w:jc w:val="left"/>
              <w:rPr>
                <w:rFonts w:ascii="仿宋" w:hAnsi="仿宋" w:eastAsia="仿宋" w:cs="宋体"/>
                <w:kern w:val="0"/>
                <w:sz w:val="22"/>
                <w:szCs w:val="22"/>
                <w:lang w:val="en-US" w:eastAsia="zh-CN" w:bidi="ar-SA"/>
              </w:rPr>
            </w:pPr>
            <w:r>
              <w:rPr>
                <w:rFonts w:ascii="仿宋" w:hAnsi="仿宋" w:eastAsia="仿宋" w:cs="宋体"/>
                <w:kern w:val="0"/>
                <w:sz w:val="22"/>
              </w:rPr>
              <w:t>【提供签订合同</w:t>
            </w:r>
            <w:r>
              <w:rPr>
                <w:rFonts w:hint="eastAsia" w:ascii="仿宋" w:hAnsi="仿宋" w:eastAsia="仿宋" w:cs="宋体"/>
                <w:kern w:val="0"/>
                <w:sz w:val="22"/>
              </w:rPr>
              <w:t>的</w:t>
            </w:r>
            <w:r>
              <w:rPr>
                <w:rFonts w:ascii="仿宋" w:hAnsi="仿宋" w:eastAsia="仿宋" w:cs="宋体"/>
                <w:kern w:val="0"/>
                <w:sz w:val="22"/>
              </w:rPr>
              <w:t>扫描件</w:t>
            </w:r>
            <w:r>
              <w:rPr>
                <w:rFonts w:hint="eastAsia" w:ascii="仿宋" w:hAnsi="仿宋" w:eastAsia="仿宋" w:cs="宋体"/>
                <w:kern w:val="0"/>
                <w:sz w:val="22"/>
              </w:rPr>
              <w:t>并加盖投标人公章，原件备查</w:t>
            </w:r>
            <w:r>
              <w:rPr>
                <w:rFonts w:ascii="仿宋" w:hAnsi="仿宋" w:eastAsia="仿宋" w:cs="宋体"/>
                <w:kern w:val="0"/>
                <w:sz w:val="22"/>
              </w:rPr>
              <w:t>。合同须表明关键信息(通过合同关键信息无法判断是否得分的)，未按要求提供或提供不清晰导致专家无法有效判断的不得分】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hint="default" w:ascii="仿宋" w:hAnsi="仿宋" w:eastAsia="仿宋"/>
                <w:sz w:val="22"/>
                <w:lang w:val="en-US" w:eastAsia="zh-CN"/>
              </w:rPr>
            </w:pPr>
            <w:r>
              <w:rPr>
                <w:rFonts w:hint="eastAsia" w:ascii="仿宋" w:hAnsi="仿宋" w:eastAsia="仿宋"/>
                <w:sz w:val="22"/>
                <w:lang w:val="en-US" w:eastAsia="zh-CN"/>
              </w:rPr>
              <w:t>自主知识产权产品</w:t>
            </w:r>
          </w:p>
        </w:tc>
        <w:tc>
          <w:tcPr>
            <w:tcW w:w="709" w:type="dxa"/>
            <w:tcBorders>
              <w:right w:val="single" w:color="auto" w:sz="4" w:space="0"/>
            </w:tcBorders>
            <w:vAlign w:val="center"/>
          </w:tcPr>
          <w:p>
            <w:pPr>
              <w:widowControl/>
              <w:spacing w:line="360" w:lineRule="auto"/>
              <w:jc w:val="center"/>
              <w:rPr>
                <w:rFonts w:hint="eastAsia" w:ascii="仿宋" w:hAnsi="仿宋" w:eastAsia="仿宋"/>
                <w:snapToGrid w:val="0"/>
                <w:kern w:val="0"/>
                <w:sz w:val="22"/>
                <w:lang w:val="en-US" w:eastAsia="zh-CN"/>
              </w:rPr>
            </w:pPr>
            <w:r>
              <w:rPr>
                <w:rFonts w:hint="eastAsia" w:ascii="仿宋" w:hAnsi="仿宋" w:eastAsia="仿宋"/>
                <w:snapToGrid w:val="0"/>
                <w:kern w:val="0"/>
                <w:sz w:val="22"/>
                <w:lang w:val="en-US" w:eastAsia="zh-CN"/>
              </w:rPr>
              <w:t>5</w:t>
            </w:r>
          </w:p>
        </w:tc>
        <w:tc>
          <w:tcPr>
            <w:tcW w:w="6335" w:type="dxa"/>
            <w:tcBorders>
              <w:left w:val="single" w:color="auto" w:sz="4" w:space="0"/>
              <w:right w:val="double" w:color="auto" w:sz="4" w:space="0"/>
            </w:tcBorders>
            <w:vAlign w:val="center"/>
          </w:tcPr>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投标人具有自主知识产权产品情况</w:t>
            </w:r>
          </w:p>
          <w:p>
            <w:pPr>
              <w:snapToGrid w:val="0"/>
              <w:spacing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1）具有信息化相关专利的，得1分。</w:t>
            </w:r>
          </w:p>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2）具有自主版权的规范监理流程和表格，得1分。</w:t>
            </w:r>
          </w:p>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3）具有信息工程监理国家标准规范经验，得1.5分。</w:t>
            </w:r>
          </w:p>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4）具有信息安全技术国家行业标准规范经验，得1.5分。</w:t>
            </w:r>
          </w:p>
          <w:p>
            <w:pPr>
              <w:snapToGrid w:val="0"/>
              <w:spacing w:line="360" w:lineRule="auto"/>
              <w:jc w:val="left"/>
              <w:rPr>
                <w:rFonts w:hint="default" w:ascii="仿宋" w:hAnsi="仿宋" w:eastAsia="仿宋" w:cs="宋体"/>
                <w:b/>
                <w:bCs/>
                <w:color w:val="FF0000"/>
                <w:kern w:val="0"/>
                <w:sz w:val="22"/>
                <w:lang w:val="en-US" w:eastAsia="zh-CN"/>
              </w:rPr>
            </w:pPr>
            <w:r>
              <w:rPr>
                <w:rFonts w:hint="eastAsia" w:ascii="仿宋" w:hAnsi="仿宋" w:eastAsia="仿宋" w:cs="宋体"/>
                <w:b/>
                <w:bCs/>
                <w:color w:val="FF0000"/>
                <w:kern w:val="0"/>
                <w:sz w:val="22"/>
                <w:lang w:val="en-US" w:eastAsia="zh-CN"/>
              </w:rPr>
              <w:t>注：提供相关专利或软件著作权或国家标准编制页或本地信息化建设规范编制页等证明材料作为得分依据</w:t>
            </w:r>
          </w:p>
          <w:p>
            <w:pPr>
              <w:snapToGrid w:val="0"/>
              <w:spacing w:line="360" w:lineRule="auto"/>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【提供相关证明材料的扫描件（或官方网站查询截图）并加盖投标人公章，原件备查。未按要求提供或提供不清晰导致专家无法有效判断的不得分】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hint="eastAsia" w:ascii="仿宋" w:hAnsi="仿宋" w:eastAsia="仿宋" w:cs="Times New Roman"/>
                <w:kern w:val="2"/>
                <w:sz w:val="22"/>
                <w:szCs w:val="22"/>
                <w:lang w:val="en-US" w:eastAsia="zh-CN" w:bidi="ar-SA"/>
              </w:rPr>
            </w:pPr>
            <w:r>
              <w:rPr>
                <w:rFonts w:hint="eastAsia" w:ascii="仿宋" w:hAnsi="仿宋" w:eastAsia="仿宋"/>
                <w:sz w:val="22"/>
                <w:lang w:val="en-US" w:eastAsia="zh-CN"/>
              </w:rPr>
              <w:t>获奖情况</w:t>
            </w:r>
          </w:p>
        </w:tc>
        <w:tc>
          <w:tcPr>
            <w:tcW w:w="709" w:type="dxa"/>
            <w:tcBorders>
              <w:right w:val="single" w:color="auto" w:sz="4" w:space="0"/>
            </w:tcBorders>
            <w:vAlign w:val="center"/>
          </w:tcPr>
          <w:p>
            <w:pPr>
              <w:widowControl/>
              <w:spacing w:line="360" w:lineRule="auto"/>
              <w:jc w:val="center"/>
              <w:rPr>
                <w:rFonts w:hint="eastAsia" w:ascii="仿宋" w:hAnsi="仿宋" w:eastAsia="仿宋" w:cs="Times New Roman"/>
                <w:snapToGrid w:val="0"/>
                <w:kern w:val="0"/>
                <w:sz w:val="22"/>
                <w:szCs w:val="22"/>
                <w:lang w:val="en-US" w:eastAsia="zh-CN" w:bidi="ar-SA"/>
              </w:rPr>
            </w:pPr>
            <w:r>
              <w:rPr>
                <w:rFonts w:hint="eastAsia" w:ascii="仿宋" w:hAnsi="仿宋" w:eastAsia="仿宋"/>
                <w:snapToGrid w:val="0"/>
                <w:kern w:val="0"/>
                <w:sz w:val="22"/>
                <w:lang w:val="en-US" w:eastAsia="zh-CN"/>
              </w:rPr>
              <w:t>5</w:t>
            </w:r>
          </w:p>
        </w:tc>
        <w:tc>
          <w:tcPr>
            <w:tcW w:w="6335" w:type="dxa"/>
            <w:tcBorders>
              <w:left w:val="single" w:color="auto" w:sz="4" w:space="0"/>
              <w:right w:val="double" w:color="auto" w:sz="4" w:space="0"/>
            </w:tcBorders>
            <w:vAlign w:val="center"/>
          </w:tcPr>
          <w:p>
            <w:pPr>
              <w:snapToGrid w:val="0"/>
              <w:spacing w:line="360" w:lineRule="auto"/>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投标人具有由科技主管部门认定的监理工程技术研究中心，国家级得5分，省级得3分，市级得1分，其他情况不得分。</w:t>
            </w:r>
          </w:p>
          <w:p>
            <w:pPr>
              <w:snapToGrid w:val="0"/>
              <w:spacing w:line="360" w:lineRule="auto"/>
              <w:jc w:val="left"/>
              <w:rPr>
                <w:rFonts w:hint="eastAsia" w:ascii="仿宋" w:hAnsi="仿宋" w:eastAsia="仿宋" w:cs="宋体"/>
                <w:kern w:val="0"/>
                <w:sz w:val="22"/>
                <w:szCs w:val="22"/>
                <w:lang w:val="en-US" w:eastAsia="zh-CN" w:bidi="ar-SA"/>
              </w:rPr>
            </w:pPr>
            <w:r>
              <w:rPr>
                <w:rFonts w:hint="eastAsia" w:ascii="仿宋" w:hAnsi="仿宋" w:eastAsia="仿宋" w:cs="宋体"/>
                <w:kern w:val="0"/>
                <w:sz w:val="22"/>
                <w:lang w:val="en-US" w:eastAsia="zh-CN"/>
              </w:rPr>
              <w:t>【提供相关证明材料的扫描件并加盖投标人公章，原件备查。未按要求提供或提供不清晰导致专家无法有效判断的不得分】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服务网点</w:t>
            </w:r>
          </w:p>
        </w:tc>
        <w:tc>
          <w:tcPr>
            <w:tcW w:w="709" w:type="dxa"/>
            <w:tcBorders>
              <w:right w:val="single" w:color="auto" w:sz="4" w:space="0"/>
            </w:tcBorders>
            <w:vAlign w:val="center"/>
          </w:tcPr>
          <w:p>
            <w:pPr>
              <w:widowControl/>
              <w:spacing w:line="360" w:lineRule="auto"/>
              <w:jc w:val="center"/>
              <w:rPr>
                <w:rFonts w:hint="eastAsia" w:ascii="仿宋" w:hAnsi="仿宋" w:eastAsia="仿宋"/>
                <w:snapToGrid w:val="0"/>
                <w:kern w:val="0"/>
                <w:sz w:val="22"/>
                <w:lang w:eastAsia="zh-CN"/>
              </w:rPr>
            </w:pPr>
            <w:r>
              <w:rPr>
                <w:rFonts w:hint="eastAsia" w:ascii="仿宋" w:hAnsi="仿宋" w:eastAsia="仿宋"/>
                <w:snapToGrid w:val="0"/>
                <w:kern w:val="0"/>
                <w:sz w:val="22"/>
                <w:lang w:val="en-US" w:eastAsia="zh-CN"/>
              </w:rPr>
              <w:t>1</w:t>
            </w:r>
          </w:p>
        </w:tc>
        <w:tc>
          <w:tcPr>
            <w:tcW w:w="6335" w:type="dxa"/>
            <w:tcBorders>
              <w:left w:val="single" w:color="auto" w:sz="4" w:space="0"/>
              <w:right w:val="double" w:color="auto" w:sz="4" w:space="0"/>
            </w:tcBorders>
            <w:vAlign w:val="center"/>
          </w:tcPr>
          <w:p>
            <w:pPr>
              <w:spacing w:line="360" w:lineRule="auto"/>
              <w:jc w:val="left"/>
              <w:rPr>
                <w:rFonts w:hint="eastAsia" w:ascii="仿宋" w:hAnsi="仿宋" w:eastAsia="仿宋"/>
                <w:sz w:val="22"/>
              </w:rPr>
            </w:pPr>
            <w:r>
              <w:rPr>
                <w:rFonts w:ascii="仿宋" w:hAnsi="仿宋" w:eastAsia="仿宋"/>
                <w:sz w:val="22"/>
              </w:rPr>
              <w:t>投标人为深圳供应商，或非深圳供应商但在深圳有合法注册的分公司（或售后机构）</w:t>
            </w:r>
            <w:r>
              <w:rPr>
                <w:rFonts w:hint="eastAsia" w:ascii="仿宋" w:hAnsi="仿宋" w:eastAsia="仿宋"/>
                <w:sz w:val="22"/>
              </w:rPr>
              <w:t>，</w:t>
            </w:r>
            <w:r>
              <w:rPr>
                <w:rFonts w:ascii="仿宋" w:hAnsi="仿宋" w:eastAsia="仿宋"/>
                <w:sz w:val="22"/>
              </w:rPr>
              <w:t>得</w:t>
            </w:r>
            <w:r>
              <w:rPr>
                <w:rFonts w:hint="eastAsia" w:ascii="仿宋" w:hAnsi="仿宋" w:eastAsia="仿宋"/>
                <w:sz w:val="22"/>
              </w:rPr>
              <w:t>1</w:t>
            </w:r>
            <w:r>
              <w:rPr>
                <w:rFonts w:ascii="仿宋" w:hAnsi="仿宋" w:eastAsia="仿宋"/>
                <w:sz w:val="22"/>
              </w:rPr>
              <w:t>分</w:t>
            </w:r>
            <w:r>
              <w:rPr>
                <w:rFonts w:hint="eastAsia" w:ascii="仿宋" w:hAnsi="仿宋" w:eastAsia="仿宋"/>
                <w:sz w:val="22"/>
              </w:rPr>
              <w:t>；投标人为外地供应商承诺中标后在深圳设立服务点，得0.5分。</w:t>
            </w:r>
          </w:p>
          <w:p>
            <w:pPr>
              <w:snapToGrid w:val="0"/>
              <w:spacing w:line="360" w:lineRule="auto"/>
              <w:jc w:val="left"/>
              <w:rPr>
                <w:rFonts w:ascii="仿宋" w:hAnsi="仿宋" w:eastAsia="仿宋" w:cs="宋体"/>
                <w:kern w:val="0"/>
                <w:sz w:val="22"/>
              </w:rPr>
            </w:pPr>
            <w:r>
              <w:rPr>
                <w:rFonts w:hint="eastAsia" w:ascii="仿宋" w:hAnsi="仿宋" w:eastAsia="仿宋"/>
                <w:sz w:val="22"/>
              </w:rPr>
              <w:t>【</w:t>
            </w:r>
            <w:r>
              <w:rPr>
                <w:rFonts w:ascii="仿宋" w:hAnsi="仿宋" w:eastAsia="仿宋"/>
                <w:sz w:val="22"/>
              </w:rPr>
              <w:t>提供营业执照；若是分公司须提供分公司营业执照；售后机构须同时提供售后服务合作合同及售后机构营业执照</w:t>
            </w:r>
            <w:r>
              <w:rPr>
                <w:rFonts w:hint="eastAsia" w:ascii="仿宋" w:hAnsi="仿宋" w:eastAsia="仿宋"/>
                <w:sz w:val="22"/>
                <w:lang w:eastAsia="zh-CN"/>
              </w:rPr>
              <w:t>，</w:t>
            </w:r>
            <w:r>
              <w:rPr>
                <w:rFonts w:hint="eastAsia" w:ascii="仿宋" w:hAnsi="仿宋" w:eastAsia="仿宋"/>
                <w:sz w:val="22"/>
                <w:lang w:val="en-US" w:eastAsia="zh-CN"/>
              </w:rPr>
              <w:t>供应商深圳设立服务点承诺函</w:t>
            </w:r>
            <w:r>
              <w:rPr>
                <w:rFonts w:hint="eastAsia"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诚信情况</w:t>
            </w:r>
          </w:p>
        </w:tc>
        <w:tc>
          <w:tcPr>
            <w:tcW w:w="709"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left w:val="single" w:color="auto" w:sz="4" w:space="0"/>
              <w:right w:val="double" w:color="auto" w:sz="4" w:space="0"/>
            </w:tcBorders>
            <w:vAlign w:val="center"/>
          </w:tcPr>
          <w:p>
            <w:pPr>
              <w:widowControl/>
              <w:spacing w:line="288" w:lineRule="auto"/>
              <w:rPr>
                <w:rFonts w:ascii="仿宋" w:hAnsi="仿宋" w:eastAsia="仿宋"/>
                <w:snapToGrid w:val="0"/>
                <w:kern w:val="0"/>
                <w:sz w:val="22"/>
              </w:rPr>
            </w:pPr>
            <w:r>
              <w:rPr>
                <w:rFonts w:hint="eastAsia" w:ascii="仿宋" w:hAnsi="仿宋" w:eastAsia="仿宋"/>
                <w:snapToGrid w:val="0"/>
                <w:kern w:val="0"/>
                <w:sz w:val="22"/>
              </w:rPr>
              <w:t>投标人参与政府采购活动在诚信管理中受过主管部门通报处理且仍在实施期限内的本项不得分，否则得满分。</w:t>
            </w:r>
          </w:p>
          <w:p>
            <w:pPr>
              <w:adjustRightInd w:val="0"/>
              <w:spacing w:line="300" w:lineRule="auto"/>
              <w:rPr>
                <w:rFonts w:ascii="仿宋" w:hAnsi="仿宋" w:eastAsia="仿宋"/>
                <w:sz w:val="22"/>
              </w:rPr>
            </w:pPr>
            <w:r>
              <w:rPr>
                <w:rFonts w:hint="eastAsia" w:ascii="仿宋" w:hAnsi="仿宋" w:eastAsia="仿宋"/>
                <w:snapToGrid w:val="0"/>
                <w:kern w:val="0"/>
                <w:sz w:val="22"/>
              </w:rPr>
              <w:t>【须提供《诚信承诺函》，按招标文件格式要求提供，否则不得分。存在不诚信情况的应不提供该承诺函并如实说明情况，如被认定提供的陈述与事实不符的，依法追究其责任】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总得分（N）</w:t>
            </w:r>
          </w:p>
          <w:p>
            <w:pPr>
              <w:adjustRightInd w:val="0"/>
              <w:snapToGrid w:val="0"/>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b/>
                <w:snapToGrid w:val="0"/>
                <w:kern w:val="0"/>
                <w:sz w:val="22"/>
              </w:rPr>
            </w:pPr>
          </w:p>
        </w:tc>
        <w:tc>
          <w:tcPr>
            <w:tcW w:w="709" w:type="dxa"/>
            <w:tcBorders>
              <w:bottom w:val="double" w:color="auto" w:sz="4" w:space="0"/>
            </w:tcBorders>
            <w:vAlign w:val="center"/>
          </w:tcPr>
          <w:p>
            <w:pPr>
              <w:adjustRightInd w:val="0"/>
              <w:snapToGrid w:val="0"/>
              <w:spacing w:line="360" w:lineRule="auto"/>
              <w:jc w:val="center"/>
              <w:rPr>
                <w:rFonts w:ascii="仿宋" w:hAnsi="仿宋" w:eastAsia="仿宋"/>
                <w:snapToGrid w:val="0"/>
                <w:kern w:val="0"/>
                <w:sz w:val="22"/>
              </w:rPr>
            </w:pPr>
            <w:r>
              <w:rPr>
                <w:rFonts w:hint="eastAsia" w:ascii="仿宋" w:hAnsi="仿宋" w:eastAsia="仿宋"/>
                <w:snapToGrid w:val="0"/>
                <w:kern w:val="0"/>
                <w:sz w:val="22"/>
              </w:rPr>
              <w:t>100</w:t>
            </w:r>
          </w:p>
        </w:tc>
        <w:tc>
          <w:tcPr>
            <w:tcW w:w="6335" w:type="dxa"/>
            <w:tcBorders>
              <w:bottom w:val="double" w:color="auto" w:sz="4" w:space="0"/>
              <w:right w:val="double" w:color="auto" w:sz="4" w:space="0"/>
            </w:tcBorders>
            <w:vAlign w:val="center"/>
          </w:tcPr>
          <w:p>
            <w:pPr>
              <w:spacing w:line="360" w:lineRule="auto"/>
              <w:jc w:val="center"/>
              <w:rPr>
                <w:rFonts w:ascii="仿宋" w:hAnsi="仿宋" w:eastAsia="仿宋"/>
                <w:snapToGrid w:val="0"/>
                <w:kern w:val="0"/>
                <w:sz w:val="22"/>
              </w:rPr>
            </w:pPr>
            <w:r>
              <w:rPr>
                <w:rFonts w:hint="eastAsia" w:ascii="仿宋" w:hAnsi="仿宋" w:eastAsia="仿宋"/>
                <w:snapToGrid w:val="0"/>
                <w:kern w:val="0"/>
                <w:sz w:val="22"/>
              </w:rPr>
              <w:t>N=J+G+S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仿宋" w:hAnsi="仿宋" w:eastAsia="仿宋"/>
          <w:b/>
          <w:color w:val="FF0000"/>
          <w:sz w:val="28"/>
          <w:szCs w:val="28"/>
        </w:rPr>
        <w:br w:type="page"/>
      </w:r>
    </w:p>
    <w:p>
      <w:pPr>
        <w:widowControl/>
        <w:jc w:val="left"/>
        <w:rPr>
          <w:rFonts w:ascii="仿宋" w:hAnsi="仿宋" w:eastAsia="仿宋"/>
          <w:b/>
          <w:color w:val="FF0000"/>
          <w:sz w:val="28"/>
          <w:szCs w:val="28"/>
        </w:rPr>
      </w:pP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6 </w:t>
      </w:r>
      <w:r>
        <w:rPr>
          <w:rFonts w:hint="eastAsia" w:ascii="仿宋" w:hAnsi="仿宋" w:eastAsia="仿宋"/>
          <w:b/>
          <w:sz w:val="22"/>
        </w:rPr>
        <w:t>%（请在6%-10%范围内选择）后参与评审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jc w:val="center"/>
        <w:rPr>
          <w:rFonts w:asciiTheme="minorEastAsia" w:hAnsiTheme="minorEastAsia" w:eastAsiaTheme="minorEastAsia"/>
          <w:b/>
          <w:sz w:val="3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rPr>
          <w:rFonts w:asciiTheme="minorEastAsia" w:hAnsiTheme="minorEastAsia" w:eastAsiaTheme="minorEastAsia"/>
          <w:b/>
          <w:sz w:val="32"/>
        </w:rPr>
      </w:pPr>
      <w:r>
        <w:rPr>
          <w:rFonts w:asciiTheme="minorEastAsia" w:hAnsiTheme="minorEastAsia" w:eastAsiaTheme="minorEastAsia"/>
          <w:b/>
          <w:sz w:val="32"/>
        </w:rPr>
        <w:br w:type="page"/>
      </w: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widowControl/>
        <w:jc w:val="left"/>
      </w:pPr>
      <w:r>
        <w:rPr>
          <w:rFonts w:hint="eastAsia" w:ascii="仿宋" w:hAnsi="仿宋" w:eastAsia="仿宋"/>
          <w:b/>
          <w:bCs/>
          <w:sz w:val="28"/>
          <w:szCs w:val="21"/>
        </w:rPr>
        <w:t>一、采购预算</w:t>
      </w:r>
    </w:p>
    <w:tbl>
      <w:tblPr>
        <w:tblStyle w:val="13"/>
        <w:tblW w:w="90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315"/>
        <w:gridCol w:w="1134"/>
        <w:gridCol w:w="22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92" w:type="dxa"/>
            <w:shd w:val="clear" w:color="auto" w:fill="C6D9F1"/>
            <w:vAlign w:val="center"/>
          </w:tcPr>
          <w:p>
            <w:pPr>
              <w:jc w:val="center"/>
              <w:rPr>
                <w:rFonts w:ascii="仿宋" w:hAnsi="仿宋" w:eastAsia="仿宋"/>
                <w:b/>
                <w:sz w:val="22"/>
              </w:rPr>
            </w:pPr>
            <w:r>
              <w:rPr>
                <w:rFonts w:hint="eastAsia" w:ascii="仿宋" w:hAnsi="仿宋" w:eastAsia="仿宋"/>
                <w:b/>
                <w:sz w:val="22"/>
              </w:rPr>
              <w:t>序号</w:t>
            </w:r>
          </w:p>
        </w:tc>
        <w:tc>
          <w:tcPr>
            <w:tcW w:w="4315" w:type="dxa"/>
            <w:shd w:val="clear" w:color="auto" w:fill="C6D9F1"/>
            <w:vAlign w:val="center"/>
          </w:tcPr>
          <w:p>
            <w:pPr>
              <w:jc w:val="center"/>
              <w:rPr>
                <w:rFonts w:ascii="仿宋" w:hAnsi="仿宋" w:eastAsia="仿宋"/>
                <w:b/>
                <w:sz w:val="22"/>
              </w:rPr>
            </w:pPr>
            <w:r>
              <w:rPr>
                <w:rFonts w:hint="eastAsia" w:ascii="仿宋" w:hAnsi="仿宋" w:eastAsia="仿宋"/>
                <w:b/>
                <w:sz w:val="22"/>
              </w:rPr>
              <w:t>项目名称</w:t>
            </w:r>
          </w:p>
        </w:tc>
        <w:tc>
          <w:tcPr>
            <w:tcW w:w="1134" w:type="dxa"/>
            <w:shd w:val="clear" w:color="auto" w:fill="C6D9F1"/>
            <w:vAlign w:val="center"/>
          </w:tcPr>
          <w:p>
            <w:pPr>
              <w:jc w:val="center"/>
              <w:rPr>
                <w:rFonts w:ascii="仿宋" w:hAnsi="仿宋" w:eastAsia="仿宋"/>
                <w:b/>
                <w:sz w:val="22"/>
              </w:rPr>
            </w:pPr>
            <w:r>
              <w:rPr>
                <w:rFonts w:hint="eastAsia" w:ascii="仿宋" w:hAnsi="仿宋" w:eastAsia="仿宋"/>
                <w:b/>
                <w:sz w:val="22"/>
              </w:rPr>
              <w:t>数量</w:t>
            </w:r>
          </w:p>
        </w:tc>
        <w:tc>
          <w:tcPr>
            <w:tcW w:w="2289" w:type="dxa"/>
            <w:shd w:val="clear" w:color="auto" w:fill="C6D9F1"/>
            <w:vAlign w:val="center"/>
          </w:tcPr>
          <w:p>
            <w:pPr>
              <w:jc w:val="center"/>
              <w:rPr>
                <w:rFonts w:ascii="仿宋" w:hAnsi="仿宋" w:eastAsia="仿宋"/>
                <w:b/>
                <w:sz w:val="22"/>
              </w:rPr>
            </w:pPr>
            <w:r>
              <w:rPr>
                <w:rFonts w:hint="eastAsia" w:ascii="仿宋" w:hAnsi="仿宋" w:eastAsia="仿宋"/>
                <w:b/>
                <w:sz w:val="22"/>
              </w:rPr>
              <w:t>采购控制金额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92" w:type="dxa"/>
            <w:vAlign w:val="center"/>
          </w:tcPr>
          <w:p>
            <w:pPr>
              <w:spacing w:line="360" w:lineRule="auto"/>
              <w:jc w:val="center"/>
              <w:rPr>
                <w:rFonts w:ascii="仿宋" w:hAnsi="仿宋" w:eastAsia="仿宋"/>
                <w:sz w:val="22"/>
              </w:rPr>
            </w:pPr>
            <w:r>
              <w:rPr>
                <w:rFonts w:hint="eastAsia" w:ascii="仿宋" w:hAnsi="仿宋" w:eastAsia="仿宋"/>
                <w:sz w:val="22"/>
              </w:rPr>
              <w:t>1</w:t>
            </w:r>
          </w:p>
        </w:tc>
        <w:tc>
          <w:tcPr>
            <w:tcW w:w="4315" w:type="dxa"/>
            <w:vAlign w:val="center"/>
          </w:tcPr>
          <w:p>
            <w:pPr>
              <w:spacing w:line="360" w:lineRule="auto"/>
              <w:jc w:val="center"/>
              <w:rPr>
                <w:rFonts w:ascii="仿宋" w:hAnsi="仿宋" w:eastAsia="仿宋"/>
                <w:sz w:val="22"/>
              </w:rPr>
            </w:pPr>
            <w:r>
              <w:rPr>
                <w:rFonts w:hint="eastAsia" w:ascii="仿宋" w:hAnsi="仿宋" w:eastAsia="仿宋"/>
                <w:sz w:val="22"/>
                <w:lang w:val="en-US" w:eastAsia="zh-CN"/>
              </w:rPr>
              <w:t>罗湖智慧边防建设项目监理服务项目</w:t>
            </w:r>
          </w:p>
        </w:tc>
        <w:tc>
          <w:tcPr>
            <w:tcW w:w="1134" w:type="dxa"/>
            <w:vAlign w:val="center"/>
          </w:tcPr>
          <w:p>
            <w:pPr>
              <w:spacing w:line="360" w:lineRule="auto"/>
              <w:jc w:val="center"/>
              <w:rPr>
                <w:rFonts w:hint="eastAsia" w:ascii="仿宋" w:hAnsi="仿宋" w:eastAsia="仿宋"/>
                <w:sz w:val="22"/>
                <w:lang w:val="en-US" w:eastAsia="zh-CN"/>
              </w:rPr>
            </w:pPr>
            <w:r>
              <w:rPr>
                <w:rFonts w:hint="eastAsia" w:ascii="仿宋" w:hAnsi="仿宋" w:eastAsia="仿宋"/>
                <w:sz w:val="22"/>
                <w:lang w:val="en-US" w:eastAsia="zh-CN"/>
              </w:rPr>
              <w:t>1项</w:t>
            </w:r>
          </w:p>
        </w:tc>
        <w:tc>
          <w:tcPr>
            <w:tcW w:w="2289" w:type="dxa"/>
            <w:vAlign w:val="center"/>
          </w:tcPr>
          <w:p>
            <w:pPr>
              <w:spacing w:line="360" w:lineRule="auto"/>
              <w:jc w:val="center"/>
              <w:rPr>
                <w:rFonts w:ascii="仿宋" w:hAnsi="仿宋" w:eastAsia="仿宋"/>
                <w:sz w:val="22"/>
              </w:rPr>
            </w:pPr>
            <w:r>
              <w:rPr>
                <w:rFonts w:hint="eastAsia" w:ascii="仿宋" w:hAnsi="仿宋" w:eastAsia="仿宋"/>
                <w:sz w:val="22"/>
                <w:lang w:val="en-US" w:eastAsia="zh-CN"/>
              </w:rPr>
              <w:t>30</w:t>
            </w:r>
            <w:r>
              <w:rPr>
                <w:rFonts w:hint="eastAsia" w:ascii="仿宋" w:hAnsi="仿宋" w:eastAsia="仿宋"/>
                <w:sz w:val="22"/>
              </w:rPr>
              <w:t>万元</w:t>
            </w:r>
          </w:p>
        </w:tc>
      </w:tr>
    </w:tbl>
    <w:p>
      <w:pPr>
        <w:widowControl/>
        <w:jc w:val="left"/>
        <w:rPr>
          <w:rFonts w:ascii="仿宋" w:hAnsi="仿宋" w:eastAsia="仿宋"/>
          <w:b/>
          <w:bCs/>
          <w:color w:val="FF0000"/>
          <w:sz w:val="24"/>
          <w:szCs w:val="21"/>
        </w:rPr>
      </w:pPr>
      <w:r>
        <w:rPr>
          <w:rFonts w:hint="eastAsia" w:ascii="仿宋" w:hAnsi="仿宋" w:eastAsia="仿宋"/>
          <w:b/>
          <w:bCs/>
          <w:color w:val="FF0000"/>
          <w:sz w:val="24"/>
          <w:szCs w:val="21"/>
        </w:rPr>
        <w:t>注：</w:t>
      </w:r>
      <w:r>
        <w:rPr>
          <w:rFonts w:hint="eastAsia" w:ascii="仿宋" w:hAnsi="仿宋" w:eastAsia="仿宋"/>
          <w:b/>
          <w:bCs/>
          <w:sz w:val="24"/>
          <w:szCs w:val="21"/>
          <w:highlight w:val="yellow"/>
        </w:rPr>
        <w:t>★</w:t>
      </w:r>
      <w:r>
        <w:rPr>
          <w:rFonts w:hint="eastAsia" w:ascii="仿宋" w:hAnsi="仿宋" w:eastAsia="仿宋"/>
          <w:bCs/>
          <w:sz w:val="24"/>
          <w:szCs w:val="21"/>
          <w:highlight w:val="yellow"/>
        </w:rPr>
        <w:t>投标人的投标报价超过采购控制金额的将导致废标。</w:t>
      </w:r>
    </w:p>
    <w:p>
      <w:pPr>
        <w:widowControl/>
        <w:jc w:val="left"/>
        <w:rPr>
          <w:rFonts w:ascii="仿宋" w:hAnsi="仿宋" w:eastAsia="仿宋"/>
          <w:b/>
          <w:bCs/>
          <w:sz w:val="28"/>
          <w:szCs w:val="21"/>
        </w:rPr>
      </w:pPr>
    </w:p>
    <w:p>
      <w:pPr>
        <w:widowControl/>
        <w:jc w:val="left"/>
        <w:rPr>
          <w:rFonts w:hint="default" w:ascii="仿宋" w:hAnsi="仿宋" w:eastAsia="仿宋"/>
          <w:b/>
          <w:bCs/>
          <w:sz w:val="28"/>
          <w:szCs w:val="21"/>
          <w:lang w:val="en-US" w:eastAsia="zh-CN"/>
        </w:rPr>
      </w:pPr>
      <w:r>
        <w:rPr>
          <w:rFonts w:hint="eastAsia" w:ascii="仿宋" w:hAnsi="仿宋" w:eastAsia="仿宋"/>
          <w:b/>
          <w:bCs/>
          <w:sz w:val="28"/>
          <w:szCs w:val="21"/>
        </w:rPr>
        <w:t>二、</w:t>
      </w:r>
      <w:r>
        <w:rPr>
          <w:rFonts w:hint="eastAsia" w:ascii="仿宋" w:hAnsi="仿宋" w:eastAsia="仿宋"/>
          <w:b/>
          <w:bCs/>
          <w:sz w:val="28"/>
          <w:szCs w:val="21"/>
          <w:lang w:val="en-US" w:eastAsia="zh-CN"/>
        </w:rPr>
        <w:t>项目概况</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left"/>
        <w:textAlignment w:val="auto"/>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（一）项目简介</w:t>
      </w:r>
    </w:p>
    <w:p>
      <w:pPr>
        <w:keepNext w:val="0"/>
        <w:keepLines w:val="0"/>
        <w:pageBreakBefore w:val="0"/>
        <w:widowControl/>
        <w:kinsoku/>
        <w:wordWrap/>
        <w:overflowPunct/>
        <w:topLinePunct w:val="0"/>
        <w:autoSpaceDE/>
        <w:autoSpaceDN/>
        <w:bidi w:val="0"/>
        <w:adjustRightInd/>
        <w:snapToGrid/>
        <w:spacing w:line="360" w:lineRule="auto"/>
        <w:ind w:left="437" w:leftChars="208" w:firstLine="440" w:firstLineChars="200"/>
        <w:jc w:val="left"/>
        <w:textAlignment w:val="auto"/>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近年来，全球局势多变，世界步入“百年未有之大变局”。当前受全球疫情和香港区域风险的影响，边界走私偷渡现象频发，国家政治安全、防疫安全和边界安全等多重风险防范压力空前加大，给边界安全防范工作提出了更高的要求。</w:t>
      </w:r>
    </w:p>
    <w:p>
      <w:pPr>
        <w:keepNext w:val="0"/>
        <w:keepLines w:val="0"/>
        <w:pageBreakBefore w:val="0"/>
        <w:widowControl/>
        <w:kinsoku/>
        <w:wordWrap/>
        <w:overflowPunct/>
        <w:topLinePunct w:val="0"/>
        <w:autoSpaceDE/>
        <w:autoSpaceDN/>
        <w:bidi w:val="0"/>
        <w:adjustRightInd/>
        <w:snapToGrid/>
        <w:spacing w:line="360" w:lineRule="auto"/>
        <w:ind w:left="437" w:leftChars="208" w:firstLine="440" w:firstLineChars="200"/>
        <w:jc w:val="left"/>
        <w:textAlignment w:val="auto"/>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党的十八届五中全会以来，推进社会精细化治理，推进国家治理体系和治理能力现代化，是我国当前深刻的系统性制度变革。新时代社会治理体系要求，从以往粗放式的管理思维，向“精细化”治理方式转变。公安工作信息化，就是用信息化引领公安工作现代化和治安管理精细化的现实举措。</w:t>
      </w:r>
    </w:p>
    <w:p>
      <w:pPr>
        <w:keepNext w:val="0"/>
        <w:keepLines w:val="0"/>
        <w:pageBreakBefore w:val="0"/>
        <w:widowControl/>
        <w:kinsoku/>
        <w:wordWrap/>
        <w:overflowPunct/>
        <w:topLinePunct w:val="0"/>
        <w:autoSpaceDE/>
        <w:autoSpaceDN/>
        <w:bidi w:val="0"/>
        <w:adjustRightInd/>
        <w:snapToGrid/>
        <w:spacing w:line="360" w:lineRule="auto"/>
        <w:ind w:left="437" w:leftChars="208" w:firstLine="440" w:firstLineChars="200"/>
        <w:jc w:val="left"/>
        <w:textAlignment w:val="auto"/>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因机构调整改革，目前还放大司工作已由各区分管，变为市公安局统管，改变了原海防打私工作仅单层面依靠边防武警实施的局面，形成了由公安统管、多部门联动、大数据支撑的联勤联防新格局。</w:t>
      </w:r>
    </w:p>
    <w:p>
      <w:pPr>
        <w:keepNext w:val="0"/>
        <w:keepLines w:val="0"/>
        <w:pageBreakBefore w:val="0"/>
        <w:widowControl/>
        <w:kinsoku/>
        <w:wordWrap/>
        <w:overflowPunct/>
        <w:topLinePunct w:val="0"/>
        <w:autoSpaceDE/>
        <w:autoSpaceDN/>
        <w:bidi w:val="0"/>
        <w:adjustRightInd/>
        <w:snapToGrid/>
        <w:spacing w:line="360" w:lineRule="auto"/>
        <w:ind w:left="437" w:leftChars="208" w:firstLine="440" w:firstLineChars="200"/>
        <w:jc w:val="left"/>
        <w:textAlignment w:val="auto"/>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以信息化带动规范化，以规范化促进现代化，以现代化推进队伍建设。严防严控边境风险点，积极加快边境防控工作的信息化建设，是实现“科技强警”、转变警务模式、提高警务效能的重要手段；严控疫情、从严打击走私偷渡、防范政治风险，是构建稳定的粤港边境环境、推进粤港澳大湾区建设的重要社会基础。</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left"/>
        <w:textAlignment w:val="auto"/>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（二）服务期限</w:t>
      </w:r>
    </w:p>
    <w:p>
      <w:pPr>
        <w:keepNext w:val="0"/>
        <w:keepLines w:val="0"/>
        <w:pageBreakBefore w:val="0"/>
        <w:widowControl/>
        <w:kinsoku/>
        <w:wordWrap/>
        <w:overflowPunct/>
        <w:topLinePunct w:val="0"/>
        <w:autoSpaceDE/>
        <w:autoSpaceDN/>
        <w:bidi w:val="0"/>
        <w:adjustRightInd/>
        <w:snapToGrid/>
        <w:spacing w:line="360" w:lineRule="auto"/>
        <w:ind w:firstLine="883" w:firstLineChars="400"/>
        <w:jc w:val="left"/>
        <w:textAlignment w:val="auto"/>
        <w:rPr>
          <w:rFonts w:hint="eastAsia" w:ascii="仿宋" w:hAnsi="仿宋" w:eastAsia="仿宋"/>
          <w:b/>
          <w:bCs/>
          <w:sz w:val="22"/>
          <w:szCs w:val="21"/>
          <w:highlight w:val="yellow"/>
          <w:lang w:val="en-US" w:eastAsia="zh-CN"/>
        </w:rPr>
      </w:pPr>
      <w:r>
        <w:rPr>
          <w:rFonts w:hint="eastAsia" w:ascii="仿宋" w:hAnsi="仿宋" w:eastAsia="仿宋"/>
          <w:b/>
          <w:bCs/>
          <w:sz w:val="22"/>
          <w:szCs w:val="21"/>
          <w:highlight w:val="yellow"/>
          <w:lang w:val="en-US" w:eastAsia="zh-CN"/>
        </w:rPr>
        <w:t>自合同签订之日起至项目最终验收通过为止。</w:t>
      </w:r>
    </w:p>
    <w:p>
      <w:pPr>
        <w:widowControl/>
        <w:spacing w:line="360" w:lineRule="auto"/>
        <w:ind w:firstLine="440" w:firstLineChars="200"/>
        <w:jc w:val="left"/>
        <w:rPr>
          <w:rFonts w:ascii="仿宋" w:hAnsi="仿宋" w:eastAsia="仿宋"/>
          <w:bCs/>
          <w:sz w:val="22"/>
          <w:szCs w:val="21"/>
        </w:rPr>
      </w:pPr>
    </w:p>
    <w:p>
      <w:pPr>
        <w:widowControl/>
        <w:jc w:val="left"/>
        <w:rPr>
          <w:rFonts w:hint="eastAsia" w:ascii="仿宋" w:hAnsi="仿宋" w:eastAsia="仿宋"/>
          <w:b/>
          <w:bCs/>
          <w:sz w:val="28"/>
          <w:szCs w:val="21"/>
          <w:lang w:val="en-US" w:eastAsia="zh-CN"/>
        </w:rPr>
      </w:pPr>
      <w:r>
        <w:rPr>
          <w:rFonts w:hint="eastAsia" w:ascii="仿宋" w:hAnsi="仿宋" w:eastAsia="仿宋"/>
          <w:b/>
          <w:bCs/>
          <w:sz w:val="28"/>
          <w:szCs w:val="21"/>
        </w:rPr>
        <w:t>三、</w:t>
      </w:r>
      <w:r>
        <w:rPr>
          <w:rFonts w:hint="eastAsia" w:ascii="仿宋" w:hAnsi="仿宋" w:eastAsia="仿宋"/>
          <w:b/>
          <w:bCs/>
          <w:sz w:val="28"/>
          <w:szCs w:val="21"/>
          <w:lang w:val="en-US" w:eastAsia="zh-CN"/>
        </w:rPr>
        <w:t>技术需求</w:t>
      </w:r>
    </w:p>
    <w:p>
      <w:pPr>
        <w:widowControl/>
        <w:spacing w:line="360" w:lineRule="auto"/>
        <w:ind w:firstLine="442" w:firstLineChars="200"/>
        <w:jc w:val="left"/>
        <w:rPr>
          <w:rFonts w:hint="default" w:ascii="仿宋" w:hAnsi="仿宋" w:eastAsia="仿宋"/>
          <w:b/>
          <w:bCs/>
          <w:sz w:val="22"/>
          <w:szCs w:val="21"/>
          <w:lang w:val="en-US" w:eastAsia="zh-CN"/>
        </w:rPr>
      </w:pPr>
      <w:r>
        <w:rPr>
          <w:rFonts w:hint="eastAsia" w:ascii="仿宋" w:hAnsi="仿宋" w:eastAsia="仿宋"/>
          <w:b/>
          <w:bCs/>
          <w:sz w:val="22"/>
          <w:szCs w:val="21"/>
          <w:lang w:val="en-US" w:eastAsia="zh-CN"/>
        </w:rPr>
        <w:t>（一）监理服务准则</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遵照“守法、诚信、公正、科学”的准则执业，维护建设单位与承建单位的合法权益。</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具体应做到：</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1、执行有关项目建设的法律、法规、规范、标准和制度，履行监理合同规定的义务和职责。</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2、不收受被投标人的任何礼金。</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3、不泄露所监理项目各方认为需要保密的事项。</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4、遵守国家的法律和政府的有关条例、规定和办法等。</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5、坚持公正的立场，独立、公正地处理有关各方的争议。</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6、坚持科学的态度和实事求是的原则。</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7、在坚持按监理合同的规定向建设单位提供技术服务的同时，帮助被监理者完成起负担的建设任务。</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8、不泄露所监理的项目需保密的事项。</w:t>
      </w:r>
    </w:p>
    <w:p>
      <w:pPr>
        <w:widowControl/>
        <w:spacing w:line="360" w:lineRule="auto"/>
        <w:ind w:firstLine="442" w:firstLineChars="200"/>
        <w:jc w:val="left"/>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（二）项目工作目标要求</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依照有关标准和法律法规以及建设方的需求，本着科学、公正、严格、守信、守纪、守法的原则，以高度的责任心、丰富的项目管理和专业技术经验，对工程建设项目实施全面的、有重点的、精线条的监督管理，通过对项目全过程的检查、监督保证各工序的工作质量、成果质量符合规定；保证建设系统功能满足用户需求，操作方便；帮助采购人掌控工程进度和质量、按期分段对工程验收，保证工程按期、高质量地完成，最终提交采购人满意的成果。</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具体分解为如下目标：</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1、质量目标：符合有关技术标准和规范，满足设计文件与合同要求，以及经采购人和实施方、监理方三方签字认可的变更要求。</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2、进度目标：保证项目按规定时间前建设完成，投入使用。</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3、项目管理目标：对各种文档以及项目的管理提供可靠的审核和质量保证。</w:t>
      </w:r>
    </w:p>
    <w:p>
      <w:pPr>
        <w:widowControl/>
        <w:spacing w:line="360" w:lineRule="auto"/>
        <w:ind w:firstLine="442" w:firstLineChars="200"/>
        <w:jc w:val="left"/>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（三）工程监理服务工作内容范围</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bookmarkStart w:id="0" w:name="_Toc1680"/>
      <w:r>
        <w:rPr>
          <w:rFonts w:hint="eastAsia" w:ascii="仿宋" w:hAnsi="仿宋" w:eastAsia="仿宋"/>
          <w:b w:val="0"/>
          <w:bCs w:val="0"/>
          <w:sz w:val="22"/>
          <w:szCs w:val="21"/>
          <w:lang w:val="en-US" w:eastAsia="zh-CN"/>
        </w:rPr>
        <w:t>1、实施过程中的监理</w:t>
      </w:r>
      <w:bookmarkEnd w:id="0"/>
    </w:p>
    <w:p>
      <w:pPr>
        <w:widowControl/>
        <w:spacing w:line="360" w:lineRule="auto"/>
        <w:ind w:left="437" w:leftChars="208"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（1）编制监理大纲、监理规划、监理实施细则，提交给采购方审核。</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根据相关项目的工作范围的要求，制定出详细的项目管理实施计划，主要内容包括项目计划管理、人员管理、进度管理、质量管理、变更与风险管理、合同管理、安全管理、知识产权管理、沟通与协调管理、评估与验收管理、文档管理、项目管理办法、承建单位管理办法等，提交给采购方审核，并依此进行相关的过程管理。</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（3）审核承建单位的开工申请报告，对承建单位进行开工前检查。</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根据工程的总体规划，与采购方联合对承建单位制定的工程总体实施方案、技术方案、实施策略、实施规范等进行技术咨询和审核评估，并提交审核意见及相关问题处理方案和措施，以及监督方案和措施的执行。</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5）检查工程采用硬件、系统软件是否符合采购文件或技术方案所确定的品牌、型号、规格和质量标准，提交相关验收清单和验收方法，依此严格审查验收采购的硬件、系统软件产品，保证所有硬件、系统软件都符合合同要求。</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（6）督促承建单位严格执行项目合同、国家相关技术标准、规范，对违反要求的及时向采购方报告，并提出处理方案。对工程中的难点、重点进行特别检查，做好分项验收工作。</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7）对工程中各项目以及工程整体的进展状况进行评审及监控，定期检查汇报工程实际进度情况，审核承建单位的进度报告，对工程实施过程中各个阶段的实施成果进行评审和管理，并提交审核意见及相关问题处理方案和措施，以及监督方案和措施的执行。</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（8）根据工程进度情况，对阶段测试方案进行评审，并根据测试方案对已完成部分进行测试，就发现的问题提出处理方案和措施，以及监督方案和措施的执行。</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（9）管理项目的时间进度，监控项目计划的制定和执行，帮助预测、识别项目中出现的主要问题和面临的主要风险因素，并跟踪、协调解决各种项目问题和风险。</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（10）对工程的重大变更进行审核和有效控制，提出相关变更处理方案及措施，以及监督方案和措施的执行，处理好各种变更及索赔事宜。</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（11）组织软件工程质量、系统集成质量事故的原因调查、问题分析、问题评估、事故处理。</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（12）发现质量问题时及时向采购方报告，并提出处理方案和措施，以及监督方案和措施的执行。</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（13）每周编制监理周报向采购方综合报告和评价本月的质量和进度、合同执行情况、发生的重大事件、下周工作的计划、需要配合的事宜以及发生变化的可能性与应对措施。</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（14）其他需要监理的事项。</w:t>
      </w:r>
      <w:bookmarkStart w:id="1" w:name="_Toc8986"/>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2、验收过程中的监理</w:t>
      </w:r>
      <w:bookmarkEnd w:id="1"/>
    </w:p>
    <w:p>
      <w:pPr>
        <w:widowControl/>
        <w:spacing w:line="360" w:lineRule="auto"/>
        <w:ind w:left="437" w:leftChars="208"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（1）审核承建单位测试方案，对测试过程进行全程监控，确保交付质量。</w:t>
      </w:r>
    </w:p>
    <w:p>
      <w:pPr>
        <w:widowControl/>
        <w:spacing w:line="360" w:lineRule="auto"/>
        <w:ind w:left="437" w:leftChars="208"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（2）协助采购人审批承建单位的验收申请，并制订工程验收计划。</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（3）协助采购人进行工程初验、试运行和终验工作，并负责督促和检查承建单位的整改工作。</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（4）项目完工后根据相关合同督促承建单位将完整的原始实施技术资料移交给采购人，同时负责检查移交的文档，确保真实和完整。</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（5）复核确认或否决承建单位编制的工程结算、决算。</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（6）工程验收通过后，与采购人、承建单位三方共同签署验收报告。</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（7）项目系统的软件及文档的全部移交；设备、软件、开发工具、源代码、相关技术文档等的验收文档核实。</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（7）出具监理总结报告。</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（8）其他需要监理的事项。</w:t>
      </w:r>
      <w:bookmarkStart w:id="2" w:name="_Toc3898"/>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3、售后服务中的监理</w:t>
      </w:r>
      <w:bookmarkEnd w:id="2"/>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（1）审核承建单位的售后服务（定期维护）计划，并定期检查承建单位是否按计划进行售后服务（定期维护）。</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（2）当出现质量问题时，鉴定质量问题的责任。</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（3）对质量问题的处理结果进行跟踪、评审，直至解决为止。</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（4）出具售后服务期的监理总结报告。</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（5）其他需要监理的事项。</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4、项目协调</w:t>
      </w:r>
    </w:p>
    <w:p>
      <w:pPr>
        <w:widowControl/>
        <w:spacing w:line="360" w:lineRule="auto"/>
        <w:ind w:left="874" w:leftChars="416"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监理单位应在建设单位的监督、指导下展开工作，项目期间监理方应负责协调投资单位、实施医院和施工单位的关系，定期召开联合会议，保证项目进度的顺利进行。</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p>
    <w:p>
      <w:pPr>
        <w:widowControl/>
        <w:spacing w:line="360" w:lineRule="auto"/>
        <w:ind w:firstLine="442" w:firstLineChars="200"/>
        <w:jc w:val="left"/>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（四）对监理工作成果的要求</w:t>
      </w:r>
    </w:p>
    <w:p>
      <w:pPr>
        <w:widowControl/>
        <w:spacing w:line="360" w:lineRule="auto"/>
        <w:ind w:firstLine="880" w:firstLineChars="400"/>
        <w:jc w:val="left"/>
        <w:rPr>
          <w:rFonts w:hint="eastAsia" w:ascii="仿宋" w:hAnsi="仿宋" w:eastAsia="仿宋"/>
          <w:b w:val="0"/>
          <w:bCs w:val="0"/>
          <w:sz w:val="22"/>
          <w:szCs w:val="21"/>
          <w:lang w:val="en-US" w:eastAsia="zh-CN"/>
        </w:rPr>
      </w:pPr>
      <w:bookmarkStart w:id="3" w:name="_Toc108866513"/>
      <w:r>
        <w:rPr>
          <w:rFonts w:hint="eastAsia" w:ascii="仿宋" w:hAnsi="仿宋" w:eastAsia="仿宋"/>
          <w:b w:val="0"/>
          <w:bCs w:val="0"/>
          <w:sz w:val="22"/>
          <w:szCs w:val="21"/>
          <w:lang w:val="en-US" w:eastAsia="zh-CN"/>
        </w:rPr>
        <w:t>1、监理方应有监理工作成果的管理制度，应有监理工作成果清单</w:t>
      </w:r>
      <w:bookmarkEnd w:id="3"/>
      <w:r>
        <w:rPr>
          <w:rFonts w:hint="eastAsia" w:ascii="仿宋" w:hAnsi="仿宋" w:eastAsia="仿宋"/>
          <w:b w:val="0"/>
          <w:bCs w:val="0"/>
          <w:sz w:val="22"/>
          <w:szCs w:val="21"/>
          <w:lang w:val="en-US" w:eastAsia="zh-CN"/>
        </w:rPr>
        <w:t>。</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2、监理方应有明确的签字制度，确保监理工作成果的真实性。</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bookmarkStart w:id="4" w:name="_Toc108866516"/>
      <w:r>
        <w:rPr>
          <w:rFonts w:hint="eastAsia" w:ascii="仿宋" w:hAnsi="仿宋" w:eastAsia="仿宋"/>
          <w:b w:val="0"/>
          <w:bCs w:val="0"/>
          <w:sz w:val="22"/>
          <w:szCs w:val="21"/>
          <w:lang w:val="en-US" w:eastAsia="zh-CN"/>
        </w:rPr>
        <w:t>3、监理方应有监理工作成果的责任保管制度，应符合文档管理的基本原则要求</w:t>
      </w:r>
      <w:bookmarkEnd w:id="4"/>
      <w:r>
        <w:rPr>
          <w:rFonts w:hint="eastAsia" w:ascii="仿宋" w:hAnsi="仿宋" w:eastAsia="仿宋"/>
          <w:b w:val="0"/>
          <w:bCs w:val="0"/>
          <w:sz w:val="22"/>
          <w:szCs w:val="21"/>
          <w:lang w:val="en-US" w:eastAsia="zh-CN"/>
        </w:rPr>
        <w:t>。</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4、监理方应制定明确的资料分发制度，控制资料的分发范围，确保资料送达的及时性。</w:t>
      </w:r>
    </w:p>
    <w:p>
      <w:pPr>
        <w:widowControl/>
        <w:spacing w:line="360" w:lineRule="auto"/>
        <w:ind w:firstLine="442" w:firstLineChars="200"/>
        <w:jc w:val="left"/>
        <w:rPr>
          <w:rFonts w:hint="eastAsia" w:ascii="仿宋" w:hAnsi="仿宋" w:eastAsia="仿宋"/>
          <w:b/>
          <w:bCs/>
          <w:sz w:val="22"/>
          <w:szCs w:val="21"/>
          <w:lang w:val="en-US" w:eastAsia="zh-CN"/>
        </w:rPr>
      </w:pPr>
      <w:r>
        <w:rPr>
          <w:rFonts w:hint="eastAsia" w:ascii="仿宋" w:hAnsi="仿宋" w:eastAsia="仿宋"/>
          <w:b/>
          <w:bCs/>
          <w:sz w:val="22"/>
          <w:szCs w:val="21"/>
          <w:lang w:val="en-US" w:eastAsia="zh-CN"/>
        </w:rPr>
        <w:t>（五）监理服务应遵守的基本准则</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遵照国家信息产业部信部信[2002]570号《信息系统项目监理暂行规定》的规定，以“守法、诚信、公正、科学”的准则执业，维护建设方与承建方的合法权益。工程监理应做到：</w:t>
      </w:r>
    </w:p>
    <w:p>
      <w:pPr>
        <w:widowControl/>
        <w:spacing w:line="360" w:lineRule="auto"/>
        <w:ind w:left="437" w:leftChars="208" w:firstLine="440" w:firstLineChars="2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1、执行有关项目建设的国家法律、法规、规范、标准和制度，履行监理合同规定的义务和职责。</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2、不得收受被监理单位的任何礼金。</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3、不得泄漏所监理项目各方认为需要保密的事项。</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4、遵守国家的法律和政府的有关条例、规定和办法等。</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5、坚持公正、公平、公开、独立地处理有关项目各方的争议。</w:t>
      </w:r>
    </w:p>
    <w:p>
      <w:pPr>
        <w:widowControl/>
        <w:spacing w:line="360" w:lineRule="auto"/>
        <w:ind w:firstLine="880" w:firstLineChars="400"/>
        <w:jc w:val="left"/>
        <w:rPr>
          <w:rFonts w:hint="eastAsia" w:ascii="仿宋" w:hAnsi="仿宋" w:eastAsia="仿宋"/>
          <w:b w:val="0"/>
          <w:bCs w:val="0"/>
          <w:sz w:val="22"/>
          <w:szCs w:val="21"/>
          <w:lang w:val="en-US" w:eastAsia="zh-CN"/>
        </w:rPr>
      </w:pPr>
      <w:r>
        <w:rPr>
          <w:rFonts w:hint="eastAsia" w:ascii="仿宋" w:hAnsi="仿宋" w:eastAsia="仿宋"/>
          <w:b w:val="0"/>
          <w:bCs w:val="0"/>
          <w:sz w:val="22"/>
          <w:szCs w:val="21"/>
          <w:lang w:val="en-US" w:eastAsia="zh-CN"/>
        </w:rPr>
        <w:t>6、坚持科学的态度和实事求是的原则。</w:t>
      </w:r>
    </w:p>
    <w:p>
      <w:pPr>
        <w:widowControl/>
        <w:spacing w:line="360" w:lineRule="auto"/>
        <w:ind w:firstLine="442" w:firstLineChars="200"/>
        <w:jc w:val="left"/>
        <w:rPr>
          <w:rFonts w:hint="default" w:ascii="仿宋" w:hAnsi="仿宋" w:eastAsia="仿宋"/>
          <w:b/>
          <w:bCs/>
          <w:sz w:val="22"/>
          <w:szCs w:val="21"/>
          <w:lang w:val="en-US" w:eastAsia="zh-CN"/>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四、</w:t>
      </w:r>
      <w:r>
        <w:rPr>
          <w:rFonts w:hint="eastAsia" w:ascii="仿宋" w:hAnsi="仿宋" w:eastAsia="仿宋"/>
          <w:b/>
          <w:bCs/>
          <w:sz w:val="28"/>
          <w:szCs w:val="21"/>
        </w:rPr>
        <w:t>商务需求</w:t>
      </w:r>
    </w:p>
    <w:p>
      <w:pPr>
        <w:widowControl/>
        <w:spacing w:line="360" w:lineRule="auto"/>
        <w:ind w:firstLine="442" w:firstLineChars="200"/>
        <w:jc w:val="left"/>
        <w:rPr>
          <w:rFonts w:hint="eastAsia" w:ascii="仿宋" w:hAnsi="仿宋" w:eastAsia="仿宋"/>
          <w:b/>
          <w:bCs w:val="0"/>
          <w:sz w:val="22"/>
          <w:szCs w:val="21"/>
          <w:lang w:eastAsia="zh-CN"/>
        </w:rPr>
      </w:pP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一</w:t>
      </w:r>
      <w:r>
        <w:rPr>
          <w:rFonts w:hint="eastAsia" w:ascii="仿宋" w:hAnsi="仿宋" w:eastAsia="仿宋"/>
          <w:b/>
          <w:bCs w:val="0"/>
          <w:sz w:val="22"/>
          <w:szCs w:val="21"/>
          <w:lang w:eastAsia="zh-CN"/>
        </w:rPr>
        <w:t>）报价要求</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1、</w:t>
      </w:r>
      <w:r>
        <w:rPr>
          <w:rFonts w:hint="default" w:ascii="仿宋" w:hAnsi="仿宋" w:eastAsia="仿宋"/>
          <w:b/>
          <w:bCs w:val="0"/>
          <w:sz w:val="22"/>
          <w:szCs w:val="21"/>
          <w:highlight w:val="yellow"/>
          <w:lang w:val="en-US" w:eastAsia="zh-CN"/>
        </w:rPr>
        <w:t>本项目的预算金额为人民币叁拾贰万元</w:t>
      </w:r>
      <w:r>
        <w:rPr>
          <w:rFonts w:hint="eastAsia" w:ascii="仿宋" w:hAnsi="仿宋" w:eastAsia="仿宋"/>
          <w:b/>
          <w:bCs w:val="0"/>
          <w:sz w:val="22"/>
          <w:szCs w:val="21"/>
          <w:highlight w:val="yellow"/>
          <w:lang w:val="en-US" w:eastAsia="zh-CN"/>
        </w:rPr>
        <w:t>整</w:t>
      </w:r>
      <w:r>
        <w:rPr>
          <w:rFonts w:hint="default" w:ascii="仿宋" w:hAnsi="仿宋" w:eastAsia="仿宋"/>
          <w:b/>
          <w:bCs w:val="0"/>
          <w:sz w:val="22"/>
          <w:szCs w:val="21"/>
          <w:highlight w:val="yellow"/>
          <w:lang w:val="en-US" w:eastAsia="zh-CN"/>
        </w:rPr>
        <w:t>（￥3</w:t>
      </w:r>
      <w:r>
        <w:rPr>
          <w:rFonts w:hint="eastAsia" w:ascii="仿宋" w:hAnsi="仿宋" w:eastAsia="仿宋"/>
          <w:b/>
          <w:bCs w:val="0"/>
          <w:sz w:val="22"/>
          <w:szCs w:val="21"/>
          <w:highlight w:val="yellow"/>
          <w:lang w:val="en-US" w:eastAsia="zh-CN"/>
        </w:rPr>
        <w:t>00,000.00</w:t>
      </w:r>
      <w:r>
        <w:rPr>
          <w:rFonts w:hint="default" w:ascii="仿宋" w:hAnsi="仿宋" w:eastAsia="仿宋"/>
          <w:b/>
          <w:bCs w:val="0"/>
          <w:sz w:val="22"/>
          <w:szCs w:val="21"/>
          <w:highlight w:val="yellow"/>
          <w:lang w:val="en-US" w:eastAsia="zh-CN"/>
        </w:rPr>
        <w:t>）</w:t>
      </w:r>
      <w:r>
        <w:rPr>
          <w:rFonts w:hint="default" w:ascii="仿宋" w:hAnsi="仿宋" w:eastAsia="仿宋"/>
          <w:bCs/>
          <w:sz w:val="22"/>
          <w:szCs w:val="21"/>
          <w:lang w:val="en-US" w:eastAsia="zh-CN"/>
        </w:rPr>
        <w:t>，投标报价超出预算限额的将为无效投标。</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2、本项目服务费采用包干制，应包括所有工作量的服务成本、法定税费、企业的利润和设计过程中各阶段专家评审环节所产生的一切费用。由企业根据招标文件所提供的资料自行测算投标报价；一经中标，投标报价总价作为中标单位与采购单位签定的合同金额，合同期限内不做调整。</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3、投标供应商应当根据本企业的成本自行决定报价，但不得以低于其企业成本的报价投标。</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4、投标供应商的报价，应当是本项目采购范围和采购文件及合同条款上所列的各项内容中所述的全部，不得以任何理由予以重复。</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6、投标供应商应先到项目地点踏勘以充分了解项目的位置、情况、道路及任何其它足以影响投标报价的情况，任何因忽视或误解项目情况而导致的索赔或服务期限延长申请将不获批准。</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7、投标供应商不得期望通过索赔等方式获取补偿，否则，除可能遭到拒绝外，还可能将被作为不良行为记录在案，并可能影响其以后参加政府采购的项目投标。各投标供应商在报价时，应充分考虑报价的风险。</w:t>
      </w:r>
    </w:p>
    <w:p>
      <w:pPr>
        <w:widowControl/>
        <w:spacing w:line="360" w:lineRule="auto"/>
        <w:ind w:firstLine="442" w:firstLineChars="200"/>
        <w:jc w:val="left"/>
        <w:rPr>
          <w:rFonts w:hint="eastAsia" w:ascii="仿宋" w:hAnsi="仿宋" w:eastAsia="仿宋"/>
          <w:b/>
          <w:bCs w:val="0"/>
          <w:sz w:val="22"/>
          <w:szCs w:val="21"/>
          <w:lang w:val="en-US" w:eastAsia="zh-CN"/>
        </w:rPr>
      </w:pP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二</w:t>
      </w: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付款方式</w:t>
      </w:r>
    </w:p>
    <w:p>
      <w:pPr>
        <w:widowControl/>
        <w:spacing w:line="360" w:lineRule="auto"/>
        <w:ind w:left="437" w:leftChars="208" w:firstLine="440" w:firstLineChars="200"/>
        <w:jc w:val="left"/>
        <w:rPr>
          <w:rFonts w:hint="default" w:ascii="仿宋" w:hAnsi="仿宋" w:eastAsia="仿宋"/>
          <w:bCs/>
          <w:sz w:val="22"/>
          <w:szCs w:val="21"/>
          <w:lang w:val="en-US" w:eastAsia="zh-CN"/>
        </w:rPr>
      </w:pPr>
      <w:r>
        <w:rPr>
          <w:rFonts w:hint="default" w:ascii="仿宋" w:hAnsi="仿宋" w:eastAsia="仿宋"/>
          <w:bCs/>
          <w:sz w:val="22"/>
          <w:szCs w:val="21"/>
          <w:lang w:val="en-US" w:eastAsia="zh-CN"/>
        </w:rPr>
        <w:t>在签订合同后的10个工作日内，支付监理合同总金额的40%；项目通过初验后，支付监理合同总金额的40%；项目竣工，相关部门终验合格，经建设方审核同意后，支付监理合同总金额的25%监理合同尾款。</w:t>
      </w:r>
    </w:p>
    <w:p>
      <w:pPr>
        <w:widowControl/>
        <w:spacing w:line="360" w:lineRule="auto"/>
        <w:ind w:firstLine="442" w:firstLineChars="200"/>
        <w:jc w:val="left"/>
        <w:rPr>
          <w:rFonts w:hint="eastAsia" w:ascii="仿宋" w:hAnsi="仿宋" w:eastAsia="仿宋"/>
          <w:b/>
          <w:bCs w:val="0"/>
          <w:sz w:val="22"/>
          <w:szCs w:val="21"/>
          <w:lang w:eastAsia="zh-CN"/>
        </w:rPr>
      </w:pP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三</w:t>
      </w:r>
      <w:r>
        <w:rPr>
          <w:rFonts w:hint="eastAsia" w:ascii="仿宋" w:hAnsi="仿宋" w:eastAsia="仿宋"/>
          <w:b/>
          <w:bCs w:val="0"/>
          <w:sz w:val="22"/>
          <w:szCs w:val="21"/>
          <w:lang w:eastAsia="zh-CN"/>
        </w:rPr>
        <w:t>）保密要求</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中标单位在项目实施过程中，对采购人所提供的所有相关资料、数据，未经采购人书面同意不得向任何第三人泄露，且保密责任不因合同的终止或解除而失效。如采购人提出要求，中标单位须无条件与采购人签订保密协议。</w:t>
      </w:r>
    </w:p>
    <w:p>
      <w:pPr>
        <w:widowControl/>
        <w:spacing w:line="360" w:lineRule="auto"/>
        <w:ind w:firstLine="442" w:firstLineChars="200"/>
        <w:jc w:val="left"/>
        <w:rPr>
          <w:rFonts w:hint="eastAsia" w:ascii="仿宋" w:hAnsi="仿宋" w:eastAsia="仿宋"/>
          <w:b/>
          <w:bCs w:val="0"/>
          <w:sz w:val="22"/>
          <w:szCs w:val="21"/>
          <w:lang w:eastAsia="zh-CN"/>
        </w:rPr>
      </w:pP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四</w:t>
      </w:r>
      <w:r>
        <w:rPr>
          <w:rFonts w:hint="eastAsia" w:ascii="仿宋" w:hAnsi="仿宋" w:eastAsia="仿宋"/>
          <w:b/>
          <w:bCs w:val="0"/>
          <w:sz w:val="22"/>
          <w:szCs w:val="21"/>
          <w:lang w:eastAsia="zh-CN"/>
        </w:rPr>
        <w:t>）罚则</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中标单位逾期未按本项目合同履行，处罚参考以下内容：</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1、因乙方原因，未能按规定时间完成有关工作的，每延误一天，甲方可在支付合同余款中扣除合同价款2‰，累计扣款达到4%时，甲方有权终止合同，并保留追究乙方承担监理赔偿责任的权利。</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2、乙方应全面履行合同，甲方不接受合同的部分履行。若合同中部分文件未能如期交付，有关的延误视为整个项目的延误，可视为合同全部未能完成，甲方有权拒付（追回）全部价款并解除合同。</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3、若甲方发现乙方派出的监理人员或提供的工具不符合合同要求，乙方应在3天之内按要求派出人员或提供工具，否则甲方有权终止合同，并保留追究乙方承担监理赔偿责任的权利。</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4、如甲方逾期付款，每逾期1个工作日按未付款金额0.2%的标准向乙方支付约金，最高违约金额为合同总金额的20%。因合同费用的实际支付受审计、财政待相关政策、规定限制，若受此客观因素影响，甲方实际付款期限不受合同上述约定的支付期限限制。</w:t>
      </w:r>
    </w:p>
    <w:p>
      <w:pPr>
        <w:widowControl/>
        <w:spacing w:line="360" w:lineRule="auto"/>
        <w:ind w:firstLine="442" w:firstLineChars="200"/>
        <w:jc w:val="left"/>
        <w:rPr>
          <w:rFonts w:hint="eastAsia" w:ascii="仿宋" w:hAnsi="仿宋" w:eastAsia="仿宋"/>
          <w:b/>
          <w:bCs w:val="0"/>
          <w:sz w:val="22"/>
          <w:szCs w:val="21"/>
          <w:lang w:eastAsia="zh-CN"/>
        </w:rPr>
      </w:pPr>
      <w:r>
        <w:rPr>
          <w:rFonts w:hint="eastAsia" w:ascii="仿宋" w:hAnsi="仿宋" w:eastAsia="仿宋"/>
          <w:b/>
          <w:bCs w:val="0"/>
          <w:sz w:val="22"/>
          <w:szCs w:val="21"/>
          <w:lang w:eastAsia="zh-CN"/>
        </w:rPr>
        <w:t>（</w:t>
      </w:r>
      <w:r>
        <w:rPr>
          <w:rFonts w:hint="eastAsia" w:ascii="仿宋" w:hAnsi="仿宋" w:eastAsia="仿宋"/>
          <w:b/>
          <w:bCs w:val="0"/>
          <w:sz w:val="22"/>
          <w:szCs w:val="21"/>
          <w:lang w:val="en-US" w:eastAsia="zh-CN"/>
        </w:rPr>
        <w:t>五</w:t>
      </w:r>
      <w:r>
        <w:rPr>
          <w:rFonts w:hint="eastAsia" w:ascii="仿宋" w:hAnsi="仿宋" w:eastAsia="仿宋"/>
          <w:b/>
          <w:bCs w:val="0"/>
          <w:sz w:val="22"/>
          <w:szCs w:val="21"/>
          <w:lang w:eastAsia="zh-CN"/>
        </w:rPr>
        <w:t>）成果归属</w:t>
      </w:r>
    </w:p>
    <w:p>
      <w:pPr>
        <w:widowControl/>
        <w:spacing w:line="360" w:lineRule="auto"/>
        <w:ind w:firstLine="880" w:firstLineChars="400"/>
        <w:jc w:val="left"/>
        <w:rPr>
          <w:rFonts w:hint="eastAsia" w:ascii="仿宋" w:hAnsi="仿宋" w:eastAsia="仿宋"/>
          <w:bCs/>
          <w:sz w:val="22"/>
          <w:szCs w:val="21"/>
          <w:lang w:eastAsia="zh-CN"/>
        </w:rPr>
      </w:pPr>
      <w:r>
        <w:rPr>
          <w:rFonts w:hint="eastAsia" w:ascii="仿宋" w:hAnsi="仿宋" w:eastAsia="仿宋"/>
          <w:bCs/>
          <w:sz w:val="22"/>
          <w:szCs w:val="21"/>
          <w:lang w:eastAsia="zh-CN"/>
        </w:rPr>
        <w:t>1、本项目的所有成果所有权归采购人拥有，取得的知识产权归采购人拥有。</w:t>
      </w:r>
    </w:p>
    <w:p>
      <w:pPr>
        <w:widowControl/>
        <w:spacing w:line="360" w:lineRule="auto"/>
        <w:ind w:left="437" w:leftChars="208" w:firstLine="440" w:firstLineChars="200"/>
        <w:jc w:val="left"/>
        <w:rPr>
          <w:rFonts w:hint="eastAsia" w:ascii="仿宋" w:hAnsi="仿宋" w:eastAsia="仿宋"/>
          <w:bCs/>
          <w:sz w:val="22"/>
          <w:szCs w:val="21"/>
          <w:lang w:eastAsia="zh-CN"/>
        </w:rPr>
      </w:pPr>
      <w:r>
        <w:rPr>
          <w:rFonts w:hint="eastAsia" w:ascii="仿宋" w:hAnsi="仿宋" w:eastAsia="仿宋"/>
          <w:bCs/>
          <w:sz w:val="22"/>
          <w:szCs w:val="21"/>
          <w:lang w:eastAsia="zh-CN"/>
        </w:rPr>
        <w:t>2、采购人引用中标单位的工作成果所完成的新的技术成果，属于采购人所有，采购人可依法享有就该项技术成果取得的精神权利、经济权利和其他权利。</w:t>
      </w:r>
    </w:p>
    <w:p>
      <w:pPr>
        <w:widowControl/>
        <w:spacing w:line="360" w:lineRule="auto"/>
        <w:ind w:left="437" w:leftChars="208" w:firstLine="440" w:firstLineChars="200"/>
        <w:jc w:val="left"/>
      </w:pPr>
      <w:r>
        <w:rPr>
          <w:rFonts w:hint="eastAsia" w:ascii="仿宋" w:hAnsi="仿宋" w:eastAsia="仿宋"/>
          <w:bCs/>
          <w:sz w:val="22"/>
          <w:szCs w:val="21"/>
          <w:lang w:eastAsia="zh-CN"/>
        </w:rPr>
        <w:t>3、无论发生何种情形（包括但不限于合同提前终止或解除），采购人均有权利用中标单位的阶段性工作成果，并且采购人引用中标单位的阶段性工作成果所完成的新的技术成果，属于采购人所有，采购人可依法享有就该项技术成果取得的精神权利、经济权利和其他权利。</w:t>
      </w: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widowControl/>
        <w:jc w:val="left"/>
      </w:pP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六、开标一览表（格式4）</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九、差异表（格式7）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sz w:val="24"/>
              </w:rPr>
              <w:t>（格式8）</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r>
        <w:rPr>
          <w:rFonts w:hint="eastAsia" w:ascii="仿宋" w:hAnsi="仿宋" w:eastAsia="仿宋"/>
          <w:b/>
          <w:sz w:val="36"/>
          <w:szCs w:val="36"/>
        </w:rPr>
        <w:t>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ascii="仿宋" w:hAnsi="仿宋" w:eastAsia="仿宋"/>
              </w:rPr>
            </w:pPr>
            <w:r>
              <w:rPr>
                <w:rFonts w:hint="eastAsia" w:ascii="仿宋" w:hAnsi="仿宋" w:eastAsia="仿宋"/>
              </w:rPr>
              <w:t>评分类型</w:t>
            </w:r>
          </w:p>
        </w:tc>
        <w:tc>
          <w:tcPr>
            <w:tcW w:w="3544"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ascii="仿宋" w:hAnsi="仿宋" w:eastAsia="仿宋"/>
              </w:rPr>
            </w:pPr>
            <w:r>
              <w:rPr>
                <w:rFonts w:hint="eastAsia" w:ascii="仿宋" w:hAnsi="仿宋" w:eastAsia="仿宋"/>
              </w:rPr>
              <w:t>价格标</w:t>
            </w:r>
          </w:p>
        </w:tc>
        <w:tc>
          <w:tcPr>
            <w:tcW w:w="3544" w:type="dxa"/>
          </w:tcPr>
          <w:p>
            <w:pPr>
              <w:spacing w:line="360" w:lineRule="auto"/>
              <w:jc w:val="center"/>
              <w:rPr>
                <w:rFonts w:ascii="仿宋" w:hAnsi="仿宋" w:eastAsia="仿宋"/>
              </w:rPr>
            </w:pPr>
            <w:r>
              <w:rPr>
                <w:rFonts w:hint="eastAsia" w:ascii="仿宋" w:hAnsi="仿宋" w:eastAsia="仿宋"/>
                <w:sz w:val="16"/>
              </w:rPr>
              <w:t>《节能产品政府采购品目清单》或《环境标志产品政府采购品目清单》或《深圳市政府采购循环经济产品（服务）目录》中列示的产品，或小型企业、微型企业、监狱企业、残疾人福利性单位证明等 ，详见26.4.3</w:t>
            </w:r>
            <w:r>
              <w:rPr>
                <w:rFonts w:hint="eastAsia" w:ascii="仿宋" w:hAnsi="仿宋" w:eastAsia="仿宋"/>
                <w:bCs/>
                <w:sz w:val="16"/>
              </w:rPr>
              <w:t>评标优惠政策</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1．我方愿以《开标一览表》中填写的投标总价并按照采购文件中的一切要求，承担上述项目的全部工作。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2．我方提交的投标文件为：投标书正本一份，副本四份，电子档文件（正本彩色扫描件PDF格式）一份。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5．我们理解，最低报价不是中标的唯一条件。我们认为你们有选择或拒绝任何投标者中标的权利。</w:t>
      </w:r>
    </w:p>
    <w:p>
      <w:pPr>
        <w:spacing w:line="360" w:lineRule="auto"/>
        <w:ind w:firstLine="424" w:firstLineChars="202"/>
        <w:rPr>
          <w:rFonts w:ascii="仿宋" w:hAnsi="仿宋" w:eastAsia="仿宋"/>
        </w:rPr>
      </w:pPr>
      <w:r>
        <w:rPr>
          <w:rFonts w:hint="eastAsia" w:ascii="仿宋" w:hAnsi="仿宋" w:eastAsia="仿宋"/>
        </w:rPr>
        <w:t>6．我方愿按《中华人民共和国合同法》履行自己的全部责任。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7．我们同意采购文件之规定，遵守有关采购的各项规定。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8</w:t>
      </w:r>
      <w:r>
        <w:rPr>
          <w:rFonts w:ascii="仿宋" w:hAnsi="仿宋" w:eastAsia="仿宋"/>
        </w:rPr>
        <w:t>.</w:t>
      </w:r>
      <w:r>
        <w:rPr>
          <w:rFonts w:hint="eastAsia" w:ascii="仿宋" w:hAnsi="仿宋" w:eastAsia="仿宋"/>
        </w:rPr>
        <w:t xml:space="preserve"> 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9．所有有关本标书的函电，请按下列地址联系：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联 系 人：</w:t>
      </w: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格式2  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955" w:firstLineChars="45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955" w:firstLineChars="45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955" w:firstLineChars="45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394" w:leftChars="474" w:hanging="399" w:hangingChars="190"/>
        <w:rPr>
          <w:rFonts w:ascii="仿宋" w:hAnsi="仿宋" w:eastAsia="仿宋"/>
          <w:bCs/>
        </w:rPr>
      </w:pPr>
      <w:r>
        <w:rPr>
          <w:rFonts w:hint="eastAsia" w:ascii="仿宋" w:hAnsi="仿宋" w:eastAsia="仿宋"/>
          <w:bCs/>
        </w:rPr>
        <w:t>4、深圳公共资源交易中心网站注册的供应商【以采购代理机构在深圳公共资源交易中心网站查询结果为准，投标人无需提供证明文件】</w:t>
      </w:r>
    </w:p>
    <w:p>
      <w:pPr>
        <w:spacing w:line="360" w:lineRule="auto"/>
        <w:ind w:left="1394" w:leftChars="474" w:hanging="399" w:hangingChars="190"/>
        <w:rPr>
          <w:rFonts w:ascii="仿宋" w:hAnsi="仿宋" w:eastAsia="仿宋"/>
          <w:bCs/>
        </w:rPr>
      </w:pPr>
      <w:r>
        <w:rPr>
          <w:rFonts w:hint="eastAsia" w:ascii="仿宋" w:hAnsi="仿宋" w:eastAsia="仿宋"/>
          <w:bCs/>
        </w:rPr>
        <w:t>5、政府采购投标及履约承诺函【详见格式《政府采购投标及履约承诺函》】</w:t>
      </w:r>
    </w:p>
    <w:p>
      <w:pPr>
        <w:spacing w:line="360" w:lineRule="auto"/>
        <w:ind w:left="1394" w:leftChars="474" w:hanging="399" w:hangingChars="190"/>
        <w:rPr>
          <w:rFonts w:ascii="仿宋" w:hAnsi="仿宋" w:eastAsia="仿宋"/>
          <w:bCs/>
        </w:rPr>
      </w:pPr>
      <w:r>
        <w:rPr>
          <w:rFonts w:hint="eastAsia" w:ascii="仿宋" w:hAnsi="仿宋" w:eastAsia="仿宋"/>
          <w:bCs/>
        </w:rPr>
        <w:t>6、非联合体投标，不违规分包或转包的承诺函【原件，格式自拟】</w:t>
      </w:r>
    </w:p>
    <w:p>
      <w:pPr>
        <w:spacing w:line="360" w:lineRule="auto"/>
        <w:ind w:left="1394" w:leftChars="474" w:hanging="399" w:hangingChars="190"/>
        <w:rPr>
          <w:rFonts w:ascii="仿宋" w:hAnsi="仿宋" w:eastAsia="仿宋"/>
          <w:bCs/>
        </w:rPr>
      </w:pPr>
      <w:r>
        <w:rPr>
          <w:rFonts w:hint="eastAsia" w:ascii="仿宋" w:hAnsi="仿宋" w:eastAsia="仿宋"/>
          <w:bCs/>
        </w:rPr>
        <w:t>7、投标人认为有必要提供的其他文件</w:t>
      </w: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left="1415" w:leftChars="474" w:hanging="420" w:hangingChars="190"/>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w:t>
      </w:r>
      <w:r>
        <w:rPr>
          <w:rFonts w:hint="eastAsia" w:ascii="仿宋" w:hAnsi="仿宋" w:eastAsia="仿宋"/>
          <w:b/>
          <w:sz w:val="32"/>
          <w:szCs w:val="36"/>
          <w:lang w:eastAsia="zh-CN"/>
        </w:rPr>
        <w:t>（</w:t>
      </w:r>
      <w:r>
        <w:rPr>
          <w:rFonts w:hint="eastAsia" w:ascii="仿宋" w:hAnsi="仿宋" w:eastAsia="仿宋"/>
          <w:b/>
          <w:sz w:val="32"/>
          <w:szCs w:val="36"/>
          <w:lang w:val="en-US" w:eastAsia="zh-CN"/>
        </w:rPr>
        <w:t>负责人</w:t>
      </w:r>
      <w:r>
        <w:rPr>
          <w:rFonts w:hint="eastAsia" w:ascii="仿宋" w:hAnsi="仿宋" w:eastAsia="仿宋"/>
          <w:b/>
          <w:sz w:val="32"/>
          <w:szCs w:val="36"/>
          <w:lang w:eastAsia="zh-CN"/>
        </w:rPr>
        <w:t>）</w:t>
      </w:r>
      <w:r>
        <w:rPr>
          <w:rFonts w:hint="eastAsia" w:ascii="仿宋" w:hAnsi="仿宋" w:eastAsia="仿宋"/>
          <w:b/>
          <w:sz w:val="32"/>
          <w:szCs w:val="36"/>
        </w:rPr>
        <w:t>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r>
        <w:rPr>
          <w:rFonts w:hint="eastAsia" w:ascii="仿宋" w:hAnsi="仿宋" w:eastAsia="仿宋"/>
        </w:rPr>
        <w:t>，特此证明。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xPQ29kAAAAKAQAADwAAAAAAAAABACAAAAAiAAAAZHJzL2Rvd25yZXYueG1s&#10;UEsBAhQAFAAAAAgAh07iQG4TLFP3AQAALQQAAA4AAAAAAAAAAQAgAAAAKAEAAGRycy9lMm9Eb2Mu&#10;eG1sUEsFBgAAAAAGAAYAWQEAAJEFA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NxK72QAAAAoBAAAPAAAAAAAAAAEAIAAAACIAAABkcnMvZG93bnJldi54bWxQ&#10;SwECFAAUAAAACACHTuJA+IS6+fYBAAAtBAAADgAAAAAAAAABACAAAAAo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5" w:name="_Toc226217114"/>
      <w:r>
        <w:rPr>
          <w:rFonts w:ascii="宋体"/>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3kFbXAAAACQEAAA8AAAAAAAAAAQAgAAAAIgAAAGRycy9kb3ducmV2LnhtbFBL&#10;AQIUABQAAAAIAIdO4kCRxYrC9wEAAC0EAAAOAAAAAAAAAAEAIAAAACYBAABkcnMvZTJvRG9jLnht&#10;bFBLBQYAAAAABgAGAFkBAACPBQ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黑体" w:eastAsia="黑体"/>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7IdTXAAAACgEAAA8AAAAAAAAAAQAgAAAAIgAAAGRycy9kb3ducmV2LnhtbFBL&#10;AQIUABQAAAAIAIdO4kAvw8NJ9wEAAC0EAAAOAAAAAAAAAAEAIAAAACYBAABkcnMvZTJvRG9jLnht&#10;bFBLBQYAAAAABgAGAFkBAACP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格式3  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）采购活动，服务全部由符合政策要求的中小企业承接。相关企业（含联合体中的中小企业、签订分包意向协议的中小企业）的具体情况如下：</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）；承接企业为（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）；承接企业为（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jc w:val="right"/>
        <w:rPr>
          <w:rFonts w:ascii="仿宋" w:hAnsi="仿宋" w:eastAsia="仿宋"/>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p>
    <w:p>
      <w:pPr>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1、填写前请认真阅读《工业和信息化部、国家统计局、国家发展和改革委员会、财政部关于印发中小企业划型标准规定的通知》</w:t>
      </w:r>
      <w:r>
        <w:rPr>
          <w:rFonts w:ascii="仿宋" w:hAnsi="仿宋" w:eastAsia="仿宋" w:cs="Courier New"/>
          <w:snapToGrid w:val="0"/>
          <w:szCs w:val="18"/>
        </w:rPr>
        <w:t>(</w:t>
      </w:r>
      <w:r>
        <w:rPr>
          <w:rFonts w:hint="eastAsia" w:ascii="仿宋" w:hAnsi="仿宋" w:eastAsia="仿宋" w:cs="Courier New"/>
          <w:snapToGrid w:val="0"/>
          <w:szCs w:val="18"/>
        </w:rPr>
        <w:t>工信部联企业〔</w:t>
      </w:r>
      <w:r>
        <w:rPr>
          <w:rFonts w:ascii="仿宋" w:hAnsi="仿宋" w:eastAsia="仿宋" w:cs="Courier New"/>
          <w:snapToGrid w:val="0"/>
          <w:szCs w:val="18"/>
        </w:rPr>
        <w:t>2011</w:t>
      </w:r>
      <w:r>
        <w:rPr>
          <w:rFonts w:hint="eastAsia" w:ascii="仿宋" w:hAnsi="仿宋" w:eastAsia="仿宋" w:cs="Courier New"/>
          <w:snapToGrid w:val="0"/>
          <w:szCs w:val="18"/>
        </w:rPr>
        <w:t>〕</w:t>
      </w:r>
      <w:r>
        <w:rPr>
          <w:rFonts w:ascii="仿宋" w:hAnsi="仿宋" w:eastAsia="仿宋" w:cs="Courier New"/>
          <w:snapToGrid w:val="0"/>
          <w:szCs w:val="18"/>
        </w:rPr>
        <w:t>300</w:t>
      </w:r>
      <w:r>
        <w:rPr>
          <w:rFonts w:hint="eastAsia" w:ascii="仿宋" w:hAnsi="仿宋" w:eastAsia="仿宋" w:cs="Courier New"/>
          <w:snapToGrid w:val="0"/>
          <w:szCs w:val="18"/>
        </w:rPr>
        <w:t>号</w:t>
      </w:r>
      <w:r>
        <w:rPr>
          <w:rFonts w:ascii="仿宋" w:hAnsi="仿宋" w:eastAsia="仿宋" w:cs="Courier New"/>
          <w:snapToGrid w:val="0"/>
          <w:szCs w:val="18"/>
        </w:rPr>
        <w:t>)</w:t>
      </w:r>
      <w:r>
        <w:rPr>
          <w:rFonts w:hint="eastAsia" w:ascii="仿宋" w:hAnsi="仿宋" w:eastAsia="仿宋" w:cs="Courier New"/>
          <w:snapToGrid w:val="0"/>
          <w:szCs w:val="18"/>
        </w:rPr>
        <w:t>和《财政部 工业和信息化部关于印发《政府采购促进中小企业发展管理办法》的通知》</w:t>
      </w:r>
      <w:r>
        <w:rPr>
          <w:rFonts w:ascii="仿宋" w:hAnsi="仿宋" w:eastAsia="仿宋" w:cs="Courier New"/>
          <w:snapToGrid w:val="0"/>
          <w:szCs w:val="18"/>
        </w:rPr>
        <w:t>(</w:t>
      </w:r>
      <w:r>
        <w:rPr>
          <w:rFonts w:hint="eastAsia" w:ascii="仿宋" w:hAnsi="仿宋" w:eastAsia="仿宋" w:cs="Courier New"/>
          <w:snapToGrid w:val="0"/>
          <w:szCs w:val="18"/>
        </w:rPr>
        <w:t>财库〔2020〕46号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w:t>
      </w:r>
      <w:r>
        <w:rPr>
          <w:rFonts w:hint="eastAsia" w:ascii="仿宋" w:hAnsi="仿宋" w:eastAsia="仿宋" w:cs="Courier New"/>
          <w:b/>
          <w:snapToGrid w:val="0"/>
          <w:szCs w:val="18"/>
        </w:rPr>
        <w:t>小型和微型企业</w:t>
      </w:r>
      <w:r>
        <w:rPr>
          <w:rFonts w:hint="eastAsia" w:ascii="仿宋" w:hAnsi="仿宋" w:eastAsia="仿宋" w:cs="Courier New"/>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pPr>
        <w:ind w:firstLine="630" w:firstLineChars="300"/>
        <w:rPr>
          <w:rFonts w:ascii="仿宋" w:hAnsi="仿宋" w:eastAsia="仿宋" w:cs="Courier New"/>
          <w:snapToGrid w:val="0"/>
          <w:szCs w:val="18"/>
        </w:rPr>
      </w:pPr>
      <w:r>
        <w:rPr>
          <w:rFonts w:hint="eastAsia" w:ascii="仿宋" w:hAnsi="仿宋" w:eastAsia="仿宋" w:cs="Courier New"/>
          <w:snapToGrid w:val="0"/>
          <w:szCs w:val="18"/>
        </w:rPr>
        <w:t>2、从业人员、营业收入、资产总额填报上一年度数据，无上一年度数据的新成立企业可不填报。</w:t>
      </w:r>
    </w:p>
    <w:p>
      <w:pPr>
        <w:rPr>
          <w:rFonts w:ascii="仿宋" w:hAnsi="仿宋" w:eastAsia="仿宋" w:cs="Courier New"/>
          <w:snapToGrid w:val="0"/>
          <w:szCs w:val="18"/>
        </w:rPr>
      </w:pPr>
    </w:p>
    <w:p>
      <w:pPr>
        <w:rPr>
          <w:rFonts w:ascii="仿宋" w:hAnsi="仿宋" w:eastAsia="仿宋" w:cs="Courier New"/>
          <w:snapToGrid w:val="0"/>
          <w:szCs w:val="18"/>
        </w:rPr>
      </w:pPr>
    </w:p>
    <w:p>
      <w:pPr>
        <w:rPr>
          <w:rFonts w:ascii="仿宋" w:hAnsi="仿宋" w:eastAsia="仿宋" w:cs="Courier New"/>
          <w:snapToGrid w:val="0"/>
          <w:szCs w:val="18"/>
        </w:rPr>
      </w:pPr>
    </w:p>
    <w:p>
      <w:pPr>
        <w:widowControl/>
        <w:jc w:val="left"/>
        <w:rPr>
          <w:rFonts w:ascii="仿宋" w:hAnsi="仿宋" w:eastAsia="仿宋"/>
          <w:b/>
          <w:sz w:val="32"/>
          <w:szCs w:val="32"/>
        </w:rPr>
      </w:pPr>
      <w:r>
        <w:rPr>
          <w:rFonts w:ascii="仿宋" w:hAnsi="仿宋" w:eastAsia="仿宋"/>
          <w:b/>
          <w:sz w:val="32"/>
          <w:szCs w:val="32"/>
        </w:rPr>
        <w:br w:type="page"/>
      </w:r>
    </w:p>
    <w:p>
      <w:pPr>
        <w:jc w:val="center"/>
        <w:rPr>
          <w:rFonts w:ascii="仿宋" w:hAnsi="仿宋" w:eastAsia="仿宋"/>
          <w:b/>
          <w:sz w:val="32"/>
          <w:szCs w:val="32"/>
        </w:rPr>
      </w:pPr>
      <w:r>
        <w:rPr>
          <w:rFonts w:hint="eastAsia" w:ascii="仿宋" w:hAnsi="仿宋" w:eastAsia="仿宋"/>
          <w:b/>
          <w:sz w:val="32"/>
          <w:szCs w:val="32"/>
        </w:rPr>
        <w:t>监狱企业</w:t>
      </w:r>
      <w:r>
        <w:rPr>
          <w:rFonts w:ascii="仿宋" w:hAnsi="仿宋" w:eastAsia="仿宋"/>
          <w:b/>
          <w:sz w:val="32"/>
          <w:szCs w:val="32"/>
        </w:rPr>
        <w:t>证明文件</w:t>
      </w:r>
      <w:r>
        <w:rPr>
          <w:rFonts w:hint="eastAsia" w:ascii="仿宋" w:hAnsi="仿宋" w:eastAsia="仿宋"/>
          <w:b/>
          <w:sz w:val="32"/>
          <w:szCs w:val="32"/>
        </w:rPr>
        <w:t>要求</w:t>
      </w:r>
    </w:p>
    <w:p>
      <w:pPr>
        <w:ind w:firstLine="420" w:firstLineChars="200"/>
        <w:rPr>
          <w:rFonts w:ascii="仿宋" w:hAnsi="仿宋" w:eastAsia="仿宋" w:cs="Courier New"/>
          <w:snapToGrid w:val="0"/>
          <w:szCs w:val="18"/>
        </w:rPr>
      </w:pP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b/>
          <w:snapToGrid w:val="0"/>
          <w:szCs w:val="18"/>
        </w:rPr>
      </w:pPr>
      <w:r>
        <w:rPr>
          <w:rFonts w:hint="eastAsia" w:ascii="仿宋" w:hAnsi="仿宋" w:eastAsia="仿宋" w:cs="Courier New"/>
          <w:b/>
          <w:snapToGrid w:val="0"/>
          <w:szCs w:val="18"/>
        </w:rPr>
        <w:t>附：省级以上监狱管理局、戒毒管理局（含新疆生产建设兵团）出具的监狱企业证明文件。</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widowControl/>
        <w:jc w:val="left"/>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rPr>
        <w:t>残疾人福利性单位声明函</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单位的</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r>
        <w:rPr>
          <w:rFonts w:hint="eastAsia" w:ascii="仿宋" w:hAnsi="仿宋" w:eastAsia="仿宋" w:cs="Courier New"/>
          <w:snapToGrid w:val="0"/>
          <w:szCs w:val="18"/>
        </w:rPr>
        <w:t xml:space="preserve">    </w:t>
      </w:r>
    </w:p>
    <w:p>
      <w:pPr>
        <w:rPr>
          <w:rFonts w:ascii="仿宋" w:hAnsi="仿宋" w:eastAsia="仿宋" w:cs="Courier New"/>
          <w:snapToGrid w:val="0"/>
          <w:szCs w:val="18"/>
        </w:rPr>
      </w:pPr>
    </w:p>
    <w:p>
      <w:pPr>
        <w:ind w:firstLine="422" w:firstLineChars="200"/>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填写前请认真阅读《财政部、民政部、中国残疾人联合会关于促进残疾人就业政府采购政策的通知》</w:t>
      </w:r>
      <w:r>
        <w:rPr>
          <w:rFonts w:ascii="仿宋" w:hAnsi="仿宋" w:eastAsia="仿宋" w:cs="Courier New"/>
          <w:snapToGrid w:val="0"/>
          <w:szCs w:val="18"/>
        </w:rPr>
        <w:t>(</w:t>
      </w:r>
      <w:r>
        <w:rPr>
          <w:rFonts w:hint="eastAsia" w:ascii="仿宋" w:hAnsi="仿宋" w:eastAsia="仿宋" w:cs="Courier New"/>
          <w:snapToGrid w:val="0"/>
          <w:szCs w:val="18"/>
        </w:rPr>
        <w:t>财库〔2017〕141号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jc w:val="left"/>
        <w:rPr>
          <w:rFonts w:ascii="仿宋" w:hAnsi="仿宋" w:eastAsia="仿宋"/>
        </w:rPr>
      </w:pPr>
      <w:r>
        <w:rPr>
          <w:rFonts w:hint="eastAsia" w:ascii="仿宋" w:hAnsi="仿宋" w:eastAsia="仿宋"/>
        </w:rPr>
        <w:t>项目编号：</w:t>
      </w:r>
      <w:r>
        <w:rPr>
          <w:rFonts w:hint="eastAsia" w:ascii="仿宋" w:hAnsi="仿宋" w:eastAsia="仿宋"/>
          <w:u w:val="single"/>
        </w:rPr>
        <w:t xml:space="preserve">                </w:t>
      </w:r>
    </w:p>
    <w:tbl>
      <w:tblPr>
        <w:tblStyle w:val="14"/>
        <w:tblW w:w="9069"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18"/>
        <w:gridCol w:w="4290"/>
        <w:gridCol w:w="1361"/>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18"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项目名称</w:t>
            </w:r>
          </w:p>
        </w:tc>
        <w:tc>
          <w:tcPr>
            <w:tcW w:w="4290" w:type="dxa"/>
            <w:shd w:val="clear" w:color="auto" w:fill="C6D9F0" w:themeFill="text2" w:themeFillTint="33"/>
            <w:vAlign w:val="center"/>
          </w:tcPr>
          <w:p>
            <w:pPr>
              <w:jc w:val="center"/>
              <w:rPr>
                <w:rFonts w:ascii="仿宋" w:hAnsi="仿宋" w:eastAsia="仿宋"/>
                <w:b/>
              </w:rPr>
            </w:pPr>
            <w:r>
              <w:rPr>
                <w:rFonts w:hint="eastAsia" w:ascii="仿宋" w:hAnsi="仿宋" w:eastAsia="仿宋"/>
                <w:b/>
              </w:rPr>
              <w:t>投标总价</w:t>
            </w:r>
          </w:p>
          <w:p>
            <w:pPr>
              <w:jc w:val="center"/>
              <w:rPr>
                <w:rFonts w:ascii="仿宋" w:hAnsi="仿宋" w:eastAsia="仿宋"/>
                <w:b/>
              </w:rPr>
            </w:pPr>
            <w:r>
              <w:rPr>
                <w:rFonts w:hint="eastAsia" w:ascii="仿宋" w:hAnsi="仿宋" w:eastAsia="仿宋"/>
                <w:b/>
              </w:rPr>
              <w:t>（人民币元）</w:t>
            </w:r>
          </w:p>
        </w:tc>
        <w:tc>
          <w:tcPr>
            <w:tcW w:w="1361"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418" w:type="dxa"/>
            <w:vAlign w:val="center"/>
          </w:tcPr>
          <w:p>
            <w:pPr>
              <w:spacing w:line="360" w:lineRule="auto"/>
              <w:rPr>
                <w:rFonts w:ascii="仿宋" w:hAnsi="仿宋" w:eastAsia="仿宋"/>
              </w:rPr>
            </w:pPr>
          </w:p>
        </w:tc>
        <w:tc>
          <w:tcPr>
            <w:tcW w:w="4290"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1361"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ind w:firstLine="420" w:firstLineChars="200"/>
        <w:jc w:val="left"/>
        <w:rPr>
          <w:rFonts w:ascii="仿宋" w:hAnsi="仿宋" w:eastAsia="仿宋"/>
        </w:rPr>
      </w:pPr>
      <w:r>
        <w:rPr>
          <w:rFonts w:ascii="仿宋" w:hAnsi="仿宋" w:eastAsia="仿宋"/>
          <w:bCs/>
        </w:rPr>
        <w:t>2、</w:t>
      </w:r>
      <w:r>
        <w:rPr>
          <w:rFonts w:hint="eastAsia" w:ascii="仿宋" w:hAnsi="仿宋" w:eastAsia="仿宋"/>
        </w:rPr>
        <w:t>本项目服务费采用包干制，应包括服务成本、法定税费和企业的利润。</w:t>
      </w:r>
    </w:p>
    <w:p>
      <w:pPr>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ind w:firstLine="413" w:firstLineChars="196"/>
        <w:jc w:val="left"/>
        <w:rPr>
          <w:rFonts w:ascii="仿宋" w:hAnsi="仿宋" w:eastAsia="仿宋"/>
          <w:b/>
        </w:rPr>
      </w:pPr>
      <w:r>
        <w:rPr>
          <w:rFonts w:hint="eastAsia" w:ascii="仿宋" w:hAnsi="仿宋" w:eastAsia="仿宋"/>
          <w:b/>
        </w:rPr>
        <w:t>4、</w:t>
      </w:r>
      <w:r>
        <w:rPr>
          <w:rFonts w:ascii="仿宋" w:hAnsi="仿宋" w:eastAsia="仿宋"/>
          <w:b/>
        </w:rPr>
        <w:t>此表毋需装订于正副本内，应按“投标人须知”18.</w:t>
      </w:r>
      <w:r>
        <w:rPr>
          <w:rFonts w:hint="eastAsia" w:ascii="仿宋" w:hAnsi="仿宋" w:eastAsia="仿宋"/>
          <w:b/>
        </w:rPr>
        <w:t>5</w:t>
      </w:r>
      <w:r>
        <w:rPr>
          <w:rFonts w:ascii="仿宋" w:hAnsi="仿宋" w:eastAsia="仿宋"/>
          <w:b/>
        </w:rPr>
        <w:t>项要求</w:t>
      </w:r>
      <w:r>
        <w:rPr>
          <w:rFonts w:hint="eastAsia" w:ascii="仿宋" w:hAnsi="仿宋" w:eastAsia="仿宋"/>
          <w:b/>
        </w:rPr>
        <w:t>，与“法定代表人证明书、法定代表人授权委托证明书”一起</w:t>
      </w:r>
      <w:r>
        <w:rPr>
          <w:rFonts w:ascii="仿宋" w:hAnsi="仿宋" w:eastAsia="仿宋"/>
          <w:b/>
        </w:rPr>
        <w:t>单独密封</w:t>
      </w:r>
      <w:r>
        <w:rPr>
          <w:rFonts w:hint="eastAsia" w:ascii="仿宋" w:hAnsi="仿宋" w:eastAsia="仿宋"/>
          <w:b/>
        </w:rPr>
        <w:t>提交</w:t>
      </w:r>
    </w:p>
    <w:p>
      <w:pPr>
        <w:ind w:firstLine="413" w:firstLineChars="196"/>
        <w:jc w:val="left"/>
        <w:rPr>
          <w:rFonts w:ascii="仿宋" w:hAnsi="仿宋" w:eastAsia="仿宋"/>
          <w:b/>
        </w:rPr>
      </w:pP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格式5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2、此表应经法定代表人或授权委托人签名，并加盖公章。</w:t>
      </w:r>
    </w:p>
    <w:p>
      <w:pPr>
        <w:spacing w:line="360" w:lineRule="auto"/>
        <w:ind w:firstLine="420" w:firstLineChars="200"/>
        <w:rPr>
          <w:rFonts w:ascii="仿宋" w:hAnsi="仿宋" w:eastAsia="仿宋"/>
        </w:rPr>
      </w:pPr>
      <w:r>
        <w:rPr>
          <w:rFonts w:hint="eastAsia" w:ascii="仿宋" w:hAnsi="仿宋" w:eastAsia="仿宋"/>
        </w:rPr>
        <w:t>3、</w:t>
      </w:r>
      <w:r>
        <w:rPr>
          <w:rFonts w:hint="eastAsia" w:ascii="仿宋" w:hAnsi="仿宋" w:eastAsia="仿宋"/>
          <w:bCs/>
        </w:rPr>
        <w:t>本项目费用应包括但不限于服产品和研发成本、专利申请费用、法定税费和企业的利润</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报价表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410"/>
        <w:gridCol w:w="1576"/>
        <w:gridCol w:w="1576"/>
        <w:gridCol w:w="1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2410"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服务内容</w:t>
            </w:r>
          </w:p>
        </w:tc>
        <w:tc>
          <w:tcPr>
            <w:tcW w:w="1576"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数量</w:t>
            </w:r>
          </w:p>
        </w:tc>
        <w:tc>
          <w:tcPr>
            <w:tcW w:w="1576"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单位</w:t>
            </w:r>
          </w:p>
        </w:tc>
        <w:tc>
          <w:tcPr>
            <w:tcW w:w="157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410" w:type="dxa"/>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410" w:type="dxa"/>
            <w:tcBorders>
              <w:bottom w:val="single" w:color="000000" w:themeColor="text1" w:sz="4" w:space="0"/>
            </w:tcBorders>
            <w:vAlign w:val="center"/>
          </w:tcPr>
          <w:p>
            <w:pPr>
              <w:spacing w:line="360" w:lineRule="auto"/>
              <w:jc w:val="center"/>
            </w:pPr>
          </w:p>
        </w:tc>
        <w:tc>
          <w:tcPr>
            <w:tcW w:w="1576" w:type="dxa"/>
            <w:vAlign w:val="center"/>
          </w:tcPr>
          <w:p>
            <w:pPr>
              <w:spacing w:line="360" w:lineRule="auto"/>
              <w:jc w:val="center"/>
            </w:pPr>
          </w:p>
        </w:tc>
        <w:tc>
          <w:tcPr>
            <w:tcW w:w="1576" w:type="dxa"/>
            <w:vAlign w:val="center"/>
          </w:tcPr>
          <w:p>
            <w:pPr>
              <w:spacing w:line="360" w:lineRule="auto"/>
              <w:jc w:val="center"/>
            </w:pPr>
          </w:p>
        </w:tc>
        <w:tc>
          <w:tcPr>
            <w:tcW w:w="157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合  计：</w:t>
            </w:r>
          </w:p>
        </w:tc>
        <w:tc>
          <w:tcPr>
            <w:tcW w:w="4728" w:type="dxa"/>
            <w:gridSpan w:val="3"/>
            <w:tcBorders>
              <w:bottom w:val="double" w:color="auto" w:sz="4" w:space="0"/>
              <w:right w:val="double" w:color="auto" w:sz="4" w:space="0"/>
            </w:tcBorders>
            <w:vAlign w:val="center"/>
          </w:tcPr>
          <w:p>
            <w:pPr>
              <w:spacing w:line="360" w:lineRule="auto"/>
              <w:jc w:val="center"/>
            </w:pPr>
          </w:p>
        </w:tc>
      </w:tr>
    </w:tbl>
    <w:p>
      <w:pPr>
        <w:spacing w:line="360" w:lineRule="auto"/>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格式6  </w:t>
      </w:r>
      <w:r>
        <w:rPr>
          <w:rFonts w:hint="eastAsia" w:ascii="仿宋" w:hAnsi="仿宋" w:eastAsia="仿宋"/>
          <w:b/>
          <w:bCs/>
          <w:sz w:val="32"/>
          <w:szCs w:val="32"/>
        </w:rPr>
        <w:t>服务方案</w:t>
      </w:r>
    </w:p>
    <w:p>
      <w:pPr>
        <w:rPr>
          <w:rFonts w:ascii="仿宋" w:hAnsi="仿宋" w:eastAsia="仿宋"/>
        </w:rPr>
      </w:pPr>
    </w:p>
    <w:p>
      <w:pPr>
        <w:spacing w:line="360" w:lineRule="auto"/>
        <w:rPr>
          <w:rFonts w:ascii="仿宋" w:hAnsi="仿宋" w:eastAsia="仿宋"/>
          <w:sz w:val="24"/>
          <w:szCs w:val="28"/>
        </w:rPr>
      </w:pPr>
      <w:r>
        <w:rPr>
          <w:rFonts w:hint="eastAsia" w:ascii="仿宋" w:hAnsi="仿宋" w:eastAsia="仿宋"/>
          <w:sz w:val="24"/>
          <w:szCs w:val="28"/>
        </w:rPr>
        <w:t>1、</w:t>
      </w:r>
      <w:r>
        <w:rPr>
          <w:rFonts w:hint="eastAsia" w:ascii="仿宋" w:hAnsi="仿宋" w:eastAsia="仿宋" w:cs="宋体"/>
          <w:kern w:val="0"/>
          <w:sz w:val="28"/>
          <w:szCs w:val="28"/>
        </w:rPr>
        <w:t>实施方案</w:t>
      </w:r>
    </w:p>
    <w:p>
      <w:pPr>
        <w:spacing w:line="360" w:lineRule="auto"/>
        <w:rPr>
          <w:rFonts w:ascii="仿宋" w:hAnsi="仿宋" w:eastAsia="仿宋"/>
          <w:sz w:val="24"/>
          <w:szCs w:val="28"/>
        </w:rPr>
      </w:pPr>
      <w:r>
        <w:rPr>
          <w:rFonts w:hint="eastAsia" w:ascii="仿宋" w:hAnsi="仿宋" w:eastAsia="仿宋"/>
          <w:sz w:val="24"/>
          <w:szCs w:val="28"/>
        </w:rPr>
        <w:t>2、</w:t>
      </w:r>
      <w:r>
        <w:rPr>
          <w:rFonts w:hint="eastAsia" w:ascii="仿宋" w:hAnsi="仿宋" w:eastAsia="仿宋" w:cs="宋体"/>
          <w:kern w:val="0"/>
          <w:sz w:val="28"/>
          <w:szCs w:val="28"/>
        </w:rPr>
        <w:t>项目重点难点分析、应对措施及相关的合理化建议</w:t>
      </w:r>
    </w:p>
    <w:p>
      <w:pPr>
        <w:spacing w:line="360" w:lineRule="auto"/>
        <w:rPr>
          <w:rFonts w:ascii="仿宋" w:hAnsi="仿宋" w:eastAsia="仿宋"/>
          <w:sz w:val="24"/>
          <w:szCs w:val="28"/>
        </w:rPr>
      </w:pPr>
      <w:r>
        <w:rPr>
          <w:rFonts w:hint="eastAsia" w:ascii="仿宋" w:hAnsi="仿宋" w:eastAsia="仿宋"/>
          <w:sz w:val="24"/>
          <w:szCs w:val="28"/>
        </w:rPr>
        <w:t>3、</w:t>
      </w:r>
      <w:r>
        <w:rPr>
          <w:rFonts w:hint="eastAsia" w:ascii="仿宋" w:hAnsi="仿宋" w:eastAsia="仿宋" w:cs="宋体"/>
          <w:kern w:val="0"/>
          <w:sz w:val="28"/>
          <w:szCs w:val="28"/>
        </w:rPr>
        <w:t>质量保障措施及方案</w:t>
      </w:r>
    </w:p>
    <w:p>
      <w:pPr>
        <w:spacing w:line="360" w:lineRule="auto"/>
        <w:rPr>
          <w:rFonts w:ascii="仿宋" w:hAnsi="仿宋" w:eastAsia="仿宋"/>
          <w:sz w:val="24"/>
          <w:szCs w:val="28"/>
        </w:rPr>
      </w:pPr>
      <w:r>
        <w:rPr>
          <w:rFonts w:hint="eastAsia" w:ascii="仿宋" w:hAnsi="仿宋" w:eastAsia="仿宋"/>
          <w:sz w:val="24"/>
          <w:szCs w:val="28"/>
        </w:rPr>
        <w:t>4、</w:t>
      </w:r>
      <w:r>
        <w:rPr>
          <w:rFonts w:hint="eastAsia" w:ascii="仿宋" w:hAnsi="仿宋" w:eastAsia="仿宋" w:cs="宋体"/>
          <w:kern w:val="0"/>
          <w:sz w:val="28"/>
          <w:szCs w:val="28"/>
        </w:rPr>
        <w:t>投资控制的方法和措施</w:t>
      </w:r>
    </w:p>
    <w:p>
      <w:pPr>
        <w:spacing w:line="360" w:lineRule="auto"/>
        <w:rPr>
          <w:rFonts w:ascii="仿宋" w:hAnsi="仿宋" w:eastAsia="仿宋"/>
          <w:sz w:val="24"/>
          <w:szCs w:val="28"/>
        </w:rPr>
      </w:pPr>
      <w:r>
        <w:rPr>
          <w:rFonts w:hint="eastAsia" w:ascii="仿宋" w:hAnsi="仿宋" w:eastAsia="仿宋"/>
          <w:sz w:val="24"/>
          <w:szCs w:val="28"/>
        </w:rPr>
        <w:t>5、</w:t>
      </w:r>
      <w:r>
        <w:rPr>
          <w:rFonts w:hint="eastAsia" w:ascii="仿宋" w:hAnsi="仿宋" w:eastAsia="仿宋" w:cs="仿宋"/>
          <w:kern w:val="0"/>
          <w:sz w:val="28"/>
          <w:szCs w:val="28"/>
        </w:rPr>
        <w:t>违约承诺</w:t>
      </w:r>
    </w:p>
    <w:p>
      <w:pPr>
        <w:spacing w:line="360" w:lineRule="auto"/>
        <w:rPr>
          <w:rFonts w:ascii="仿宋" w:hAnsi="仿宋" w:eastAsia="仿宋"/>
          <w:sz w:val="24"/>
          <w:szCs w:val="28"/>
        </w:rPr>
      </w:pPr>
      <w:r>
        <w:rPr>
          <w:rFonts w:hint="eastAsia" w:ascii="仿宋" w:hAnsi="仿宋" w:eastAsia="仿宋"/>
          <w:sz w:val="24"/>
          <w:szCs w:val="28"/>
        </w:rPr>
        <w:t>6、</w:t>
      </w:r>
      <w:r>
        <w:rPr>
          <w:rFonts w:hint="eastAsia" w:ascii="仿宋" w:hAnsi="仿宋" w:eastAsia="仿宋"/>
          <w:sz w:val="28"/>
          <w:szCs w:val="28"/>
          <w:lang w:val="en-US" w:eastAsia="zh-CN"/>
        </w:rPr>
        <w:t>认证情况</w:t>
      </w:r>
    </w:p>
    <w:p>
      <w:pPr>
        <w:spacing w:line="360" w:lineRule="auto"/>
        <w:rPr>
          <w:rFonts w:ascii="仿宋" w:hAnsi="仿宋" w:eastAsia="仿宋"/>
          <w:sz w:val="24"/>
          <w:szCs w:val="28"/>
        </w:rPr>
      </w:pPr>
      <w:r>
        <w:rPr>
          <w:rFonts w:hint="eastAsia" w:ascii="仿宋" w:hAnsi="仿宋" w:eastAsia="仿宋"/>
          <w:sz w:val="24"/>
          <w:szCs w:val="28"/>
        </w:rPr>
        <w:t>7、</w:t>
      </w:r>
      <w:r>
        <w:rPr>
          <w:rFonts w:hint="eastAsia" w:ascii="仿宋" w:hAnsi="仿宋" w:eastAsia="仿宋"/>
          <w:sz w:val="28"/>
          <w:szCs w:val="28"/>
          <w:lang w:val="en-US" w:eastAsia="zh-CN"/>
        </w:rPr>
        <w:t>拟派项目总监理工程师（仅限一名）</w:t>
      </w:r>
    </w:p>
    <w:p>
      <w:pPr>
        <w:spacing w:line="360" w:lineRule="auto"/>
        <w:rPr>
          <w:rFonts w:ascii="仿宋" w:hAnsi="仿宋" w:eastAsia="仿宋"/>
          <w:sz w:val="24"/>
          <w:szCs w:val="28"/>
        </w:rPr>
      </w:pPr>
      <w:r>
        <w:rPr>
          <w:rFonts w:hint="eastAsia" w:ascii="仿宋" w:hAnsi="仿宋" w:eastAsia="仿宋"/>
          <w:sz w:val="24"/>
          <w:szCs w:val="28"/>
        </w:rPr>
        <w:t>8、</w:t>
      </w:r>
      <w:r>
        <w:rPr>
          <w:rFonts w:hint="eastAsia" w:ascii="仿宋" w:hAnsi="仿宋" w:eastAsia="仿宋"/>
          <w:sz w:val="28"/>
          <w:szCs w:val="28"/>
          <w:lang w:val="en-US" w:eastAsia="zh-CN"/>
        </w:rPr>
        <w:t>拟派项目监理团队成员情况（总监理工程师除外）</w:t>
      </w:r>
    </w:p>
    <w:p>
      <w:pPr>
        <w:spacing w:line="360" w:lineRule="auto"/>
        <w:rPr>
          <w:rFonts w:hint="eastAsia" w:ascii="仿宋" w:hAnsi="仿宋" w:eastAsia="仿宋"/>
          <w:sz w:val="28"/>
          <w:szCs w:val="28"/>
        </w:rPr>
      </w:pPr>
      <w:r>
        <w:rPr>
          <w:rFonts w:hint="eastAsia" w:ascii="仿宋" w:hAnsi="仿宋" w:eastAsia="仿宋"/>
          <w:sz w:val="24"/>
          <w:szCs w:val="28"/>
        </w:rPr>
        <w:t>9、</w:t>
      </w:r>
      <w:r>
        <w:rPr>
          <w:rFonts w:hint="eastAsia" w:ascii="仿宋" w:hAnsi="仿宋" w:eastAsia="仿宋"/>
          <w:sz w:val="28"/>
          <w:szCs w:val="28"/>
        </w:rPr>
        <w:t>同类业绩</w:t>
      </w:r>
    </w:p>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10、自主知识产权产品</w:t>
      </w:r>
    </w:p>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11、获奖情况</w:t>
      </w:r>
    </w:p>
    <w:p>
      <w:pPr>
        <w:spacing w:line="360" w:lineRule="auto"/>
        <w:rPr>
          <w:rFonts w:hint="eastAsia" w:ascii="仿宋" w:hAnsi="仿宋" w:eastAsia="仿宋"/>
          <w:sz w:val="28"/>
          <w:szCs w:val="28"/>
        </w:rPr>
      </w:pPr>
      <w:r>
        <w:rPr>
          <w:rFonts w:hint="eastAsia" w:ascii="仿宋" w:hAnsi="仿宋" w:eastAsia="仿宋"/>
          <w:sz w:val="28"/>
          <w:szCs w:val="28"/>
          <w:lang w:val="en-US" w:eastAsia="zh-CN"/>
        </w:rPr>
        <w:t>12、</w:t>
      </w:r>
      <w:r>
        <w:rPr>
          <w:rFonts w:hint="eastAsia" w:ascii="仿宋" w:hAnsi="仿宋" w:eastAsia="仿宋"/>
          <w:sz w:val="28"/>
          <w:szCs w:val="28"/>
        </w:rPr>
        <w:t>服务网点</w:t>
      </w:r>
    </w:p>
    <w:p>
      <w:pPr>
        <w:spacing w:line="360" w:lineRule="auto"/>
        <w:rPr>
          <w:rFonts w:hint="default" w:ascii="仿宋" w:hAnsi="仿宋" w:eastAsia="仿宋"/>
          <w:sz w:val="28"/>
          <w:szCs w:val="28"/>
          <w:lang w:val="en-US" w:eastAsia="zh-CN"/>
        </w:rPr>
      </w:pPr>
      <w:r>
        <w:rPr>
          <w:rFonts w:hint="eastAsia" w:ascii="仿宋" w:hAnsi="仿宋" w:eastAsia="仿宋"/>
          <w:sz w:val="28"/>
          <w:szCs w:val="28"/>
          <w:lang w:val="en-US" w:eastAsia="zh-CN"/>
        </w:rPr>
        <w:t>13、</w:t>
      </w:r>
      <w:r>
        <w:rPr>
          <w:rFonts w:hint="eastAsia" w:ascii="仿宋" w:hAnsi="仿宋" w:eastAsia="仿宋" w:cs="宋体"/>
          <w:kern w:val="0"/>
          <w:sz w:val="28"/>
          <w:szCs w:val="28"/>
        </w:rPr>
        <w:t>诚信情况</w:t>
      </w:r>
    </w:p>
    <w:p>
      <w:pPr>
        <w:rPr>
          <w:rFonts w:ascii="仿宋" w:hAnsi="仿宋" w:eastAsia="仿宋"/>
        </w:rPr>
      </w:pPr>
    </w:p>
    <w:p>
      <w:pPr>
        <w:widowControl/>
        <w:jc w:val="left"/>
        <w:rPr>
          <w:rFonts w:ascii="仿宋" w:hAnsi="仿宋" w:eastAsia="仿宋"/>
        </w:rPr>
      </w:pPr>
      <w:r>
        <w:rPr>
          <w:rFonts w:ascii="仿宋" w:hAnsi="仿宋" w:eastAsia="仿宋"/>
        </w:rPr>
        <w:br w:type="page"/>
      </w:r>
    </w:p>
    <w:p>
      <w:pPr>
        <w:rPr>
          <w:rFonts w:ascii="仿宋" w:hAnsi="仿宋" w:eastAsia="仿宋"/>
        </w:rPr>
      </w:pPr>
      <w:r>
        <w:rPr>
          <w:rFonts w:hint="eastAsia" w:ascii="仿宋" w:hAnsi="仿宋" w:eastAsia="仿宋"/>
        </w:rPr>
        <w:t>附表1</w:t>
      </w:r>
    </w:p>
    <w:p>
      <w:pPr>
        <w:jc w:val="center"/>
        <w:rPr>
          <w:rFonts w:ascii="仿宋" w:hAnsi="仿宋" w:eastAsia="仿宋"/>
          <w:b/>
          <w:sz w:val="32"/>
          <w:szCs w:val="32"/>
        </w:rPr>
      </w:pPr>
      <w:r>
        <w:rPr>
          <w:rFonts w:hint="eastAsia" w:ascii="仿宋" w:hAnsi="仿宋" w:eastAsia="仿宋"/>
          <w:b/>
          <w:sz w:val="32"/>
          <w:szCs w:val="32"/>
        </w:rPr>
        <w:t>项目人员情况一览表</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921"/>
        <w:gridCol w:w="922"/>
        <w:gridCol w:w="1417"/>
        <w:gridCol w:w="1276"/>
        <w:gridCol w:w="1134"/>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top w:val="double" w:color="auto" w:sz="4" w:space="0"/>
              <w:left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序号</w:t>
            </w:r>
          </w:p>
        </w:tc>
        <w:tc>
          <w:tcPr>
            <w:tcW w:w="851"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类别</w:t>
            </w:r>
          </w:p>
        </w:tc>
        <w:tc>
          <w:tcPr>
            <w:tcW w:w="921"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姓名</w:t>
            </w:r>
          </w:p>
        </w:tc>
        <w:tc>
          <w:tcPr>
            <w:tcW w:w="922"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学历</w:t>
            </w:r>
          </w:p>
        </w:tc>
        <w:tc>
          <w:tcPr>
            <w:tcW w:w="1417"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岗位及职务</w:t>
            </w:r>
          </w:p>
        </w:tc>
        <w:tc>
          <w:tcPr>
            <w:tcW w:w="1276" w:type="dxa"/>
            <w:tcBorders>
              <w:top w:val="double" w:color="auto" w:sz="4" w:space="0"/>
            </w:tcBorders>
            <w:shd w:val="clear" w:color="auto" w:fill="C6D9F0" w:themeFill="text2" w:themeFillTint="33"/>
            <w:vAlign w:val="center"/>
          </w:tcPr>
          <w:p>
            <w:pPr>
              <w:spacing w:line="276" w:lineRule="auto"/>
              <w:ind w:right="-53" w:rightChars="-25"/>
              <w:jc w:val="center"/>
              <w:rPr>
                <w:rFonts w:ascii="仿宋" w:hAnsi="仿宋" w:eastAsia="仿宋"/>
                <w:b/>
              </w:rPr>
            </w:pPr>
            <w:r>
              <w:rPr>
                <w:rFonts w:hint="eastAsia" w:ascii="仿宋" w:hAnsi="仿宋" w:eastAsia="仿宋"/>
                <w:b/>
              </w:rPr>
              <w:t>持何种资格证件</w:t>
            </w:r>
          </w:p>
        </w:tc>
        <w:tc>
          <w:tcPr>
            <w:tcW w:w="1134" w:type="dxa"/>
            <w:tcBorders>
              <w:top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发证时间</w:t>
            </w:r>
          </w:p>
        </w:tc>
        <w:tc>
          <w:tcPr>
            <w:tcW w:w="1326" w:type="dxa"/>
            <w:tcBorders>
              <w:top w:val="double" w:color="auto" w:sz="4" w:space="0"/>
              <w:right w:val="double" w:color="auto" w:sz="4" w:space="0"/>
            </w:tcBorders>
            <w:shd w:val="clear" w:color="auto" w:fill="C6D9F0" w:themeFill="text2" w:themeFillTint="33"/>
            <w:vAlign w:val="center"/>
          </w:tcPr>
          <w:p>
            <w:pPr>
              <w:spacing w:line="276" w:lineRule="auto"/>
              <w:jc w:val="center"/>
              <w:rPr>
                <w:rFonts w:ascii="仿宋" w:hAnsi="仿宋" w:eastAsia="仿宋"/>
                <w:b/>
              </w:rPr>
            </w:pPr>
            <w:r>
              <w:rPr>
                <w:rFonts w:hint="eastAsia" w:ascii="仿宋" w:hAnsi="仿宋" w:eastAsia="仿宋"/>
                <w:b/>
              </w:rPr>
              <w:t>工作经验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851" w:type="dxa"/>
            <w:vAlign w:val="center"/>
          </w:tcPr>
          <w:p>
            <w:pPr>
              <w:spacing w:line="360" w:lineRule="auto"/>
              <w:jc w:val="center"/>
              <w:rPr>
                <w:rFonts w:ascii="仿宋" w:hAnsi="仿宋" w:eastAsia="仿宋"/>
              </w:rPr>
            </w:pPr>
            <w:r>
              <w:rPr>
                <w:rFonts w:hint="eastAsia" w:ascii="仿宋" w:hAnsi="仿宋" w:eastAsia="仿宋"/>
              </w:rPr>
              <w:t>项目负责人</w:t>
            </w: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851" w:type="dxa"/>
            <w:vMerge w:val="restart"/>
            <w:vAlign w:val="center"/>
          </w:tcPr>
          <w:p>
            <w:pPr>
              <w:spacing w:line="360" w:lineRule="auto"/>
              <w:jc w:val="center"/>
              <w:rPr>
                <w:rFonts w:ascii="仿宋" w:hAnsi="仿宋" w:eastAsia="仿宋"/>
              </w:rPr>
            </w:pPr>
            <w:r>
              <w:rPr>
                <w:rFonts w:hint="eastAsia" w:ascii="仿宋" w:hAnsi="仿宋" w:eastAsia="仿宋"/>
              </w:rPr>
              <w:t>项目团队成员</w:t>
            </w: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851" w:type="dxa"/>
            <w:vMerge w:val="continue"/>
            <w:vAlign w:val="center"/>
          </w:tcPr>
          <w:p>
            <w:pPr>
              <w:spacing w:line="360" w:lineRule="auto"/>
              <w:jc w:val="center"/>
              <w:rPr>
                <w:rFonts w:ascii="仿宋" w:hAnsi="仿宋" w:eastAsia="仿宋"/>
              </w:rPr>
            </w:pP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851" w:type="dxa"/>
            <w:vMerge w:val="continue"/>
            <w:vAlign w:val="center"/>
          </w:tcPr>
          <w:p>
            <w:pPr>
              <w:spacing w:line="360" w:lineRule="auto"/>
              <w:jc w:val="center"/>
              <w:rPr>
                <w:rFonts w:ascii="仿宋" w:hAnsi="仿宋" w:eastAsia="仿宋"/>
              </w:rPr>
            </w:pPr>
          </w:p>
        </w:tc>
        <w:tc>
          <w:tcPr>
            <w:tcW w:w="921" w:type="dxa"/>
            <w:vAlign w:val="center"/>
          </w:tcPr>
          <w:p>
            <w:pPr>
              <w:spacing w:line="360" w:lineRule="auto"/>
              <w:jc w:val="center"/>
              <w:rPr>
                <w:rFonts w:ascii="仿宋" w:hAnsi="仿宋" w:eastAsia="仿宋"/>
              </w:rPr>
            </w:pPr>
          </w:p>
        </w:tc>
        <w:tc>
          <w:tcPr>
            <w:tcW w:w="922" w:type="dxa"/>
            <w:vAlign w:val="center"/>
          </w:tcPr>
          <w:p>
            <w:pPr>
              <w:spacing w:line="360" w:lineRule="auto"/>
              <w:jc w:val="center"/>
              <w:rPr>
                <w:rFonts w:ascii="仿宋" w:hAnsi="仿宋" w:eastAsia="仿宋"/>
              </w:rPr>
            </w:pPr>
          </w:p>
        </w:tc>
        <w:tc>
          <w:tcPr>
            <w:tcW w:w="1417" w:type="dxa"/>
            <w:vAlign w:val="center"/>
          </w:tcPr>
          <w:p>
            <w:pPr>
              <w:spacing w:line="360" w:lineRule="auto"/>
              <w:jc w:val="center"/>
              <w:rPr>
                <w:rFonts w:ascii="仿宋" w:hAnsi="仿宋" w:eastAsia="仿宋"/>
              </w:rPr>
            </w:pPr>
          </w:p>
        </w:tc>
        <w:tc>
          <w:tcPr>
            <w:tcW w:w="1276" w:type="dxa"/>
            <w:vAlign w:val="center"/>
          </w:tcPr>
          <w:p>
            <w:pPr>
              <w:spacing w:line="360" w:lineRule="auto"/>
              <w:jc w:val="center"/>
              <w:rPr>
                <w:rFonts w:ascii="仿宋" w:hAnsi="仿宋" w:eastAsia="仿宋"/>
              </w:rPr>
            </w:pPr>
          </w:p>
        </w:tc>
        <w:tc>
          <w:tcPr>
            <w:tcW w:w="1134" w:type="dxa"/>
            <w:vAlign w:val="center"/>
          </w:tcPr>
          <w:p>
            <w:pPr>
              <w:spacing w:line="360" w:lineRule="auto"/>
              <w:jc w:val="center"/>
              <w:rPr>
                <w:rFonts w:ascii="仿宋" w:hAnsi="仿宋" w:eastAsia="仿宋"/>
              </w:rPr>
            </w:pPr>
          </w:p>
        </w:tc>
        <w:tc>
          <w:tcPr>
            <w:tcW w:w="1326"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851" w:type="dxa"/>
            <w:vMerge w:val="continue"/>
            <w:tcBorders>
              <w:bottom w:val="double" w:color="auto" w:sz="4" w:space="0"/>
            </w:tcBorders>
            <w:vAlign w:val="center"/>
          </w:tcPr>
          <w:p>
            <w:pPr>
              <w:spacing w:line="360" w:lineRule="auto"/>
              <w:jc w:val="center"/>
              <w:rPr>
                <w:rFonts w:ascii="仿宋" w:hAnsi="仿宋" w:eastAsia="仿宋"/>
              </w:rPr>
            </w:pPr>
          </w:p>
        </w:tc>
        <w:tc>
          <w:tcPr>
            <w:tcW w:w="921" w:type="dxa"/>
            <w:tcBorders>
              <w:bottom w:val="double" w:color="auto" w:sz="4" w:space="0"/>
            </w:tcBorders>
            <w:vAlign w:val="center"/>
          </w:tcPr>
          <w:p>
            <w:pPr>
              <w:spacing w:line="360" w:lineRule="auto"/>
              <w:jc w:val="center"/>
              <w:rPr>
                <w:rFonts w:ascii="仿宋" w:hAnsi="仿宋" w:eastAsia="仿宋"/>
              </w:rPr>
            </w:pPr>
          </w:p>
        </w:tc>
        <w:tc>
          <w:tcPr>
            <w:tcW w:w="922" w:type="dxa"/>
            <w:tcBorders>
              <w:bottom w:val="double" w:color="auto" w:sz="4" w:space="0"/>
            </w:tcBorders>
            <w:vAlign w:val="center"/>
          </w:tcPr>
          <w:p>
            <w:pPr>
              <w:spacing w:line="360" w:lineRule="auto"/>
              <w:jc w:val="center"/>
              <w:rPr>
                <w:rFonts w:ascii="仿宋" w:hAnsi="仿宋" w:eastAsia="仿宋"/>
              </w:rPr>
            </w:pPr>
          </w:p>
        </w:tc>
        <w:tc>
          <w:tcPr>
            <w:tcW w:w="1417" w:type="dxa"/>
            <w:tcBorders>
              <w:bottom w:val="double" w:color="auto" w:sz="4" w:space="0"/>
            </w:tcBorders>
            <w:vAlign w:val="center"/>
          </w:tcPr>
          <w:p>
            <w:pPr>
              <w:spacing w:line="360" w:lineRule="auto"/>
              <w:jc w:val="center"/>
              <w:rPr>
                <w:rFonts w:ascii="仿宋" w:hAnsi="仿宋" w:eastAsia="仿宋"/>
              </w:rPr>
            </w:pPr>
          </w:p>
        </w:tc>
        <w:tc>
          <w:tcPr>
            <w:tcW w:w="1276" w:type="dxa"/>
            <w:tcBorders>
              <w:bottom w:val="double" w:color="auto" w:sz="4" w:space="0"/>
            </w:tcBorders>
            <w:vAlign w:val="center"/>
          </w:tcPr>
          <w:p>
            <w:pPr>
              <w:spacing w:line="360" w:lineRule="auto"/>
              <w:jc w:val="center"/>
              <w:rPr>
                <w:rFonts w:ascii="仿宋" w:hAnsi="仿宋" w:eastAsia="仿宋"/>
              </w:rPr>
            </w:pPr>
          </w:p>
        </w:tc>
        <w:tc>
          <w:tcPr>
            <w:tcW w:w="1134" w:type="dxa"/>
            <w:tcBorders>
              <w:bottom w:val="double" w:color="auto" w:sz="4" w:space="0"/>
            </w:tcBorders>
            <w:vAlign w:val="center"/>
          </w:tcPr>
          <w:p>
            <w:pPr>
              <w:spacing w:line="360" w:lineRule="auto"/>
              <w:jc w:val="center"/>
              <w:rPr>
                <w:rFonts w:ascii="仿宋" w:hAnsi="仿宋" w:eastAsia="仿宋"/>
              </w:rPr>
            </w:pPr>
          </w:p>
        </w:tc>
        <w:tc>
          <w:tcPr>
            <w:tcW w:w="1326"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jc w:val="center"/>
        <w:rPr>
          <w:rFonts w:ascii="仿宋" w:hAnsi="仿宋" w:eastAsia="仿宋"/>
          <w:b/>
          <w:sz w:val="32"/>
          <w:szCs w:val="32"/>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autoSpaceDE w:val="0"/>
        <w:autoSpaceDN w:val="0"/>
        <w:adjustRightInd w:val="0"/>
        <w:spacing w:line="360" w:lineRule="auto"/>
        <w:rPr>
          <w:rFonts w:ascii="仿宋" w:hAnsi="仿宋" w:eastAsia="仿宋"/>
          <w:b/>
          <w:color w:val="FF0000"/>
          <w:sz w:val="22"/>
        </w:rPr>
      </w:pPr>
    </w:p>
    <w:p>
      <w:pPr>
        <w:autoSpaceDE w:val="0"/>
        <w:autoSpaceDN w:val="0"/>
        <w:adjustRightInd w:val="0"/>
        <w:spacing w:line="360" w:lineRule="auto"/>
        <w:rPr>
          <w:rFonts w:ascii="仿宋" w:hAnsi="仿宋" w:eastAsia="仿宋"/>
          <w:b/>
          <w:color w:val="FF0000"/>
        </w:rPr>
      </w:pPr>
      <w:r>
        <w:rPr>
          <w:rFonts w:hint="eastAsia" w:ascii="仿宋" w:hAnsi="仿宋" w:eastAsia="仿宋"/>
          <w:b/>
          <w:color w:val="FF0000"/>
          <w:sz w:val="22"/>
        </w:rPr>
        <w:t>注：</w:t>
      </w:r>
      <w:r>
        <w:rPr>
          <w:rFonts w:hint="eastAsia" w:ascii="仿宋" w:hAnsi="仿宋" w:eastAsia="仿宋"/>
          <w:b/>
          <w:color w:val="FF0000"/>
        </w:rPr>
        <w:t xml:space="preserve"> </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2、有关人员简历及身份证、资格证书及其它证明材料（复印件）需附在本表之后。</w:t>
      </w:r>
    </w:p>
    <w:p>
      <w:pPr>
        <w:tabs>
          <w:tab w:val="left" w:pos="170"/>
        </w:tabs>
        <w:autoSpaceDE w:val="0"/>
        <w:autoSpaceDN w:val="0"/>
        <w:adjustRightInd w:val="0"/>
        <w:spacing w:line="360" w:lineRule="auto"/>
        <w:ind w:firstLine="210" w:firstLineChars="100"/>
        <w:rPr>
          <w:rFonts w:ascii="仿宋" w:hAnsi="仿宋" w:eastAsia="仿宋"/>
        </w:rPr>
      </w:pPr>
      <w:r>
        <w:rPr>
          <w:rFonts w:hint="eastAsia" w:ascii="仿宋" w:hAnsi="仿宋" w:eastAsia="仿宋"/>
        </w:rPr>
        <w:t>3、本表格所要求填写的人员是指投标单位将安排在此项目的具体人员。</w:t>
      </w:r>
    </w:p>
    <w:p>
      <w:pPr>
        <w:tabs>
          <w:tab w:val="left" w:pos="170"/>
        </w:tabs>
        <w:autoSpaceDE w:val="0"/>
        <w:autoSpaceDN w:val="0"/>
        <w:adjustRightInd w:val="0"/>
        <w:spacing w:line="360" w:lineRule="auto"/>
        <w:ind w:firstLine="210" w:firstLineChars="100"/>
        <w:rPr>
          <w:rFonts w:ascii="仿宋" w:hAnsi="仿宋" w:eastAsia="仿宋"/>
        </w:rPr>
      </w:pPr>
    </w:p>
    <w:p>
      <w:pPr>
        <w:widowControl/>
        <w:jc w:val="left"/>
        <w:rPr>
          <w:rFonts w:ascii="仿宋" w:hAnsi="仿宋" w:eastAsia="仿宋"/>
        </w:rPr>
      </w:pP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rPr>
      </w:pPr>
      <w:r>
        <w:rPr>
          <w:rFonts w:hint="eastAsia" w:ascii="仿宋" w:hAnsi="仿宋" w:eastAsia="仿宋"/>
          <w:b/>
          <w:sz w:val="32"/>
          <w:szCs w:val="32"/>
        </w:rPr>
        <w:t xml:space="preserve">格式7  </w:t>
      </w:r>
      <w:r>
        <w:rPr>
          <w:rFonts w:hint="eastAsia" w:ascii="仿宋" w:hAnsi="仿宋" w:eastAsia="仿宋"/>
          <w:b/>
          <w:bCs/>
          <w:sz w:val="32"/>
          <w:szCs w:val="32"/>
        </w:rPr>
        <w:t>差异表</w:t>
      </w:r>
    </w:p>
    <w:p>
      <w:pPr>
        <w:rPr>
          <w:rFonts w:ascii="仿宋" w:hAnsi="仿宋" w:eastAsia="仿宋"/>
        </w:rPr>
      </w:pP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4"/>
        <w:tblW w:w="0" w:type="auto"/>
        <w:tblInd w:w="0"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835"/>
        <w:gridCol w:w="2126"/>
        <w:gridCol w:w="260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835"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采购文件条款</w:t>
            </w:r>
          </w:p>
        </w:tc>
        <w:tc>
          <w:tcPr>
            <w:tcW w:w="2126"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投标文件响应情况</w:t>
            </w:r>
          </w:p>
        </w:tc>
        <w:tc>
          <w:tcPr>
            <w:tcW w:w="2602"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auto"/>
              <w:jc w:val="center"/>
              <w:rPr>
                <w:rFonts w:ascii="仿宋" w:hAnsi="仿宋" w:eastAsia="仿宋"/>
              </w:rPr>
            </w:pPr>
            <w:r>
              <w:rPr>
                <w:rFonts w:hint="eastAsia" w:ascii="仿宋" w:hAnsi="仿宋" w:eastAsia="仿宋"/>
              </w:rPr>
              <w:t>1</w:t>
            </w:r>
          </w:p>
        </w:tc>
        <w:tc>
          <w:tcPr>
            <w:tcW w:w="2835" w:type="dxa"/>
            <w:vAlign w:val="center"/>
          </w:tcPr>
          <w:p>
            <w:pPr>
              <w:spacing w:line="360" w:lineRule="auto"/>
              <w:jc w:val="center"/>
              <w:rPr>
                <w:rFonts w:ascii="仿宋" w:hAnsi="仿宋" w:eastAsia="仿宋"/>
              </w:rPr>
            </w:pPr>
            <w:r>
              <w:rPr>
                <w:rFonts w:hint="eastAsia" w:ascii="仿宋" w:hAnsi="仿宋" w:eastAsia="仿宋"/>
              </w:rPr>
              <w:t xml:space="preserve"> “</w:t>
            </w:r>
            <w:r>
              <w:rPr>
                <w:rFonts w:ascii="仿宋" w:hAnsi="仿宋" w:eastAsia="仿宋"/>
              </w:rPr>
              <w:t>第二部分采购项目需求</w:t>
            </w:r>
            <w:r>
              <w:rPr>
                <w:rFonts w:hint="eastAsia" w:ascii="仿宋" w:hAnsi="仿宋" w:eastAsia="仿宋"/>
              </w:rPr>
              <w:t>”全部采购项目需求条款</w:t>
            </w:r>
          </w:p>
        </w:tc>
        <w:tc>
          <w:tcPr>
            <w:tcW w:w="2126" w:type="dxa"/>
            <w:vAlign w:val="center"/>
          </w:tcPr>
          <w:p>
            <w:pPr>
              <w:spacing w:line="360" w:lineRule="auto"/>
              <w:jc w:val="center"/>
              <w:rPr>
                <w:rFonts w:ascii="仿宋" w:hAnsi="仿宋" w:eastAsia="仿宋"/>
              </w:rPr>
            </w:pPr>
            <w:r>
              <w:rPr>
                <w:rFonts w:ascii="仿宋" w:hAnsi="仿宋" w:eastAsia="仿宋"/>
              </w:rPr>
              <w:t>全部响应</w:t>
            </w:r>
          </w:p>
        </w:tc>
        <w:tc>
          <w:tcPr>
            <w:tcW w:w="2602" w:type="dxa"/>
            <w:vAlign w:val="center"/>
          </w:tcPr>
          <w:p>
            <w:pPr>
              <w:spacing w:line="360" w:lineRule="auto"/>
              <w:jc w:val="center"/>
              <w:rPr>
                <w:rFonts w:ascii="仿宋" w:hAnsi="仿宋" w:eastAsia="仿宋"/>
              </w:rPr>
            </w:pPr>
          </w:p>
        </w:tc>
      </w:tr>
    </w:tbl>
    <w:p>
      <w:pPr>
        <w:rPr>
          <w:rFonts w:ascii="仿宋" w:hAnsi="仿宋" w:eastAsia="仿宋"/>
          <w:bCs/>
        </w:rPr>
      </w:pPr>
      <w:r>
        <w:rPr>
          <w:rFonts w:hint="eastAsia" w:ascii="仿宋" w:hAnsi="仿宋" w:eastAsia="仿宋"/>
          <w:b/>
          <w:bCs/>
          <w:color w:val="FF0000"/>
        </w:rPr>
        <w:t>注：</w:t>
      </w:r>
      <w:r>
        <w:rPr>
          <w:rFonts w:hint="eastAsia" w:ascii="仿宋" w:hAnsi="仿宋" w:eastAsia="仿宋"/>
          <w:bCs/>
        </w:rPr>
        <w:t>投标文件的技术与商务部分与采购文件有偏差（甚至是细微偏差），都需在本表中列出。</w:t>
      </w:r>
    </w:p>
    <w:p>
      <w:pPr>
        <w:rPr>
          <w:rFonts w:ascii="仿宋" w:hAnsi="仿宋" w:eastAsia="仿宋"/>
          <w:bCs/>
        </w:rPr>
      </w:pPr>
    </w:p>
    <w:p>
      <w:pPr>
        <w:rPr>
          <w:rFonts w:ascii="仿宋" w:hAnsi="仿宋" w:eastAsia="仿宋"/>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
      <w:pPr>
        <w:widowControl/>
        <w:jc w:val="left"/>
      </w:pPr>
      <w:r>
        <w:br w:type="page"/>
      </w:r>
    </w:p>
    <w:p>
      <w:pPr>
        <w:jc w:val="center"/>
        <w:rPr>
          <w:rFonts w:ascii="仿宋" w:hAnsi="仿宋" w:eastAsia="仿宋"/>
          <w:b/>
          <w:bCs/>
          <w:sz w:val="28"/>
          <w:szCs w:val="32"/>
        </w:rPr>
      </w:pPr>
      <w:r>
        <w:rPr>
          <w:rFonts w:hint="eastAsia" w:ascii="仿宋" w:hAnsi="仿宋" w:eastAsia="仿宋"/>
          <w:b/>
          <w:sz w:val="28"/>
          <w:szCs w:val="32"/>
        </w:rPr>
        <w:t xml:space="preserve">格式8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rPr>
          <w:rFonts w:ascii="仿宋" w:hAnsi="仿宋" w:eastAsia="仿宋"/>
          <w:bCs/>
        </w:rPr>
      </w:pPr>
    </w:p>
    <w:p>
      <w:pPr>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widowControl/>
        <w:jc w:val="left"/>
        <w:rPr>
          <w:rFonts w:ascii="仿宋" w:hAnsi="仿宋" w:eastAsia="仿宋"/>
          <w:bCs/>
        </w:rPr>
      </w:pPr>
      <w:r>
        <w:rPr>
          <w:rFonts w:ascii="仿宋" w:hAnsi="仿宋" w:eastAsia="仿宋"/>
          <w:bCs/>
        </w:rPr>
        <w:br w:type="page"/>
      </w:r>
    </w:p>
    <w:p>
      <w:pPr>
        <w:widowControl/>
        <w:jc w:val="left"/>
      </w:pP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pStyle w:val="32"/>
        <w:widowControl w:val="0"/>
        <w:pBdr>
          <w:bottom w:val="none" w:color="auto" w:sz="0" w:space="0"/>
        </w:pBdr>
        <w:adjustRightInd w:val="0"/>
        <w:snapToGrid w:val="0"/>
        <w:spacing w:before="0" w:beforeAutospacing="0" w:after="0" w:afterAutospacing="0" w:line="360" w:lineRule="auto"/>
        <w:textAlignment w:val="auto"/>
        <w:rPr>
          <w:rFonts w:ascii="仿宋" w:hAnsi="仿宋" w:eastAsia="仿宋"/>
          <w:b/>
          <w:bCs/>
          <w:snapToGrid w:val="0"/>
          <w:sz w:val="32"/>
          <w:szCs w:val="32"/>
        </w:rPr>
      </w:pPr>
      <w:r>
        <w:rPr>
          <w:rFonts w:hint="eastAsia" w:ascii="仿宋" w:hAnsi="仿宋" w:eastAsia="仿宋"/>
          <w:b/>
          <w:bCs/>
          <w:snapToGrid w:val="0"/>
          <w:sz w:val="32"/>
          <w:szCs w:val="32"/>
        </w:rPr>
        <w:t>（仅供参考）</w:t>
      </w:r>
    </w:p>
    <w:p>
      <w:pPr>
        <w:spacing w:line="360" w:lineRule="auto"/>
        <w:ind w:firstLine="420" w:firstLineChars="200"/>
      </w:pPr>
      <w:r>
        <w:rPr>
          <w:rFonts w:hint="eastAsia"/>
        </w:rPr>
        <w:t>根据深圳市中正招标有限公司组织的项目编号为</w:t>
      </w:r>
      <w:r>
        <w:rPr>
          <w:rFonts w:hint="eastAsia"/>
          <w:u w:val="single"/>
        </w:rPr>
        <w:t xml:space="preserve">        </w:t>
      </w:r>
      <w:r>
        <w:rPr>
          <w:rFonts w:hint="eastAsia"/>
        </w:rPr>
        <w:t>的</w:t>
      </w:r>
      <w:r>
        <w:rPr>
          <w:rFonts w:hint="eastAsia"/>
          <w:u w:val="single"/>
        </w:rPr>
        <w:t xml:space="preserve">        </w:t>
      </w:r>
      <w:r>
        <w:rPr>
          <w:rFonts w:hint="eastAsia"/>
        </w:rPr>
        <w:t>项目采购结果，缔结合同如下：</w:t>
      </w:r>
    </w:p>
    <w:p>
      <w:pPr>
        <w:numPr>
          <w:ilvl w:val="0"/>
          <w:numId w:val="2"/>
        </w:numPr>
        <w:spacing w:line="360" w:lineRule="auto"/>
      </w:pPr>
      <w:r>
        <w:rPr>
          <w:rFonts w:hint="eastAsia"/>
        </w:rPr>
        <w:t>总则</w:t>
      </w:r>
    </w:p>
    <w:p>
      <w:pPr>
        <w:numPr>
          <w:ilvl w:val="1"/>
          <w:numId w:val="2"/>
        </w:numPr>
        <w:spacing w:line="360" w:lineRule="auto"/>
      </w:pPr>
      <w:r>
        <w:rPr>
          <w:rFonts w:hint="eastAsia"/>
        </w:rPr>
        <w:t>定义：除非上下文另有要求，下列词汇，一旦用在本合同中，具有下列含义</w:t>
      </w:r>
    </w:p>
    <w:p>
      <w:pPr>
        <w:numPr>
          <w:ilvl w:val="2"/>
          <w:numId w:val="3"/>
        </w:numPr>
        <w:spacing w:line="360" w:lineRule="auto"/>
      </w:pPr>
      <w:r>
        <w:rPr>
          <w:rFonts w:hint="eastAsia"/>
        </w:rPr>
        <w:t>“合同”是指由委托方和服务供应方签订的合同，按由双方签字的合同格式加以记载，其中包括全部附件和附录以及以参考资料形式列入的全部文件。</w:t>
      </w:r>
    </w:p>
    <w:p>
      <w:pPr>
        <w:numPr>
          <w:ilvl w:val="2"/>
          <w:numId w:val="3"/>
        </w:numPr>
        <w:spacing w:line="360" w:lineRule="auto"/>
      </w:pPr>
      <w:r>
        <w:rPr>
          <w:rFonts w:hint="eastAsia"/>
        </w:rPr>
        <w:t>“服务供应方”根据招标结果确定的中标单位。</w:t>
      </w:r>
    </w:p>
    <w:p>
      <w:pPr>
        <w:numPr>
          <w:ilvl w:val="2"/>
          <w:numId w:val="3"/>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pPr>
        <w:numPr>
          <w:ilvl w:val="2"/>
          <w:numId w:val="3"/>
        </w:numPr>
        <w:spacing w:line="360" w:lineRule="auto"/>
      </w:pPr>
      <w:r>
        <w:rPr>
          <w:rFonts w:hint="eastAsia"/>
        </w:rPr>
        <w:t>“一方”是指委托方或服务供应方，视情况而定，而“双方”是指他们二者。</w:t>
      </w:r>
    </w:p>
    <w:p>
      <w:pPr>
        <w:numPr>
          <w:ilvl w:val="2"/>
          <w:numId w:val="3"/>
        </w:numPr>
        <w:spacing w:line="360" w:lineRule="auto"/>
      </w:pPr>
      <w:r>
        <w:rPr>
          <w:rFonts w:hint="eastAsia"/>
        </w:rPr>
        <w:t xml:space="preserve">“人员”是指作为雇员由服务供应方所雇用并被分配执行服务或其任何部分的人员• </w:t>
      </w:r>
    </w:p>
    <w:p>
      <w:pPr>
        <w:numPr>
          <w:ilvl w:val="2"/>
          <w:numId w:val="3"/>
        </w:numPr>
        <w:spacing w:line="360" w:lineRule="auto"/>
      </w:pPr>
      <w:r>
        <w:rPr>
          <w:rFonts w:hint="eastAsia"/>
        </w:rPr>
        <w:t>“服务”是指由服务供应方根据合同所实施的工作。</w:t>
      </w:r>
    </w:p>
    <w:p>
      <w:pPr>
        <w:numPr>
          <w:ilvl w:val="0"/>
          <w:numId w:val="2"/>
        </w:numPr>
        <w:spacing w:line="360" w:lineRule="auto"/>
      </w:pPr>
      <w:r>
        <w:rPr>
          <w:rFonts w:hint="eastAsia"/>
        </w:rPr>
        <w:t>服务</w:t>
      </w:r>
    </w:p>
    <w:p>
      <w:pPr>
        <w:numPr>
          <w:ilvl w:val="1"/>
          <w:numId w:val="2"/>
        </w:numPr>
        <w:spacing w:line="360" w:lineRule="auto"/>
      </w:pPr>
      <w:r>
        <w:rPr>
          <w:rFonts w:hint="eastAsia"/>
        </w:rPr>
        <w:t>服务的范围：服务供应方将依据招标结果及相关的补充协议和本合同要求执行服务。</w:t>
      </w:r>
    </w:p>
    <w:p>
      <w:pPr>
        <w:numPr>
          <w:ilvl w:val="1"/>
          <w:numId w:val="2"/>
        </w:numPr>
        <w:spacing w:line="360" w:lineRule="auto"/>
      </w:pPr>
      <w:r>
        <w:rPr>
          <w:rFonts w:hint="eastAsia"/>
        </w:rPr>
        <w:t>服务的标准：服务供应方将依据国家有关规定及采购文件规定的标准提供服务。</w:t>
      </w:r>
    </w:p>
    <w:p>
      <w:pPr>
        <w:numPr>
          <w:ilvl w:val="1"/>
          <w:numId w:val="2"/>
        </w:numPr>
        <w:spacing w:line="360" w:lineRule="auto"/>
      </w:pPr>
      <w:r>
        <w:rPr>
          <w:rFonts w:hint="eastAsia"/>
        </w:rPr>
        <w:t>人员数量：</w:t>
      </w:r>
    </w:p>
    <w:p>
      <w:pPr>
        <w:numPr>
          <w:ilvl w:val="2"/>
          <w:numId w:val="2"/>
        </w:numPr>
        <w:spacing w:line="360" w:lineRule="auto"/>
      </w:pPr>
      <w:r>
        <w:rPr>
          <w:rFonts w:hint="eastAsia"/>
        </w:rPr>
        <w:t>管理人员</w:t>
      </w:r>
      <w:r>
        <w:rPr>
          <w:rFonts w:hint="eastAsia"/>
          <w:u w:val="single"/>
        </w:rPr>
        <w:t>　　</w:t>
      </w:r>
      <w:r>
        <w:rPr>
          <w:rFonts w:hint="eastAsia"/>
        </w:rPr>
        <w:t>人，维护人员</w:t>
      </w:r>
      <w:r>
        <w:rPr>
          <w:rFonts w:hint="eastAsia"/>
          <w:u w:val="single"/>
        </w:rPr>
        <w:t>　　　</w:t>
      </w:r>
      <w:r>
        <w:rPr>
          <w:rFonts w:hint="eastAsia"/>
        </w:rPr>
        <w:t>人。</w:t>
      </w:r>
    </w:p>
    <w:p>
      <w:pPr>
        <w:numPr>
          <w:ilvl w:val="2"/>
          <w:numId w:val="2"/>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pPr>
        <w:numPr>
          <w:ilvl w:val="2"/>
          <w:numId w:val="2"/>
        </w:numPr>
        <w:spacing w:line="360" w:lineRule="auto"/>
      </w:pPr>
      <w:r>
        <w:rPr>
          <w:rFonts w:hint="eastAsia"/>
        </w:rPr>
        <w:t>为了执行他在本合同项下的义务，维护服务供应方将按招标结果提供相应服务。</w:t>
      </w:r>
    </w:p>
    <w:p>
      <w:pPr>
        <w:numPr>
          <w:ilvl w:val="0"/>
          <w:numId w:val="2"/>
        </w:numPr>
        <w:spacing w:line="360" w:lineRule="auto"/>
      </w:pPr>
      <w:r>
        <w:rPr>
          <w:rFonts w:hint="eastAsia"/>
        </w:rPr>
        <w:t>人员</w:t>
      </w:r>
    </w:p>
    <w:p>
      <w:pPr>
        <w:numPr>
          <w:ilvl w:val="1"/>
          <w:numId w:val="2"/>
        </w:numPr>
        <w:spacing w:line="360" w:lineRule="auto"/>
      </w:pPr>
      <w:r>
        <w:rPr>
          <w:rFonts w:hint="eastAsia"/>
        </w:rPr>
        <w:t>关键人员：关键人员包括管理人员及技术负责人。</w:t>
      </w:r>
    </w:p>
    <w:p>
      <w:pPr>
        <w:numPr>
          <w:ilvl w:val="2"/>
          <w:numId w:val="2"/>
        </w:numPr>
        <w:spacing w:line="360" w:lineRule="auto"/>
      </w:pPr>
      <w:r>
        <w:rPr>
          <w:rFonts w:hint="eastAsia"/>
        </w:rPr>
        <w:t>服务将由在附件中所指定的人员并在规定的期限内完成。</w:t>
      </w:r>
    </w:p>
    <w:p>
      <w:pPr>
        <w:numPr>
          <w:ilvl w:val="2"/>
          <w:numId w:val="2"/>
        </w:numPr>
        <w:spacing w:line="360" w:lineRule="auto"/>
      </w:pPr>
      <w:r>
        <w:rPr>
          <w:rFonts w:hint="eastAsia"/>
        </w:rPr>
        <w:t>关键人员的变更：</w:t>
      </w:r>
    </w:p>
    <w:p>
      <w:pPr>
        <w:numPr>
          <w:ilvl w:val="3"/>
          <w:numId w:val="2"/>
        </w:numPr>
        <w:spacing w:line="360" w:lineRule="auto"/>
      </w:pPr>
      <w:r>
        <w:rPr>
          <w:rFonts w:hint="eastAsia"/>
        </w:rPr>
        <w:t>除非服务供应方另行书面同意，关键人员将由在附件中所列那些人组成，而且将不得改变。</w:t>
      </w:r>
    </w:p>
    <w:p>
      <w:pPr>
        <w:numPr>
          <w:ilvl w:val="3"/>
          <w:numId w:val="2"/>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pPr>
        <w:numPr>
          <w:ilvl w:val="1"/>
          <w:numId w:val="2"/>
        </w:numPr>
        <w:spacing w:line="360" w:lineRule="auto"/>
      </w:pPr>
      <w:r>
        <w:rPr>
          <w:rFonts w:hint="eastAsia"/>
        </w:rPr>
        <w:t>负责人</w:t>
      </w:r>
    </w:p>
    <w:p>
      <w:pPr>
        <w:numPr>
          <w:ilvl w:val="2"/>
          <w:numId w:val="2"/>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pPr>
        <w:numPr>
          <w:ilvl w:val="1"/>
          <w:numId w:val="2"/>
        </w:numPr>
        <w:spacing w:line="360" w:lineRule="auto"/>
      </w:pPr>
      <w:r>
        <w:rPr>
          <w:rFonts w:hint="eastAsia"/>
        </w:rPr>
        <w:t>身体健康</w:t>
      </w:r>
    </w:p>
    <w:p>
      <w:pPr>
        <w:numPr>
          <w:ilvl w:val="2"/>
          <w:numId w:val="2"/>
        </w:numPr>
        <w:spacing w:line="360" w:lineRule="auto"/>
      </w:pPr>
      <w:r>
        <w:rPr>
          <w:rFonts w:hint="eastAsia"/>
        </w:rPr>
        <w:t>服务供应方负责确保其所有关键人员都身体健康，能够提供在合同项下的服务。</w:t>
      </w:r>
    </w:p>
    <w:p>
      <w:pPr>
        <w:numPr>
          <w:ilvl w:val="0"/>
          <w:numId w:val="2"/>
        </w:numPr>
        <w:spacing w:line="360" w:lineRule="auto"/>
      </w:pPr>
      <w:r>
        <w:rPr>
          <w:rFonts w:hint="eastAsia"/>
        </w:rPr>
        <w:t>付款</w:t>
      </w:r>
    </w:p>
    <w:p>
      <w:pPr>
        <w:numPr>
          <w:ilvl w:val="1"/>
          <w:numId w:val="2"/>
        </w:numPr>
        <w:spacing w:line="360" w:lineRule="auto"/>
      </w:pPr>
      <w:r>
        <w:rPr>
          <w:rFonts w:hint="eastAsia"/>
        </w:rPr>
        <w:t>付款货币：除非另经委托方同意，全部付款都以人民币支付。</w:t>
      </w:r>
    </w:p>
    <w:p>
      <w:pPr>
        <w:numPr>
          <w:ilvl w:val="1"/>
          <w:numId w:val="2"/>
        </w:numPr>
        <w:spacing w:line="360" w:lineRule="auto"/>
      </w:pPr>
      <w:r>
        <w:rPr>
          <w:rFonts w:hint="eastAsia"/>
        </w:rPr>
        <w:t>付款程序：</w:t>
      </w:r>
    </w:p>
    <w:p>
      <w:pPr>
        <w:numPr>
          <w:ilvl w:val="0"/>
          <w:numId w:val="2"/>
        </w:numPr>
        <w:spacing w:line="360" w:lineRule="auto"/>
      </w:pPr>
      <w:r>
        <w:rPr>
          <w:rFonts w:hint="eastAsia"/>
        </w:rPr>
        <w:t>委托方的义务</w:t>
      </w:r>
    </w:p>
    <w:p>
      <w:pPr>
        <w:numPr>
          <w:ilvl w:val="1"/>
          <w:numId w:val="2"/>
        </w:numPr>
        <w:spacing w:line="360" w:lineRule="auto"/>
      </w:pPr>
      <w:r>
        <w:rPr>
          <w:rFonts w:hint="eastAsia"/>
        </w:rPr>
        <w:t>由委托方提供的支持</w:t>
      </w:r>
    </w:p>
    <w:p>
      <w:pPr>
        <w:numPr>
          <w:ilvl w:val="2"/>
          <w:numId w:val="2"/>
        </w:numPr>
        <w:spacing w:line="360" w:lineRule="auto"/>
      </w:pPr>
      <w:r>
        <w:rPr>
          <w:rFonts w:hint="eastAsia"/>
        </w:rPr>
        <w:t>委托方应以在本合同所附的并构成本合同一部分的附件中所列的设施、设备、数据以及服务的形式免费向服务供应方和其人员提供。</w:t>
      </w:r>
    </w:p>
    <w:p>
      <w:pPr>
        <w:numPr>
          <w:ilvl w:val="2"/>
          <w:numId w:val="2"/>
        </w:numPr>
        <w:spacing w:line="360" w:lineRule="auto"/>
      </w:pPr>
      <w:r>
        <w:rPr>
          <w:rFonts w:hint="eastAsia"/>
        </w:rPr>
        <w:t>进入服务地点和现场的权利</w:t>
      </w:r>
      <w:r>
        <w:br w:type="textWrapping"/>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pPr>
        <w:numPr>
          <w:ilvl w:val="2"/>
          <w:numId w:val="2"/>
        </w:numPr>
        <w:spacing w:line="360" w:lineRule="auto"/>
      </w:pPr>
      <w:r>
        <w:rPr>
          <w:rFonts w:hint="eastAsia"/>
        </w:rPr>
        <w:t>协助配合供应方进行配合的义务</w:t>
      </w:r>
    </w:p>
    <w:p>
      <w:pPr>
        <w:numPr>
          <w:ilvl w:val="0"/>
          <w:numId w:val="2"/>
        </w:numPr>
        <w:spacing w:line="360" w:lineRule="auto"/>
      </w:pPr>
      <w:r>
        <w:rPr>
          <w:rFonts w:hint="eastAsia"/>
        </w:rPr>
        <w:t>服务供应方的义务</w:t>
      </w:r>
    </w:p>
    <w:p>
      <w:pPr>
        <w:numPr>
          <w:ilvl w:val="1"/>
          <w:numId w:val="2"/>
        </w:numPr>
        <w:spacing w:line="360" w:lineRule="auto"/>
      </w:pPr>
      <w:r>
        <w:rPr>
          <w:rFonts w:hint="eastAsia"/>
        </w:rPr>
        <w:t>服务供应方的责任</w:t>
      </w:r>
    </w:p>
    <w:p>
      <w:pPr>
        <w:numPr>
          <w:ilvl w:val="2"/>
          <w:numId w:val="2"/>
        </w:numPr>
        <w:spacing w:line="360" w:lineRule="auto"/>
      </w:pPr>
      <w:r>
        <w:rPr>
          <w:rFonts w:hint="eastAsia"/>
        </w:rPr>
        <w:t>以正确的判断和最高的职业、技术和质量标准，遵照所有有关法律和规定提供服务，以确保使结果为委托方带来最大的好处；</w:t>
      </w:r>
    </w:p>
    <w:p>
      <w:pPr>
        <w:numPr>
          <w:ilvl w:val="2"/>
          <w:numId w:val="2"/>
        </w:numPr>
        <w:spacing w:line="360" w:lineRule="auto"/>
      </w:pPr>
      <w:r>
        <w:rPr>
          <w:rFonts w:hint="eastAsia"/>
        </w:rPr>
        <w:t>接受对本合同项下要执行服务的全部责任，尤其是服务供应方对委托方的义务；</w:t>
      </w:r>
    </w:p>
    <w:p>
      <w:pPr>
        <w:numPr>
          <w:ilvl w:val="2"/>
          <w:numId w:val="2"/>
        </w:numPr>
        <w:spacing w:line="360" w:lineRule="auto"/>
      </w:pPr>
      <w:r>
        <w:rPr>
          <w:rFonts w:hint="eastAsia"/>
        </w:rPr>
        <w:t>以高效而勤奋的态度进行工作并尽其最大努力将可报销的费用降到最低限度，而不使所提供的服务质量受影响；</w:t>
      </w:r>
    </w:p>
    <w:p>
      <w:pPr>
        <w:numPr>
          <w:ilvl w:val="1"/>
          <w:numId w:val="2"/>
        </w:numPr>
        <w:spacing w:line="360" w:lineRule="auto"/>
      </w:pPr>
      <w:r>
        <w:rPr>
          <w:rFonts w:hint="eastAsia"/>
        </w:rPr>
        <w:t>服务供应方的义务</w:t>
      </w:r>
    </w:p>
    <w:p>
      <w:pPr>
        <w:numPr>
          <w:ilvl w:val="2"/>
          <w:numId w:val="2"/>
        </w:numPr>
        <w:spacing w:line="360" w:lineRule="auto"/>
      </w:pPr>
      <w:r>
        <w:rPr>
          <w:rFonts w:hint="eastAsia"/>
        </w:rPr>
        <w:t>服务供应方应对其所提供的服务质量负责。委托方所进行的任何审查或批准将不能卸去服务供应方的责任。</w:t>
      </w:r>
    </w:p>
    <w:p>
      <w:pPr>
        <w:numPr>
          <w:ilvl w:val="2"/>
          <w:numId w:val="2"/>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pPr>
        <w:numPr>
          <w:ilvl w:val="2"/>
          <w:numId w:val="2"/>
        </w:numPr>
        <w:spacing w:line="360" w:lineRule="auto"/>
      </w:pPr>
      <w:r>
        <w:t>转让和分包</w:t>
      </w:r>
      <w:r>
        <w:rPr>
          <w:rFonts w:hint="eastAsia"/>
        </w:rPr>
        <w:t>：</w:t>
      </w:r>
      <w:r>
        <w:t>本合同不允许进行转让或分包。</w:t>
      </w:r>
    </w:p>
    <w:p>
      <w:pPr>
        <w:numPr>
          <w:ilvl w:val="0"/>
          <w:numId w:val="2"/>
        </w:numPr>
        <w:spacing w:line="360" w:lineRule="auto"/>
      </w:pPr>
      <w:r>
        <w:rPr>
          <w:rFonts w:hint="eastAsia"/>
        </w:rPr>
        <w:t>适用法律</w:t>
      </w:r>
    </w:p>
    <w:p>
      <w:pPr>
        <w:numPr>
          <w:ilvl w:val="1"/>
          <w:numId w:val="2"/>
        </w:numPr>
        <w:spacing w:line="360" w:lineRule="auto"/>
      </w:pPr>
      <w:r>
        <w:rPr>
          <w:rFonts w:hint="eastAsia"/>
        </w:rPr>
        <w:t>本合同的适用法律将是中华人民共和国的法律及深圳经济特区的有关规定。</w:t>
      </w:r>
    </w:p>
    <w:p>
      <w:pPr>
        <w:numPr>
          <w:ilvl w:val="0"/>
          <w:numId w:val="2"/>
        </w:numPr>
        <w:spacing w:line="360" w:lineRule="auto"/>
      </w:pPr>
      <w:r>
        <w:rPr>
          <w:rFonts w:hint="eastAsia"/>
        </w:rPr>
        <w:t>委托方的财产权</w:t>
      </w:r>
    </w:p>
    <w:p>
      <w:pPr>
        <w:numPr>
          <w:ilvl w:val="1"/>
          <w:numId w:val="2"/>
        </w:numPr>
        <w:spacing w:line="360" w:lineRule="auto"/>
      </w:pPr>
      <w:r>
        <w:rPr>
          <w:rFonts w:hint="eastAsia"/>
        </w:rPr>
        <w:t>对档案和其他文件：</w:t>
      </w:r>
      <w:r>
        <w:br w:type="textWrapping"/>
      </w:r>
      <w:r>
        <w:rPr>
          <w:rFonts w:hint="eastAsia"/>
        </w:rPr>
        <w:t>在执行服务过程中所形成的有关报告、资料以及其他辅助记录都是委托方的绝对财产，而且不经委托方事先的书面批准，将不得由服务供应方用于与本合同无关的目的。</w:t>
      </w:r>
    </w:p>
    <w:p>
      <w:pPr>
        <w:numPr>
          <w:ilvl w:val="1"/>
          <w:numId w:val="2"/>
        </w:numPr>
        <w:spacing w:line="360" w:lineRule="auto"/>
      </w:pPr>
      <w:r>
        <w:rPr>
          <w:rFonts w:hint="eastAsia"/>
        </w:rPr>
        <w:t>下列设备将依然是委托方的财产：</w:t>
      </w:r>
    </w:p>
    <w:p>
      <w:pPr>
        <w:numPr>
          <w:ilvl w:val="2"/>
          <w:numId w:val="2"/>
        </w:numPr>
        <w:spacing w:line="360" w:lineRule="auto"/>
      </w:pPr>
      <w:r>
        <w:rPr>
          <w:rFonts w:hint="eastAsia"/>
        </w:rPr>
        <w:t>由委托方为服务供应方实施其服务而提供的；以及</w:t>
      </w:r>
    </w:p>
    <w:p>
      <w:pPr>
        <w:numPr>
          <w:ilvl w:val="2"/>
          <w:numId w:val="2"/>
        </w:numPr>
        <w:spacing w:line="360" w:lineRule="auto"/>
      </w:pPr>
      <w:r>
        <w:rPr>
          <w:rFonts w:hint="eastAsia"/>
        </w:rPr>
        <w:t>为执行本合同项下的服务的目的由委托方购买的或由服务供应方代表委托方所购买的。</w:t>
      </w:r>
    </w:p>
    <w:p>
      <w:pPr>
        <w:numPr>
          <w:ilvl w:val="0"/>
          <w:numId w:val="2"/>
        </w:numPr>
        <w:spacing w:line="360" w:lineRule="auto"/>
      </w:pPr>
      <w:r>
        <w:rPr>
          <w:rFonts w:hint="eastAsia"/>
        </w:rPr>
        <w:t>委托方的控制与批准</w:t>
      </w:r>
    </w:p>
    <w:p>
      <w:pPr>
        <w:numPr>
          <w:ilvl w:val="1"/>
          <w:numId w:val="2"/>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pPr>
        <w:numPr>
          <w:ilvl w:val="0"/>
          <w:numId w:val="2"/>
        </w:numPr>
        <w:spacing w:line="360" w:lineRule="auto"/>
      </w:pPr>
      <w:r>
        <w:rPr>
          <w:rFonts w:hint="eastAsia"/>
        </w:rPr>
        <w:t>服务范围的变化</w:t>
      </w:r>
    </w:p>
    <w:p>
      <w:pPr>
        <w:numPr>
          <w:ilvl w:val="1"/>
          <w:numId w:val="2"/>
        </w:numPr>
        <w:spacing w:line="360" w:lineRule="auto"/>
      </w:pPr>
      <w:r>
        <w:rPr>
          <w:rFonts w:hint="eastAsia"/>
        </w:rPr>
        <w:t>根据《深圳经济特区政府采购条例》规定委托方可以在采购文件规定的范围内对服务的数量予以增加或者减少。增减的幅度不得超过中标金额的百分之十，并不得变更单价。</w:t>
      </w:r>
    </w:p>
    <w:p>
      <w:pPr>
        <w:pStyle w:val="33"/>
        <w:numPr>
          <w:ilvl w:val="0"/>
          <w:numId w:val="2"/>
        </w:numPr>
        <w:adjustRightInd w:val="0"/>
        <w:snapToGrid w:val="0"/>
        <w:spacing w:line="360" w:lineRule="auto"/>
      </w:pPr>
      <w:r>
        <w:rPr>
          <w:rFonts w:hint="eastAsia"/>
        </w:rPr>
        <w:t>争议的解决：</w:t>
      </w:r>
      <w:r>
        <w:br w:type="textWrapping"/>
      </w:r>
      <w: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type="textWrapping"/>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type="textWrapping"/>
      </w:r>
      <w:r>
        <w:rPr>
          <w:rFonts w:hint="eastAsia"/>
        </w:rPr>
        <w:t>（二）按司法程序解决。</w:t>
      </w:r>
    </w:p>
    <w:p>
      <w:pPr>
        <w:pStyle w:val="33"/>
        <w:numPr>
          <w:ilvl w:val="0"/>
          <w:numId w:val="2"/>
        </w:numPr>
        <w:adjustRightInd w:val="0"/>
        <w:snapToGrid w:val="0"/>
        <w:spacing w:line="360" w:lineRule="auto"/>
        <w:rPr>
          <w:rFonts w:ascii="Times New Roman" w:hAnsi="Times New Roman"/>
        </w:rPr>
      </w:pPr>
      <w:r>
        <w:rPr>
          <w:rFonts w:ascii="Times New Roman" w:hAnsi="Times New Roman"/>
        </w:rPr>
        <w:t>不可抗力条件及处理办法：</w:t>
      </w:r>
    </w:p>
    <w:p>
      <w:pPr>
        <w:pStyle w:val="33"/>
        <w:numPr>
          <w:ilvl w:val="1"/>
          <w:numId w:val="2"/>
        </w:numPr>
        <w:adjustRightInd w:val="0"/>
        <w:snapToGrid w:val="0"/>
        <w:spacing w:line="360" w:lineRule="auto"/>
        <w:rPr>
          <w:rFonts w:ascii="Times New Roman" w:hAnsi="Times New Roman"/>
        </w:rPr>
      </w:pPr>
      <w:r>
        <w:rPr>
          <w:rFonts w:ascii="Times New Roman" w:hAnsi="Times New Roman"/>
        </w:rPr>
        <w:t>不可抗力条件：</w:t>
      </w:r>
    </w:p>
    <w:p>
      <w:pPr>
        <w:pStyle w:val="33"/>
        <w:numPr>
          <w:ilvl w:val="2"/>
          <w:numId w:val="2"/>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pPr>
        <w:pStyle w:val="33"/>
        <w:numPr>
          <w:ilvl w:val="1"/>
          <w:numId w:val="2"/>
        </w:numPr>
        <w:adjustRightInd w:val="0"/>
        <w:snapToGrid w:val="0"/>
        <w:spacing w:line="360" w:lineRule="auto"/>
        <w:rPr>
          <w:rFonts w:ascii="Times New Roman" w:hAnsi="Times New Roman"/>
        </w:rPr>
      </w:pPr>
      <w:r>
        <w:rPr>
          <w:rFonts w:ascii="Times New Roman" w:hAnsi="Times New Roman"/>
        </w:rPr>
        <w:t>不可抗力的处理办法：</w:t>
      </w:r>
    </w:p>
    <w:p>
      <w:pPr>
        <w:pStyle w:val="33"/>
        <w:numPr>
          <w:ilvl w:val="2"/>
          <w:numId w:val="2"/>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受事件影响的一方应尽快将所发生的不可抗力事件的情况以电传或传真通知另一方，并在14日内以</w:t>
      </w:r>
      <w:r>
        <w:rPr>
          <w:rFonts w:hint="eastAsia" w:ascii="Times New Roman" w:hAnsi="Times New Roman"/>
        </w:rPr>
        <w:t>特快专递</w:t>
      </w:r>
      <w:r>
        <w:rPr>
          <w:rFonts w:ascii="Times New Roman" w:hAnsi="Times New Roman"/>
        </w:rPr>
        <w:t>将有关当局出具的证明文件提交给另一方审阅确认。</w:t>
      </w:r>
    </w:p>
    <w:p>
      <w:pPr>
        <w:pStyle w:val="33"/>
        <w:numPr>
          <w:ilvl w:val="2"/>
          <w:numId w:val="2"/>
        </w:numPr>
        <w:adjustRightInd w:val="0"/>
        <w:snapToGrid w:val="0"/>
        <w:spacing w:line="360" w:lineRule="auto"/>
        <w:rPr>
          <w:rFonts w:ascii="Times New Roman" w:hAnsi="Times New Roman"/>
        </w:rPr>
      </w:pPr>
      <w:r>
        <w:rPr>
          <w:rFonts w:ascii="Times New Roman" w:hAnsi="Times New Roman"/>
        </w:rPr>
        <w:t>如不可抗力事件延续到20日以上时，双方应通过友好协商解决合同继续履行的问题。</w:t>
      </w:r>
    </w:p>
    <w:p>
      <w:pPr>
        <w:pStyle w:val="33"/>
        <w:numPr>
          <w:ilvl w:val="2"/>
          <w:numId w:val="2"/>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pPr>
        <w:pStyle w:val="33"/>
        <w:numPr>
          <w:ilvl w:val="2"/>
          <w:numId w:val="2"/>
        </w:numPr>
        <w:adjustRightInd w:val="0"/>
        <w:snapToGrid w:val="0"/>
        <w:spacing w:line="360" w:lineRule="auto"/>
      </w:pPr>
      <w:r>
        <w:t>当不可抗力事件消除后，受事件影响的一方应尽快以电传或传真通知另一方，并以</w:t>
      </w:r>
      <w:r>
        <w:rPr>
          <w:rFonts w:hint="eastAsia"/>
        </w:rPr>
        <w:t>特快专递</w:t>
      </w:r>
      <w:r>
        <w:t>证实。</w:t>
      </w:r>
    </w:p>
    <w:p>
      <w:pPr>
        <w:pStyle w:val="33"/>
        <w:numPr>
          <w:ilvl w:val="2"/>
          <w:numId w:val="2"/>
        </w:numPr>
        <w:adjustRightInd w:val="0"/>
        <w:snapToGrid w:val="0"/>
        <w:spacing w:line="360" w:lineRule="auto"/>
      </w:pPr>
      <w:r>
        <w:rPr>
          <w:rFonts w:hint="eastAsia"/>
        </w:rPr>
        <w:t>当事人迟延履行后发生不可抗力的，不能免除责任。</w:t>
      </w:r>
    </w:p>
    <w:p>
      <w:pPr>
        <w:pStyle w:val="33"/>
        <w:numPr>
          <w:ilvl w:val="0"/>
          <w:numId w:val="2"/>
        </w:numPr>
        <w:adjustRightInd w:val="0"/>
        <w:snapToGrid w:val="0"/>
        <w:spacing w:line="360" w:lineRule="auto"/>
        <w:rPr>
          <w:rFonts w:ascii="Times New Roman" w:hAnsi="Times New Roman"/>
        </w:rPr>
      </w:pPr>
      <w:r>
        <w:rPr>
          <w:rFonts w:hint="eastAsia" w:ascii="Times New Roman" w:hAnsi="Times New Roman"/>
        </w:rPr>
        <w:t>通知与地址</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本合同条款所要求或联系本合同所规定的全部通知将按下列地址联系，并在接收方收到时才能生效：</w:t>
      </w:r>
    </w:p>
    <w:p>
      <w:pPr>
        <w:pStyle w:val="33"/>
        <w:numPr>
          <w:ilvl w:val="2"/>
          <w:numId w:val="2"/>
        </w:numPr>
        <w:adjustRightInd w:val="0"/>
        <w:snapToGrid w:val="0"/>
        <w:spacing w:line="360" w:lineRule="auto"/>
        <w:rPr>
          <w:rFonts w:ascii="Times New Roman" w:hAnsi="Times New Roman"/>
        </w:rPr>
      </w:pPr>
      <w:r>
        <w:rPr>
          <w:rFonts w:hint="eastAsia" w:ascii="Times New Roman" w:hAnsi="Times New Roman"/>
        </w:rPr>
        <w:t>给委托方的通知要致：</w:t>
      </w:r>
    </w:p>
    <w:p>
      <w:pPr>
        <w:pStyle w:val="33"/>
        <w:numPr>
          <w:ilvl w:val="2"/>
          <w:numId w:val="2"/>
        </w:numPr>
        <w:adjustRightInd w:val="0"/>
        <w:snapToGrid w:val="0"/>
        <w:spacing w:line="360" w:lineRule="auto"/>
        <w:rPr>
          <w:rFonts w:ascii="Times New Roman" w:hAnsi="Times New Roman"/>
        </w:rPr>
      </w:pPr>
      <w:r>
        <w:rPr>
          <w:rFonts w:hint="eastAsia" w:ascii="Times New Roman" w:hAnsi="Times New Roman"/>
        </w:rPr>
        <w:t>给服务供应方的通知要致：</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上述通知应以中文书写。</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上面所提供的发通知的地址可以被任何一方改变，方式是向对方发出书面通知。</w:t>
      </w:r>
    </w:p>
    <w:p>
      <w:pPr>
        <w:pStyle w:val="33"/>
        <w:numPr>
          <w:ilvl w:val="0"/>
          <w:numId w:val="2"/>
        </w:numPr>
        <w:adjustRightInd w:val="0"/>
        <w:snapToGrid w:val="0"/>
        <w:spacing w:line="360" w:lineRule="auto"/>
        <w:rPr>
          <w:rFonts w:ascii="Times New Roman" w:hAnsi="Times New Roman"/>
        </w:rPr>
      </w:pPr>
      <w:r>
        <w:rPr>
          <w:rFonts w:ascii="Times New Roman" w:hAnsi="Times New Roman"/>
        </w:rPr>
        <w:t>合同生效要具备下列条件：</w:t>
      </w:r>
    </w:p>
    <w:p>
      <w:pPr>
        <w:pStyle w:val="33"/>
        <w:numPr>
          <w:ilvl w:val="1"/>
          <w:numId w:val="2"/>
        </w:numPr>
        <w:adjustRightInd w:val="0"/>
        <w:snapToGrid w:val="0"/>
        <w:spacing w:line="360" w:lineRule="auto"/>
        <w:rPr>
          <w:rFonts w:ascii="Times New Roman" w:hAnsi="Times New Roman"/>
        </w:rPr>
      </w:pPr>
      <w:r>
        <w:rPr>
          <w:rFonts w:ascii="Times New Roman" w:hAnsi="Times New Roman"/>
        </w:rPr>
        <w:t>双方有关单位的</w:t>
      </w:r>
      <w:r>
        <w:rPr>
          <w:rFonts w:hint="eastAsia" w:ascii="Times New Roman" w:hAnsi="Times New Roman"/>
        </w:rPr>
        <w:t>备案、</w:t>
      </w:r>
      <w:r>
        <w:rPr>
          <w:rFonts w:ascii="Times New Roman" w:hAnsi="Times New Roman"/>
        </w:rPr>
        <w:t>批准</w:t>
      </w:r>
      <w:r>
        <w:rPr>
          <w:rFonts w:hint="eastAsia" w:ascii="Times New Roman" w:hAnsi="Times New Roman"/>
        </w:rPr>
        <w:t>（如果需要）</w:t>
      </w:r>
      <w:r>
        <w:rPr>
          <w:rFonts w:ascii="Times New Roman" w:hAnsi="Times New Roman"/>
        </w:rPr>
        <w:t>；</w:t>
      </w:r>
    </w:p>
    <w:p>
      <w:pPr>
        <w:pStyle w:val="33"/>
        <w:numPr>
          <w:ilvl w:val="1"/>
          <w:numId w:val="2"/>
        </w:numPr>
        <w:adjustRightInd w:val="0"/>
        <w:snapToGrid w:val="0"/>
        <w:spacing w:line="360" w:lineRule="auto"/>
        <w:rPr>
          <w:rFonts w:ascii="Times New Roman" w:hAnsi="Times New Roman"/>
        </w:rPr>
      </w:pPr>
      <w:r>
        <w:rPr>
          <w:rFonts w:ascii="Times New Roman" w:hAnsi="Times New Roman"/>
        </w:rPr>
        <w:t>买方收到卖方提交的履约保函；</w:t>
      </w:r>
    </w:p>
    <w:p>
      <w:pPr>
        <w:pStyle w:val="33"/>
        <w:numPr>
          <w:ilvl w:val="1"/>
          <w:numId w:val="2"/>
        </w:numPr>
        <w:adjustRightInd w:val="0"/>
        <w:snapToGrid w:val="0"/>
        <w:spacing w:line="360" w:lineRule="auto"/>
        <w:rPr>
          <w:rFonts w:ascii="Times New Roman" w:hAnsi="Times New Roman"/>
        </w:rPr>
      </w:pPr>
      <w:r>
        <w:rPr>
          <w:rFonts w:ascii="Times New Roman" w:hAnsi="Times New Roman"/>
        </w:rPr>
        <w:t>本合同于_____月_____日由双方法定代表人或授权委托人签字。</w:t>
      </w:r>
    </w:p>
    <w:p>
      <w:pPr>
        <w:pStyle w:val="33"/>
        <w:numPr>
          <w:ilvl w:val="0"/>
          <w:numId w:val="2"/>
        </w:numPr>
        <w:adjustRightInd w:val="0"/>
        <w:snapToGrid w:val="0"/>
        <w:spacing w:line="360" w:lineRule="auto"/>
        <w:rPr>
          <w:rFonts w:ascii="Times New Roman" w:hAnsi="Times New Roman"/>
        </w:rPr>
      </w:pPr>
      <w:r>
        <w:rPr>
          <w:rFonts w:hint="eastAsia" w:ascii="Times New Roman" w:hAnsi="Times New Roman"/>
        </w:rPr>
        <w:t>下列文件均为本合同不可分割的一部分</w:t>
      </w:r>
      <w:r>
        <w:rPr>
          <w:rFonts w:ascii="Times New Roman" w:hAnsi="Times New Roman"/>
        </w:rPr>
        <w:t>，与合同正文具有同等效力。</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中标通知书。</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深圳市中正招标公司项目编号为</w:t>
      </w:r>
      <w:r>
        <w:rPr>
          <w:rFonts w:hint="eastAsia" w:ascii="Times New Roman" w:hAnsi="Times New Roman"/>
          <w:u w:val="single"/>
        </w:rPr>
        <w:t xml:space="preserve">                 </w:t>
      </w:r>
      <w:r>
        <w:rPr>
          <w:rFonts w:hint="eastAsia" w:ascii="Times New Roman" w:hAnsi="Times New Roman"/>
        </w:rPr>
        <w:t>的采购文件。</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中标方的投标文件。</w:t>
      </w:r>
    </w:p>
    <w:p>
      <w:pPr>
        <w:pStyle w:val="33"/>
        <w:numPr>
          <w:ilvl w:val="1"/>
          <w:numId w:val="2"/>
        </w:numPr>
        <w:adjustRightInd w:val="0"/>
        <w:snapToGrid w:val="0"/>
        <w:spacing w:line="360" w:lineRule="auto"/>
        <w:rPr>
          <w:rFonts w:ascii="Times New Roman" w:hAnsi="Times New Roman"/>
        </w:rPr>
      </w:pPr>
      <w:r>
        <w:rPr>
          <w:rFonts w:hint="eastAsia" w:ascii="Times New Roman" w:hAnsi="Times New Roman"/>
        </w:rPr>
        <w:t>与本次招标活动有关的书面澄清及补充说明资料。</w:t>
      </w:r>
    </w:p>
    <w:p>
      <w:pPr>
        <w:pStyle w:val="33"/>
        <w:numPr>
          <w:ilvl w:val="0"/>
          <w:numId w:val="2"/>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
        <w:t>除本合同约定的责任和义务外，双方任何一方都不承担任何其他责任和义务</w:t>
      </w:r>
    </w:p>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Pr>
        <w:adjustRightInd w:val="0"/>
        <w:spacing w:line="360" w:lineRule="auto"/>
        <w:jc w:val="center"/>
        <w:rPr>
          <w:rFonts w:ascii="仿宋" w:hAnsi="仿宋" w:eastAsia="仿宋"/>
          <w:b/>
          <w:snapToGrid w:val="0"/>
          <w:kern w:val="0"/>
          <w:sz w:val="32"/>
          <w:szCs w:val="32"/>
        </w:rPr>
      </w:pPr>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适用范围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本采购文件仅适用于供应商须知前附表（以下简称“前附表”）第1项所叙述项目的货物、工程及服务采购。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上述采购按照《中华人民共和国招标投标法》、《中华人民共和国政府采购法》和《深圳经济特区政府采购条例》及有关招投标法规、规章、规定通过采购来择优选定投标人。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 </w:t>
      </w:r>
      <w:r>
        <w:rPr>
          <w:rFonts w:hint="eastAsia" w:ascii="仿宋" w:hAnsi="仿宋" w:eastAsia="仿宋"/>
          <w:b/>
          <w:snapToGrid w:val="0"/>
          <w:kern w:val="0"/>
          <w:szCs w:val="21"/>
        </w:rPr>
        <w:t>定义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ascii="仿宋" w:hAnsi="仿宋" w:eastAsia="仿宋"/>
          <w:snapToGrid w:val="0"/>
          <w:kern w:val="0"/>
          <w:szCs w:val="21"/>
        </w:rPr>
        <w:t>.</w:t>
      </w:r>
      <w:r>
        <w:rPr>
          <w:rFonts w:hint="eastAsia" w:ascii="仿宋" w:hAnsi="仿宋" w:eastAsia="仿宋"/>
          <w:snapToGrid w:val="0"/>
          <w:kern w:val="0"/>
          <w:szCs w:val="21"/>
        </w:rPr>
        <w:t>1  “</w:t>
      </w:r>
      <w:r>
        <w:rPr>
          <w:rFonts w:hint="eastAsia" w:ascii="仿宋" w:hAnsi="仿宋" w:eastAsia="仿宋"/>
          <w:bCs/>
          <w:snapToGrid w:val="0"/>
          <w:kern w:val="0"/>
          <w:szCs w:val="21"/>
        </w:rPr>
        <w:t>采购人</w:t>
      </w:r>
      <w:r>
        <w:rPr>
          <w:rFonts w:hint="eastAsia" w:ascii="仿宋" w:hAnsi="仿宋" w:eastAsia="仿宋"/>
          <w:snapToGrid w:val="0"/>
          <w:kern w:val="0"/>
          <w:szCs w:val="21"/>
        </w:rPr>
        <w:t>”系指前附表第2项所述。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”系前附表第3项所述。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“投标人”系指向</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提交投标文件的供应商。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“货物”系指投标人按采购文件规定，须向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  “工程”系指投标人按采购文件规定，须向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提供的设备及材料的安装。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6  “服务”系指采购文件规定卖方须承担设计和其它类似的义务。</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 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采购资金通过前附表第4 项的方式获得，并用于采购合同下的合格支付。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合格的投标人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4.1  </w:t>
      </w:r>
      <w:r>
        <w:rPr>
          <w:rFonts w:hint="eastAsia" w:ascii="仿宋" w:hAnsi="仿宋" w:eastAsia="仿宋"/>
          <w:snapToGrid w:val="0"/>
          <w:kern w:val="0"/>
          <w:szCs w:val="21"/>
        </w:rPr>
        <w:t>具有独立承担民事责任的能力。</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4.2  </w:t>
      </w:r>
      <w:r>
        <w:rPr>
          <w:rFonts w:hint="eastAsia" w:ascii="仿宋" w:hAnsi="仿宋" w:eastAsia="仿宋"/>
          <w:snapToGrid w:val="0"/>
          <w:kern w:val="0"/>
          <w:szCs w:val="21"/>
        </w:rPr>
        <w:t>具有良好的商业信誉和健全的财务会计制度。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具有履行合同所必需的设备和专业技术能力。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4.4  有依法缴纳税收和社会保障资金的良好记录。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4.5  参加政府采购活动近三年内，在经营活动中没有重大违法记录。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4.6  法律、行政法规规定的其他条件。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4.7  符合前附表第5项规定的条件。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  联合体投标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4.8.2  由两个或两个以上的自然人、法人或者其他组织可以组成一个联合体，以一个供应商的身份共同投标时，应符合以下原则：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（1）投标联合体各方参加政府采购活动应当具备下列条件：</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1、具有独立承担民事责任的能力；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2、具有良好的商业信誉和健全的财务会计制度；</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3、具有履行合同所必需的设备和专业技术能力；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4、有依法缴纳税收和社会保障资金的良好记录；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5、参加政府采购活动前三年内，在经营活动中没有重大违法记录；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6、法律、行政法规规定的其他条件。</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（2）投标联合体各方必须有一方先行注册成深圳公共资源交易中心供应商；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（3）联合体中有同类资质的供应商按照联合体分工承担相同工作的，应当按照资质等级较低的供应商确定资质等级。</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（5）采购人根据采购项目的特殊要求规定投标人特定条件的，联合体各方中至少应当有一方符合采购人规定的特定条件。对于采购公告</w:t>
      </w:r>
      <w:r>
        <w:rPr>
          <w:rFonts w:ascii="仿宋" w:hAnsi="仿宋" w:eastAsia="仿宋"/>
          <w:snapToGrid w:val="0"/>
          <w:kern w:val="0"/>
          <w:szCs w:val="21"/>
        </w:rPr>
        <w:t>对投标人</w:t>
      </w:r>
      <w:r>
        <w:rPr>
          <w:rFonts w:hint="eastAsia" w:ascii="仿宋" w:hAnsi="仿宋" w:eastAsia="仿宋"/>
          <w:snapToGrid w:val="0"/>
          <w:kern w:val="0"/>
          <w:szCs w:val="21"/>
        </w:rPr>
        <w:t>某一资格</w:t>
      </w:r>
      <w:r>
        <w:rPr>
          <w:rFonts w:ascii="仿宋" w:hAnsi="仿宋" w:eastAsia="仿宋"/>
          <w:snapToGrid w:val="0"/>
          <w:kern w:val="0"/>
          <w:szCs w:val="21"/>
        </w:rPr>
        <w:t>有</w:t>
      </w:r>
      <w:r>
        <w:rPr>
          <w:rFonts w:hint="eastAsia" w:ascii="仿宋" w:hAnsi="仿宋" w:eastAsia="仿宋"/>
          <w:snapToGrid w:val="0"/>
          <w:kern w:val="0"/>
          <w:szCs w:val="21"/>
        </w:rPr>
        <w:t>要求</w:t>
      </w:r>
      <w:r>
        <w:rPr>
          <w:rFonts w:ascii="仿宋" w:hAnsi="仿宋" w:eastAsia="仿宋"/>
          <w:snapToGrid w:val="0"/>
          <w:kern w:val="0"/>
          <w:szCs w:val="21"/>
        </w:rPr>
        <w:t>的，</w:t>
      </w:r>
      <w:r>
        <w:rPr>
          <w:rFonts w:hint="eastAsia" w:ascii="仿宋" w:hAnsi="仿宋" w:eastAsia="仿宋"/>
          <w:snapToGrid w:val="0"/>
          <w:kern w:val="0"/>
          <w:szCs w:val="21"/>
        </w:rPr>
        <w:t>按照联合体各方中最低资质等级确定联合体的资质等级；联合体各方的不同资质可优势互补。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（6）投标人的投标文件及中标后签署的合同协议对联合体各方均具法律约束力；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（8）联合体中标后，联合体各方应当共同与采购人签订合同，就中标项目向采购人承担连带责任；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（11）本次采购中“投标人”一词亦指联合体各方，“前附表”另有规定或说明的除外。</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采购活动费用的承担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无论采购过程中的做法和结果如何，投标人自行承担所有与参加采购活动有关的全部费用。</w:t>
      </w:r>
    </w:p>
    <w:p>
      <w:pPr>
        <w:spacing w:line="360" w:lineRule="auto"/>
        <w:rPr>
          <w:rFonts w:ascii="仿宋" w:hAnsi="仿宋" w:eastAsia="仿宋"/>
          <w:b/>
          <w:snapToGrid w:val="0"/>
          <w:kern w:val="0"/>
          <w:szCs w:val="21"/>
        </w:rPr>
      </w:pPr>
      <w:r>
        <w:rPr>
          <w:rFonts w:hint="eastAsia" w:ascii="仿宋" w:hAnsi="仿宋" w:eastAsia="仿宋"/>
          <w:b/>
          <w:snapToGrid w:val="0"/>
          <w:kern w:val="0"/>
          <w:szCs w:val="21"/>
        </w:rPr>
        <w:t>6.  踏勘现场</w:t>
      </w:r>
    </w:p>
    <w:p>
      <w:pPr>
        <w:spacing w:line="360" w:lineRule="auto"/>
        <w:rPr>
          <w:rFonts w:ascii="仿宋" w:hAnsi="仿宋" w:eastAsia="仿宋"/>
          <w:szCs w:val="21"/>
        </w:rPr>
      </w:pPr>
      <w:r>
        <w:rPr>
          <w:rFonts w:hint="eastAsia" w:ascii="仿宋" w:hAnsi="仿宋" w:eastAsia="仿宋"/>
          <w:szCs w:val="21"/>
        </w:rPr>
        <w:t xml:space="preserve">6.1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仿宋" w:hAnsi="仿宋" w:eastAsia="仿宋"/>
          <w:szCs w:val="21"/>
        </w:rPr>
      </w:pPr>
      <w:r>
        <w:rPr>
          <w:rFonts w:hint="eastAsia" w:ascii="仿宋" w:hAnsi="仿宋" w:eastAsia="仿宋"/>
          <w:szCs w:val="21"/>
        </w:rPr>
        <w:t xml:space="preserve">6.2 </w:t>
      </w:r>
      <w:r>
        <w:rPr>
          <w:rFonts w:hint="eastAsia" w:ascii="仿宋" w:hAnsi="仿宋" w:eastAsia="仿宋"/>
          <w:bCs/>
          <w:szCs w:val="21"/>
        </w:rPr>
        <w:t xml:space="preserve"> 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向投标人提供的有关现场的资料和数据，是</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现有的能使投标人利用的资料。</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对投标人由此而做出的推论、理解和结论概不负责。</w:t>
      </w:r>
    </w:p>
    <w:p>
      <w:pPr>
        <w:spacing w:line="360" w:lineRule="auto"/>
        <w:rPr>
          <w:rFonts w:ascii="仿宋" w:hAnsi="仿宋" w:eastAsia="仿宋"/>
          <w:szCs w:val="21"/>
        </w:rPr>
      </w:pPr>
      <w:r>
        <w:rPr>
          <w:rFonts w:hint="eastAsia" w:ascii="仿宋" w:hAnsi="仿宋" w:eastAsia="仿宋"/>
          <w:szCs w:val="21"/>
        </w:rPr>
        <w:t>6.3  投标人及其人员经过</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的允许，可为踏勘目的进入</w:t>
      </w:r>
      <w:r>
        <w:rPr>
          <w:rFonts w:hint="eastAsia" w:ascii="仿宋" w:hAnsi="仿宋" w:eastAsia="仿宋"/>
          <w:bCs/>
          <w:snapToGrid w:val="0"/>
          <w:kern w:val="0"/>
          <w:szCs w:val="21"/>
        </w:rPr>
        <w:t>采购人</w:t>
      </w:r>
      <w:r>
        <w:rPr>
          <w:rFonts w:hint="eastAsia" w:ascii="仿宋" w:hAnsi="仿宋" w:eastAsia="仿宋"/>
          <w:szCs w:val="21"/>
        </w:rPr>
        <w:t>的现场，但投标人及其人员不得因此使</w:t>
      </w:r>
      <w:r>
        <w:rPr>
          <w:rFonts w:hint="eastAsia" w:ascii="仿宋" w:hAnsi="仿宋" w:eastAsia="仿宋"/>
          <w:bCs/>
          <w:szCs w:val="21"/>
        </w:rPr>
        <w:t>采购人</w:t>
      </w:r>
      <w:r>
        <w:rPr>
          <w:rFonts w:hint="eastAsia" w:ascii="仿宋" w:hAnsi="仿宋" w:eastAsia="仿宋"/>
          <w:szCs w:val="21"/>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仿宋" w:hAnsi="仿宋" w:eastAsia="仿宋"/>
          <w:szCs w:val="21"/>
        </w:rPr>
      </w:pPr>
      <w:r>
        <w:rPr>
          <w:rFonts w:hint="eastAsia" w:ascii="仿宋" w:hAnsi="仿宋" w:eastAsia="仿宋"/>
          <w:szCs w:val="21"/>
        </w:rPr>
        <w:t>6.4   如果投标人认为需要再次进行现场踏勘，</w:t>
      </w:r>
      <w:r>
        <w:rPr>
          <w:rFonts w:hint="eastAsia" w:ascii="仿宋" w:hAnsi="仿宋" w:eastAsia="仿宋"/>
          <w:bCs/>
          <w:szCs w:val="21"/>
        </w:rPr>
        <w:t>采购人</w:t>
      </w:r>
      <w:r>
        <w:rPr>
          <w:rFonts w:hint="eastAsia" w:ascii="仿宋" w:hAnsi="仿宋" w:eastAsia="仿宋"/>
          <w:szCs w:val="21"/>
        </w:rPr>
        <w:t>将予以支持，费用自理。</w:t>
      </w:r>
    </w:p>
    <w:p>
      <w:bookmarkStart w:id="6" w:name="q5"/>
      <w:bookmarkEnd w:id="6"/>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w:t>
      </w:r>
      <w:r>
        <w:rPr>
          <w:rFonts w:ascii="仿宋" w:hAnsi="仿宋" w:eastAsia="仿宋"/>
          <w:snapToGrid w:val="0"/>
          <w:kern w:val="0"/>
          <w:szCs w:val="21"/>
        </w:rPr>
        <w:t xml:space="preserve">.1  </w:t>
      </w:r>
      <w:r>
        <w:rPr>
          <w:rFonts w:hint="eastAsia" w:ascii="仿宋" w:hAnsi="仿宋" w:eastAsia="仿宋"/>
          <w:snapToGrid w:val="0"/>
          <w:kern w:val="0"/>
          <w:szCs w:val="21"/>
        </w:rPr>
        <w:t>采购文件是用以阐明所需设备及服务的情况，以及采购、投标程序和相应的合同条款。采购文件由下述部份组成：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（3）采购项目需求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（4）投标文件格式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（5）合同条款</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（6）通用条款（供应商须知）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（7）附件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采购文件的澄清及修改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投标人对采购文件如有疑点，可要求澄清，应在投标截止日5日前按采购公告中载明的地址以书面形式（包括信函、传真，下同）通知到采购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将视情况确定采用适当方式予以澄清或以书面形式予以答复，并在其认为必要时，将不标明查询来源的书面答复发给已购买采购文件的每一投标人。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.2</w:t>
      </w:r>
      <w:r>
        <w:rPr>
          <w:rFonts w:hint="eastAsia" w:ascii="仿宋" w:hAnsi="仿宋" w:eastAsia="仿宋"/>
          <w:snapToGrid w:val="0"/>
          <w:kern w:val="0"/>
          <w:szCs w:val="21"/>
        </w:rPr>
        <w:t xml:space="preserve">  在投标截止日3日前，采购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可依据投标人要求澄清的问题修改采购文件，并以书面形式通知所有购买采购文件的每一投标人，对方在收到该通知后应立即以书面的形式予以确认。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.3  </w:t>
      </w:r>
      <w:r>
        <w:rPr>
          <w:rFonts w:hint="eastAsia" w:ascii="仿宋" w:hAnsi="仿宋" w:eastAsia="仿宋"/>
          <w:snapToGrid w:val="0"/>
          <w:kern w:val="0"/>
          <w:szCs w:val="21"/>
        </w:rPr>
        <w:t>为了使投标人在准备投标文件时有合理的时间考虑采购文件的修改，采购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可酌情推迟投标截止时间和开标时间，并以书面形式通知已购买采购文件的每一投标人。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.4  </w:t>
      </w:r>
      <w:r>
        <w:rPr>
          <w:rFonts w:hint="eastAsia" w:ascii="仿宋" w:hAnsi="仿宋" w:eastAsia="仿宋"/>
          <w:snapToGrid w:val="0"/>
          <w:kern w:val="0"/>
          <w:szCs w:val="21"/>
        </w:rPr>
        <w:t>采购文件的修改将构成采购文件的一部分，对投标人有约束力。</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7" w:name="q6"/>
      <w:bookmarkEnd w:id="7"/>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投标语言及计量单位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投标文件及投标人和采购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就投标交换的文件和往来的信件，应以中文书写。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.2</w:t>
      </w:r>
      <w:r>
        <w:rPr>
          <w:rFonts w:hint="eastAsia" w:ascii="仿宋" w:hAnsi="仿宋" w:eastAsia="仿宋"/>
          <w:snapToGrid w:val="0"/>
          <w:kern w:val="0"/>
          <w:szCs w:val="21"/>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w:t>
      </w:r>
      <w:r>
        <w:rPr>
          <w:rFonts w:ascii="仿宋" w:hAnsi="仿宋" w:eastAsia="仿宋"/>
          <w:snapToGrid w:val="0"/>
          <w:kern w:val="0"/>
          <w:szCs w:val="21"/>
        </w:rPr>
        <w:t>.1</w:t>
      </w:r>
      <w:r>
        <w:rPr>
          <w:rFonts w:hint="eastAsia" w:ascii="仿宋" w:hAnsi="仿宋" w:eastAsia="仿宋"/>
          <w:snapToGrid w:val="0"/>
          <w:kern w:val="0"/>
          <w:szCs w:val="21"/>
        </w:rPr>
        <w:t xml:space="preserve">  投标文件应包括下列部份：</w:t>
      </w:r>
    </w:p>
    <w:p>
      <w:pPr>
        <w:adjustRightInd w:val="0"/>
        <w:spacing w:line="360" w:lineRule="auto"/>
        <w:ind w:left="945" w:leftChars="100" w:hanging="735" w:hangingChars="350"/>
        <w:rPr>
          <w:rFonts w:ascii="仿宋" w:hAnsi="仿宋" w:eastAsia="仿宋"/>
          <w:snapToGrid w:val="0"/>
          <w:kern w:val="0"/>
          <w:szCs w:val="21"/>
        </w:rPr>
      </w:pPr>
      <w:r>
        <w:rPr>
          <w:rFonts w:hint="eastAsia" w:ascii="仿宋" w:hAnsi="仿宋" w:eastAsia="仿宋"/>
          <w:snapToGrid w:val="0"/>
          <w:kern w:val="0"/>
          <w:szCs w:val="21"/>
        </w:rPr>
        <w:t>10.1.1 开标信封：装有“法定代表人证明书、法人授权委托证明书”和“开标一览表”单独密封的信封。</w:t>
      </w:r>
    </w:p>
    <w:p>
      <w:pPr>
        <w:adjustRightInd w:val="0"/>
        <w:spacing w:line="360" w:lineRule="auto"/>
        <w:ind w:firstLine="210" w:firstLineChars="100"/>
        <w:rPr>
          <w:rFonts w:ascii="仿宋" w:hAnsi="仿宋" w:eastAsia="仿宋"/>
          <w:snapToGrid w:val="0"/>
          <w:kern w:val="0"/>
          <w:szCs w:val="21"/>
        </w:rPr>
      </w:pPr>
      <w:r>
        <w:rPr>
          <w:rFonts w:hint="eastAsia" w:ascii="仿宋" w:hAnsi="仿宋" w:eastAsia="仿宋"/>
          <w:snapToGrid w:val="0"/>
          <w:kern w:val="0"/>
          <w:szCs w:val="21"/>
        </w:rPr>
        <w:t>10.1.2 投标文件：</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（1）目录</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（2）评标指引表</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（3）投标函（格式1）</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（4）投标人资格证明文件和资格声明（格式2）</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（5）评分中涉及的承诺及声明函（格式3）</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（6）</w:t>
      </w:r>
      <w:r>
        <w:fldChar w:fldCharType="begin"/>
      </w:r>
      <w:r>
        <w:instrText xml:space="preserve"> HYPERLINK \l "q24" </w:instrText>
      </w:r>
      <w:r>
        <w:fldChar w:fldCharType="separate"/>
      </w:r>
      <w:r>
        <w:rPr>
          <w:rFonts w:hint="eastAsia" w:ascii="仿宋" w:hAnsi="仿宋" w:eastAsia="仿宋"/>
          <w:szCs w:val="21"/>
        </w:rPr>
        <w:t>开标一览表</w:t>
      </w:r>
      <w:r>
        <w:rPr>
          <w:rFonts w:hint="eastAsia" w:ascii="仿宋" w:hAnsi="仿宋" w:eastAsia="仿宋"/>
          <w:szCs w:val="21"/>
        </w:rPr>
        <w:fldChar w:fldCharType="end"/>
      </w:r>
      <w:r>
        <w:rPr>
          <w:rFonts w:hint="eastAsia" w:ascii="仿宋" w:hAnsi="仿宋" w:eastAsia="仿宋"/>
          <w:snapToGrid w:val="0"/>
          <w:kern w:val="0"/>
          <w:szCs w:val="21"/>
        </w:rPr>
        <w:t>（格式4）</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（7）报价表（格式5）</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（8）服务方案（格式6）</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（9）差异表（格式7）</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bCs/>
          <w:snapToGrid w:val="0"/>
          <w:kern w:val="0"/>
          <w:szCs w:val="21"/>
        </w:rPr>
        <w:t>（10）</w:t>
      </w:r>
      <w:r>
        <w:rPr>
          <w:rFonts w:ascii="仿宋" w:hAnsi="仿宋" w:eastAsia="仿宋"/>
          <w:bCs/>
          <w:snapToGrid w:val="0"/>
          <w:kern w:val="0"/>
          <w:szCs w:val="21"/>
        </w:rPr>
        <w:t>其他</w:t>
      </w:r>
      <w:r>
        <w:rPr>
          <w:rFonts w:hint="eastAsia" w:ascii="仿宋" w:hAnsi="仿宋" w:eastAsia="仿宋"/>
          <w:snapToGrid w:val="0"/>
          <w:kern w:val="0"/>
          <w:szCs w:val="21"/>
        </w:rPr>
        <w:t>采购</w:t>
      </w:r>
      <w:r>
        <w:rPr>
          <w:rFonts w:ascii="仿宋" w:hAnsi="仿宋" w:eastAsia="仿宋"/>
          <w:bCs/>
          <w:snapToGrid w:val="0"/>
          <w:kern w:val="0"/>
          <w:szCs w:val="21"/>
        </w:rPr>
        <w:t>文件要求的资料或投标人认为需要补充的资料</w:t>
      </w:r>
      <w:r>
        <w:rPr>
          <w:rFonts w:hint="eastAsia" w:ascii="仿宋" w:hAnsi="仿宋" w:eastAsia="仿宋"/>
          <w:snapToGrid w:val="0"/>
          <w:kern w:val="0"/>
          <w:szCs w:val="21"/>
        </w:rPr>
        <w:t>（格式8）</w:t>
      </w:r>
    </w:p>
    <w:p>
      <w:pPr>
        <w:adjustRightInd w:val="0"/>
        <w:spacing w:line="360" w:lineRule="auto"/>
        <w:rPr>
          <w:rFonts w:ascii="仿宋" w:hAnsi="仿宋" w:eastAsia="仿宋"/>
          <w:snapToGrid w:val="0"/>
          <w:kern w:val="0"/>
          <w:szCs w:val="21"/>
        </w:rPr>
      </w:pPr>
      <w:r>
        <w:rPr>
          <w:rFonts w:hint="eastAsia" w:ascii="仿宋" w:hAnsi="仿宋" w:eastAsia="仿宋"/>
          <w:b/>
          <w:snapToGrid w:val="0"/>
          <w:kern w:val="0"/>
          <w:szCs w:val="21"/>
        </w:rPr>
        <w:t>11</w:t>
      </w:r>
      <w:r>
        <w:rPr>
          <w:rFonts w:ascii="仿宋" w:hAnsi="仿宋" w:eastAsia="仿宋"/>
          <w:b/>
          <w:snapToGrid w:val="0"/>
          <w:kern w:val="0"/>
          <w:szCs w:val="21"/>
        </w:rPr>
        <w:t xml:space="preserve">. </w:t>
      </w:r>
      <w:r>
        <w:rPr>
          <w:rFonts w:hint="eastAsia" w:ascii="仿宋" w:hAnsi="仿宋" w:eastAsia="仿宋"/>
          <w:b/>
          <w:snapToGrid w:val="0"/>
          <w:kern w:val="0"/>
          <w:szCs w:val="21"/>
        </w:rPr>
        <w:t>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w:t>
      </w:r>
      <w:r>
        <w:rPr>
          <w:rFonts w:ascii="仿宋" w:hAnsi="仿宋" w:eastAsia="仿宋"/>
          <w:snapToGrid w:val="0"/>
          <w:kern w:val="0"/>
          <w:szCs w:val="21"/>
        </w:rPr>
        <w:t xml:space="preserve">.1  </w:t>
      </w:r>
      <w:r>
        <w:rPr>
          <w:rFonts w:hint="eastAsia" w:ascii="仿宋" w:hAnsi="仿宋" w:eastAsia="仿宋"/>
          <w:snapToGrid w:val="0"/>
          <w:kern w:val="0"/>
          <w:szCs w:val="21"/>
        </w:rPr>
        <w:t>投标文件必须毫无遗漏地包括本须知第10条规定的内容，投标人提交的投标文件必须毫无例外地使用采购文件所提供投标文件格式（表格可以按同样格式扩展）。</w:t>
      </w:r>
    </w:p>
    <w:p>
      <w:pPr>
        <w:adjustRightInd w:val="0"/>
        <w:spacing w:line="360" w:lineRule="auto"/>
        <w:rPr>
          <w:rFonts w:ascii="仿宋" w:hAnsi="仿宋" w:eastAsia="仿宋"/>
          <w:snapToGrid w:val="0"/>
          <w:kern w:val="0"/>
          <w:szCs w:val="21"/>
        </w:rPr>
      </w:pPr>
      <w:r>
        <w:rPr>
          <w:rFonts w:hint="eastAsia" w:ascii="仿宋" w:hAnsi="仿宋" w:eastAsia="仿宋"/>
          <w:b/>
          <w:snapToGrid w:val="0"/>
          <w:color w:val="FF0000"/>
          <w:kern w:val="0"/>
          <w:szCs w:val="21"/>
          <w:highlight w:val="yellow"/>
        </w:rPr>
        <w:t>注：如采购文件第三部分投标格式与本须知第10条规定的内容不一致，已投标文件第三部分投标格式为准。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w:t>
      </w:r>
      <w:r>
        <w:rPr>
          <w:rFonts w:ascii="仿宋" w:hAnsi="仿宋" w:eastAsia="仿宋"/>
          <w:b/>
          <w:snapToGrid w:val="0"/>
          <w:kern w:val="0"/>
          <w:szCs w:val="21"/>
        </w:rPr>
        <w:t xml:space="preserve">. </w:t>
      </w:r>
      <w:r>
        <w:rPr>
          <w:rFonts w:hint="eastAsia" w:ascii="仿宋" w:hAnsi="仿宋" w:eastAsia="仿宋"/>
          <w:b/>
          <w:snapToGrid w:val="0"/>
          <w:kern w:val="0"/>
          <w:szCs w:val="21"/>
        </w:rPr>
        <w:t>投标报价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12.1</w:t>
      </w:r>
      <w:r>
        <w:rPr>
          <w:rFonts w:hint="eastAsia" w:ascii="仿宋" w:hAnsi="仿宋" w:eastAsia="仿宋"/>
          <w:snapToGrid w:val="0"/>
          <w:kern w:val="0"/>
          <w:szCs w:val="21"/>
        </w:rPr>
        <w:t xml:space="preserve">  投标报价应为到指定地点价，以人民币为结算单位。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投标人应在采购文件所附的“开标一览表”（格式3）和“报价表”（格式4）上写明投标货物的单价和投标总价。投标人对每种项目只允许有一个报价，采购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不接受有任何选择的报价。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12.3  </w:t>
      </w:r>
      <w:r>
        <w:rPr>
          <w:rFonts w:hint="eastAsia" w:ascii="仿宋" w:hAnsi="仿宋" w:eastAsia="仿宋"/>
          <w:snapToGrid w:val="0"/>
          <w:kern w:val="0"/>
          <w:szCs w:val="21"/>
        </w:rPr>
        <w:t>此报价作为评标委员会评标标准，但不能限制</w:t>
      </w:r>
      <w:r>
        <w:rPr>
          <w:rFonts w:hint="eastAsia" w:ascii="仿宋" w:hAnsi="仿宋" w:eastAsia="仿宋"/>
          <w:bCs/>
          <w:snapToGrid w:val="0"/>
          <w:kern w:val="0"/>
          <w:szCs w:val="21"/>
        </w:rPr>
        <w:t>采购人</w:t>
      </w:r>
      <w:r>
        <w:rPr>
          <w:rFonts w:hint="eastAsia" w:ascii="仿宋" w:hAnsi="仿宋" w:eastAsia="仿宋"/>
          <w:snapToGrid w:val="0"/>
          <w:kern w:val="0"/>
          <w:szCs w:val="21"/>
        </w:rPr>
        <w:t>以其它方式签订合同的权力。</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3</w:t>
      </w:r>
      <w:r>
        <w:rPr>
          <w:rFonts w:ascii="仿宋" w:hAnsi="仿宋" w:eastAsia="仿宋"/>
          <w:b/>
          <w:snapToGrid w:val="0"/>
          <w:kern w:val="0"/>
          <w:szCs w:val="21"/>
        </w:rPr>
        <w:t xml:space="preserve">. </w:t>
      </w:r>
      <w:r>
        <w:rPr>
          <w:rFonts w:hint="eastAsia" w:ascii="仿宋" w:hAnsi="仿宋" w:eastAsia="仿宋"/>
          <w:b/>
          <w:snapToGrid w:val="0"/>
          <w:kern w:val="0"/>
          <w:szCs w:val="21"/>
        </w:rPr>
        <w:t>投标人资格的证明文件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3</w:t>
      </w:r>
      <w:r>
        <w:rPr>
          <w:rFonts w:ascii="仿宋" w:hAnsi="仿宋" w:eastAsia="仿宋"/>
          <w:snapToGrid w:val="0"/>
          <w:kern w:val="0"/>
          <w:szCs w:val="21"/>
        </w:rPr>
        <w:t xml:space="preserve">.1  </w:t>
      </w:r>
      <w:r>
        <w:rPr>
          <w:rFonts w:hint="eastAsia" w:ascii="仿宋" w:hAnsi="仿宋" w:eastAsia="仿宋"/>
          <w:snapToGrid w:val="0"/>
          <w:kern w:val="0"/>
          <w:szCs w:val="21"/>
        </w:rPr>
        <w:t>投标人必须提交证明其有资格进行投标，和中标后有能力履行合同的证明文件（格式1与格式2），作为投标文件的一部份。</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投标有效期</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.1</w:t>
      </w:r>
      <w:r>
        <w:rPr>
          <w:rFonts w:hint="eastAsia" w:ascii="仿宋" w:hAnsi="仿宋" w:eastAsia="仿宋"/>
          <w:snapToGrid w:val="0"/>
          <w:kern w:val="0"/>
          <w:szCs w:val="21"/>
        </w:rPr>
        <w:t xml:space="preserve">  投标文件的有效期按前附表第7项规定。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 xml:space="preserve">.2  </w:t>
      </w:r>
      <w:r>
        <w:rPr>
          <w:rFonts w:hint="eastAsia" w:ascii="仿宋" w:hAnsi="仿宋" w:eastAsia="仿宋"/>
          <w:snapToGrid w:val="0"/>
          <w:kern w:val="0"/>
          <w:szCs w:val="21"/>
        </w:rPr>
        <w:t>特殊情况下，采购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可于投标有效期期满之前，要求投标人同意延长投标有效期。投标人可以拒绝或同意上述要求，但要求与答复均须是书面文件。对于同意该要求的投标人，采购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既不要求也不允许其修改投标文件。</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15. </w:t>
      </w:r>
      <w:r>
        <w:rPr>
          <w:rFonts w:hint="eastAsia" w:ascii="仿宋" w:hAnsi="仿宋" w:eastAsia="仿宋"/>
          <w:b/>
          <w:snapToGrid w:val="0"/>
          <w:kern w:val="0"/>
          <w:szCs w:val="21"/>
        </w:rPr>
        <w:t>项目保证金</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以下有关项目保证金的条款仅适用于需要缴纳项目保证金的项目。是否需要缴纳项目保证金以《供应商须知前附表》中的规定或说明为准。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15.2 </w:t>
      </w:r>
      <w:r>
        <w:rPr>
          <w:rFonts w:hint="eastAsia" w:ascii="仿宋" w:hAnsi="仿宋" w:eastAsia="仿宋"/>
          <w:snapToGrid w:val="0"/>
          <w:kern w:val="0"/>
          <w:szCs w:val="21"/>
        </w:rPr>
        <w:t xml:space="preserve"> 投标人应向采购代理机构提交一笔不少于前附表第8项所规定的项目保证金，以到账为准。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15.3</w:t>
      </w:r>
      <w:r>
        <w:rPr>
          <w:rFonts w:hint="eastAsia" w:ascii="仿宋" w:hAnsi="仿宋" w:eastAsia="仿宋"/>
          <w:snapToGrid w:val="0"/>
          <w:kern w:val="0"/>
          <w:szCs w:val="21"/>
        </w:rPr>
        <w:t xml:space="preserve">  项目保证金用于保护本次采购免受投标人的行为而引起的风险。</w:t>
      </w:r>
    </w:p>
    <w:p>
      <w:pPr>
        <w:adjustRightInd w:val="0"/>
        <w:spacing w:line="288" w:lineRule="auto"/>
        <w:ind w:left="630" w:hanging="630" w:hangingChars="300"/>
        <w:rPr>
          <w:rFonts w:ascii="仿宋" w:hAnsi="仿宋" w:eastAsia="仿宋"/>
          <w:snapToGrid w:val="0"/>
          <w:kern w:val="0"/>
          <w:szCs w:val="21"/>
        </w:rPr>
      </w:pPr>
      <w:r>
        <w:rPr>
          <w:rFonts w:ascii="仿宋" w:hAnsi="仿宋" w:eastAsia="仿宋"/>
          <w:snapToGrid w:val="0"/>
          <w:kern w:val="0"/>
          <w:szCs w:val="21"/>
        </w:rPr>
        <w:t>15.</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项目保证金应以支票、汇票、本票或采购机构能够接受的银行保函等其它非现金形式提交。（注：必须从投标供应商基本账户转出，否则其投标无效。）</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15.5  </w:t>
      </w:r>
      <w:r>
        <w:rPr>
          <w:rFonts w:hint="eastAsia" w:ascii="仿宋" w:hAnsi="仿宋" w:eastAsia="仿宋"/>
          <w:snapToGrid w:val="0"/>
          <w:kern w:val="0"/>
          <w:szCs w:val="21"/>
        </w:rPr>
        <w:t>未按规定提交项目保证金的投标，将被视为无效投标。</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15.6 </w:t>
      </w:r>
      <w:r>
        <w:rPr>
          <w:rFonts w:hint="eastAsia" w:ascii="仿宋" w:hAnsi="仿宋" w:eastAsia="仿宋"/>
          <w:snapToGrid w:val="0"/>
          <w:kern w:val="0"/>
          <w:szCs w:val="21"/>
        </w:rPr>
        <w:t xml:space="preserve"> 未中标的投标人的项目保证金，采购代理机构将在中标通知书发出且收到投标人的《项目保证金退还申请表》后5个工作日内退还。</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15.7 </w:t>
      </w:r>
      <w:r>
        <w:rPr>
          <w:rFonts w:hint="eastAsia" w:ascii="仿宋" w:hAnsi="仿宋" w:eastAsia="仿宋"/>
          <w:snapToGrid w:val="0"/>
          <w:kern w:val="0"/>
          <w:szCs w:val="21"/>
        </w:rPr>
        <w:t xml:space="preserve"> 中标方的项目保证金</w:t>
      </w:r>
      <w:r>
        <w:rPr>
          <w:rFonts w:ascii="仿宋" w:hAnsi="仿宋" w:eastAsia="仿宋"/>
          <w:snapToGrid w:val="0"/>
          <w:kern w:val="0"/>
          <w:szCs w:val="21"/>
        </w:rPr>
        <w:t>，</w:t>
      </w:r>
      <w:r>
        <w:rPr>
          <w:rFonts w:hint="eastAsia" w:ascii="仿宋" w:hAnsi="仿宋" w:eastAsia="仿宋"/>
          <w:snapToGrid w:val="0"/>
          <w:kern w:val="0"/>
          <w:szCs w:val="21"/>
        </w:rPr>
        <w:t>采购代理机构将在中标方签订合同并支付采购代理服务费后5个工作日内退还。</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15.</w:t>
      </w:r>
      <w:r>
        <w:rPr>
          <w:rFonts w:ascii="仿宋" w:hAnsi="仿宋" w:eastAsia="仿宋"/>
          <w:snapToGrid w:val="0"/>
          <w:kern w:val="0"/>
          <w:szCs w:val="21"/>
        </w:rPr>
        <w:t>8</w:t>
      </w:r>
      <w:r>
        <w:rPr>
          <w:rFonts w:hint="eastAsia" w:ascii="仿宋" w:hAnsi="仿宋" w:eastAsia="仿宋"/>
          <w:snapToGrid w:val="0"/>
          <w:kern w:val="0"/>
          <w:szCs w:val="21"/>
        </w:rPr>
        <w:t xml:space="preserve">  发生以下情况项目保证金将被没收：</w:t>
      </w:r>
    </w:p>
    <w:p>
      <w:pPr>
        <w:adjustRightInd w:val="0"/>
        <w:spacing w:line="288" w:lineRule="auto"/>
        <w:ind w:left="630" w:hanging="630" w:hangingChars="300"/>
        <w:rPr>
          <w:rFonts w:ascii="仿宋" w:hAnsi="仿宋" w:eastAsia="仿宋"/>
          <w:snapToGrid w:val="0"/>
          <w:kern w:val="0"/>
          <w:szCs w:val="21"/>
        </w:rPr>
      </w:pPr>
      <w:r>
        <w:rPr>
          <w:rFonts w:hint="eastAsia" w:ascii="仿宋" w:hAnsi="仿宋" w:eastAsia="仿宋"/>
          <w:snapToGrid w:val="0"/>
          <w:kern w:val="0"/>
          <w:szCs w:val="21"/>
        </w:rPr>
        <w:t>（1）投标人在投标有效期内撤销投标文件；</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按本须知第32条规定签订合同；或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按本须知第33条规定提供履约保证金；或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按本须知第34条规定缴纳采购代理服务费。</w:t>
      </w:r>
    </w:p>
    <w:p>
      <w:pPr>
        <w:pStyle w:val="6"/>
        <w:rPr>
          <w:rFonts w:ascii="仿宋" w:hAnsi="仿宋" w:eastAsia="仿宋"/>
          <w:szCs w:val="21"/>
        </w:rPr>
      </w:pPr>
      <w:r>
        <w:rPr>
          <w:rFonts w:hint="eastAsia" w:ascii="仿宋" w:hAnsi="仿宋" w:eastAsia="仿宋"/>
          <w:snapToGrid w:val="0"/>
          <w:kern w:val="0"/>
          <w:szCs w:val="21"/>
        </w:rPr>
        <w:t>（5） 法律法规规定的其它情况。</w:t>
      </w:r>
    </w:p>
    <w:p>
      <w:pPr>
        <w:tabs>
          <w:tab w:val="left" w:pos="330"/>
        </w:tabs>
        <w:spacing w:line="360" w:lineRule="auto"/>
        <w:rPr>
          <w:rFonts w:ascii="仿宋" w:hAnsi="仿宋" w:eastAsia="仿宋"/>
          <w:b/>
          <w:szCs w:val="21"/>
        </w:rPr>
      </w:pPr>
      <w:r>
        <w:rPr>
          <w:rFonts w:hint="eastAsia" w:ascii="仿宋" w:hAnsi="仿宋" w:eastAsia="仿宋"/>
          <w:b/>
          <w:szCs w:val="21"/>
        </w:rPr>
        <w:t>16. 投标预备会（</w:t>
      </w:r>
      <w:r>
        <w:rPr>
          <w:rFonts w:hint="eastAsia" w:ascii="仿宋" w:hAnsi="仿宋" w:eastAsia="仿宋"/>
          <w:b/>
          <w:snapToGrid w:val="0"/>
          <w:kern w:val="0"/>
          <w:szCs w:val="21"/>
        </w:rPr>
        <w:t>答疑会）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投标预备会（答疑会），如采购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认为有必要召开投标预备会，投标人应按照前附表第9项规定的或采购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另行书面通知的时间和地点，派出代表出席采购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16.2  投标预备会的目的是澄清、解答投标人在查阅采购文件后和现场踏勘中可能提出的任何方面的问题。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投标人提出的与投标有关的任何采购问题须以书面形式给采购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16.4  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在投标预备会上所做出的澄清和解答，以书面答复为准，投标人在收到投标答疑纪要时应以书面形式予以确认。答疑纪要的有效性规定按照本须知第8</w:t>
      </w:r>
      <w:r>
        <w:rPr>
          <w:rFonts w:ascii="仿宋" w:hAnsi="仿宋" w:eastAsia="仿宋"/>
          <w:snapToGrid w:val="0"/>
          <w:kern w:val="0"/>
          <w:szCs w:val="21"/>
        </w:rPr>
        <w:t>.</w:t>
      </w:r>
      <w:r>
        <w:rPr>
          <w:rFonts w:hint="eastAsia" w:ascii="仿宋" w:hAnsi="仿宋" w:eastAsia="仿宋"/>
          <w:snapToGrid w:val="0"/>
          <w:kern w:val="0"/>
          <w:szCs w:val="21"/>
        </w:rPr>
        <w:t>2、8</w:t>
      </w:r>
      <w:r>
        <w:rPr>
          <w:rFonts w:ascii="仿宋" w:hAnsi="仿宋" w:eastAsia="仿宋"/>
          <w:snapToGrid w:val="0"/>
          <w:kern w:val="0"/>
          <w:szCs w:val="21"/>
        </w:rPr>
        <w:t>.4</w:t>
      </w:r>
      <w:r>
        <w:rPr>
          <w:rFonts w:hint="eastAsia" w:ascii="仿宋" w:hAnsi="仿宋" w:eastAsia="仿宋"/>
          <w:snapToGrid w:val="0"/>
          <w:kern w:val="0"/>
          <w:szCs w:val="21"/>
        </w:rPr>
        <w:t>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未出席投标预备会不作为否定投标人资格的理由。</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17. </w:t>
      </w:r>
      <w:r>
        <w:rPr>
          <w:rFonts w:hint="eastAsia" w:ascii="仿宋" w:hAnsi="仿宋" w:eastAsia="仿宋"/>
          <w:b/>
          <w:snapToGrid w:val="0"/>
          <w:kern w:val="0"/>
          <w:szCs w:val="21"/>
        </w:rPr>
        <w:t>投标文件的份数和签署</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17.1  </w:t>
      </w:r>
      <w:r>
        <w:rPr>
          <w:rFonts w:hint="eastAsia" w:ascii="仿宋" w:hAnsi="仿宋" w:eastAsia="仿宋"/>
          <w:snapToGrid w:val="0"/>
          <w:kern w:val="0"/>
          <w:szCs w:val="21"/>
        </w:rPr>
        <w:t>投标文件数量按前附表第10项所述，须在每一份投标文件上明确注明“正本”或“副本”字样。一旦正本和副本有差异，以正本为准。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17.2  </w:t>
      </w:r>
      <w:r>
        <w:rPr>
          <w:rFonts w:hint="eastAsia" w:ascii="仿宋" w:hAnsi="仿宋" w:eastAsia="仿宋"/>
          <w:snapToGrid w:val="0"/>
          <w:kern w:val="0"/>
          <w:szCs w:val="21"/>
        </w:rPr>
        <w:t>为了便于投标文件保存，需提交一份投标文件正文盖章扫描件（.pdf）电子档一份。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投标文件正本及开标一览表须打印，并经法定代表人或其授权代表签字和盖章，投标文件的副本可采用正本复印件。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除投标人对错处做必要修改外，投标文件中不许有加行、涂抹或改写，如有修改遗漏处，必须由投标人法定代表人或其授权代表签字和盖章。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5</w:t>
      </w:r>
      <w:r>
        <w:rPr>
          <w:rFonts w:ascii="仿宋" w:hAnsi="仿宋" w:eastAsia="仿宋"/>
          <w:snapToGrid w:val="0"/>
          <w:kern w:val="0"/>
          <w:szCs w:val="21"/>
        </w:rPr>
        <w:t xml:space="preserve">  </w:t>
      </w:r>
      <w:r>
        <w:rPr>
          <w:rFonts w:hint="eastAsia" w:ascii="仿宋" w:hAnsi="仿宋" w:eastAsia="仿宋"/>
          <w:snapToGrid w:val="0"/>
          <w:kern w:val="0"/>
          <w:szCs w:val="21"/>
        </w:rPr>
        <w:t>电报、电话、传真形式的投标概不接受。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17.6  投标文件不符合上述规定，为无效投标。</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8" w:name="q7"/>
      <w:bookmarkEnd w:id="8"/>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18.</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投标文件的密封和标记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18.1须在每一份投标文件封面上明确注明“正本”或“副本”字样。一旦正本和副本有差异，以正本为准。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18.2投标文件完整密封（包含一份正本和四份副本）。</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18.3投标人应将投标文件正文扫描件电子档单独密封于一信封，在信封上注明“备份电子档”。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w:t>
      </w:r>
      <w:r>
        <w:rPr>
          <w:rFonts w:ascii="仿宋" w:hAnsi="仿宋" w:eastAsia="仿宋"/>
          <w:snapToGrid w:val="0"/>
          <w:kern w:val="0"/>
          <w:szCs w:val="21"/>
        </w:rPr>
        <w:t>项目编号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18.5</w:t>
      </w:r>
      <w:r>
        <w:rPr>
          <w:rFonts w:ascii="仿宋" w:hAnsi="仿宋" w:eastAsia="仿宋"/>
          <w:snapToGrid w:val="0"/>
          <w:kern w:val="0"/>
          <w:szCs w:val="21"/>
        </w:rPr>
        <w:t xml:space="preserve">  </w:t>
      </w:r>
      <w:r>
        <w:rPr>
          <w:rFonts w:hint="eastAsia" w:ascii="仿宋" w:hAnsi="仿宋" w:eastAsia="仿宋"/>
          <w:snapToGrid w:val="0"/>
          <w:kern w:val="0"/>
          <w:szCs w:val="21"/>
        </w:rPr>
        <w:t>投标人应将“法定代表人证明书、法人授权委托证明书”和“开标一览表”密封于一信封，在递交投标文件时单独交与采购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，在信封上应：</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、项目</w:t>
      </w:r>
      <w:r>
        <w:rPr>
          <w:rFonts w:ascii="仿宋" w:hAnsi="仿宋" w:eastAsia="仿宋"/>
          <w:snapToGrid w:val="0"/>
          <w:kern w:val="0"/>
          <w:szCs w:val="21"/>
        </w:rPr>
        <w:t>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ascii="仿宋" w:hAnsi="仿宋" w:eastAsia="仿宋"/>
          <w:snapToGrid w:val="0"/>
          <w:kern w:val="0"/>
          <w:szCs w:val="21"/>
        </w:rPr>
        <w:t>注明</w:t>
      </w:r>
      <w:r>
        <w:rPr>
          <w:rFonts w:hint="eastAsia" w:ascii="仿宋" w:hAnsi="仿宋" w:eastAsia="仿宋"/>
          <w:snapToGrid w:val="0"/>
          <w:kern w:val="0"/>
          <w:szCs w:val="21"/>
        </w:rPr>
        <w:t>：“开标一览表”和“法定代表人证明书、法人授权委托证明书”</w:t>
      </w:r>
    </w:p>
    <w:p>
      <w:pPr>
        <w:adjustRightInd w:val="0"/>
        <w:spacing w:line="360" w:lineRule="auto"/>
        <w:ind w:firstLine="525" w:firstLineChars="250"/>
        <w:rPr>
          <w:rFonts w:ascii="仿宋" w:hAnsi="仿宋" w:eastAsia="仿宋"/>
          <w:snapToGrid w:val="0"/>
          <w:kern w:val="0"/>
          <w:szCs w:val="21"/>
        </w:rPr>
      </w:pPr>
      <w:r>
        <w:rPr>
          <w:rFonts w:ascii="仿宋" w:hAnsi="仿宋" w:eastAsia="仿宋"/>
          <w:snapToGrid w:val="0"/>
          <w:kern w:val="0"/>
          <w:szCs w:val="21"/>
        </w:rPr>
        <w:t>E</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18.7  如果投标文件没有按本投标须知第18.</w:t>
      </w:r>
      <w:r>
        <w:rPr>
          <w:rFonts w:ascii="仿宋" w:hAnsi="仿宋" w:eastAsia="仿宋"/>
          <w:snapToGrid w:val="0"/>
          <w:kern w:val="0"/>
          <w:szCs w:val="21"/>
        </w:rPr>
        <w:t>1</w:t>
      </w:r>
      <w:r>
        <w:rPr>
          <w:rFonts w:hint="eastAsia" w:ascii="仿宋" w:hAnsi="仿宋" w:eastAsia="仿宋"/>
          <w:snapToGrid w:val="0"/>
          <w:kern w:val="0"/>
          <w:szCs w:val="21"/>
        </w:rPr>
        <w:t>至18.6款规定加写标记和密封，采购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将拒收或者告知投标人，采购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将不承担投标文件错放或提前开封的责任。对由此造成的提前开封的投标文件将予以拒绝，并退还给投标人；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18.8  所有投标文件的密封袋的封口处应加盖投标人印章。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18.</w:t>
      </w:r>
      <w:r>
        <w:rPr>
          <w:rFonts w:hint="eastAsia" w:ascii="仿宋" w:hAnsi="仿宋" w:eastAsia="仿宋"/>
          <w:snapToGrid w:val="0"/>
          <w:kern w:val="0"/>
          <w:szCs w:val="21"/>
        </w:rPr>
        <w:t>9</w:t>
      </w:r>
      <w:r>
        <w:rPr>
          <w:rFonts w:ascii="仿宋" w:hAnsi="仿宋" w:eastAsia="仿宋"/>
          <w:snapToGrid w:val="0"/>
          <w:kern w:val="0"/>
          <w:szCs w:val="21"/>
        </w:rPr>
        <w:t xml:space="preserve">  </w:t>
      </w:r>
      <w:r>
        <w:rPr>
          <w:rFonts w:hint="eastAsia" w:ascii="仿宋" w:hAnsi="仿宋" w:eastAsia="仿宋"/>
          <w:snapToGrid w:val="0"/>
          <w:kern w:val="0"/>
          <w:szCs w:val="21"/>
        </w:rPr>
        <w:t>投标文件需由专人送交。投标人应按本投标须知第18.</w:t>
      </w:r>
      <w:r>
        <w:rPr>
          <w:rFonts w:ascii="仿宋" w:hAnsi="仿宋" w:eastAsia="仿宋"/>
          <w:snapToGrid w:val="0"/>
          <w:kern w:val="0"/>
          <w:szCs w:val="21"/>
        </w:rPr>
        <w:t>1</w:t>
      </w:r>
      <w:r>
        <w:rPr>
          <w:rFonts w:hint="eastAsia" w:ascii="仿宋" w:hAnsi="仿宋" w:eastAsia="仿宋"/>
          <w:snapToGrid w:val="0"/>
          <w:kern w:val="0"/>
          <w:szCs w:val="21"/>
        </w:rPr>
        <w:t>至18.8款中的规定进行密封和标记后，将投标文件按照前附表第11项中注明的地址送至采购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18.10  投标人按采购文件要求如需提供实物，应随投标文件一起递交。</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递交投标文件的时间、地点以及截止时间</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.1  </w:t>
      </w:r>
      <w:r>
        <w:rPr>
          <w:rFonts w:hint="eastAsia" w:ascii="仿宋" w:hAnsi="仿宋" w:eastAsia="仿宋"/>
          <w:snapToGrid w:val="0"/>
          <w:kern w:val="0"/>
          <w:szCs w:val="21"/>
        </w:rPr>
        <w:t>递交投标文件的地点与开标仪式的地点相同。</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所有投标文件都必须按采购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在前附表第</w:t>
      </w:r>
      <w:bookmarkStart w:id="9" w:name="_Hlt35050056"/>
      <w:bookmarkEnd w:id="9"/>
      <w:r>
        <w:rPr>
          <w:rFonts w:hint="eastAsia" w:ascii="仿宋" w:hAnsi="仿宋" w:eastAsia="仿宋"/>
          <w:snapToGrid w:val="0"/>
          <w:kern w:val="0"/>
          <w:szCs w:val="21"/>
        </w:rPr>
        <w:t>12项中规定的投标截止时间之前送至采购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.3  </w:t>
      </w:r>
      <w:r>
        <w:rPr>
          <w:rFonts w:hint="eastAsia" w:ascii="仿宋" w:hAnsi="仿宋" w:eastAsia="仿宋"/>
          <w:snapToGrid w:val="0"/>
          <w:kern w:val="0"/>
          <w:szCs w:val="21"/>
        </w:rPr>
        <w:t>出现第8</w:t>
      </w:r>
      <w:r>
        <w:rPr>
          <w:rFonts w:ascii="仿宋" w:hAnsi="仿宋" w:eastAsia="仿宋"/>
          <w:snapToGrid w:val="0"/>
          <w:kern w:val="0"/>
          <w:szCs w:val="21"/>
        </w:rPr>
        <w:t>.3</w:t>
      </w:r>
      <w:r>
        <w:rPr>
          <w:rFonts w:hint="eastAsia" w:ascii="仿宋" w:hAnsi="仿宋" w:eastAsia="仿宋"/>
          <w:snapToGrid w:val="0"/>
          <w:kern w:val="0"/>
          <w:szCs w:val="21"/>
        </w:rPr>
        <w:t>款因采购文件修改或其他原因推迟投标截止时，则按采购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修改通知规定的时间递交。</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在投标截止时间前30分钟开始接收投标文件。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w:t>
      </w:r>
      <w:r>
        <w:rPr>
          <w:rFonts w:ascii="仿宋" w:hAnsi="仿宋" w:eastAsia="仿宋"/>
          <w:b/>
          <w:snapToGrid w:val="0"/>
          <w:kern w:val="0"/>
          <w:szCs w:val="21"/>
        </w:rPr>
        <w:t xml:space="preserve">. </w:t>
      </w:r>
      <w:r>
        <w:rPr>
          <w:rFonts w:hint="eastAsia" w:ascii="仿宋" w:hAnsi="仿宋" w:eastAsia="仿宋"/>
          <w:b/>
          <w:snapToGrid w:val="0"/>
          <w:kern w:val="0"/>
          <w:szCs w:val="21"/>
        </w:rPr>
        <w:t>迟交的投标文件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w:t>
      </w:r>
      <w:r>
        <w:rPr>
          <w:rFonts w:ascii="仿宋" w:hAnsi="仿宋" w:eastAsia="仿宋"/>
          <w:snapToGrid w:val="0"/>
          <w:kern w:val="0"/>
          <w:szCs w:val="21"/>
        </w:rPr>
        <w:t xml:space="preserve">.1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将拒绝接收在投标截止时间后递交的投标文件。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投标文件的修改和撤回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投标人在提交投标文件后可对其投标文件进行修改或撤回，但采购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须在投标截止时间之前收到该修改或撤回的书面通知，该通知须有经正式授权的投标人代表签字。</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21.2</w:t>
      </w:r>
      <w:r>
        <w:rPr>
          <w:rFonts w:hint="eastAsia" w:ascii="仿宋" w:hAnsi="仿宋" w:eastAsia="仿宋"/>
          <w:snapToGrid w:val="0"/>
          <w:kern w:val="0"/>
          <w:szCs w:val="21"/>
        </w:rPr>
        <w:t xml:space="preserve">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21.3</w:t>
      </w:r>
      <w:r>
        <w:rPr>
          <w:rFonts w:hint="eastAsia" w:ascii="仿宋" w:hAnsi="仿宋" w:eastAsia="仿宋"/>
          <w:snapToGrid w:val="0"/>
          <w:kern w:val="0"/>
          <w:szCs w:val="21"/>
        </w:rPr>
        <w:t xml:space="preserve">  投标截止时间以后不得修改投标文件。</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21.4</w:t>
      </w:r>
      <w:r>
        <w:rPr>
          <w:rFonts w:hint="eastAsia" w:ascii="仿宋" w:hAnsi="仿宋" w:eastAsia="仿宋"/>
          <w:snapToGrid w:val="0"/>
          <w:kern w:val="0"/>
          <w:szCs w:val="21"/>
        </w:rPr>
        <w:t xml:space="preserve">  投标人不得在开标时间起到投标文件有效期满前撤销投标文件。</w:t>
      </w:r>
    </w:p>
    <w:p>
      <w:bookmarkStart w:id="10" w:name="q8"/>
      <w:bookmarkEnd w:id="10"/>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w:t>
      </w:r>
      <w:r>
        <w:rPr>
          <w:rFonts w:ascii="仿宋" w:hAnsi="仿宋" w:eastAsia="仿宋"/>
          <w:b/>
          <w:snapToGrid w:val="0"/>
          <w:kern w:val="0"/>
          <w:szCs w:val="21"/>
        </w:rPr>
        <w:t xml:space="preserve"> </w:t>
      </w:r>
      <w:r>
        <w:rPr>
          <w:rFonts w:hint="eastAsia" w:ascii="仿宋" w:hAnsi="仿宋" w:eastAsia="仿宋"/>
          <w:b/>
          <w:snapToGrid w:val="0"/>
          <w:kern w:val="0"/>
          <w:szCs w:val="21"/>
        </w:rPr>
        <w:t>开标</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22.1  </w:t>
      </w:r>
      <w:r>
        <w:rPr>
          <w:rFonts w:hint="eastAsia" w:ascii="仿宋" w:hAnsi="仿宋" w:eastAsia="仿宋"/>
          <w:snapToGrid w:val="0"/>
          <w:kern w:val="0"/>
          <w:szCs w:val="21"/>
        </w:rPr>
        <w:t>采购代理机构在前附表第11项规定的时间和地点公开开标。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22.2  所有投标人法定代表人（负责人）或授权代表都须按时参加开标会，否则不接受其投标。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 xml:space="preserve">.1 </w:t>
      </w:r>
      <w:r>
        <w:rPr>
          <w:rFonts w:hint="eastAsia" w:ascii="仿宋" w:hAnsi="仿宋" w:eastAsia="仿宋"/>
          <w:snapToGrid w:val="0"/>
          <w:kern w:val="0"/>
          <w:szCs w:val="21"/>
        </w:rPr>
        <w:t xml:space="preserve"> 核对法定代表人（负责人）或其授权代表身份证明，若不能提供相应的身份证明或不相符，则视为无效投标。 </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2  投标文件中“开标一览表”的内容。</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3  采购代理机构认为合适的其他内容。</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w:t>
      </w:r>
      <w:r>
        <w:rPr>
          <w:rFonts w:ascii="仿宋" w:hAnsi="仿宋" w:eastAsia="仿宋"/>
          <w:b/>
          <w:snapToGrid w:val="0"/>
          <w:kern w:val="0"/>
          <w:szCs w:val="21"/>
        </w:rPr>
        <w:t xml:space="preserve">. </w:t>
      </w:r>
      <w:r>
        <w:rPr>
          <w:rFonts w:hint="eastAsia" w:ascii="仿宋" w:hAnsi="仿宋" w:eastAsia="仿宋"/>
          <w:b/>
          <w:snapToGrid w:val="0"/>
          <w:kern w:val="0"/>
          <w:szCs w:val="21"/>
        </w:rPr>
        <w:t>评标委员会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.1</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将根据采购货物的特点组建评标委员会，其成员由</w:t>
      </w:r>
      <w:r>
        <w:rPr>
          <w:rFonts w:hint="eastAsia" w:ascii="仿宋" w:hAnsi="仿宋" w:eastAsia="仿宋"/>
          <w:bCs/>
          <w:snapToGrid w:val="0"/>
          <w:kern w:val="0"/>
          <w:szCs w:val="21"/>
        </w:rPr>
        <w:t>采购人</w:t>
      </w:r>
      <w:r>
        <w:rPr>
          <w:rFonts w:hint="eastAsia" w:ascii="仿宋" w:hAnsi="仿宋" w:eastAsia="仿宋"/>
          <w:snapToGrid w:val="0"/>
          <w:kern w:val="0"/>
          <w:szCs w:val="21"/>
        </w:rPr>
        <w:t>代表</w:t>
      </w:r>
      <w:r>
        <w:rPr>
          <w:rFonts w:hint="eastAsia" w:ascii="仿宋" w:hAnsi="仿宋" w:eastAsia="仿宋" w:cs="宋体"/>
          <w:bCs/>
          <w:snapToGrid w:val="0"/>
          <w:kern w:val="0"/>
          <w:szCs w:val="21"/>
        </w:rPr>
        <w:t>和有关技术、经济等方面的</w:t>
      </w:r>
      <w:r>
        <w:rPr>
          <w:rFonts w:hint="eastAsia" w:ascii="仿宋" w:hAnsi="仿宋" w:eastAsia="仿宋"/>
          <w:snapToGrid w:val="0"/>
          <w:kern w:val="0"/>
          <w:szCs w:val="21"/>
        </w:rPr>
        <w:t>专家组成。评标委员会对投标文件进行审查、质疑、评估和比较。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w:t>
      </w:r>
      <w:r>
        <w:rPr>
          <w:rFonts w:ascii="仿宋" w:hAnsi="仿宋" w:eastAsia="仿宋"/>
          <w:snapToGrid w:val="0"/>
          <w:kern w:val="0"/>
          <w:szCs w:val="21"/>
        </w:rPr>
        <w:t xml:space="preserve">.2 </w:t>
      </w:r>
      <w:r>
        <w:rPr>
          <w:rFonts w:hint="eastAsia" w:ascii="仿宋" w:hAnsi="仿宋" w:eastAsia="仿宋"/>
          <w:snapToGrid w:val="0"/>
          <w:kern w:val="0"/>
          <w:szCs w:val="21"/>
        </w:rPr>
        <w:t>评标期间，投标人应由法定代表人或其授权代表参加询标。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24. </w:t>
      </w:r>
      <w:r>
        <w:rPr>
          <w:rFonts w:hint="eastAsia" w:ascii="仿宋" w:hAnsi="仿宋" w:eastAsia="仿宋"/>
          <w:b/>
          <w:snapToGrid w:val="0"/>
          <w:kern w:val="0"/>
          <w:szCs w:val="21"/>
        </w:rPr>
        <w:t>对投标文件的审查和响应性的确定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采购机构就投标文件中的资格证明文件内容对投标供应商进行资格核查：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评标委员会将投标文件进行符合性审查：</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w:t>
      </w:r>
      <w:r>
        <w:rPr>
          <w:rFonts w:ascii="仿宋" w:hAnsi="仿宋" w:eastAsia="仿宋"/>
          <w:snapToGrid w:val="0"/>
          <w:kern w:val="0"/>
          <w:szCs w:val="21"/>
        </w:rPr>
        <w:t>1</w:t>
      </w:r>
      <w:r>
        <w:rPr>
          <w:rFonts w:hint="eastAsia" w:ascii="仿宋" w:hAnsi="仿宋" w:eastAsia="仿宋"/>
          <w:snapToGrid w:val="0"/>
          <w:kern w:val="0"/>
          <w:szCs w:val="21"/>
        </w:rPr>
        <w:t xml:space="preserve">  评标委员会将审查投标文件是否完整、总体编排是否有序、文件签署是否合格、有无计算上的错误等。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24.2.2  算术错误将按以下方法更正（次序排先者优先）：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（2）</w:t>
      </w:r>
      <w:r>
        <w:rPr>
          <w:rFonts w:hint="eastAsia" w:ascii="仿宋" w:hAnsi="仿宋" w:eastAsia="仿宋"/>
          <w:szCs w:val="21"/>
        </w:rPr>
        <w:t>大写金额和小写金额不一致的，以大写金额为准；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（3）</w:t>
      </w:r>
      <w:r>
        <w:rPr>
          <w:rFonts w:hint="eastAsia" w:ascii="仿宋" w:hAnsi="仿宋" w:eastAsia="仿宋"/>
          <w:szCs w:val="21"/>
        </w:rPr>
        <w:t>单价金额小数点或者百分比有明显错位的，以开标一览表的总价为准，并修改单价；</w:t>
      </w:r>
    </w:p>
    <w:p>
      <w:pPr>
        <w:adjustRightInd w:val="0"/>
        <w:spacing w:line="360" w:lineRule="auto"/>
        <w:ind w:firstLine="105" w:firstLineChars="5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zCs w:val="21"/>
        </w:rPr>
        <w:t>总价金额与按单价汇总金额不一致的，以单价金额计算结果为准。</w:t>
      </w:r>
    </w:p>
    <w:p>
      <w:pPr>
        <w:adjustRightInd w:val="0"/>
        <w:spacing w:line="360" w:lineRule="auto"/>
        <w:ind w:left="210" w:hanging="210" w:hangingChars="100"/>
        <w:rPr>
          <w:rFonts w:ascii="仿宋" w:hAnsi="仿宋" w:eastAsia="仿宋"/>
          <w:snapToGrid w:val="0"/>
          <w:kern w:val="0"/>
          <w:szCs w:val="21"/>
        </w:rPr>
      </w:pPr>
      <w:r>
        <w:rPr>
          <w:rFonts w:hint="eastAsia" w:ascii="仿宋" w:hAnsi="仿宋" w:eastAsia="仿宋"/>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2.4</w:t>
      </w:r>
      <w:r>
        <w:rPr>
          <w:rFonts w:ascii="仿宋" w:hAnsi="仿宋" w:eastAsia="仿宋"/>
          <w:snapToGrid w:val="0"/>
          <w:kern w:val="0"/>
          <w:szCs w:val="21"/>
        </w:rPr>
        <w:t xml:space="preserve">  </w:t>
      </w:r>
      <w:r>
        <w:rPr>
          <w:rFonts w:hint="eastAsia" w:ascii="仿宋" w:hAnsi="仿宋" w:eastAsia="仿宋"/>
          <w:snapToGrid w:val="0"/>
          <w:kern w:val="0"/>
          <w:szCs w:val="21"/>
        </w:rPr>
        <w:t>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hint="eastAsia" w:ascii="仿宋" w:hAnsi="仿宋" w:eastAsia="仿宋"/>
          <w:bCs/>
          <w:snapToGrid w:val="0"/>
          <w:kern w:val="0"/>
          <w:szCs w:val="21"/>
        </w:rPr>
        <w:t>采购人</w:t>
      </w:r>
      <w:r>
        <w:rPr>
          <w:rFonts w:hint="eastAsia" w:ascii="仿宋" w:hAnsi="仿宋" w:eastAsia="仿宋"/>
          <w:snapToGrid w:val="0"/>
          <w:kern w:val="0"/>
          <w:szCs w:val="21"/>
        </w:rPr>
        <w:t>的权力和投标人的义务的规定。而纠正这些偏离将影响到其它提交实质性响应投标的投标人的公平竞争地位。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2.5</w:t>
      </w:r>
      <w:r>
        <w:rPr>
          <w:rFonts w:ascii="仿宋" w:hAnsi="仿宋" w:eastAsia="仿宋"/>
          <w:snapToGrid w:val="0"/>
          <w:kern w:val="0"/>
          <w:szCs w:val="21"/>
        </w:rPr>
        <w:t xml:space="preserve">  </w:t>
      </w:r>
      <w:r>
        <w:rPr>
          <w:rFonts w:hint="eastAsia" w:ascii="仿宋" w:hAnsi="仿宋" w:eastAsia="仿宋"/>
          <w:snapToGrid w:val="0"/>
          <w:kern w:val="0"/>
          <w:szCs w:val="21"/>
        </w:rPr>
        <w:t>评标委员会判断投标文件的响应性，仅基于采购文件和投标文件本身而不靠外部证据。</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2.6</w:t>
      </w:r>
      <w:r>
        <w:rPr>
          <w:rFonts w:ascii="仿宋" w:hAnsi="仿宋" w:eastAsia="仿宋"/>
          <w:snapToGrid w:val="0"/>
          <w:kern w:val="0"/>
          <w:szCs w:val="21"/>
        </w:rPr>
        <w:t xml:space="preserve">  </w:t>
      </w:r>
      <w:r>
        <w:rPr>
          <w:rFonts w:hint="eastAsia" w:ascii="仿宋" w:hAnsi="仿宋" w:eastAsia="仿宋"/>
          <w:snapToGrid w:val="0"/>
          <w:kern w:val="0"/>
          <w:szCs w:val="21"/>
        </w:rPr>
        <w:t>评标委员会将拒绝被确定为非实质性响应的投标人。投标人不能通过修正或撤销不符之处，而使其投标成为实质性响应的投标。</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2.7</w:t>
      </w:r>
      <w:r>
        <w:rPr>
          <w:rFonts w:ascii="仿宋" w:hAnsi="仿宋" w:eastAsia="仿宋"/>
          <w:snapToGrid w:val="0"/>
          <w:kern w:val="0"/>
          <w:szCs w:val="21"/>
        </w:rPr>
        <w:t xml:space="preserve">  </w:t>
      </w:r>
      <w:r>
        <w:rPr>
          <w:rFonts w:hint="eastAsia" w:ascii="仿宋" w:hAnsi="仿宋" w:eastAsia="仿宋"/>
          <w:snapToGrid w:val="0"/>
          <w:kern w:val="0"/>
          <w:szCs w:val="21"/>
        </w:rPr>
        <w:t>评标委员会允许修改投标中不构成重大偏离的、微小的、非正规、不一致或不规则的地方。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为了有助于对投标文件进行审查、评估和比较，</w:t>
      </w:r>
      <w:r>
        <w:rPr>
          <w:rFonts w:hint="eastAsia" w:ascii="仿宋" w:hAnsi="仿宋" w:eastAsia="仿宋" w:cs="宋体"/>
          <w:bCs/>
          <w:snapToGrid w:val="0"/>
          <w:kern w:val="0"/>
          <w:szCs w:val="21"/>
        </w:rPr>
        <w:t>评标委员会</w:t>
      </w:r>
      <w:r>
        <w:rPr>
          <w:rFonts w:hint="eastAsia" w:ascii="仿宋" w:hAnsi="仿宋" w:eastAsia="仿宋"/>
          <w:snapToGrid w:val="0"/>
          <w:kern w:val="0"/>
          <w:szCs w:val="21"/>
        </w:rPr>
        <w:t>有权向投标人提出质疑，并请投标人澄清其投标内容。投标人有责任，按照采购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通知的时间、地点，指派专人进行答疑和澄清。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.2  </w:t>
      </w:r>
      <w:r>
        <w:rPr>
          <w:rFonts w:hint="eastAsia" w:ascii="仿宋" w:hAnsi="仿宋" w:eastAsia="仿宋"/>
          <w:snapToGrid w:val="0"/>
          <w:kern w:val="0"/>
          <w:szCs w:val="21"/>
        </w:rPr>
        <w:t>澄清、答复应是书面的，但不得对投标内容进行实质性修改。</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26. </w:t>
      </w:r>
      <w:r>
        <w:rPr>
          <w:rFonts w:hint="eastAsia" w:ascii="仿宋" w:hAnsi="仿宋" w:eastAsia="仿宋"/>
          <w:b/>
          <w:snapToGrid w:val="0"/>
          <w:kern w:val="0"/>
          <w:szCs w:val="21"/>
        </w:rPr>
        <w:t>评标方法和详细评审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评委会将按照本须知第24条规定只对确定为实质上响应的投标文件进行评价和比较。</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26.2 </w:t>
      </w:r>
      <w:r>
        <w:rPr>
          <w:rFonts w:hint="eastAsia" w:ascii="仿宋" w:hAnsi="仿宋" w:eastAsia="仿宋"/>
          <w:snapToGrid w:val="0"/>
          <w:kern w:val="0"/>
          <w:szCs w:val="21"/>
        </w:rPr>
        <w:t>评标的基础应是本须知第</w:t>
      </w:r>
      <w:r>
        <w:rPr>
          <w:rFonts w:ascii="仿宋" w:hAnsi="仿宋" w:eastAsia="仿宋"/>
          <w:snapToGrid w:val="0"/>
          <w:kern w:val="0"/>
          <w:szCs w:val="21"/>
        </w:rPr>
        <w:t>1</w:t>
      </w:r>
      <w:r>
        <w:rPr>
          <w:rFonts w:hint="eastAsia" w:ascii="仿宋" w:hAnsi="仿宋" w:eastAsia="仿宋"/>
          <w:snapToGrid w:val="0"/>
          <w:kern w:val="0"/>
          <w:szCs w:val="21"/>
        </w:rPr>
        <w:t>2条规定的投标报价。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26.3 评标委员会将对低于成本价格的投标作无效投标处理。</w:t>
      </w:r>
    </w:p>
    <w:p>
      <w:pPr>
        <w:adjustRightInd w:val="0"/>
        <w:snapToGrid w:val="0"/>
        <w:spacing w:line="360" w:lineRule="auto"/>
        <w:rPr>
          <w:rFonts w:ascii="仿宋" w:hAnsi="仿宋" w:eastAsia="仿宋"/>
          <w:snapToGrid w:val="0"/>
          <w:kern w:val="0"/>
          <w:szCs w:val="21"/>
        </w:rPr>
      </w:pPr>
      <w:r>
        <w:rPr>
          <w:rFonts w:hint="eastAsia" w:ascii="仿宋" w:hAnsi="仿宋" w:eastAsia="仿宋"/>
          <w:snapToGrid w:val="0"/>
          <w:kern w:val="0"/>
          <w:szCs w:val="21"/>
        </w:rPr>
        <w:t>26.4 评委会在评标时，应按照评标信息量化的评审因素，对各投标文件进行分析和评审。</w:t>
      </w:r>
    </w:p>
    <w:p>
      <w:pPr>
        <w:adjustRightInd w:val="0"/>
        <w:spacing w:line="360" w:lineRule="auto"/>
        <w:rPr>
          <w:rFonts w:ascii="仿宋" w:hAnsi="仿宋" w:eastAsia="仿宋"/>
          <w:szCs w:val="21"/>
        </w:rPr>
      </w:pPr>
      <w:bookmarkStart w:id="11" w:name="q9"/>
      <w:bookmarkEnd w:id="11"/>
      <w:r>
        <w:rPr>
          <w:rFonts w:hint="eastAsia" w:ascii="仿宋" w:hAnsi="仿宋" w:eastAsia="仿宋"/>
          <w:snapToGrid w:val="0"/>
          <w:kern w:val="0"/>
          <w:szCs w:val="21"/>
        </w:rPr>
        <w:t>26.4.2</w:t>
      </w:r>
      <w:r>
        <w:rPr>
          <w:rFonts w:hint="eastAsia" w:ascii="仿宋" w:hAnsi="仿宋" w:eastAsia="仿宋"/>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仿宋" w:hAnsi="仿宋" w:eastAsia="仿宋"/>
          <w:szCs w:val="21"/>
        </w:rPr>
      </w:pPr>
      <w:r>
        <w:rPr>
          <w:rFonts w:hint="eastAsia" w:ascii="仿宋" w:hAnsi="仿宋" w:eastAsia="仿宋"/>
          <w:szCs w:val="21"/>
        </w:rPr>
        <w:t>26.4.3评标优惠政策：</w:t>
      </w:r>
    </w:p>
    <w:p>
      <w:pPr>
        <w:adjustRightInd w:val="0"/>
        <w:spacing w:line="360" w:lineRule="auto"/>
        <w:rPr>
          <w:rFonts w:ascii="仿宋" w:hAnsi="仿宋" w:eastAsia="仿宋"/>
          <w:szCs w:val="21"/>
        </w:rPr>
      </w:pPr>
      <w:r>
        <w:rPr>
          <w:rFonts w:hint="eastAsia" w:ascii="仿宋" w:hAnsi="仿宋" w:eastAsia="仿宋"/>
          <w:szCs w:val="21"/>
        </w:rPr>
        <w:t xml:space="preserve">   ①对于小型/微型企业、监狱企业和残疾人福利性单位给予投标报价</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的价格扣除，用扣除后的价格参与价格分的评审。（须按</w:t>
      </w:r>
      <w:r>
        <w:rPr>
          <w:rFonts w:hint="eastAsia" w:ascii="仿宋" w:hAnsi="仿宋" w:eastAsia="仿宋"/>
          <w:snapToGrid w:val="0"/>
          <w:kern w:val="0"/>
          <w:szCs w:val="21"/>
        </w:rPr>
        <w:t>采购</w:t>
      </w:r>
      <w:r>
        <w:rPr>
          <w:rFonts w:hint="eastAsia" w:ascii="仿宋" w:hAnsi="仿宋" w:eastAsia="仿宋"/>
          <w:szCs w:val="21"/>
        </w:rPr>
        <w:t>文件的投标文件格式部分的要求提供证明材料，否则不予价格扣除）。投标人同时满足小型/微型企业、监狱企业和残疾人福利性单位的，评审中只享受一次价格扣除，不重复进行价格扣除。</w:t>
      </w:r>
    </w:p>
    <w:p>
      <w:pPr>
        <w:adjustRightInd w:val="0"/>
        <w:spacing w:line="360" w:lineRule="auto"/>
        <w:rPr>
          <w:rFonts w:ascii="仿宋" w:hAnsi="仿宋" w:eastAsia="仿宋"/>
          <w:szCs w:val="21"/>
        </w:rPr>
      </w:pPr>
      <w:r>
        <w:rPr>
          <w:rFonts w:hint="eastAsia" w:ascii="仿宋" w:hAnsi="仿宋" w:eastAsia="仿宋"/>
          <w:szCs w:val="21"/>
        </w:rPr>
        <w:t xml:space="preserve">   ②联合体各方均为小型/微型企业、监狱企业和残疾人福利性单位的，联合体视同为小型/微型企业、监狱企业和残疾人福利性单位享受</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 </w:t>
      </w:r>
      <w:r>
        <w:rPr>
          <w:rFonts w:hint="eastAsia" w:ascii="仿宋" w:hAnsi="仿宋" w:eastAsia="仿宋"/>
          <w:szCs w:val="21"/>
        </w:rPr>
        <w:t>的价格扣除。联合协议中约定小型/微型企业、监狱企业和残疾人福利性单位的协议合同金额占到联合体协议合同总金额30%以上的，可给予联合体</w:t>
      </w:r>
      <w:r>
        <w:rPr>
          <w:rFonts w:hint="eastAsia" w:ascii="仿宋" w:hAnsi="仿宋" w:eastAsia="仿宋"/>
          <w:szCs w:val="21"/>
          <w:u w:val="single"/>
        </w:rPr>
        <w:t xml:space="preserve">  </w:t>
      </w:r>
      <w:r>
        <w:rPr>
          <w:rFonts w:hint="eastAsia" w:ascii="仿宋" w:hAnsi="仿宋" w:eastAsia="仿宋"/>
          <w:szCs w:val="21"/>
        </w:rPr>
        <w:t>的价格扣除。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26.5.1公开征集采购方式说明：采购项目投标截止时，合格有效的投标人数量在2家（或以上）时按综合评分法进行评审；合格有效的投标人为1家时，则与合格有效的投标人进行单一来源谈判。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27. </w:t>
      </w:r>
      <w:r>
        <w:rPr>
          <w:rFonts w:hint="eastAsia" w:ascii="仿宋" w:hAnsi="仿宋" w:eastAsia="仿宋"/>
          <w:b/>
          <w:snapToGrid w:val="0"/>
          <w:kern w:val="0"/>
          <w:szCs w:val="21"/>
        </w:rPr>
        <w:t>保密及其它注意事项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w:t>
      </w:r>
      <w:r>
        <w:rPr>
          <w:rFonts w:hint="eastAsia" w:ascii="仿宋" w:hAnsi="仿宋" w:eastAsia="仿宋"/>
          <w:snapToGrid w:val="0"/>
          <w:kern w:val="0"/>
          <w:szCs w:val="21"/>
        </w:rPr>
        <w:t>1  评标是采购工作的重要环节，评标工作在评委会内独立进行。评委会将遵照评标原则，公正、平等地对待所有投标人。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27.2</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27.3  </w:t>
      </w:r>
      <w:r>
        <w:rPr>
          <w:rFonts w:hint="eastAsia" w:ascii="仿宋" w:hAnsi="仿宋" w:eastAsia="仿宋"/>
          <w:snapToGrid w:val="0"/>
          <w:kern w:val="0"/>
          <w:szCs w:val="21"/>
        </w:rPr>
        <w:t>在开标、投标期间，投标人不得向评委询问评标情况，不得进行旨在影响评标结果的活动。</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27.4  </w:t>
      </w:r>
      <w:r>
        <w:rPr>
          <w:rFonts w:hint="eastAsia" w:ascii="仿宋" w:hAnsi="仿宋" w:eastAsia="仿宋"/>
          <w:snapToGrid w:val="0"/>
          <w:kern w:val="0"/>
          <w:szCs w:val="21"/>
        </w:rPr>
        <w:t>为保证定标的公正性，在评标过程中，评委不得与投标人私下交换意见。在采购工作结束后，凡与评标情况有接触的任何人，不得也不应将评标情况扩散出评委人员之外。</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27.5</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评委会不向落标方解释落标原因，不退还投标文件。</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8．合同授予标准</w:t>
      </w:r>
    </w:p>
    <w:p>
      <w:pPr>
        <w:tabs>
          <w:tab w:val="left" w:pos="5688"/>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本项目采购合同授予本须知26.5款所确定的中标人。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中标通知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《中标通知书》将作为签订合同的重要依据。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中标方向采购代理机构支付采购代理服务费后，采购代理机构发出《中标通知书》。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w:t>
      </w:r>
      <w:r>
        <w:rPr>
          <w:rFonts w:ascii="仿宋" w:hAnsi="仿宋" w:eastAsia="仿宋"/>
          <w:b/>
          <w:snapToGrid w:val="0"/>
          <w:kern w:val="0"/>
          <w:szCs w:val="21"/>
        </w:rPr>
        <w:t xml:space="preserve">. </w:t>
      </w:r>
      <w:r>
        <w:rPr>
          <w:rFonts w:hint="eastAsia" w:ascii="仿宋" w:hAnsi="仿宋" w:eastAsia="仿宋"/>
          <w:b/>
          <w:snapToGrid w:val="0"/>
          <w:kern w:val="0"/>
          <w:szCs w:val="21"/>
        </w:rPr>
        <w:t>授予合同时变更数量的权力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w:t>
      </w:r>
      <w:r>
        <w:rPr>
          <w:rFonts w:ascii="仿宋" w:hAnsi="仿宋" w:eastAsia="仿宋"/>
          <w:snapToGrid w:val="0"/>
          <w:kern w:val="0"/>
          <w:szCs w:val="21"/>
        </w:rPr>
        <w:t xml:space="preserve">.1  </w:t>
      </w:r>
      <w:r>
        <w:rPr>
          <w:rFonts w:hint="eastAsia" w:ascii="仿宋" w:hAnsi="仿宋" w:eastAsia="仿宋"/>
          <w:bCs/>
          <w:snapToGrid w:val="0"/>
          <w:kern w:val="0"/>
          <w:szCs w:val="21"/>
        </w:rPr>
        <w:t>采购人</w:t>
      </w:r>
      <w:r>
        <w:rPr>
          <w:rFonts w:hint="eastAsia" w:ascii="仿宋" w:hAnsi="仿宋" w:eastAsia="仿宋"/>
          <w:snapToGrid w:val="0"/>
          <w:kern w:val="0"/>
          <w:szCs w:val="21"/>
        </w:rPr>
        <w:t>在签订合同时，有权对采购文件中列明的货物或服务的数量，在法定范围内，依法定程序予以增加或减少。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w:t>
      </w:r>
      <w:r>
        <w:rPr>
          <w:rFonts w:ascii="仿宋" w:hAnsi="仿宋" w:eastAsia="仿宋"/>
          <w:b/>
          <w:snapToGrid w:val="0"/>
          <w:kern w:val="0"/>
          <w:szCs w:val="21"/>
        </w:rPr>
        <w:t xml:space="preserve">. </w:t>
      </w:r>
      <w:r>
        <w:rPr>
          <w:rFonts w:hint="eastAsia" w:ascii="仿宋" w:hAnsi="仿宋" w:eastAsia="仿宋"/>
          <w:b/>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w:t>
      </w:r>
      <w:r>
        <w:rPr>
          <w:rFonts w:hint="eastAsia" w:ascii="仿宋" w:hAnsi="仿宋" w:eastAsia="仿宋"/>
          <w:snapToGrid w:val="0"/>
          <w:kern w:val="0"/>
          <w:szCs w:val="21"/>
        </w:rPr>
        <w:t>1  中标方应按《中标通知书》或按</w:t>
      </w:r>
      <w:r>
        <w:rPr>
          <w:rFonts w:hint="eastAsia" w:ascii="仿宋" w:hAnsi="仿宋" w:eastAsia="仿宋"/>
          <w:bCs/>
          <w:snapToGrid w:val="0"/>
          <w:kern w:val="0"/>
          <w:szCs w:val="21"/>
        </w:rPr>
        <w:t>采购人</w:t>
      </w:r>
      <w:r>
        <w:rPr>
          <w:rFonts w:hint="eastAsia" w:ascii="仿宋" w:hAnsi="仿宋" w:eastAsia="仿宋"/>
          <w:snapToGrid w:val="0"/>
          <w:kern w:val="0"/>
          <w:szCs w:val="21"/>
        </w:rPr>
        <w:t>指定的时间、地点与</w:t>
      </w:r>
      <w:r>
        <w:rPr>
          <w:rFonts w:hint="eastAsia" w:ascii="仿宋" w:hAnsi="仿宋" w:eastAsia="仿宋"/>
          <w:bCs/>
          <w:snapToGrid w:val="0"/>
          <w:kern w:val="0"/>
          <w:szCs w:val="21"/>
        </w:rPr>
        <w:t>采购人</w:t>
      </w:r>
      <w:r>
        <w:rPr>
          <w:rFonts w:hint="eastAsia" w:ascii="仿宋" w:hAnsi="仿宋" w:eastAsia="仿宋"/>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 xml:space="preserve">.2  </w:t>
      </w:r>
      <w:r>
        <w:rPr>
          <w:rFonts w:hint="eastAsia" w:ascii="仿宋" w:hAnsi="仿宋" w:eastAsia="仿宋"/>
          <w:snapToGrid w:val="0"/>
          <w:kern w:val="0"/>
          <w:szCs w:val="21"/>
        </w:rPr>
        <w:t>采购文件、中标方的投标文件及其澄清文件等，均为签订合同的依据。</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w:t>
      </w:r>
      <w:r>
        <w:rPr>
          <w:rFonts w:ascii="仿宋" w:hAnsi="仿宋" w:eastAsia="仿宋"/>
          <w:b/>
          <w:snapToGrid w:val="0"/>
          <w:kern w:val="0"/>
          <w:szCs w:val="21"/>
        </w:rPr>
        <w:t>.</w:t>
      </w:r>
      <w:r>
        <w:rPr>
          <w:rFonts w:hint="eastAsia" w:ascii="仿宋" w:hAnsi="仿宋" w:eastAsia="仿宋"/>
          <w:b/>
          <w:snapToGrid w:val="0"/>
          <w:kern w:val="0"/>
          <w:szCs w:val="21"/>
        </w:rPr>
        <w:t xml:space="preserve">  履约保证金</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中标人须按采购文件的规定或根据合同的规定向</w:t>
      </w:r>
      <w:r>
        <w:rPr>
          <w:rFonts w:hint="eastAsia" w:ascii="仿宋" w:hAnsi="仿宋" w:eastAsia="仿宋"/>
          <w:bCs/>
          <w:snapToGrid w:val="0"/>
          <w:kern w:val="0"/>
          <w:szCs w:val="21"/>
        </w:rPr>
        <w:t>采购人</w:t>
      </w:r>
      <w:r>
        <w:rPr>
          <w:rFonts w:hint="eastAsia" w:ascii="仿宋" w:hAnsi="仿宋" w:eastAsia="仿宋"/>
          <w:snapToGrid w:val="0"/>
          <w:kern w:val="0"/>
          <w:szCs w:val="21"/>
        </w:rPr>
        <w:t>提交履约保证金。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w:t>
      </w:r>
      <w:r>
        <w:rPr>
          <w:rFonts w:ascii="仿宋" w:hAnsi="仿宋" w:eastAsia="仿宋"/>
          <w:b/>
          <w:snapToGrid w:val="0"/>
          <w:kern w:val="0"/>
          <w:szCs w:val="21"/>
        </w:rPr>
        <w:t xml:space="preserve">. </w:t>
      </w:r>
      <w:r>
        <w:rPr>
          <w:rFonts w:hint="eastAsia" w:ascii="仿宋" w:hAnsi="仿宋" w:eastAsia="仿宋"/>
          <w:b/>
          <w:snapToGrid w:val="0"/>
          <w:kern w:val="0"/>
          <w:szCs w:val="21"/>
        </w:rPr>
        <w:t>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w:t>
      </w:r>
      <w:r>
        <w:rPr>
          <w:rFonts w:hint="eastAsia" w:ascii="仿宋" w:hAnsi="仿宋" w:eastAsia="仿宋"/>
          <w:snapToGrid w:val="0"/>
          <w:kern w:val="0"/>
          <w:szCs w:val="21"/>
        </w:rPr>
        <w:t>1</w:t>
      </w:r>
      <w:r>
        <w:rPr>
          <w:rFonts w:ascii="仿宋" w:hAnsi="仿宋" w:eastAsia="仿宋"/>
          <w:snapToGrid w:val="0"/>
          <w:kern w:val="0"/>
          <w:szCs w:val="21"/>
        </w:rPr>
        <w:t xml:space="preserve"> </w:t>
      </w:r>
      <w:r>
        <w:rPr>
          <w:rFonts w:hint="eastAsia" w:ascii="仿宋" w:hAnsi="仿宋" w:eastAsia="仿宋"/>
          <w:snapToGrid w:val="0"/>
          <w:kern w:val="0"/>
          <w:szCs w:val="21"/>
        </w:rPr>
        <w:t xml:space="preserve"> 采购代理服务费按前附表第14项所述。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.2</w:t>
      </w:r>
      <w:r>
        <w:rPr>
          <w:rFonts w:hint="eastAsia" w:ascii="仿宋" w:hAnsi="仿宋" w:eastAsia="仿宋"/>
          <w:snapToGrid w:val="0"/>
          <w:kern w:val="0"/>
          <w:szCs w:val="21"/>
        </w:rPr>
        <w:t xml:space="preserve">  采购代理服务费金额按下列方法计算：</w:t>
      </w:r>
    </w:p>
    <w:tbl>
      <w:tblPr>
        <w:tblStyle w:val="13"/>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4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21"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48ooc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20"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By&#10;kZE1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9"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Bz&#10;pTpC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8"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1qSHHXAAAA&#10;BwEAAA8AAAAAAAAAAQAgAAAAIgAAAGRycy9kb3ducmV2LnhtbFBLAQIUABQAAAAIAIdO4kCMb17Z&#10;rAEAAHEDAAAOAAAAAAAAAAEAIAAAACYBAABkcnMvZTJvRG9jLnhtbFBLBQYAAAAABgAGAFkBAABE&#10;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7"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1&#10;qmj4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6"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fPb5&#10;uK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5"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Mm&#10;44S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4"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WtKtTX&#10;AAAACQEAAA8AAAAAAAAAAQAgAAAAIgAAAGRycy9kb3ducmV2LnhtbFBLAQIUABQAAAAIAIdO4kA+&#10;rD5j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ceQ11QAA&#10;AAcBAAAPAAAAAAAAAAEAIAAAACIAAABkcnMvZG93bnJldi54bWxQSwECFAAUAAAACACHTuJAhJUj&#10;Xq8BAABxAwAADgAAAAAAAAABACAAAAAkAQAAZHJzL2Uyb0RvYy54bWxQSwUGAAAAAAYABgBZAQAA&#10;RQU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1MkA&#10;2AAAAAkBAAAPAAAAAAAAAAEAIAAAACIAAABkcnMvZG93bnJldi54bWxQSwECFAAUAAAACACHTuJA&#10;Li7z6K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i+SWtK8BAABx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NfNo/Y&#10;AAAACQEAAA8AAAAAAAAAAQAgAAAAIgAAAGRycy9kb3ducmV2LnhtbFBLAQIUABQAAAAIAIdO4kDl&#10;kl6+rgEAAHE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LY8&#10;nga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Gn0l6biAQAA&#10;4AMAAA4AAAAAAAAAAQAgAAAAJQEAAGRycy9lMm9Eb2MueG1sUEsFBgAAAAAGAAYAWQEAAHkFAAAA&#10;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xtbTdMAAAAHAQAADwAA&#10;AAAAAAABACAAAAAiAAAAZHJzL2Rvd25yZXYueG1sUEsBAhQAFAAAAAgAh07iQAl3AwjiAQAA3wMA&#10;AA4AAAAAAAAAAQAgAAAAIgEAAGRycy9lMm9Eb2MueG1sUEsFBgAAAAAGAAYAWQEAAHYFAAAAAA==&#10;">
                      <v:fill on="f" focussize="0,0"/>
                      <v:stroke weight="0.5pt" color="#000000" joinstyle="round"/>
                      <v:imagedata o:title=""/>
                      <o:lock v:ext="edit" aspectratio="f"/>
                    </v:line>
                  </w:pict>
                </mc:Fallback>
              </mc:AlternateConten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0.8%</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注：1、采购代理服务费按差额定率累进法计算。例如：某货物类项目中标金额为200万元，计算采购代理服务费额如下：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100万元×1.5%=1.5万元</w:t>
      </w:r>
    </w:p>
    <w:p>
      <w:pPr>
        <w:spacing w:line="360" w:lineRule="auto"/>
        <w:ind w:firstLine="420" w:firstLineChars="200"/>
        <w:rPr>
          <w:rFonts w:ascii="仿宋" w:hAnsi="仿宋" w:eastAsia="仿宋"/>
          <w:szCs w:val="21"/>
        </w:rPr>
      </w:pPr>
      <w:r>
        <w:rPr>
          <w:rFonts w:hint="eastAsia" w:ascii="仿宋" w:hAnsi="仿宋" w:eastAsia="仿宋"/>
          <w:szCs w:val="21"/>
        </w:rPr>
        <w:t>（200-100）万元×0.8%=0.8万元</w:t>
      </w:r>
    </w:p>
    <w:p>
      <w:r>
        <w:rPr>
          <w:rFonts w:hint="eastAsia" w:ascii="仿宋" w:hAnsi="仿宋" w:eastAsia="仿宋"/>
          <w:szCs w:val="21"/>
        </w:rPr>
        <w:t xml:space="preserve">    合计收费=1.5+0.8＝2.3（万元）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docPartObj>
        <w:docPartGallery w:val="autotext"/>
      </w:docPartObj>
    </w:sdtPr>
    <w:sdtContent>
      <w:p>
        <w:pPr>
          <w:pStyle w:val="1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docPartObj>
        <w:docPartGallery w:val="autotext"/>
      </w:docPartObj>
    </w:sdtPr>
    <w:sdtContent>
      <w:p>
        <w:pPr>
          <w:pStyle w:val="10"/>
          <w:jc w:val="center"/>
        </w:pP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50" w:firstLineChars="250"/>
      <w:jc w:val="left"/>
      <w:rPr>
        <w:rFonts w:hint="default" w:eastAsia="宋体"/>
        <w:lang w:val="en-US" w:eastAsia="zh-CN"/>
      </w:rPr>
    </w:pPr>
    <w:r>
      <w:rPr>
        <w:rFonts w:hint="eastAsia"/>
      </w:rPr>
      <w:t>项目名称：</w:t>
    </w:r>
    <w:r>
      <w:rPr>
        <w:rFonts w:hint="eastAsia" w:ascii="宋体" w:hAnsi="宋体"/>
      </w:rPr>
      <w:t>罗湖智慧边防建设项目监理服务项目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rPr>
      <w:t>1</w:t>
    </w:r>
    <w:r>
      <w:t>-QC0</w:t>
    </w:r>
    <w:r>
      <w:rPr>
        <w:rFonts w:hint="eastAsia"/>
        <w:lang w:val="en-US" w:eastAsia="zh-CN"/>
      </w:rPr>
      <w:t>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381A1F"/>
    <w:multiLevelType w:val="multilevel"/>
    <w:tmpl w:val="25381A1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28D1141E"/>
    <w:multiLevelType w:val="multilevel"/>
    <w:tmpl w:val="28D1141E"/>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0B60"/>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24DC"/>
    <w:rsid w:val="0067485A"/>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473A"/>
    <w:rsid w:val="00734C96"/>
    <w:rsid w:val="00734FEE"/>
    <w:rsid w:val="00740C34"/>
    <w:rsid w:val="007421A3"/>
    <w:rsid w:val="007458E4"/>
    <w:rsid w:val="007516CF"/>
    <w:rsid w:val="00752B5B"/>
    <w:rsid w:val="00753B18"/>
    <w:rsid w:val="00761B09"/>
    <w:rsid w:val="00762130"/>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00AD"/>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1090"/>
    <w:rsid w:val="00B926B7"/>
    <w:rsid w:val="00B94A3A"/>
    <w:rsid w:val="00B95094"/>
    <w:rsid w:val="00BA7533"/>
    <w:rsid w:val="00BC4096"/>
    <w:rsid w:val="00BC65BA"/>
    <w:rsid w:val="00BD55FE"/>
    <w:rsid w:val="00BD75D2"/>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7F98"/>
    <w:rsid w:val="016531D1"/>
    <w:rsid w:val="034623FE"/>
    <w:rsid w:val="0405752C"/>
    <w:rsid w:val="051A383E"/>
    <w:rsid w:val="067956C6"/>
    <w:rsid w:val="069C748C"/>
    <w:rsid w:val="0F970E4E"/>
    <w:rsid w:val="12CA48A6"/>
    <w:rsid w:val="153839F5"/>
    <w:rsid w:val="15C0161B"/>
    <w:rsid w:val="160F11DF"/>
    <w:rsid w:val="16262485"/>
    <w:rsid w:val="19417003"/>
    <w:rsid w:val="195E0220"/>
    <w:rsid w:val="1A88033E"/>
    <w:rsid w:val="1F2F49EE"/>
    <w:rsid w:val="20256F48"/>
    <w:rsid w:val="20AC35C5"/>
    <w:rsid w:val="21483D38"/>
    <w:rsid w:val="21A5656E"/>
    <w:rsid w:val="25F419EB"/>
    <w:rsid w:val="2644355D"/>
    <w:rsid w:val="26B27732"/>
    <w:rsid w:val="30D82395"/>
    <w:rsid w:val="31940F26"/>
    <w:rsid w:val="33962620"/>
    <w:rsid w:val="33E11EFE"/>
    <w:rsid w:val="34680BA1"/>
    <w:rsid w:val="368620A3"/>
    <w:rsid w:val="396F407C"/>
    <w:rsid w:val="3B4A7B53"/>
    <w:rsid w:val="3D202EF6"/>
    <w:rsid w:val="3F5E2495"/>
    <w:rsid w:val="46D07E97"/>
    <w:rsid w:val="46F42B72"/>
    <w:rsid w:val="49DB16BD"/>
    <w:rsid w:val="4BB064C5"/>
    <w:rsid w:val="4BBC78E6"/>
    <w:rsid w:val="4C043A45"/>
    <w:rsid w:val="5062439F"/>
    <w:rsid w:val="510651B7"/>
    <w:rsid w:val="511F5C34"/>
    <w:rsid w:val="52522E4D"/>
    <w:rsid w:val="52B615F0"/>
    <w:rsid w:val="53C654D0"/>
    <w:rsid w:val="53D05DA1"/>
    <w:rsid w:val="575027F2"/>
    <w:rsid w:val="5B305120"/>
    <w:rsid w:val="5B812E0F"/>
    <w:rsid w:val="5E3D7E34"/>
    <w:rsid w:val="5FA07D11"/>
    <w:rsid w:val="65F40BE8"/>
    <w:rsid w:val="665E0C49"/>
    <w:rsid w:val="66FC13ED"/>
    <w:rsid w:val="69963D3E"/>
    <w:rsid w:val="6A8A0B6D"/>
    <w:rsid w:val="6CD82567"/>
    <w:rsid w:val="6E037398"/>
    <w:rsid w:val="6FBD772C"/>
    <w:rsid w:val="730431D2"/>
    <w:rsid w:val="74162533"/>
    <w:rsid w:val="75A7605A"/>
    <w:rsid w:val="75E244CC"/>
    <w:rsid w:val="75E46088"/>
    <w:rsid w:val="77FC2270"/>
    <w:rsid w:val="78D70B2C"/>
    <w:rsid w:val="7A3E0650"/>
    <w:rsid w:val="7B6E2301"/>
    <w:rsid w:val="7DC964F0"/>
    <w:rsid w:val="7E6B4B4D"/>
    <w:rsid w:val="7E7E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28"/>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unhideWhenUsed/>
    <w:qFormat/>
    <w:uiPriority w:val="99"/>
    <w:pPr>
      <w:jc w:val="left"/>
    </w:pPr>
  </w:style>
  <w:style w:type="paragraph" w:styleId="7">
    <w:name w:val="Plain Text"/>
    <w:basedOn w:val="1"/>
    <w:link w:val="27"/>
    <w:qFormat/>
    <w:uiPriority w:val="0"/>
    <w:rPr>
      <w:rFonts w:ascii="宋体" w:hAnsi="Courier New" w:eastAsiaTheme="minorEastAsia" w:cstheme="minorBidi"/>
    </w:rPr>
  </w:style>
  <w:style w:type="paragraph" w:styleId="8">
    <w:name w:val="Date"/>
    <w:basedOn w:val="1"/>
    <w:next w:val="1"/>
    <w:link w:val="19"/>
    <w:qFormat/>
    <w:uiPriority w:val="0"/>
    <w:rPr>
      <w:rFonts w:ascii="宋体" w:hAnsi="Courier New"/>
      <w:kern w:val="0"/>
      <w:sz w:val="32"/>
      <w:szCs w:val="20"/>
    </w:r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5"/>
    <w:semiHidden/>
    <w:unhideWhenUsed/>
    <w:qFormat/>
    <w:uiPriority w:val="99"/>
    <w:rPr>
      <w:b/>
      <w:bCs/>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qFormat/>
    <w:uiPriority w:val="99"/>
    <w:rPr>
      <w:color w:val="0000FF"/>
      <w:u w:val="single"/>
    </w:rPr>
  </w:style>
  <w:style w:type="character" w:styleId="17">
    <w:name w:val="annotation reference"/>
    <w:basedOn w:val="15"/>
    <w:semiHidden/>
    <w:unhideWhenUsed/>
    <w:qFormat/>
    <w:uiPriority w:val="99"/>
    <w:rPr>
      <w:sz w:val="21"/>
      <w:szCs w:val="21"/>
    </w:rPr>
  </w:style>
  <w:style w:type="character" w:customStyle="1" w:styleId="18">
    <w:name w:val="日期 Char"/>
    <w:basedOn w:val="15"/>
    <w:link w:val="8"/>
    <w:qFormat/>
    <w:uiPriority w:val="0"/>
    <w:rPr>
      <w:rFonts w:ascii="宋体" w:hAnsi="Courier New" w:eastAsia="宋体" w:cs="Times New Roman"/>
      <w:kern w:val="0"/>
      <w:sz w:val="32"/>
      <w:szCs w:val="20"/>
    </w:rPr>
  </w:style>
  <w:style w:type="character" w:customStyle="1" w:styleId="19">
    <w:name w:val="日期 Char1"/>
    <w:basedOn w:val="15"/>
    <w:link w:val="8"/>
    <w:semiHidden/>
    <w:qFormat/>
    <w:uiPriority w:val="99"/>
    <w:rPr>
      <w:rFonts w:ascii="Calibri" w:hAnsi="Calibri" w:eastAsia="宋体" w:cs="Times New Roman"/>
    </w:rPr>
  </w:style>
  <w:style w:type="character" w:customStyle="1" w:styleId="20">
    <w:name w:val="批注框文本 Char"/>
    <w:basedOn w:val="15"/>
    <w:link w:val="9"/>
    <w:semiHidden/>
    <w:qFormat/>
    <w:uiPriority w:val="99"/>
    <w:rPr>
      <w:rFonts w:ascii="Calibri" w:hAnsi="Calibri" w:eastAsia="宋体" w:cs="Times New Roman"/>
      <w:sz w:val="18"/>
      <w:szCs w:val="18"/>
    </w:rPr>
  </w:style>
  <w:style w:type="character" w:customStyle="1" w:styleId="21">
    <w:name w:val="页眉 Char"/>
    <w:basedOn w:val="15"/>
    <w:link w:val="11"/>
    <w:semiHidden/>
    <w:qFormat/>
    <w:uiPriority w:val="99"/>
    <w:rPr>
      <w:rFonts w:ascii="Calibri" w:hAnsi="Calibri" w:eastAsia="宋体" w:cs="Times New Roman"/>
      <w:sz w:val="18"/>
      <w:szCs w:val="18"/>
    </w:rPr>
  </w:style>
  <w:style w:type="character" w:customStyle="1" w:styleId="22">
    <w:name w:val="页脚 Char"/>
    <w:basedOn w:val="15"/>
    <w:link w:val="10"/>
    <w:qFormat/>
    <w:uiPriority w:val="99"/>
    <w:rPr>
      <w:rFonts w:ascii="Calibri" w:hAnsi="Calibri" w:eastAsia="宋体" w:cs="Times New Roman"/>
      <w:sz w:val="18"/>
      <w:szCs w:val="18"/>
    </w:rPr>
  </w:style>
  <w:style w:type="character" w:customStyle="1" w:styleId="23">
    <w:name w:val="标题 1 Char"/>
    <w:basedOn w:val="15"/>
    <w:link w:val="2"/>
    <w:qFormat/>
    <w:uiPriority w:val="0"/>
    <w:rPr>
      <w:rFonts w:ascii="宋体" w:hAnsi="Calibri" w:eastAsia="宋体" w:cs="Times New Roman"/>
      <w:color w:val="000000"/>
      <w:sz w:val="28"/>
      <w:szCs w:val="20"/>
    </w:rPr>
  </w:style>
  <w:style w:type="character" w:customStyle="1" w:styleId="24">
    <w:name w:val="批注文字 Char"/>
    <w:basedOn w:val="15"/>
    <w:link w:val="6"/>
    <w:qFormat/>
    <w:uiPriority w:val="99"/>
    <w:rPr>
      <w:rFonts w:ascii="Calibri" w:hAnsi="Calibri" w:eastAsia="宋体" w:cs="Times New Roman"/>
    </w:rPr>
  </w:style>
  <w:style w:type="character" w:customStyle="1" w:styleId="25">
    <w:name w:val="批注主题 Char"/>
    <w:basedOn w:val="24"/>
    <w:link w:val="12"/>
    <w:semiHidden/>
    <w:qFormat/>
    <w:uiPriority w:val="99"/>
    <w:rPr>
      <w:b/>
      <w:bCs/>
    </w:rPr>
  </w:style>
  <w:style w:type="character" w:customStyle="1" w:styleId="26">
    <w:name w:val="纯文本 Char"/>
    <w:link w:val="7"/>
    <w:qFormat/>
    <w:uiPriority w:val="0"/>
    <w:rPr>
      <w:rFonts w:ascii="宋体" w:hAnsi="Courier New"/>
    </w:rPr>
  </w:style>
  <w:style w:type="character" w:customStyle="1" w:styleId="27">
    <w:name w:val="纯文本 Char1"/>
    <w:basedOn w:val="15"/>
    <w:link w:val="7"/>
    <w:semiHidden/>
    <w:qFormat/>
    <w:uiPriority w:val="99"/>
    <w:rPr>
      <w:rFonts w:ascii="宋体" w:hAnsi="Courier New" w:eastAsia="宋体" w:cs="Courier New"/>
      <w:szCs w:val="21"/>
    </w:rPr>
  </w:style>
  <w:style w:type="character" w:customStyle="1" w:styleId="28">
    <w:name w:val="标题 2 Char"/>
    <w:basedOn w:val="15"/>
    <w:link w:val="3"/>
    <w:qFormat/>
    <w:uiPriority w:val="0"/>
    <w:rPr>
      <w:rFonts w:ascii="Arial" w:hAnsi="Arial" w:eastAsia="宋体" w:cs="Times New Roman"/>
      <w:b/>
      <w:bCs/>
      <w:sz w:val="32"/>
      <w:szCs w:val="32"/>
    </w:rPr>
  </w:style>
  <w:style w:type="paragraph" w:styleId="29">
    <w:name w:val="List Paragraph"/>
    <w:basedOn w:val="1"/>
    <w:qFormat/>
    <w:uiPriority w:val="34"/>
    <w:pPr>
      <w:ind w:firstLine="420" w:firstLineChars="200"/>
    </w:pPr>
  </w:style>
  <w:style w:type="character" w:customStyle="1" w:styleId="30">
    <w:name w:val="标题 3 Char"/>
    <w:basedOn w:val="15"/>
    <w:link w:val="4"/>
    <w:semiHidden/>
    <w:qFormat/>
    <w:uiPriority w:val="9"/>
    <w:rPr>
      <w:rFonts w:ascii="Calibri" w:hAnsi="Calibri" w:eastAsia="宋体" w:cs="Times New Roman"/>
      <w:b/>
      <w:bCs/>
      <w:sz w:val="32"/>
      <w:szCs w:val="32"/>
    </w:rPr>
  </w:style>
  <w:style w:type="character" w:customStyle="1" w:styleId="31">
    <w:name w:val="标题 4 Char"/>
    <w:basedOn w:val="15"/>
    <w:link w:val="5"/>
    <w:qFormat/>
    <w:uiPriority w:val="0"/>
    <w:rPr>
      <w:rFonts w:ascii="Cambria" w:hAnsi="Cambria" w:eastAsia="宋体" w:cs="Times New Roman"/>
      <w:b/>
      <w:bCs/>
      <w:sz w:val="28"/>
      <w:szCs w:val="28"/>
    </w:rPr>
  </w:style>
  <w:style w:type="paragraph" w:customStyle="1" w:styleId="32">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3">
    <w:name w:val="1"/>
    <w:basedOn w:val="1"/>
    <w:next w:val="7"/>
    <w:qFormat/>
    <w:uiPriority w:val="0"/>
    <w:rPr>
      <w:rFonts w:ascii="宋体" w:hAnsi="Courier New"/>
      <w:szCs w:val="20"/>
    </w:rPr>
  </w:style>
  <w:style w:type="paragraph" w:customStyle="1" w:styleId="34">
    <w:name w:val="8"/>
    <w:basedOn w:val="1"/>
    <w:next w:val="7"/>
    <w:qFormat/>
    <w:uiPriority w:val="0"/>
    <w:rPr>
      <w:rFonts w:ascii="宋体" w:hAnsi="Courier New"/>
      <w:szCs w:val="20"/>
    </w:rPr>
  </w:style>
  <w:style w:type="paragraph" w:customStyle="1" w:styleId="35">
    <w:name w:val="_Style 55"/>
    <w:basedOn w:val="1"/>
    <w:next w:val="7"/>
    <w:qFormat/>
    <w:uiPriority w:val="0"/>
    <w:rPr>
      <w:rFonts w:ascii="宋体" w:hAnsi="Courier New"/>
      <w:szCs w:val="20"/>
    </w:rPr>
  </w:style>
  <w:style w:type="paragraph" w:customStyle="1" w:styleId="36">
    <w:name w:val="7"/>
    <w:basedOn w:val="1"/>
    <w:next w:val="7"/>
    <w:link w:val="37"/>
    <w:qFormat/>
    <w:uiPriority w:val="0"/>
    <w:rPr>
      <w:rFonts w:ascii="宋体" w:hAnsi="Courier New"/>
      <w:szCs w:val="20"/>
    </w:rPr>
  </w:style>
  <w:style w:type="character" w:customStyle="1" w:styleId="37">
    <w:name w:val="Char1"/>
    <w:link w:val="36"/>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E865A-9D65-4179-BE6F-8CF7787241E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4391</Words>
  <Characters>25033</Characters>
  <Lines>208</Lines>
  <Paragraphs>58</Paragraphs>
  <TotalTime>0</TotalTime>
  <ScaleCrop>false</ScaleCrop>
  <LinksUpToDate>false</LinksUpToDate>
  <CharactersWithSpaces>29366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2021-07-21T03:21:22Z</dcterms:modified>
  <cp:revision>1486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61C2B7DE125645F4B0CDE1F3BD0963F6</vt:lpwstr>
  </property>
</Properties>
</file>