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w:pict>
          <v:shape id="文本框 299" o:spid="_x0000_s1030"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72"/>
          <w:szCs w:val="56"/>
        </w:rPr>
      </w:pPr>
      <w:r>
        <w:rPr>
          <w:rFonts w:hint="eastAsia" w:ascii="仿宋" w:hAnsi="仿宋" w:eastAsia="仿宋"/>
          <w:b/>
          <w:bCs/>
          <w:snapToGrid w:val="0"/>
          <w:kern w:val="0"/>
          <w:sz w:val="72"/>
          <w:szCs w:val="56"/>
        </w:rPr>
        <w:t>柔性防爆罐采购项目</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hint="default" w:ascii="仿宋" w:hAnsi="仿宋" w:eastAsia="仿宋"/>
          <w:b/>
          <w:snapToGrid w:val="0"/>
          <w:kern w:val="0"/>
          <w:sz w:val="44"/>
          <w:lang w:val="en-US" w:eastAsia="zh-CN"/>
        </w:rPr>
      </w:pPr>
      <w:r>
        <w:rPr>
          <w:rFonts w:hint="eastAsia" w:ascii="仿宋" w:hAnsi="仿宋" w:eastAsia="仿宋"/>
          <w:b/>
          <w:snapToGrid w:val="0"/>
          <w:kern w:val="0"/>
          <w:sz w:val="32"/>
        </w:rPr>
        <w:t>项目编号：</w:t>
      </w:r>
      <w:r>
        <w:rPr>
          <w:rFonts w:ascii="仿宋" w:hAnsi="仿宋" w:eastAsia="仿宋"/>
          <w:b/>
          <w:snapToGrid w:val="0"/>
          <w:kern w:val="0"/>
          <w:sz w:val="32"/>
        </w:rPr>
        <w:t>S</w:t>
      </w:r>
      <w:r>
        <w:rPr>
          <w:rFonts w:hint="eastAsia" w:ascii="仿宋" w:hAnsi="仿宋" w:eastAsia="仿宋"/>
          <w:b/>
          <w:snapToGrid w:val="0"/>
          <w:kern w:val="0"/>
          <w:sz w:val="32"/>
        </w:rPr>
        <w:t>ZZZ2021-QA0</w:t>
      </w:r>
      <w:r>
        <w:rPr>
          <w:rFonts w:hint="eastAsia" w:ascii="仿宋" w:hAnsi="仿宋" w:eastAsia="仿宋"/>
          <w:b/>
          <w:snapToGrid w:val="0"/>
          <w:kern w:val="0"/>
          <w:sz w:val="32"/>
          <w:lang w:val="en-US" w:eastAsia="zh-CN"/>
        </w:rPr>
        <w:t>291</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0"/>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二〇二一年</w:t>
      </w:r>
      <w:r>
        <w:rPr>
          <w:rFonts w:hint="eastAsia" w:ascii="仿宋" w:hAnsi="仿宋" w:eastAsia="仿宋"/>
          <w:b/>
          <w:snapToGrid w:val="0"/>
          <w:sz w:val="30"/>
          <w:lang w:val="en-US" w:eastAsia="zh-CN"/>
        </w:rPr>
        <w:t>十</w:t>
      </w:r>
      <w:r>
        <w:rPr>
          <w:rFonts w:hint="eastAsia" w:ascii="仿宋" w:hAnsi="仿宋" w:eastAsia="仿宋"/>
          <w:b/>
          <w:snapToGrid w:val="0"/>
          <w:sz w:val="30"/>
        </w:rPr>
        <w:t>一月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16"/>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sz w:val="24"/>
              </w:rPr>
              <w:t>柔性防爆罐采购项目</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hint="default" w:ascii="仿宋" w:hAnsi="仿宋" w:eastAsia="仿宋" w:cs="Arial Unicode MS"/>
                <w:sz w:val="24"/>
                <w:lang w:val="en-US" w:eastAsia="zh-CN"/>
              </w:rPr>
            </w:pPr>
            <w:r>
              <w:rPr>
                <w:rFonts w:hint="eastAsia" w:ascii="仿宋" w:hAnsi="仿宋" w:eastAsia="仿宋" w:cs="Arial Unicode MS"/>
                <w:sz w:val="24"/>
              </w:rPr>
              <w:t>SZZZ2021-QA0</w:t>
            </w:r>
            <w:r>
              <w:rPr>
                <w:rFonts w:hint="eastAsia" w:ascii="仿宋" w:hAnsi="仿宋" w:eastAsia="仿宋" w:cs="Arial Unicode MS"/>
                <w:sz w:val="24"/>
                <w:lang w:val="en-US" w:eastAsia="zh-CN"/>
              </w:rPr>
              <w:t>291</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货物类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公开征集</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1家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1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 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格式2 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格式3评分中涉及的承诺及声明函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格式4 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格式5 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格式6 技术规格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格式7 交付进度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格式8 售后服务和质量承诺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格式9 偏离表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格式10 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bl>
    <w:p>
      <w:pPr>
        <w:widowControl/>
        <w:jc w:val="left"/>
      </w:pPr>
      <w:r>
        <w:br w:type="page"/>
      </w:r>
    </w:p>
    <w:p>
      <w:pPr>
        <w:jc w:val="left"/>
      </w:pPr>
    </w:p>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ascii="仿宋" w:hAnsi="仿宋" w:eastAsia="仿宋"/>
          <w:b/>
          <w:bCs/>
          <w:snapToGrid w:val="0"/>
          <w:kern w:val="0"/>
          <w:sz w:val="36"/>
        </w:rPr>
      </w:pPr>
      <w:r>
        <w:rPr>
          <w:rFonts w:hint="eastAsia" w:ascii="仿宋" w:hAnsi="仿宋" w:eastAsia="仿宋"/>
          <w:b/>
          <w:bCs/>
          <w:snapToGrid w:val="0"/>
          <w:kern w:val="0"/>
          <w:sz w:val="36"/>
        </w:rPr>
        <w:t>柔性防爆罐采购项目</w:t>
      </w:r>
    </w:p>
    <w:p>
      <w:pPr>
        <w:jc w:val="center"/>
        <w:rPr>
          <w:rFonts w:ascii="仿宋" w:hAnsi="仿宋" w:eastAsia="仿宋"/>
          <w:b/>
          <w:bCs/>
          <w:snapToGrid w:val="0"/>
          <w:kern w:val="0"/>
          <w:sz w:val="36"/>
        </w:rPr>
      </w:pPr>
      <w:r>
        <w:rPr>
          <w:rFonts w:hint="eastAsia" w:ascii="仿宋" w:hAnsi="仿宋" w:eastAsia="仿宋"/>
          <w:b/>
          <w:bCs/>
          <w:snapToGrid w:val="0"/>
          <w:kern w:val="0"/>
          <w:sz w:val="36"/>
        </w:rPr>
        <w:t>采购公告</w:t>
      </w:r>
    </w:p>
    <w:p>
      <w:pPr>
        <w:spacing w:line="360" w:lineRule="auto"/>
        <w:rPr>
          <w:b/>
          <w:sz w:val="24"/>
          <w:szCs w:val="24"/>
        </w:rPr>
      </w:pPr>
      <w:r>
        <w:rPr>
          <w:rFonts w:hint="eastAsia"/>
          <w:b/>
          <w:sz w:val="24"/>
          <w:szCs w:val="24"/>
        </w:rPr>
        <w:t>一、项目概况</w:t>
      </w:r>
    </w:p>
    <w:p>
      <w:pPr>
        <w:spacing w:line="360" w:lineRule="auto"/>
        <w:ind w:firstLine="484" w:firstLineChars="202"/>
        <w:rPr>
          <w:rFonts w:ascii="仿宋" w:hAnsi="仿宋" w:eastAsia="仿宋"/>
          <w:bCs/>
          <w:sz w:val="24"/>
          <w:szCs w:val="24"/>
        </w:rPr>
      </w:pPr>
      <w:r>
        <w:rPr>
          <w:rFonts w:hint="eastAsia" w:ascii="仿宋" w:hAnsi="仿宋" w:eastAsia="仿宋"/>
          <w:bCs/>
          <w:sz w:val="24"/>
          <w:szCs w:val="24"/>
          <w:u w:val="single"/>
        </w:rPr>
        <w:t>柔性防爆罐采购项目</w:t>
      </w:r>
      <w:r>
        <w:rPr>
          <w:rFonts w:hint="eastAsia" w:ascii="仿宋" w:hAnsi="仿宋" w:eastAsia="仿宋"/>
          <w:sz w:val="24"/>
          <w:szCs w:val="24"/>
        </w:rPr>
        <w:t>的潜在供应商应在</w:t>
      </w:r>
      <w:r>
        <w:rPr>
          <w:rFonts w:hint="eastAsia" w:ascii="仿宋" w:hAnsi="仿宋" w:eastAsia="仿宋"/>
          <w:sz w:val="24"/>
          <w:szCs w:val="24"/>
          <w:u w:val="single"/>
        </w:rPr>
        <w:t>深圳市中正招标有限公司</w:t>
      </w:r>
      <w:r>
        <w:rPr>
          <w:rFonts w:hint="eastAsia" w:ascii="仿宋" w:hAnsi="仿宋" w:eastAsia="仿宋"/>
          <w:sz w:val="24"/>
          <w:szCs w:val="24"/>
        </w:rPr>
        <w:t>获取采购文件，并于</w:t>
      </w:r>
      <w:r>
        <w:rPr>
          <w:rFonts w:hint="eastAsia" w:ascii="仿宋" w:hAnsi="仿宋" w:eastAsia="仿宋"/>
          <w:sz w:val="24"/>
          <w:szCs w:val="24"/>
          <w:u w:val="single"/>
        </w:rPr>
        <w:t>2021</w:t>
      </w:r>
      <w:r>
        <w:rPr>
          <w:rFonts w:hint="eastAsia" w:ascii="仿宋" w:hAnsi="仿宋" w:eastAsia="仿宋"/>
          <w:bCs/>
          <w:sz w:val="24"/>
          <w:szCs w:val="24"/>
        </w:rPr>
        <w:t>年</w:t>
      </w:r>
      <w:r>
        <w:rPr>
          <w:rFonts w:hint="eastAsia" w:ascii="仿宋" w:hAnsi="仿宋" w:eastAsia="仿宋"/>
          <w:bCs/>
          <w:sz w:val="24"/>
          <w:szCs w:val="24"/>
          <w:u w:val="single"/>
        </w:rPr>
        <w:t>1</w:t>
      </w:r>
      <w:r>
        <w:rPr>
          <w:rFonts w:hint="eastAsia" w:ascii="仿宋" w:hAnsi="仿宋" w:eastAsia="仿宋"/>
          <w:bCs/>
          <w:sz w:val="24"/>
          <w:szCs w:val="24"/>
          <w:u w:val="single"/>
          <w:lang w:val="en-US" w:eastAsia="zh-CN"/>
        </w:rPr>
        <w:t>1</w:t>
      </w:r>
      <w:r>
        <w:rPr>
          <w:rFonts w:hint="eastAsia" w:ascii="仿宋" w:hAnsi="仿宋" w:eastAsia="仿宋"/>
          <w:bCs/>
          <w:sz w:val="24"/>
          <w:szCs w:val="24"/>
        </w:rPr>
        <w:t>月</w:t>
      </w:r>
      <w:r>
        <w:rPr>
          <w:rFonts w:hint="eastAsia" w:ascii="仿宋" w:hAnsi="仿宋" w:eastAsia="仿宋"/>
          <w:bCs/>
          <w:sz w:val="24"/>
          <w:szCs w:val="24"/>
          <w:u w:val="single"/>
          <w:lang w:val="en-US" w:eastAsia="zh-CN"/>
        </w:rPr>
        <w:t>22</w:t>
      </w:r>
      <w:r>
        <w:rPr>
          <w:rFonts w:hint="eastAsia" w:ascii="仿宋" w:hAnsi="仿宋" w:eastAsia="仿宋"/>
          <w:bCs/>
          <w:sz w:val="24"/>
          <w:szCs w:val="24"/>
        </w:rPr>
        <w:t>日</w:t>
      </w:r>
      <w:r>
        <w:rPr>
          <w:rFonts w:hint="eastAsia" w:ascii="仿宋" w:hAnsi="仿宋" w:eastAsia="仿宋"/>
          <w:bCs/>
          <w:sz w:val="24"/>
          <w:szCs w:val="24"/>
          <w:u w:val="single"/>
        </w:rPr>
        <w:t>1</w:t>
      </w:r>
      <w:r>
        <w:rPr>
          <w:rFonts w:hint="eastAsia" w:ascii="仿宋" w:hAnsi="仿宋" w:eastAsia="仿宋"/>
          <w:bCs/>
          <w:sz w:val="24"/>
          <w:szCs w:val="24"/>
          <w:u w:val="single"/>
          <w:lang w:val="en-US" w:eastAsia="zh-CN"/>
        </w:rPr>
        <w:t>7</w:t>
      </w:r>
      <w:r>
        <w:rPr>
          <w:rFonts w:hint="eastAsia" w:ascii="仿宋" w:hAnsi="仿宋" w:eastAsia="仿宋"/>
          <w:bCs/>
          <w:sz w:val="24"/>
          <w:szCs w:val="24"/>
        </w:rPr>
        <w:t>点</w:t>
      </w:r>
      <w:r>
        <w:rPr>
          <w:rFonts w:hint="eastAsia" w:ascii="仿宋" w:hAnsi="仿宋" w:eastAsia="仿宋"/>
          <w:bCs/>
          <w:sz w:val="24"/>
          <w:szCs w:val="24"/>
          <w:u w:val="single"/>
        </w:rPr>
        <w:t>00</w:t>
      </w:r>
      <w:r>
        <w:rPr>
          <w:rFonts w:hint="eastAsia" w:ascii="仿宋" w:hAnsi="仿宋" w:eastAsia="仿宋"/>
          <w:bCs/>
          <w:sz w:val="24"/>
          <w:szCs w:val="24"/>
        </w:rPr>
        <w:t>分（北京时间）前递交投标</w:t>
      </w:r>
      <w:r>
        <w:rPr>
          <w:rFonts w:ascii="仿宋" w:hAnsi="仿宋" w:eastAsia="仿宋"/>
          <w:bCs/>
          <w:sz w:val="24"/>
          <w:szCs w:val="24"/>
        </w:rPr>
        <w:t>文件</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二、项目基本情况</w:t>
      </w:r>
    </w:p>
    <w:p>
      <w:pPr>
        <w:spacing w:line="360" w:lineRule="auto"/>
        <w:ind w:firstLine="424" w:firstLineChars="177"/>
        <w:rPr>
          <w:rFonts w:hint="default" w:ascii="仿宋" w:hAnsi="仿宋" w:eastAsia="仿宋"/>
          <w:bCs/>
          <w:sz w:val="24"/>
          <w:szCs w:val="24"/>
          <w:lang w:val="en-US" w:eastAsia="zh-CN"/>
        </w:rPr>
      </w:pPr>
      <w:r>
        <w:rPr>
          <w:rFonts w:hint="eastAsia" w:ascii="仿宋" w:hAnsi="仿宋" w:eastAsia="仿宋"/>
          <w:bCs/>
          <w:sz w:val="24"/>
          <w:szCs w:val="24"/>
        </w:rPr>
        <w:t>1、项目编号：</w:t>
      </w:r>
      <w:r>
        <w:rPr>
          <w:rFonts w:ascii="仿宋" w:hAnsi="仿宋" w:eastAsia="仿宋"/>
          <w:bCs/>
          <w:sz w:val="24"/>
          <w:szCs w:val="24"/>
        </w:rPr>
        <w:t>SZZZ202</w:t>
      </w:r>
      <w:r>
        <w:rPr>
          <w:rFonts w:hint="eastAsia" w:ascii="仿宋" w:hAnsi="仿宋" w:eastAsia="仿宋"/>
          <w:bCs/>
          <w:sz w:val="24"/>
          <w:szCs w:val="24"/>
        </w:rPr>
        <w:t>1</w:t>
      </w:r>
      <w:r>
        <w:rPr>
          <w:rFonts w:ascii="仿宋" w:hAnsi="仿宋" w:eastAsia="仿宋"/>
          <w:bCs/>
          <w:sz w:val="24"/>
          <w:szCs w:val="24"/>
        </w:rPr>
        <w:t>-Q</w:t>
      </w:r>
      <w:r>
        <w:rPr>
          <w:rFonts w:hint="eastAsia" w:ascii="仿宋" w:hAnsi="仿宋" w:eastAsia="仿宋"/>
          <w:bCs/>
          <w:sz w:val="24"/>
          <w:szCs w:val="24"/>
        </w:rPr>
        <w:t>A</w:t>
      </w:r>
      <w:r>
        <w:rPr>
          <w:rFonts w:ascii="仿宋" w:hAnsi="仿宋" w:eastAsia="仿宋"/>
          <w:bCs/>
          <w:sz w:val="24"/>
          <w:szCs w:val="24"/>
        </w:rPr>
        <w:t>0</w:t>
      </w:r>
      <w:r>
        <w:rPr>
          <w:rFonts w:hint="eastAsia" w:ascii="仿宋" w:hAnsi="仿宋" w:eastAsia="仿宋"/>
          <w:bCs/>
          <w:sz w:val="24"/>
          <w:szCs w:val="24"/>
          <w:lang w:val="en-US" w:eastAsia="zh-CN"/>
        </w:rPr>
        <w:t>291</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2、项目名称：柔性防爆罐采购项目</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3、预算金额：人民币</w:t>
      </w:r>
      <w:r>
        <w:rPr>
          <w:rFonts w:hint="eastAsia" w:ascii="仿宋" w:hAnsi="仿宋" w:eastAsia="仿宋"/>
          <w:bCs/>
          <w:sz w:val="24"/>
          <w:szCs w:val="24"/>
          <w:lang w:val="en-US" w:eastAsia="zh-CN"/>
        </w:rPr>
        <w:t>14.4</w:t>
      </w:r>
      <w:r>
        <w:rPr>
          <w:rFonts w:hint="eastAsia" w:ascii="仿宋" w:hAnsi="仿宋" w:eastAsia="仿宋"/>
          <w:bCs/>
          <w:sz w:val="24"/>
          <w:szCs w:val="24"/>
        </w:rPr>
        <w:t>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4、最高限价：人民币</w:t>
      </w:r>
      <w:r>
        <w:rPr>
          <w:rFonts w:hint="eastAsia" w:ascii="仿宋" w:hAnsi="仿宋" w:eastAsia="仿宋"/>
          <w:bCs/>
          <w:sz w:val="24"/>
          <w:szCs w:val="24"/>
          <w:lang w:val="en-US" w:eastAsia="zh-CN"/>
        </w:rPr>
        <w:t>14.4</w:t>
      </w:r>
      <w:r>
        <w:rPr>
          <w:rFonts w:hint="eastAsia" w:ascii="仿宋" w:hAnsi="仿宋" w:eastAsia="仿宋"/>
          <w:bCs/>
          <w:sz w:val="24"/>
          <w:szCs w:val="24"/>
        </w:rPr>
        <w:t>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5、采购方式：公开征集</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6、采购需求：</w:t>
      </w:r>
    </w:p>
    <w:tbl>
      <w:tblPr>
        <w:tblStyle w:val="15"/>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654"/>
        <w:gridCol w:w="992"/>
        <w:gridCol w:w="215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124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4654"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标的名称</w:t>
            </w:r>
          </w:p>
        </w:tc>
        <w:tc>
          <w:tcPr>
            <w:tcW w:w="99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2151"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42"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4654"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柔性防爆罐采购项目</w:t>
            </w:r>
          </w:p>
        </w:tc>
        <w:tc>
          <w:tcPr>
            <w:tcW w:w="992"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lang w:val="en-US" w:eastAsia="zh-CN"/>
              </w:rPr>
              <w:t>4</w:t>
            </w:r>
            <w:r>
              <w:rPr>
                <w:rFonts w:hint="eastAsia" w:ascii="仿宋" w:hAnsi="仿宋" w:eastAsia="仿宋"/>
                <w:bCs/>
                <w:sz w:val="24"/>
                <w:szCs w:val="24"/>
              </w:rPr>
              <w:t>套</w:t>
            </w:r>
          </w:p>
        </w:tc>
        <w:tc>
          <w:tcPr>
            <w:tcW w:w="2151"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详见附件内容</w:t>
            </w:r>
          </w:p>
        </w:tc>
      </w:tr>
    </w:tbl>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7、合同履行期限：签订合同后</w:t>
      </w:r>
      <w:r>
        <w:rPr>
          <w:rFonts w:hint="eastAsia" w:ascii="仿宋" w:hAnsi="仿宋" w:eastAsia="仿宋"/>
          <w:bCs/>
          <w:sz w:val="24"/>
          <w:szCs w:val="24"/>
          <w:lang w:val="en-US" w:eastAsia="zh-CN"/>
        </w:rPr>
        <w:t>30</w:t>
      </w:r>
      <w:r>
        <w:rPr>
          <w:rFonts w:hint="eastAsia" w:ascii="仿宋" w:hAnsi="仿宋" w:eastAsia="仿宋"/>
          <w:bCs/>
          <w:sz w:val="24"/>
          <w:szCs w:val="24"/>
        </w:rPr>
        <w:t>天（日历日）内交货</w:t>
      </w:r>
      <w:r>
        <w:rPr>
          <w:rFonts w:hint="eastAsia" w:ascii="仿宋" w:hAnsi="仿宋" w:eastAsia="仿宋"/>
          <w:bCs/>
          <w:sz w:val="24"/>
          <w:szCs w:val="24"/>
          <w:lang w:val="en-US" w:eastAsia="zh-CN"/>
        </w:rPr>
        <w:t>并安装调试</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8、是否联合体：本项目不接受联合体投标。</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1、须是在中华人民共和国境内注册的法人或其他组织。【须</w:t>
      </w:r>
      <w:r>
        <w:rPr>
          <w:rFonts w:ascii="仿宋" w:hAnsi="仿宋" w:eastAsia="仿宋"/>
          <w:bCs/>
          <w:sz w:val="24"/>
          <w:szCs w:val="24"/>
        </w:rPr>
        <w:t>提供合法有效的营业执照</w:t>
      </w:r>
      <w:r>
        <w:rPr>
          <w:rFonts w:hint="eastAsia" w:ascii="仿宋" w:hAnsi="仿宋" w:eastAsia="仿宋"/>
          <w:bCs/>
          <w:sz w:val="24"/>
          <w:szCs w:val="24"/>
        </w:rPr>
        <w:t>或法人证书等证明材料的</w:t>
      </w:r>
      <w:r>
        <w:rPr>
          <w:rFonts w:ascii="仿宋" w:hAnsi="仿宋" w:eastAsia="仿宋"/>
          <w:bCs/>
          <w:sz w:val="24"/>
          <w:szCs w:val="24"/>
        </w:rPr>
        <w:t>扫描件</w:t>
      </w:r>
      <w:r>
        <w:rPr>
          <w:rFonts w:hint="eastAsia" w:ascii="仿宋" w:hAnsi="仿宋" w:eastAsia="仿宋"/>
          <w:bCs/>
          <w:sz w:val="24"/>
          <w:szCs w:val="24"/>
        </w:rPr>
        <w:t>或复印件加盖投标人公章</w:t>
      </w:r>
      <w:r>
        <w:rPr>
          <w:rFonts w:ascii="仿宋" w:hAnsi="仿宋" w:eastAsia="仿宋"/>
          <w:bCs/>
          <w:sz w:val="24"/>
          <w:szCs w:val="24"/>
        </w:rPr>
        <w:t>，原件备查</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2</w:t>
      </w:r>
      <w:r>
        <w:rPr>
          <w:rFonts w:hint="eastAsia" w:ascii="仿宋" w:hAnsi="仿宋" w:eastAsia="仿宋"/>
          <w:bCs/>
          <w:sz w:val="24"/>
          <w:szCs w:val="24"/>
        </w:rPr>
        <w:t>、参与本项目投标前三年内，在经营活动中没有重大违法记录。【由投标人按采购文件规定的格式在《政府采购投标及履约承诺函》中作出声明】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3</w:t>
      </w:r>
      <w:r>
        <w:rPr>
          <w:rFonts w:hint="eastAsia" w:ascii="仿宋" w:hAnsi="仿宋" w:eastAsia="仿宋"/>
          <w:bCs/>
          <w:sz w:val="24"/>
          <w:szCs w:val="24"/>
        </w:rPr>
        <w:t>、参与本项目政府采购活动时不存在被有关部门禁止参与政府采购活动且在有效期内的情况。【由供应商按采购文件规定的格式在《政府采购投标及履约承诺函》中作出声明】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4</w:t>
      </w:r>
      <w:r>
        <w:rPr>
          <w:rFonts w:hint="eastAsia" w:ascii="仿宋" w:hAnsi="仿宋" w:eastAsia="仿宋"/>
          <w:bCs/>
          <w:sz w:val="24"/>
          <w:szCs w:val="24"/>
        </w:rPr>
        <w:t>、参与本项目的供应商具备《中华人民共和国政府采购法》第二十二条规定。【由响应投标人按采购文件规定的格式在《政府采购投标及履约承诺函》中作出声明】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5</w:t>
      </w:r>
      <w:r>
        <w:rPr>
          <w:rFonts w:hint="eastAsia" w:ascii="仿宋" w:hAnsi="仿宋" w:eastAsia="仿宋"/>
          <w:bCs/>
          <w:sz w:val="24"/>
          <w:szCs w:val="24"/>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bCs/>
          <w:sz w:val="24"/>
          <w:szCs w:val="24"/>
          <w:lang w:eastAsia="zh-CN"/>
        </w:rPr>
        <w:t>。</w:t>
      </w:r>
      <w:r>
        <w:rPr>
          <w:rFonts w:hint="eastAsia" w:ascii="仿宋" w:hAnsi="仿宋" w:eastAsia="仿宋"/>
          <w:bCs/>
          <w:sz w:val="24"/>
          <w:szCs w:val="24"/>
          <w:lang w:val="en-US" w:eastAsia="zh-CN"/>
        </w:rPr>
        <w:t>投标人自行查询并提供查询</w:t>
      </w:r>
      <w:r>
        <w:rPr>
          <w:rFonts w:hint="eastAsia" w:ascii="仿宋" w:hAnsi="仿宋" w:eastAsia="仿宋"/>
          <w:bCs/>
          <w:sz w:val="24"/>
          <w:szCs w:val="24"/>
        </w:rPr>
        <w:t>结果</w:t>
      </w:r>
      <w:r>
        <w:rPr>
          <w:rFonts w:hint="eastAsia" w:ascii="仿宋" w:hAnsi="仿宋" w:eastAsia="仿宋"/>
          <w:bCs/>
          <w:sz w:val="24"/>
          <w:szCs w:val="24"/>
          <w:lang w:val="en-US" w:eastAsia="zh-CN"/>
        </w:rPr>
        <w:t>截图，查询时间以项目采购公告开始时间至投标</w:t>
      </w:r>
      <w:r>
        <w:rPr>
          <w:rFonts w:hint="eastAsia" w:ascii="仿宋" w:hAnsi="仿宋" w:eastAsia="仿宋"/>
          <w:bCs/>
          <w:sz w:val="24"/>
          <w:szCs w:val="24"/>
        </w:rPr>
        <w:t>截止时间】</w:t>
      </w:r>
    </w:p>
    <w:p>
      <w:pPr>
        <w:spacing w:line="360" w:lineRule="auto"/>
        <w:ind w:firstLine="424" w:firstLineChars="177"/>
        <w:rPr>
          <w:rFonts w:hint="eastAsia" w:ascii="仿宋" w:hAnsi="仿宋" w:eastAsia="仿宋"/>
          <w:bCs/>
          <w:sz w:val="24"/>
          <w:szCs w:val="24"/>
        </w:rPr>
      </w:pPr>
      <w:r>
        <w:rPr>
          <w:rFonts w:hint="eastAsia" w:ascii="仿宋" w:hAnsi="仿宋" w:eastAsia="仿宋"/>
          <w:bCs/>
          <w:sz w:val="24"/>
          <w:szCs w:val="24"/>
          <w:lang w:val="en-US" w:eastAsia="zh-CN"/>
        </w:rPr>
        <w:t>6</w:t>
      </w:r>
      <w:r>
        <w:rPr>
          <w:rFonts w:hint="eastAsia" w:ascii="仿宋" w:hAnsi="仿宋" w:eastAsia="仿宋"/>
          <w:bCs/>
          <w:sz w:val="24"/>
          <w:szCs w:val="24"/>
        </w:rPr>
        <w:t>、本项目不接受进口产品参与投标。【进口产品是指通过中国海关报关验放进入中国境内且产自关境外的产品。相关内容以“财库【2007】119号文”和“财办库【2008】248号文”的相关规定为准】</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7</w:t>
      </w:r>
      <w:r>
        <w:rPr>
          <w:rFonts w:hint="eastAsia" w:ascii="仿宋" w:hAnsi="仿宋" w:eastAsia="仿宋"/>
          <w:bCs/>
          <w:sz w:val="24"/>
          <w:szCs w:val="24"/>
        </w:rPr>
        <w:t>、</w:t>
      </w:r>
      <w:r>
        <w:rPr>
          <w:rFonts w:hint="eastAsia" w:ascii="仿宋" w:hAnsi="仿宋" w:eastAsia="仿宋"/>
          <w:bCs/>
          <w:kern w:val="0"/>
          <w:sz w:val="24"/>
          <w:szCs w:val="24"/>
        </w:rPr>
        <w:t>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1</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17</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11</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19</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3、方式：现场报名响应或网上报名响应</w:t>
      </w:r>
    </w:p>
    <w:p>
      <w:pPr>
        <w:spacing w:line="360" w:lineRule="auto"/>
        <w:ind w:left="779" w:leftChars="201" w:hanging="357" w:hangingChars="148"/>
        <w:rPr>
          <w:rFonts w:ascii="仿宋" w:hAnsi="仿宋" w:eastAsia="仿宋"/>
          <w:bCs/>
          <w:sz w:val="24"/>
          <w:szCs w:val="24"/>
        </w:rPr>
      </w:pPr>
      <w:r>
        <w:rPr>
          <w:rFonts w:hint="eastAsia" w:ascii="仿宋" w:hAnsi="仿宋" w:eastAsia="仿宋"/>
          <w:b/>
          <w:bCs/>
          <w:color w:val="FF0000"/>
          <w:sz w:val="24"/>
          <w:szCs w:val="24"/>
        </w:rPr>
        <w:t>备注：</w:t>
      </w:r>
      <w:r>
        <w:rPr>
          <w:rFonts w:hint="eastAsia" w:ascii="仿宋" w:hAnsi="仿宋" w:eastAsia="仿宋"/>
          <w:bCs/>
          <w:sz w:val="24"/>
          <w:szCs w:val="24"/>
        </w:rPr>
        <w:t>① 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w:t>
      </w:r>
      <w:r>
        <w:rPr>
          <w:rFonts w:ascii="仿宋" w:hAnsi="仿宋" w:eastAsia="仿宋"/>
          <w:bCs/>
          <w:sz w:val="24"/>
          <w:szCs w:val="24"/>
        </w:rPr>
        <w:t>qtszzzzb</w:t>
      </w:r>
      <w:r>
        <w:rPr>
          <w:rFonts w:hint="eastAsia" w:ascii="仿宋" w:hAnsi="仿宋" w:eastAsia="仿宋"/>
          <w:bCs/>
          <w:sz w:val="24"/>
          <w:szCs w:val="24"/>
        </w:rPr>
        <w: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人民币600元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1</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22</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7</w:t>
      </w:r>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Cs/>
          <w:sz w:val="24"/>
          <w:szCs w:val="24"/>
        </w:rPr>
      </w:pPr>
      <w:r>
        <w:rPr>
          <w:rFonts w:hint="eastAsia" w:ascii="仿宋" w:hAnsi="仿宋" w:eastAsia="仿宋"/>
          <w:b/>
          <w:bCs/>
          <w:color w:val="FF0000"/>
          <w:sz w:val="24"/>
          <w:szCs w:val="24"/>
        </w:rPr>
        <w:t>备注：</w:t>
      </w:r>
      <w:r>
        <w:rPr>
          <w:rFonts w:ascii="仿宋" w:hAnsi="仿宋" w:eastAsia="仿宋"/>
          <w:bCs/>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Cs/>
          <w:sz w:val="24"/>
          <w:szCs w:val="24"/>
        </w:rPr>
        <w:t>投标人</w:t>
      </w:r>
      <w:r>
        <w:rPr>
          <w:rFonts w:ascii="仿宋" w:hAnsi="仿宋" w:eastAsia="仿宋"/>
          <w:bCs/>
          <w:sz w:val="24"/>
          <w:szCs w:val="24"/>
        </w:rPr>
        <w:t>未参加现场开标的，视同认可开标结果</w:t>
      </w:r>
      <w:r>
        <w:rPr>
          <w:rFonts w:hint="eastAsia" w:ascii="仿宋" w:hAnsi="仿宋" w:eastAsia="仿宋"/>
          <w:bCs/>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自本公告发布之日起5个工作日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 工业和信息化部关于印发《政府采购促进中小企业发展管理办法》的通知》(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w:t>
      </w:r>
    </w:p>
    <w:p>
      <w:pPr>
        <w:spacing w:line="360" w:lineRule="auto"/>
        <w:ind w:firstLine="426" w:firstLineChars="177"/>
        <w:rPr>
          <w:rFonts w:ascii="仿宋" w:hAnsi="仿宋" w:eastAsia="仿宋"/>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u w:val="single"/>
        </w:rPr>
        <w:t xml:space="preserve"> </w:t>
      </w:r>
      <w:r>
        <w:rPr>
          <w:rFonts w:hint="eastAsia" w:ascii="仿宋" w:hAnsi="仿宋" w:eastAsia="仿宋"/>
          <w:b/>
          <w:bCs/>
          <w:sz w:val="24"/>
          <w:szCs w:val="24"/>
          <w:highlight w:val="yellow"/>
          <w:u w:val="single"/>
        </w:rPr>
        <w:t>工业</w:t>
      </w:r>
      <w:r>
        <w:rPr>
          <w:rFonts w:hint="eastAsia" w:ascii="仿宋" w:hAnsi="仿宋" w:eastAsia="仿宋"/>
          <w:b/>
          <w:bCs/>
          <w:sz w:val="24"/>
          <w:szCs w:val="24"/>
          <w:u w:val="single"/>
        </w:rPr>
        <w:t xml:space="preserve"> </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hint="eastAsia" w:ascii="仿宋" w:hAnsi="仿宋" w:eastAsia="仿宋"/>
          <w:bCs/>
          <w:sz w:val="24"/>
          <w:szCs w:val="24"/>
          <w:lang w:eastAsia="zh-CN"/>
        </w:rPr>
      </w:pPr>
      <w:r>
        <w:rPr>
          <w:rFonts w:hint="eastAsia" w:ascii="仿宋" w:hAnsi="仿宋" w:eastAsia="仿宋"/>
          <w:bCs/>
          <w:sz w:val="24"/>
          <w:szCs w:val="24"/>
        </w:rPr>
        <w:t>名　   称：</w:t>
      </w:r>
      <w:r>
        <w:rPr>
          <w:rFonts w:hint="eastAsia" w:ascii="仿宋" w:hAnsi="仿宋" w:eastAsia="仿宋"/>
          <w:bCs/>
          <w:sz w:val="24"/>
          <w:szCs w:val="24"/>
          <w:u w:val="single"/>
        </w:rPr>
        <w:t>深圳市</w:t>
      </w:r>
      <w:r>
        <w:rPr>
          <w:rFonts w:hint="eastAsia" w:ascii="仿宋" w:hAnsi="仿宋" w:eastAsia="仿宋"/>
          <w:bCs/>
          <w:sz w:val="24"/>
          <w:szCs w:val="24"/>
          <w:u w:val="single"/>
          <w:lang w:val="en-US" w:eastAsia="zh-CN"/>
        </w:rPr>
        <w:t>公安局</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 xml:space="preserve">名　 </w:t>
      </w:r>
      <w:r>
        <w:rPr>
          <w:rFonts w:hint="eastAsia" w:ascii="仿宋" w:hAnsi="仿宋" w:eastAsia="仿宋"/>
          <w:bCs/>
          <w:sz w:val="24"/>
          <w:szCs w:val="24"/>
          <w:lang w:val="en-US" w:eastAsia="zh-CN"/>
        </w:rPr>
        <w:t xml:space="preserve"> </w:t>
      </w:r>
      <w:r>
        <w:rPr>
          <w:rFonts w:hint="eastAsia" w:ascii="仿宋" w:hAnsi="仿宋" w:eastAsia="仿宋"/>
          <w:bCs/>
          <w:sz w:val="24"/>
          <w:szCs w:val="24"/>
        </w:rPr>
        <w:t xml:space="preserve"> 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　</w:t>
      </w:r>
      <w:r>
        <w:rPr>
          <w:rFonts w:hint="eastAsia" w:ascii="仿宋" w:hAnsi="仿宋" w:eastAsia="仿宋"/>
          <w:bCs/>
          <w:sz w:val="24"/>
          <w:szCs w:val="24"/>
          <w:lang w:val="en-US" w:eastAsia="zh-CN"/>
        </w:rPr>
        <w:t xml:space="preserve"> </w:t>
      </w:r>
      <w:r>
        <w:rPr>
          <w:rFonts w:hint="eastAsia" w:ascii="仿宋" w:hAnsi="仿宋" w:eastAsia="仿宋"/>
          <w:bCs/>
          <w:sz w:val="24"/>
          <w:szCs w:val="24"/>
        </w:rPr>
        <w:t xml:space="preserve">  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w:t>
      </w:r>
      <w:r>
        <w:rPr>
          <w:rFonts w:hint="eastAsia" w:ascii="仿宋" w:hAnsi="仿宋" w:eastAsia="仿宋"/>
          <w:bCs/>
          <w:sz w:val="24"/>
          <w:szCs w:val="24"/>
          <w:lang w:val="en-US" w:eastAsia="zh-CN"/>
        </w:rPr>
        <w:t>方</w:t>
      </w:r>
      <w:r>
        <w:rPr>
          <w:rFonts w:hint="eastAsia" w:ascii="仿宋" w:hAnsi="仿宋" w:eastAsia="仿宋"/>
          <w:bCs/>
          <w:sz w:val="24"/>
          <w:szCs w:val="24"/>
        </w:rPr>
        <w:t>式：</w:t>
      </w:r>
      <w:r>
        <w:rPr>
          <w:rFonts w:hint="eastAsia" w:ascii="仿宋" w:hAnsi="仿宋" w:eastAsia="仿宋"/>
          <w:bCs/>
          <w:sz w:val="24"/>
          <w:szCs w:val="24"/>
          <w:u w:val="single"/>
        </w:rPr>
        <w:t>陈工</w:t>
      </w:r>
      <w:r>
        <w:rPr>
          <w:rFonts w:hint="eastAsia" w:ascii="仿宋" w:hAnsi="仿宋" w:eastAsia="仿宋"/>
          <w:bCs/>
          <w:sz w:val="24"/>
          <w:szCs w:val="24"/>
          <w:u w:val="single"/>
          <w:lang w:eastAsia="zh-CN"/>
        </w:rPr>
        <w:t>，</w:t>
      </w:r>
      <w:r>
        <w:rPr>
          <w:rFonts w:hint="eastAsia" w:ascii="仿宋" w:hAnsi="仿宋" w:eastAsia="仿宋"/>
          <w:bCs/>
          <w:sz w:val="24"/>
          <w:szCs w:val="24"/>
          <w:u w:val="single"/>
        </w:rPr>
        <w:t>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rPr>
      </w:pPr>
      <w:r>
        <w:rPr>
          <w:rFonts w:ascii="仿宋" w:hAnsi="仿宋" w:eastAsia="仿宋"/>
          <w:bCs/>
          <w:sz w:val="24"/>
          <w:szCs w:val="24"/>
        </w:rPr>
        <w:t>202</w:t>
      </w:r>
      <w:r>
        <w:rPr>
          <w:rFonts w:hint="eastAsia" w:ascii="仿宋" w:hAnsi="仿宋" w:eastAsia="仿宋"/>
          <w:bCs/>
          <w:sz w:val="24"/>
          <w:szCs w:val="24"/>
        </w:rPr>
        <w:t>1</w:t>
      </w:r>
      <w:r>
        <w:rPr>
          <w:rFonts w:ascii="仿宋" w:hAnsi="仿宋" w:eastAsia="仿宋"/>
          <w:bCs/>
          <w:sz w:val="24"/>
          <w:szCs w:val="24"/>
        </w:rPr>
        <w:t>年</w:t>
      </w:r>
      <w:r>
        <w:rPr>
          <w:rFonts w:hint="eastAsia" w:ascii="仿宋" w:hAnsi="仿宋" w:eastAsia="仿宋"/>
          <w:bCs/>
          <w:sz w:val="24"/>
          <w:szCs w:val="24"/>
        </w:rPr>
        <w:t>1</w:t>
      </w:r>
      <w:r>
        <w:rPr>
          <w:rFonts w:hint="eastAsia" w:ascii="仿宋" w:hAnsi="仿宋" w:eastAsia="仿宋"/>
          <w:bCs/>
          <w:sz w:val="24"/>
          <w:szCs w:val="24"/>
          <w:lang w:val="en-US" w:eastAsia="zh-CN"/>
        </w:rPr>
        <w:t>1</w:t>
      </w:r>
      <w:r>
        <w:rPr>
          <w:rFonts w:ascii="仿宋" w:hAnsi="仿宋" w:eastAsia="仿宋"/>
          <w:bCs/>
          <w:sz w:val="24"/>
          <w:szCs w:val="24"/>
        </w:rPr>
        <w:t>月</w:t>
      </w:r>
      <w:r>
        <w:rPr>
          <w:rFonts w:hint="eastAsia" w:ascii="仿宋" w:hAnsi="仿宋" w:eastAsia="仿宋"/>
          <w:bCs/>
          <w:sz w:val="24"/>
          <w:szCs w:val="24"/>
          <w:lang w:val="en-US" w:eastAsia="zh-CN"/>
        </w:rPr>
        <w:t>17</w:t>
      </w:r>
      <w:r>
        <w:rPr>
          <w:rFonts w:hint="eastAsia" w:ascii="仿宋" w:hAnsi="仿宋" w:eastAsia="仿宋"/>
          <w:bCs/>
          <w:sz w:val="24"/>
          <w:szCs w:val="24"/>
        </w:rPr>
        <w:t>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5"/>
        <w:tblW w:w="92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50"/>
        <w:gridCol w:w="1985"/>
        <w:gridCol w:w="566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6"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项号</w:t>
            </w:r>
          </w:p>
        </w:tc>
        <w:tc>
          <w:tcPr>
            <w:tcW w:w="850"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条款号</w:t>
            </w:r>
          </w:p>
        </w:tc>
        <w:tc>
          <w:tcPr>
            <w:tcW w:w="1985"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内容</w:t>
            </w:r>
          </w:p>
        </w:tc>
        <w:tc>
          <w:tcPr>
            <w:tcW w:w="5669"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tcBorders>
              <w:top w:val="single" w:color="auto" w:sz="4" w:space="0"/>
            </w:tcBorders>
            <w:vAlign w:val="center"/>
          </w:tcPr>
          <w:p>
            <w:pPr>
              <w:pStyle w:val="9"/>
              <w:spacing w:line="360" w:lineRule="auto"/>
              <w:jc w:val="center"/>
              <w:rPr>
                <w:rFonts w:hAnsi="宋体"/>
              </w:rPr>
            </w:pPr>
            <w:r>
              <w:rPr>
                <w:rFonts w:hAnsi="宋体"/>
              </w:rPr>
              <w:t>1</w:t>
            </w:r>
          </w:p>
        </w:tc>
        <w:tc>
          <w:tcPr>
            <w:tcW w:w="850" w:type="dxa"/>
            <w:tcBorders>
              <w:top w:val="single" w:color="auto" w:sz="4" w:space="0"/>
            </w:tcBorders>
            <w:vAlign w:val="center"/>
          </w:tcPr>
          <w:p>
            <w:pPr>
              <w:pStyle w:val="9"/>
              <w:spacing w:line="360" w:lineRule="auto"/>
              <w:jc w:val="center"/>
              <w:rPr>
                <w:rFonts w:hAnsi="宋体"/>
              </w:rPr>
            </w:pPr>
            <w:r>
              <w:rPr>
                <w:rFonts w:hAnsi="宋体"/>
              </w:rPr>
              <w:t>1.1</w:t>
            </w:r>
          </w:p>
        </w:tc>
        <w:tc>
          <w:tcPr>
            <w:tcW w:w="1985" w:type="dxa"/>
            <w:tcBorders>
              <w:top w:val="single" w:color="auto" w:sz="4" w:space="0"/>
            </w:tcBorders>
            <w:vAlign w:val="center"/>
          </w:tcPr>
          <w:p>
            <w:pPr>
              <w:pStyle w:val="9"/>
              <w:spacing w:line="360" w:lineRule="auto"/>
              <w:jc w:val="center"/>
            </w:pPr>
            <w:r>
              <w:rPr>
                <w:rFonts w:hint="eastAsia"/>
              </w:rPr>
              <w:t>项目名称</w:t>
            </w:r>
          </w:p>
        </w:tc>
        <w:tc>
          <w:tcPr>
            <w:tcW w:w="5669" w:type="dxa"/>
            <w:tcBorders>
              <w:top w:val="single" w:color="auto" w:sz="4" w:space="0"/>
            </w:tcBorders>
            <w:vAlign w:val="center"/>
          </w:tcPr>
          <w:p>
            <w:pPr>
              <w:pStyle w:val="9"/>
              <w:spacing w:line="360" w:lineRule="auto"/>
            </w:pPr>
            <w:r>
              <w:rPr>
                <w:rFonts w:hint="eastAsia" w:hAnsi="宋体"/>
              </w:rPr>
              <w:t>柔性防爆罐采购项目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2</w:t>
            </w:r>
          </w:p>
        </w:tc>
        <w:tc>
          <w:tcPr>
            <w:tcW w:w="850" w:type="dxa"/>
            <w:vAlign w:val="center"/>
          </w:tcPr>
          <w:p>
            <w:pPr>
              <w:pStyle w:val="9"/>
              <w:spacing w:line="360" w:lineRule="auto"/>
              <w:jc w:val="center"/>
              <w:rPr>
                <w:rFonts w:hAnsi="宋体"/>
              </w:rPr>
            </w:pPr>
            <w:r>
              <w:rPr>
                <w:rFonts w:hAnsi="宋体"/>
              </w:rPr>
              <w:t>2.1</w:t>
            </w:r>
          </w:p>
        </w:tc>
        <w:tc>
          <w:tcPr>
            <w:tcW w:w="1985" w:type="dxa"/>
            <w:vAlign w:val="center"/>
          </w:tcPr>
          <w:p>
            <w:pPr>
              <w:pStyle w:val="9"/>
              <w:spacing w:line="360" w:lineRule="auto"/>
              <w:jc w:val="center"/>
              <w:rPr>
                <w:rFonts w:hAnsi="宋体"/>
              </w:rPr>
            </w:pPr>
            <w:r>
              <w:rPr>
                <w:rFonts w:hint="eastAsia" w:hAnsi="宋体"/>
                <w:bCs/>
              </w:rPr>
              <w:t>采购人</w:t>
            </w:r>
            <w:r>
              <w:rPr>
                <w:rFonts w:hint="eastAsia" w:hAnsi="宋体"/>
              </w:rPr>
              <w:t>名称</w:t>
            </w:r>
          </w:p>
        </w:tc>
        <w:tc>
          <w:tcPr>
            <w:tcW w:w="5669" w:type="dxa"/>
            <w:vAlign w:val="center"/>
          </w:tcPr>
          <w:p>
            <w:r>
              <w:rPr>
                <w:rFonts w:hint="eastAsia" w:ascii="宋体" w:hAnsi="宋体" w:eastAsiaTheme="minorEastAsia" w:cstheme="minorBidi"/>
              </w:rPr>
              <w:t>深圳市公安局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3</w:t>
            </w:r>
          </w:p>
        </w:tc>
        <w:tc>
          <w:tcPr>
            <w:tcW w:w="850" w:type="dxa"/>
            <w:vAlign w:val="center"/>
          </w:tcPr>
          <w:p>
            <w:pPr>
              <w:pStyle w:val="9"/>
              <w:spacing w:line="360" w:lineRule="auto"/>
              <w:jc w:val="center"/>
              <w:rPr>
                <w:rFonts w:hAnsi="宋体"/>
              </w:rPr>
            </w:pPr>
            <w:r>
              <w:rPr>
                <w:rFonts w:hAnsi="宋体"/>
              </w:rPr>
              <w:t>2.2</w:t>
            </w:r>
          </w:p>
        </w:tc>
        <w:tc>
          <w:tcPr>
            <w:tcW w:w="1985" w:type="dxa"/>
            <w:vAlign w:val="center"/>
          </w:tcPr>
          <w:p>
            <w:pPr>
              <w:pStyle w:val="9"/>
              <w:spacing w:line="360" w:lineRule="auto"/>
              <w:jc w:val="center"/>
              <w:rPr>
                <w:rFonts w:hAnsi="宋体"/>
                <w:bCs/>
              </w:rPr>
            </w:pPr>
            <w:r>
              <w:rPr>
                <w:rFonts w:hint="eastAsia" w:hAnsi="宋体"/>
                <w:bCs/>
              </w:rPr>
              <w:t>采购代理机构</w:t>
            </w:r>
          </w:p>
        </w:tc>
        <w:tc>
          <w:tcPr>
            <w:tcW w:w="5669" w:type="dxa"/>
            <w:vAlign w:val="center"/>
          </w:tcPr>
          <w:p>
            <w:pPr>
              <w:pStyle w:val="9"/>
              <w:spacing w:line="360" w:lineRule="auto"/>
              <w:rPr>
                <w:rFonts w:hAnsi="宋体"/>
              </w:rPr>
            </w:pPr>
            <w:r>
              <w:rPr>
                <w:rFonts w:hint="eastAsia"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4</w:t>
            </w:r>
          </w:p>
        </w:tc>
        <w:tc>
          <w:tcPr>
            <w:tcW w:w="850" w:type="dxa"/>
            <w:vAlign w:val="center"/>
          </w:tcPr>
          <w:p>
            <w:pPr>
              <w:pStyle w:val="9"/>
              <w:spacing w:line="360" w:lineRule="auto"/>
              <w:jc w:val="center"/>
              <w:rPr>
                <w:rFonts w:hAnsi="宋体"/>
              </w:rPr>
            </w:pPr>
            <w:r>
              <w:rPr>
                <w:rFonts w:hint="eastAsia" w:hAnsi="宋体"/>
              </w:rPr>
              <w:t>3.1</w:t>
            </w:r>
          </w:p>
        </w:tc>
        <w:tc>
          <w:tcPr>
            <w:tcW w:w="1985" w:type="dxa"/>
            <w:vAlign w:val="center"/>
          </w:tcPr>
          <w:p>
            <w:pPr>
              <w:pStyle w:val="9"/>
              <w:spacing w:line="360" w:lineRule="auto"/>
              <w:jc w:val="center"/>
              <w:rPr>
                <w:rFonts w:hAnsi="宋体"/>
              </w:rPr>
            </w:pPr>
            <w:r>
              <w:rPr>
                <w:rFonts w:hint="eastAsia" w:hAnsi="宋体"/>
              </w:rPr>
              <w:t>资金来源</w:t>
            </w:r>
          </w:p>
        </w:tc>
        <w:tc>
          <w:tcPr>
            <w:tcW w:w="5669" w:type="dxa"/>
            <w:vAlign w:val="center"/>
          </w:tcPr>
          <w:p>
            <w:pPr>
              <w:pStyle w:val="9"/>
              <w:spacing w:line="360" w:lineRule="auto"/>
              <w:rPr>
                <w:rFonts w:hAnsi="宋体"/>
              </w:rPr>
            </w:pPr>
            <w:r>
              <w:rPr>
                <w:rFonts w:hint="eastAsia" w:hAnsi="宋体"/>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5</w:t>
            </w:r>
          </w:p>
        </w:tc>
        <w:tc>
          <w:tcPr>
            <w:tcW w:w="850" w:type="dxa"/>
            <w:vAlign w:val="center"/>
          </w:tcPr>
          <w:p>
            <w:pPr>
              <w:pStyle w:val="9"/>
              <w:spacing w:line="360" w:lineRule="auto"/>
              <w:jc w:val="center"/>
              <w:rPr>
                <w:rFonts w:hAnsi="宋体"/>
              </w:rPr>
            </w:pPr>
            <w:r>
              <w:rPr>
                <w:rFonts w:hint="eastAsia" w:hAnsi="宋体"/>
              </w:rPr>
              <w:t>4.7</w:t>
            </w:r>
          </w:p>
        </w:tc>
        <w:tc>
          <w:tcPr>
            <w:tcW w:w="1985" w:type="dxa"/>
            <w:vAlign w:val="center"/>
          </w:tcPr>
          <w:p>
            <w:pPr>
              <w:pStyle w:val="9"/>
              <w:spacing w:line="360" w:lineRule="auto"/>
              <w:jc w:val="center"/>
              <w:rPr>
                <w:rFonts w:hAnsi="宋体"/>
              </w:rPr>
            </w:pPr>
            <w:r>
              <w:rPr>
                <w:rFonts w:hint="eastAsia" w:hAnsi="宋体"/>
              </w:rPr>
              <w:t>供应商资格要求</w:t>
            </w:r>
          </w:p>
        </w:tc>
        <w:tc>
          <w:tcPr>
            <w:tcW w:w="5669" w:type="dxa"/>
            <w:vAlign w:val="center"/>
          </w:tcPr>
          <w:p>
            <w:pPr>
              <w:pStyle w:val="9"/>
              <w:spacing w:line="360" w:lineRule="auto"/>
              <w:ind w:left="378" w:hanging="378" w:hangingChars="180"/>
              <w:rPr>
                <w:rFonts w:hAnsi="宋体"/>
                <w:szCs w:val="21"/>
              </w:rPr>
            </w:pPr>
            <w:r>
              <w:rPr>
                <w:rFonts w:hint="eastAsia" w:hAnsi="宋体"/>
                <w:szCs w:val="21"/>
              </w:rPr>
              <w:t>1、</w:t>
            </w:r>
            <w:r>
              <w:rPr>
                <w:rFonts w:hint="eastAsia" w:hAnsi="宋体"/>
                <w:bCs/>
                <w:szCs w:val="21"/>
              </w:rPr>
              <w:t>须是在中华人民共和国境内注册的法人或其他组织。【须</w:t>
            </w:r>
            <w:r>
              <w:rPr>
                <w:rFonts w:hAnsi="宋体"/>
                <w:bCs/>
                <w:szCs w:val="21"/>
              </w:rPr>
              <w:t>提供合法有效的营业执照</w:t>
            </w:r>
            <w:r>
              <w:rPr>
                <w:rFonts w:hint="eastAsia" w:hAnsi="宋体"/>
                <w:bCs/>
                <w:szCs w:val="21"/>
              </w:rPr>
              <w:t>或法人证书等证明材料的</w:t>
            </w:r>
            <w:r>
              <w:rPr>
                <w:rFonts w:hAnsi="宋体"/>
                <w:bCs/>
                <w:szCs w:val="21"/>
              </w:rPr>
              <w:t>扫描件</w:t>
            </w:r>
            <w:r>
              <w:rPr>
                <w:rFonts w:hint="eastAsia" w:hAnsi="宋体"/>
                <w:bCs/>
                <w:szCs w:val="21"/>
              </w:rPr>
              <w:t>或复印件加盖投标人公章</w:t>
            </w:r>
            <w:r>
              <w:rPr>
                <w:rFonts w:hAnsi="宋体"/>
                <w:bCs/>
                <w:szCs w:val="21"/>
              </w:rPr>
              <w:t>，原件备查</w:t>
            </w:r>
            <w:r>
              <w:rPr>
                <w:rFonts w:hint="eastAsia" w:hAnsi="宋体"/>
                <w:bCs/>
                <w:szCs w:val="21"/>
              </w:rPr>
              <w:t>】</w:t>
            </w:r>
          </w:p>
          <w:p>
            <w:pPr>
              <w:pStyle w:val="9"/>
              <w:spacing w:line="360" w:lineRule="auto"/>
              <w:ind w:left="378" w:hanging="378" w:hangingChars="180"/>
              <w:rPr>
                <w:rFonts w:hAnsi="宋体"/>
                <w:szCs w:val="21"/>
              </w:rPr>
            </w:pPr>
            <w:r>
              <w:rPr>
                <w:rFonts w:hint="eastAsia" w:hAnsi="宋体"/>
                <w:szCs w:val="21"/>
                <w:lang w:val="en-US" w:eastAsia="zh-CN"/>
              </w:rPr>
              <w:t>2</w:t>
            </w:r>
            <w:r>
              <w:rPr>
                <w:rFonts w:hint="eastAsia" w:hAnsi="宋体"/>
                <w:szCs w:val="21"/>
              </w:rPr>
              <w:t>、参与本项目投标前三年内，在经营活动中没有重大违法记录。【由投标人按采购文件规定的格式在《政府采购投标及履约承诺函》中作出声明】</w:t>
            </w:r>
          </w:p>
          <w:p>
            <w:pPr>
              <w:pStyle w:val="9"/>
              <w:spacing w:line="360" w:lineRule="auto"/>
              <w:ind w:left="378" w:hanging="378" w:hangingChars="180"/>
              <w:rPr>
                <w:rFonts w:hAnsi="宋体"/>
                <w:szCs w:val="21"/>
              </w:rPr>
            </w:pPr>
            <w:r>
              <w:rPr>
                <w:rFonts w:hint="eastAsia" w:hAnsi="宋体"/>
                <w:szCs w:val="21"/>
                <w:lang w:val="en-US" w:eastAsia="zh-CN"/>
              </w:rPr>
              <w:t>3</w:t>
            </w:r>
            <w:r>
              <w:rPr>
                <w:rFonts w:hint="eastAsia" w:hAnsi="宋体"/>
                <w:szCs w:val="21"/>
              </w:rPr>
              <w:t>、</w:t>
            </w:r>
            <w:r>
              <w:rPr>
                <w:rFonts w:hint="eastAsia" w:hAnsi="宋体"/>
                <w:bCs/>
                <w:szCs w:val="21"/>
              </w:rPr>
              <w:t>参与本项目政府采购活动时不存在被有关部门禁止参与政府采购活动且在有效期内的情况。【由供应商按采购文件规定的格式在《政府采购投标及履约承诺函》中作出声明】</w:t>
            </w:r>
          </w:p>
          <w:p>
            <w:pPr>
              <w:pStyle w:val="9"/>
              <w:spacing w:line="360" w:lineRule="auto"/>
              <w:ind w:left="378" w:hanging="378" w:hangingChars="180"/>
              <w:rPr>
                <w:rFonts w:hAnsi="宋体"/>
                <w:szCs w:val="21"/>
              </w:rPr>
            </w:pPr>
            <w:r>
              <w:rPr>
                <w:rFonts w:hint="eastAsia" w:hAnsi="宋体"/>
                <w:szCs w:val="21"/>
                <w:lang w:val="en-US" w:eastAsia="zh-CN"/>
              </w:rPr>
              <w:t>4</w:t>
            </w:r>
            <w:r>
              <w:rPr>
                <w:rFonts w:hint="eastAsia" w:hAnsi="宋体"/>
                <w:szCs w:val="21"/>
              </w:rPr>
              <w:t>、参与本项目的供应商具备《中华人民共和国政府采购法》第二十二条规定。【由响应投标人按采购文件规定的格式在《政府采购投标及履约承诺函》中作出声明】</w:t>
            </w:r>
          </w:p>
          <w:p>
            <w:pPr>
              <w:pStyle w:val="9"/>
              <w:spacing w:line="360" w:lineRule="auto"/>
              <w:ind w:left="378" w:hanging="378" w:hangingChars="180"/>
              <w:rPr>
                <w:rFonts w:hAnsi="宋体"/>
                <w:szCs w:val="21"/>
              </w:rPr>
            </w:pPr>
            <w:r>
              <w:rPr>
                <w:rFonts w:hint="eastAsia" w:hAnsi="宋体"/>
                <w:szCs w:val="21"/>
                <w:lang w:val="en-US" w:eastAsia="zh-CN"/>
              </w:rPr>
              <w:t>5</w:t>
            </w:r>
            <w:r>
              <w:rPr>
                <w:rFonts w:hint="eastAsia" w:hAnsi="宋体"/>
                <w:szCs w:val="21"/>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hAnsi="宋体"/>
                <w:szCs w:val="21"/>
                <w:lang w:eastAsia="zh-CN"/>
              </w:rPr>
              <w:t>。</w:t>
            </w:r>
            <w:r>
              <w:rPr>
                <w:rFonts w:hint="eastAsia" w:hAnsi="宋体"/>
                <w:szCs w:val="21"/>
                <w:lang w:val="en-US" w:eastAsia="zh-CN"/>
              </w:rPr>
              <w:t>投标人自行查询并提供查询</w:t>
            </w:r>
            <w:r>
              <w:rPr>
                <w:rFonts w:hint="eastAsia" w:hAnsi="宋体"/>
                <w:szCs w:val="21"/>
              </w:rPr>
              <w:t>结果</w:t>
            </w:r>
            <w:r>
              <w:rPr>
                <w:rFonts w:hint="eastAsia" w:hAnsi="宋体"/>
                <w:szCs w:val="21"/>
                <w:lang w:val="en-US" w:eastAsia="zh-CN"/>
              </w:rPr>
              <w:t>截图，查询时间以项目采购公告开始时间至投标</w:t>
            </w:r>
            <w:r>
              <w:rPr>
                <w:rFonts w:hint="eastAsia" w:hAnsi="宋体"/>
                <w:szCs w:val="21"/>
              </w:rPr>
              <w:t>截止时间】</w:t>
            </w:r>
          </w:p>
          <w:p>
            <w:pPr>
              <w:pStyle w:val="9"/>
              <w:spacing w:line="360" w:lineRule="auto"/>
              <w:ind w:left="378" w:hanging="378" w:hangingChars="180"/>
              <w:rPr>
                <w:rFonts w:hint="eastAsia" w:hAnsi="宋体"/>
                <w:bCs/>
                <w:szCs w:val="21"/>
              </w:rPr>
            </w:pPr>
            <w:r>
              <w:rPr>
                <w:rFonts w:hint="eastAsia" w:hAnsi="宋体"/>
                <w:szCs w:val="21"/>
                <w:lang w:val="en-US" w:eastAsia="zh-CN"/>
              </w:rPr>
              <w:t>6</w:t>
            </w:r>
            <w:r>
              <w:rPr>
                <w:rFonts w:hint="eastAsia" w:hAnsi="宋体"/>
                <w:szCs w:val="21"/>
              </w:rPr>
              <w:t>、</w:t>
            </w:r>
            <w:r>
              <w:rPr>
                <w:rFonts w:hint="eastAsia" w:hAnsi="宋体"/>
                <w:bCs/>
                <w:szCs w:val="21"/>
              </w:rPr>
              <w:t>本项目不接受进口产品参与投标。【进口产品是指通过中国海关报关验放进入中国境内且产自关境外的产品。相关内容以“财库【2007】119号文”和“财办库【2008】248号文”的相关规定为准】</w:t>
            </w:r>
          </w:p>
          <w:p>
            <w:pPr>
              <w:pStyle w:val="9"/>
              <w:spacing w:line="360" w:lineRule="auto"/>
              <w:ind w:left="378" w:hanging="378" w:hangingChars="180"/>
              <w:rPr>
                <w:rFonts w:hAnsi="宋体"/>
                <w:szCs w:val="21"/>
              </w:rPr>
            </w:pPr>
            <w:r>
              <w:rPr>
                <w:rFonts w:hint="eastAsia" w:hAnsi="宋体"/>
                <w:szCs w:val="21"/>
                <w:lang w:val="en-US" w:eastAsia="zh-CN"/>
              </w:rPr>
              <w:t>7</w:t>
            </w:r>
            <w:r>
              <w:rPr>
                <w:rFonts w:hint="eastAsia" w:hAnsi="宋体"/>
                <w:szCs w:val="21"/>
              </w:rPr>
              <w:t>、本项目不接受联合体投标，不允许分包或转包。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6</w:t>
            </w:r>
          </w:p>
        </w:tc>
        <w:tc>
          <w:tcPr>
            <w:tcW w:w="850" w:type="dxa"/>
            <w:vAlign w:val="center"/>
          </w:tcPr>
          <w:p>
            <w:pPr>
              <w:pStyle w:val="9"/>
              <w:spacing w:line="360" w:lineRule="auto"/>
              <w:jc w:val="center"/>
              <w:rPr>
                <w:rFonts w:hAnsi="宋体"/>
              </w:rPr>
            </w:pPr>
            <w:r>
              <w:rPr>
                <w:rFonts w:hint="eastAsia" w:hAnsi="宋体"/>
              </w:rPr>
              <w:t>6.1</w:t>
            </w:r>
          </w:p>
        </w:tc>
        <w:tc>
          <w:tcPr>
            <w:tcW w:w="1985" w:type="dxa"/>
            <w:vAlign w:val="center"/>
          </w:tcPr>
          <w:p>
            <w:pPr>
              <w:pStyle w:val="9"/>
              <w:spacing w:line="360" w:lineRule="auto"/>
              <w:jc w:val="center"/>
              <w:rPr>
                <w:rFonts w:hAnsi="宋体"/>
              </w:rPr>
            </w:pPr>
            <w:r>
              <w:rPr>
                <w:rFonts w:hint="eastAsia" w:hAnsi="宋体"/>
              </w:rPr>
              <w:t>踏勘现场</w:t>
            </w:r>
          </w:p>
        </w:tc>
        <w:tc>
          <w:tcPr>
            <w:tcW w:w="5669" w:type="dxa"/>
            <w:vAlign w:val="center"/>
          </w:tcPr>
          <w:p>
            <w:pPr>
              <w:pStyle w:val="9"/>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7</w:t>
            </w:r>
          </w:p>
        </w:tc>
        <w:tc>
          <w:tcPr>
            <w:tcW w:w="850" w:type="dxa"/>
            <w:vAlign w:val="center"/>
          </w:tcPr>
          <w:p>
            <w:pPr>
              <w:pStyle w:val="9"/>
              <w:spacing w:line="360" w:lineRule="auto"/>
              <w:jc w:val="center"/>
              <w:rPr>
                <w:rFonts w:hAnsi="宋体"/>
              </w:rPr>
            </w:pPr>
            <w:r>
              <w:rPr>
                <w:rFonts w:hAnsi="宋体"/>
              </w:rPr>
              <w:t>1</w:t>
            </w:r>
            <w:r>
              <w:rPr>
                <w:rFonts w:hint="eastAsia" w:hAnsi="宋体"/>
              </w:rPr>
              <w:t>4</w:t>
            </w:r>
            <w:r>
              <w:rPr>
                <w:rFonts w:hAnsi="宋体"/>
              </w:rPr>
              <w:t>.1</w:t>
            </w:r>
          </w:p>
        </w:tc>
        <w:tc>
          <w:tcPr>
            <w:tcW w:w="1985" w:type="dxa"/>
            <w:vAlign w:val="center"/>
          </w:tcPr>
          <w:p>
            <w:pPr>
              <w:pStyle w:val="9"/>
              <w:spacing w:line="360" w:lineRule="auto"/>
              <w:jc w:val="center"/>
              <w:rPr>
                <w:rFonts w:hAnsi="宋体"/>
              </w:rPr>
            </w:pPr>
            <w:r>
              <w:rPr>
                <w:rFonts w:hint="eastAsia" w:hAnsi="宋体"/>
                <w:bCs/>
              </w:rPr>
              <w:t>投标文件</w:t>
            </w:r>
            <w:r>
              <w:rPr>
                <w:rFonts w:hint="eastAsia" w:hAnsi="宋体"/>
              </w:rPr>
              <w:t>有效期</w:t>
            </w:r>
          </w:p>
        </w:tc>
        <w:tc>
          <w:tcPr>
            <w:tcW w:w="5669" w:type="dxa"/>
            <w:vAlign w:val="center"/>
          </w:tcPr>
          <w:p>
            <w:pPr>
              <w:pStyle w:val="9"/>
              <w:spacing w:line="360" w:lineRule="auto"/>
              <w:rPr>
                <w:rFonts w:hAnsi="宋体"/>
              </w:rPr>
            </w:pPr>
            <w:r>
              <w:rPr>
                <w:rFonts w:hint="eastAsia" w:hAnsi="宋体"/>
              </w:rPr>
              <w:t>90天（日历日）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8</w:t>
            </w:r>
          </w:p>
        </w:tc>
        <w:tc>
          <w:tcPr>
            <w:tcW w:w="850" w:type="dxa"/>
            <w:vAlign w:val="center"/>
          </w:tcPr>
          <w:p>
            <w:pPr>
              <w:pStyle w:val="9"/>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985" w:type="dxa"/>
            <w:vAlign w:val="center"/>
          </w:tcPr>
          <w:p>
            <w:pPr>
              <w:pStyle w:val="9"/>
              <w:spacing w:line="360" w:lineRule="auto"/>
              <w:jc w:val="center"/>
              <w:rPr>
                <w:rFonts w:hAnsi="宋体"/>
              </w:rPr>
            </w:pPr>
            <w:r>
              <w:rPr>
                <w:rFonts w:hint="eastAsia" w:hAnsi="宋体"/>
              </w:rPr>
              <w:t>项目保证金</w:t>
            </w:r>
          </w:p>
        </w:tc>
        <w:tc>
          <w:tcPr>
            <w:tcW w:w="5669" w:type="dxa"/>
            <w:vAlign w:val="center"/>
          </w:tcPr>
          <w:p>
            <w:pPr>
              <w:pStyle w:val="9"/>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10</w:t>
            </w:r>
          </w:p>
        </w:tc>
        <w:tc>
          <w:tcPr>
            <w:tcW w:w="850" w:type="dxa"/>
            <w:vAlign w:val="center"/>
          </w:tcPr>
          <w:p>
            <w:pPr>
              <w:pStyle w:val="9"/>
              <w:spacing w:line="360" w:lineRule="auto"/>
              <w:jc w:val="center"/>
              <w:rPr>
                <w:rFonts w:hAnsi="宋体"/>
              </w:rPr>
            </w:pPr>
            <w:r>
              <w:rPr>
                <w:rFonts w:hAnsi="宋体"/>
              </w:rPr>
              <w:t>1</w:t>
            </w:r>
            <w:r>
              <w:rPr>
                <w:rFonts w:hint="eastAsia" w:hAnsi="宋体"/>
              </w:rPr>
              <w:t>7</w:t>
            </w:r>
            <w:r>
              <w:rPr>
                <w:rFonts w:hAnsi="宋体"/>
              </w:rPr>
              <w:t>.1</w:t>
            </w:r>
          </w:p>
        </w:tc>
        <w:tc>
          <w:tcPr>
            <w:tcW w:w="1985" w:type="dxa"/>
            <w:vAlign w:val="center"/>
          </w:tcPr>
          <w:p>
            <w:pPr>
              <w:pStyle w:val="9"/>
              <w:spacing w:line="360" w:lineRule="auto"/>
              <w:jc w:val="center"/>
              <w:rPr>
                <w:rFonts w:hAnsi="宋体"/>
              </w:rPr>
            </w:pPr>
            <w:r>
              <w:rPr>
                <w:rFonts w:hint="eastAsia" w:hAnsi="宋体"/>
                <w:bCs/>
              </w:rPr>
              <w:t>投标文件</w:t>
            </w:r>
            <w:r>
              <w:rPr>
                <w:rFonts w:hint="eastAsia" w:hAnsi="宋体"/>
              </w:rPr>
              <w:t>份数</w:t>
            </w:r>
          </w:p>
        </w:tc>
        <w:tc>
          <w:tcPr>
            <w:tcW w:w="5669" w:type="dxa"/>
            <w:vAlign w:val="center"/>
          </w:tcPr>
          <w:p>
            <w:pPr>
              <w:pStyle w:val="9"/>
              <w:rPr>
                <w:rFonts w:hAnsi="宋体"/>
              </w:rPr>
            </w:pPr>
            <w:r>
              <w:rPr>
                <w:rFonts w:hint="eastAsia" w:hAnsi="宋体"/>
              </w:rPr>
              <w:t>正本1份，副本 4 份，投标文件正文扫描件电子档1份。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11</w:t>
            </w:r>
          </w:p>
        </w:tc>
        <w:tc>
          <w:tcPr>
            <w:tcW w:w="850" w:type="dxa"/>
            <w:vAlign w:val="center"/>
          </w:tcPr>
          <w:p>
            <w:pPr>
              <w:pStyle w:val="9"/>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985" w:type="dxa"/>
            <w:vAlign w:val="center"/>
          </w:tcPr>
          <w:p>
            <w:pPr>
              <w:pStyle w:val="9"/>
              <w:spacing w:line="360" w:lineRule="auto"/>
              <w:jc w:val="center"/>
              <w:rPr>
                <w:rFonts w:hAnsi="宋体"/>
              </w:rPr>
            </w:pPr>
            <w:r>
              <w:rPr>
                <w:rFonts w:hint="eastAsia" w:hAnsi="宋体"/>
              </w:rPr>
              <w:t>开标</w:t>
            </w:r>
          </w:p>
        </w:tc>
        <w:tc>
          <w:tcPr>
            <w:tcW w:w="5669" w:type="dxa"/>
            <w:vAlign w:val="center"/>
          </w:tcPr>
          <w:p>
            <w:pPr>
              <w:pStyle w:val="9"/>
              <w:rPr>
                <w:rFonts w:hAnsi="宋体"/>
              </w:rPr>
            </w:pPr>
            <w:r>
              <w:rPr>
                <w:rFonts w:hint="eastAsia" w:hAnsi="宋体"/>
              </w:rPr>
              <w:t>时间：</w:t>
            </w:r>
            <w:r>
              <w:rPr>
                <w:rFonts w:ascii="Times New Roman" w:hAnsi="Times New Roman"/>
                <w:b/>
                <w:snapToGrid w:val="0"/>
                <w:highlight w:val="yellow"/>
              </w:rPr>
              <w:t>20</w:t>
            </w:r>
            <w:r>
              <w:rPr>
                <w:rFonts w:hint="eastAsia" w:ascii="Times New Roman" w:hAnsi="Times New Roman"/>
                <w:b/>
                <w:snapToGrid w:val="0"/>
                <w:highlight w:val="yellow"/>
              </w:rPr>
              <w:t>21</w:t>
            </w:r>
            <w:r>
              <w:rPr>
                <w:rFonts w:ascii="Times New Roman" w:hAnsi="Times New Roman"/>
                <w:b/>
                <w:snapToGrid w:val="0"/>
                <w:highlight w:val="yellow"/>
              </w:rPr>
              <w:t>年</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1</w:t>
            </w:r>
            <w:r>
              <w:rPr>
                <w:rFonts w:ascii="Times New Roman" w:hAnsi="Times New Roman"/>
                <w:b/>
                <w:snapToGrid w:val="0"/>
                <w:highlight w:val="yellow"/>
              </w:rPr>
              <w:t>月</w:t>
            </w:r>
            <w:r>
              <w:rPr>
                <w:rFonts w:hint="eastAsia" w:ascii="Times New Roman" w:hAnsi="Times New Roman"/>
                <w:b/>
                <w:snapToGrid w:val="0"/>
                <w:highlight w:val="yellow"/>
                <w:lang w:val="en-US" w:eastAsia="zh-CN"/>
              </w:rPr>
              <w:t>22</w:t>
            </w:r>
            <w:r>
              <w:rPr>
                <w:rFonts w:ascii="Times New Roman" w:hAnsi="Times New Roman"/>
                <w:b/>
                <w:snapToGrid w:val="0"/>
                <w:highlight w:val="yellow"/>
              </w:rPr>
              <w:t>日</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7</w:t>
            </w:r>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p>
            <w:pPr>
              <w:pStyle w:val="9"/>
              <w:spacing w:line="360" w:lineRule="auto"/>
              <w:ind w:left="735" w:hanging="735" w:hangingChars="350"/>
              <w:rPr>
                <w:rFonts w:hAnsi="宋体"/>
              </w:rPr>
            </w:pPr>
            <w:r>
              <w:rPr>
                <w:rFonts w:hint="eastAsia" w:hAnsi="宋体"/>
              </w:rPr>
              <w:t>地点：</w:t>
            </w:r>
            <w:r>
              <w:rPr>
                <w:rFonts w:hAnsi="宋体"/>
              </w:rPr>
              <w:t>深圳市福田区民田路</w:t>
            </w:r>
            <w:r>
              <w:rPr>
                <w:rFonts w:hint="eastAsia" w:hAnsi="宋体"/>
              </w:rPr>
              <w:t>171号</w:t>
            </w:r>
            <w:r>
              <w:rPr>
                <w:rFonts w:hAnsi="宋体"/>
              </w:rPr>
              <w:t>新华保险大厦</w:t>
            </w:r>
            <w:r>
              <w:rPr>
                <w:rFonts w:hint="eastAsia" w:hAnsi="宋体"/>
              </w:rPr>
              <w:t>903</w:t>
            </w:r>
            <w:r>
              <w:rPr>
                <w:rFonts w:hAnsi="宋体"/>
              </w:rPr>
              <w:t>中正招标</w:t>
            </w:r>
            <w:r>
              <w:rPr>
                <w:rFonts w:hint="eastAsia" w:hAnsi="宋体"/>
              </w:rPr>
              <w:t>开标室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12</w:t>
            </w:r>
          </w:p>
        </w:tc>
        <w:tc>
          <w:tcPr>
            <w:tcW w:w="850" w:type="dxa"/>
            <w:vAlign w:val="center"/>
          </w:tcPr>
          <w:p>
            <w:pPr>
              <w:pStyle w:val="9"/>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985" w:type="dxa"/>
            <w:vAlign w:val="center"/>
          </w:tcPr>
          <w:p>
            <w:pPr>
              <w:pStyle w:val="9"/>
              <w:spacing w:line="360" w:lineRule="auto"/>
              <w:jc w:val="center"/>
              <w:rPr>
                <w:rFonts w:hAnsi="宋体"/>
              </w:rPr>
            </w:pPr>
            <w:r>
              <w:rPr>
                <w:rFonts w:hint="eastAsia" w:hAnsi="宋体"/>
                <w:bCs/>
              </w:rPr>
              <w:t>投标文件</w:t>
            </w:r>
            <w:r>
              <w:rPr>
                <w:rFonts w:hint="eastAsia" w:hAnsi="宋体"/>
              </w:rPr>
              <w:t>截止时间</w:t>
            </w:r>
          </w:p>
        </w:tc>
        <w:tc>
          <w:tcPr>
            <w:tcW w:w="5669" w:type="dxa"/>
            <w:vAlign w:val="center"/>
          </w:tcPr>
          <w:p>
            <w:pPr>
              <w:pStyle w:val="9"/>
              <w:spacing w:line="360" w:lineRule="auto"/>
              <w:rPr>
                <w:rFonts w:hAnsi="宋体"/>
                <w:b/>
              </w:rPr>
            </w:pPr>
            <w:r>
              <w:rPr>
                <w:rFonts w:ascii="Times New Roman" w:hAnsi="Times New Roman"/>
                <w:b/>
                <w:snapToGrid w:val="0"/>
                <w:highlight w:val="yellow"/>
              </w:rPr>
              <w:t>20</w:t>
            </w:r>
            <w:r>
              <w:rPr>
                <w:rFonts w:hint="eastAsia" w:ascii="Times New Roman" w:hAnsi="Times New Roman"/>
                <w:b/>
                <w:snapToGrid w:val="0"/>
                <w:highlight w:val="yellow"/>
              </w:rPr>
              <w:t>21</w:t>
            </w:r>
            <w:r>
              <w:rPr>
                <w:rFonts w:ascii="Times New Roman" w:hAnsi="Times New Roman"/>
                <w:b/>
                <w:snapToGrid w:val="0"/>
                <w:highlight w:val="yellow"/>
              </w:rPr>
              <w:t>年</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1</w:t>
            </w:r>
            <w:r>
              <w:rPr>
                <w:rFonts w:ascii="Times New Roman" w:hAnsi="Times New Roman"/>
                <w:b/>
                <w:snapToGrid w:val="0"/>
                <w:highlight w:val="yellow"/>
              </w:rPr>
              <w:t>月</w:t>
            </w:r>
            <w:r>
              <w:rPr>
                <w:rFonts w:hint="eastAsia" w:ascii="Times New Roman" w:hAnsi="Times New Roman"/>
                <w:b/>
                <w:snapToGrid w:val="0"/>
                <w:highlight w:val="yellow"/>
                <w:lang w:val="en-US" w:eastAsia="zh-CN"/>
              </w:rPr>
              <w:t>22</w:t>
            </w:r>
            <w:r>
              <w:rPr>
                <w:rFonts w:ascii="Times New Roman" w:hAnsi="Times New Roman"/>
                <w:b/>
                <w:snapToGrid w:val="0"/>
                <w:highlight w:val="yellow"/>
              </w:rPr>
              <w:t>日</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7</w:t>
            </w:r>
            <w:bookmarkStart w:id="7" w:name="_GoBack"/>
            <w:bookmarkEnd w:id="7"/>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13</w:t>
            </w:r>
          </w:p>
        </w:tc>
        <w:tc>
          <w:tcPr>
            <w:tcW w:w="850" w:type="dxa"/>
            <w:vAlign w:val="center"/>
          </w:tcPr>
          <w:p>
            <w:pPr>
              <w:pStyle w:val="9"/>
              <w:spacing w:line="360" w:lineRule="auto"/>
              <w:jc w:val="center"/>
              <w:rPr>
                <w:rFonts w:hAnsi="宋体"/>
              </w:rPr>
            </w:pPr>
            <w:r>
              <w:rPr>
                <w:rFonts w:hint="eastAsia" w:hAnsi="宋体"/>
              </w:rPr>
              <w:t>26</w:t>
            </w:r>
            <w:r>
              <w:rPr>
                <w:rFonts w:hAnsi="宋体"/>
              </w:rPr>
              <w:t>.</w:t>
            </w:r>
            <w:r>
              <w:rPr>
                <w:rFonts w:hint="eastAsia" w:hAnsi="宋体"/>
              </w:rPr>
              <w:t>5</w:t>
            </w:r>
          </w:p>
        </w:tc>
        <w:tc>
          <w:tcPr>
            <w:tcW w:w="1985" w:type="dxa"/>
            <w:vAlign w:val="center"/>
          </w:tcPr>
          <w:p>
            <w:pPr>
              <w:pStyle w:val="9"/>
              <w:spacing w:line="360" w:lineRule="auto"/>
              <w:jc w:val="center"/>
              <w:rPr>
                <w:rFonts w:hAnsi="宋体"/>
              </w:rPr>
            </w:pPr>
            <w:r>
              <w:rPr>
                <w:rFonts w:hint="eastAsia" w:hAnsi="宋体"/>
              </w:rPr>
              <w:t>评标办法</w:t>
            </w:r>
          </w:p>
        </w:tc>
        <w:tc>
          <w:tcPr>
            <w:tcW w:w="5669" w:type="dxa"/>
            <w:vAlign w:val="center"/>
          </w:tcPr>
          <w:p>
            <w:pPr>
              <w:pStyle w:val="9"/>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14</w:t>
            </w:r>
          </w:p>
        </w:tc>
        <w:tc>
          <w:tcPr>
            <w:tcW w:w="850" w:type="dxa"/>
            <w:vAlign w:val="center"/>
          </w:tcPr>
          <w:p>
            <w:pPr>
              <w:pStyle w:val="9"/>
              <w:spacing w:line="360" w:lineRule="auto"/>
              <w:jc w:val="center"/>
              <w:rPr>
                <w:rFonts w:hAnsi="宋体"/>
              </w:rPr>
            </w:pPr>
            <w:r>
              <w:rPr>
                <w:rFonts w:hint="eastAsia" w:hAnsi="宋体"/>
              </w:rPr>
              <w:t>33.1</w:t>
            </w:r>
          </w:p>
        </w:tc>
        <w:tc>
          <w:tcPr>
            <w:tcW w:w="1985" w:type="dxa"/>
            <w:vAlign w:val="center"/>
          </w:tcPr>
          <w:p>
            <w:pPr>
              <w:pStyle w:val="9"/>
              <w:spacing w:line="340" w:lineRule="exact"/>
              <w:jc w:val="center"/>
              <w:rPr>
                <w:rFonts w:hAnsi="宋体"/>
              </w:rPr>
            </w:pPr>
            <w:r>
              <w:rPr>
                <w:rFonts w:hint="eastAsia" w:hAnsi="宋体"/>
              </w:rPr>
              <w:t>采购代理服务费</w:t>
            </w:r>
          </w:p>
        </w:tc>
        <w:tc>
          <w:tcPr>
            <w:tcW w:w="5669" w:type="dxa"/>
            <w:vAlign w:val="center"/>
          </w:tcPr>
          <w:p>
            <w:pPr>
              <w:pStyle w:val="9"/>
              <w:spacing w:line="340" w:lineRule="exact"/>
              <w:rPr>
                <w:rFonts w:hAnsi="宋体"/>
              </w:rPr>
            </w:pPr>
            <w:r>
              <w:rPr>
                <w:rFonts w:hint="eastAsia" w:hAnsi="宋体"/>
              </w:rPr>
              <w:t>采购代理机构按中标金额的一定比例向中标人收取。</w:t>
            </w:r>
          </w:p>
          <w:p>
            <w:pPr>
              <w:pStyle w:val="9"/>
              <w:spacing w:line="340" w:lineRule="exact"/>
              <w:rPr>
                <w:rFonts w:hint="eastAsia" w:hAnsi="宋体"/>
              </w:rPr>
            </w:pPr>
            <w:r>
              <w:rPr>
                <w:rFonts w:hint="eastAsia" w:hAnsi="宋体"/>
              </w:rPr>
              <w:t>（详见“第五部分-通用条款（供应商须知）第33小条”）</w:t>
            </w:r>
          </w:p>
          <w:p>
            <w:pPr>
              <w:pStyle w:val="9"/>
              <w:spacing w:line="340" w:lineRule="exact"/>
              <w:rPr>
                <w:rFonts w:hint="default" w:hAnsi="宋体" w:eastAsiaTheme="minorEastAsia"/>
                <w:lang w:val="en-US" w:eastAsia="zh-CN"/>
              </w:rPr>
            </w:pPr>
            <w:r>
              <w:rPr>
                <w:rFonts w:hint="eastAsia" w:hAnsi="宋体"/>
                <w:lang w:val="en-US" w:eastAsia="zh-CN"/>
              </w:rPr>
              <w:t>最低收取3,000.00元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15</w:t>
            </w:r>
          </w:p>
        </w:tc>
        <w:tc>
          <w:tcPr>
            <w:tcW w:w="850" w:type="dxa"/>
            <w:vAlign w:val="center"/>
          </w:tcPr>
          <w:p>
            <w:pPr>
              <w:pStyle w:val="9"/>
              <w:spacing w:line="360" w:lineRule="auto"/>
              <w:jc w:val="center"/>
              <w:rPr>
                <w:rFonts w:hAnsi="宋体"/>
              </w:rPr>
            </w:pPr>
          </w:p>
        </w:tc>
        <w:tc>
          <w:tcPr>
            <w:tcW w:w="1985" w:type="dxa"/>
            <w:vAlign w:val="center"/>
          </w:tcPr>
          <w:p>
            <w:pPr>
              <w:pStyle w:val="9"/>
              <w:spacing w:line="340" w:lineRule="exact"/>
              <w:jc w:val="center"/>
              <w:rPr>
                <w:rFonts w:hAnsi="宋体"/>
              </w:rPr>
            </w:pPr>
            <w:r>
              <w:rPr>
                <w:rFonts w:hint="eastAsia" w:hAnsi="宋体"/>
              </w:rPr>
              <w:t>采购控制金额</w:t>
            </w:r>
          </w:p>
          <w:p>
            <w:pPr>
              <w:pStyle w:val="9"/>
              <w:spacing w:line="340" w:lineRule="exact"/>
              <w:jc w:val="center"/>
              <w:rPr>
                <w:rFonts w:hAnsi="宋体"/>
              </w:rPr>
            </w:pPr>
            <w:r>
              <w:rPr>
                <w:rFonts w:hint="eastAsia" w:hAnsi="宋体"/>
              </w:rPr>
              <w:t>（最高投标限价）</w:t>
            </w:r>
          </w:p>
        </w:tc>
        <w:tc>
          <w:tcPr>
            <w:tcW w:w="5669" w:type="dxa"/>
            <w:vAlign w:val="center"/>
          </w:tcPr>
          <w:p>
            <w:pPr>
              <w:pStyle w:val="9"/>
              <w:spacing w:line="340" w:lineRule="exact"/>
              <w:rPr>
                <w:rFonts w:hAnsi="宋体"/>
                <w:b/>
              </w:rPr>
            </w:pPr>
            <w:r>
              <w:rPr>
                <w:rFonts w:hint="eastAsia" w:hAnsi="宋体"/>
                <w:b/>
                <w:highlight w:val="yellow"/>
              </w:rPr>
              <w:t>人民币叁拾玖万元整（￥</w:t>
            </w:r>
            <w:r>
              <w:rPr>
                <w:rFonts w:hint="eastAsia" w:hAnsi="宋体"/>
                <w:b/>
                <w:highlight w:val="yellow"/>
                <w:u w:val="single"/>
              </w:rPr>
              <w:t>390</w:t>
            </w:r>
            <w:r>
              <w:rPr>
                <w:rFonts w:hAnsi="宋体"/>
                <w:b/>
                <w:highlight w:val="yellow"/>
                <w:u w:val="single"/>
              </w:rPr>
              <w:t>,</w:t>
            </w:r>
            <w:r>
              <w:rPr>
                <w:rFonts w:hint="eastAsia" w:hAnsi="宋体"/>
                <w:b/>
                <w:highlight w:val="yellow"/>
                <w:u w:val="single"/>
              </w:rPr>
              <w:t>0</w:t>
            </w:r>
            <w:r>
              <w:rPr>
                <w:rFonts w:hAnsi="宋体"/>
                <w:b/>
                <w:highlight w:val="yellow"/>
                <w:u w:val="single"/>
              </w:rPr>
              <w:t>00.00</w:t>
            </w:r>
            <w:r>
              <w:rPr>
                <w:rFonts w:hint="eastAsia" w:hAnsi="宋体"/>
                <w:b/>
                <w:highlight w:val="yellow"/>
              </w:rPr>
              <w:t>）</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20" w:firstLineChars="200"/>
        <w:rPr>
          <w:rFonts w:ascii="仿宋" w:hAnsi="仿宋" w:eastAsia="仿宋"/>
          <w:snapToGrid w:val="0"/>
          <w:kern w:val="0"/>
        </w:rPr>
      </w:pPr>
      <w:r>
        <w:rPr>
          <w:rFonts w:hint="eastAsia" w:ascii="仿宋" w:hAnsi="仿宋" w:eastAsia="仿宋"/>
          <w:snapToGrid w:val="0"/>
          <w:kern w:val="0"/>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rPr>
      </w:pPr>
    </w:p>
    <w:p>
      <w:pPr>
        <w:adjustRightInd w:val="0"/>
        <w:spacing w:line="360" w:lineRule="auto"/>
        <w:rPr>
          <w:rFonts w:ascii="仿宋" w:hAnsi="仿宋" w:eastAsia="仿宋"/>
          <w:snapToGrid w:val="0"/>
          <w:kern w:val="0"/>
        </w:rPr>
      </w:pPr>
      <w:r>
        <w:rPr>
          <w:rFonts w:hint="eastAsia" w:ascii="仿宋" w:hAnsi="仿宋" w:eastAsia="仿宋"/>
          <w:snapToGrid w:val="0"/>
          <w:kern w:val="0"/>
        </w:rPr>
        <w:t>一、资格性审查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bCs/>
          <w:szCs w:val="21"/>
        </w:rPr>
        <w:t>投标人</w:t>
      </w:r>
      <w:r>
        <w:rPr>
          <w:rFonts w:hint="eastAsia" w:ascii="仿宋" w:hAnsi="仿宋" w:eastAsia="仿宋"/>
          <w:snapToGrid w:val="0"/>
          <w:kern w:val="0"/>
        </w:rPr>
        <w:t>的资格不符合采购文件要求或资格证明文件提供不全。</w:t>
      </w:r>
    </w:p>
    <w:p>
      <w:pPr>
        <w:adjustRightInd w:val="0"/>
        <w:spacing w:line="360" w:lineRule="auto"/>
        <w:rPr>
          <w:rFonts w:ascii="仿宋" w:hAnsi="仿宋" w:eastAsia="仿宋"/>
          <w:snapToGrid w:val="0"/>
          <w:kern w:val="0"/>
        </w:rPr>
      </w:pPr>
      <w:r>
        <w:rPr>
          <w:rFonts w:hint="eastAsia" w:ascii="仿宋" w:hAnsi="仿宋" w:eastAsia="仿宋"/>
          <w:snapToGrid w:val="0"/>
          <w:kern w:val="0"/>
        </w:rPr>
        <w:t>二、符合性审查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投标人提供的投标文件数量不符合采购文件要求。</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投标文件未按照采购文件要求制作、密封和标记。</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投标文件的关键内容字迹模糊、无法辨认的。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投标报价有严重缺漏项的。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未实质性响应采购文件要求的。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rPr>
      </w:pPr>
      <w:r>
        <w:rPr>
          <w:rFonts w:hint="eastAsia" w:ascii="仿宋" w:hAnsi="仿宋" w:eastAsia="仿宋"/>
          <w:snapToGrid w:val="0"/>
          <w:kern w:val="0"/>
        </w:rPr>
        <w:t>未按采购文件所提供的样式填写</w:t>
      </w:r>
      <w:r>
        <w:rPr>
          <w:rFonts w:ascii="仿宋" w:hAnsi="仿宋" w:eastAsia="仿宋"/>
          <w:snapToGrid w:val="0"/>
          <w:kern w:val="0"/>
        </w:rPr>
        <w:t>《</w:t>
      </w:r>
      <w:r>
        <w:rPr>
          <w:rFonts w:hint="eastAsia" w:ascii="仿宋" w:hAnsi="仿宋" w:eastAsia="仿宋"/>
          <w:snapToGrid w:val="0"/>
          <w:kern w:val="0"/>
        </w:rPr>
        <w:t>投标函》。</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投标文件附有采购人不能接受的条件。</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投标总价或单个采购条目的分项报价超过采购控制金额（最高投标限价）的。</w:t>
      </w:r>
    </w:p>
    <w:p>
      <w:pPr>
        <w:numPr>
          <w:ilvl w:val="0"/>
          <w:numId w:val="1"/>
        </w:numPr>
        <w:adjustRightInd w:val="0"/>
        <w:spacing w:line="360" w:lineRule="auto"/>
        <w:rPr>
          <w:snapToGrid w:val="0"/>
          <w:kern w:val="0"/>
        </w:rPr>
      </w:pPr>
      <w:r>
        <w:rPr>
          <w:rFonts w:hint="eastAsia" w:ascii="仿宋" w:hAnsi="仿宋" w:eastAsia="仿宋"/>
          <w:snapToGrid w:val="0"/>
          <w:kern w:val="0"/>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480" w:firstLineChars="200"/>
        <w:jc w:val="left"/>
        <w:rPr>
          <w:rFonts w:ascii="仿宋" w:hAnsi="仿宋" w:eastAsia="仿宋"/>
          <w:sz w:val="24"/>
          <w:szCs w:val="28"/>
        </w:rPr>
      </w:pPr>
      <w:r>
        <w:rPr>
          <w:rFonts w:hint="eastAsia" w:ascii="仿宋" w:hAnsi="仿宋" w:eastAsia="仿宋"/>
          <w:sz w:val="24"/>
          <w:szCs w:val="28"/>
        </w:rPr>
        <w:t>综合评分法，是指投标文件满足采购文件全部实质性要求，且按照评审因素的量化指标评审得分最高的投标人为中标候选人的评标方法。</w:t>
      </w:r>
    </w:p>
    <w:tbl>
      <w:tblPr>
        <w:tblStyle w:val="15"/>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82"/>
        <w:gridCol w:w="709"/>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2"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类别</w:t>
            </w:r>
          </w:p>
        </w:tc>
        <w:tc>
          <w:tcPr>
            <w:tcW w:w="1182" w:type="dxa"/>
            <w:tcBorders>
              <w:top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评分项目</w:t>
            </w:r>
          </w:p>
        </w:tc>
        <w:tc>
          <w:tcPr>
            <w:tcW w:w="709" w:type="dxa"/>
            <w:tcBorders>
              <w:top w:val="double" w:color="auto" w:sz="4" w:space="0"/>
            </w:tcBorders>
            <w:shd w:val="clear" w:color="auto" w:fill="8DB3E2"/>
            <w:vAlign w:val="center"/>
          </w:tcPr>
          <w:p>
            <w:pPr>
              <w:widowControl/>
              <w:adjustRightInd w:val="0"/>
              <w:snapToGrid w:val="0"/>
              <w:spacing w:after="60" w:line="360" w:lineRule="auto"/>
              <w:jc w:val="center"/>
              <w:rPr>
                <w:rFonts w:ascii="仿宋" w:hAnsi="仿宋" w:eastAsia="仿宋"/>
                <w:snapToGrid w:val="0"/>
                <w:kern w:val="0"/>
                <w:sz w:val="22"/>
              </w:rPr>
            </w:pPr>
            <w:r>
              <w:rPr>
                <w:rFonts w:hint="eastAsia" w:ascii="仿宋" w:hAnsi="仿宋" w:eastAsia="仿宋"/>
                <w:b/>
                <w:bCs/>
                <w:snapToGrid w:val="0"/>
                <w:kern w:val="0"/>
                <w:sz w:val="22"/>
              </w:rPr>
              <w:t>分值</w:t>
            </w:r>
          </w:p>
        </w:tc>
        <w:tc>
          <w:tcPr>
            <w:tcW w:w="6335"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价格标（G）</w:t>
            </w:r>
          </w:p>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（总分30分）</w:t>
            </w:r>
          </w:p>
        </w:tc>
        <w:tc>
          <w:tcPr>
            <w:tcW w:w="1182"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投标总价</w:t>
            </w:r>
          </w:p>
        </w:tc>
        <w:tc>
          <w:tcPr>
            <w:tcW w:w="709"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30</w:t>
            </w:r>
          </w:p>
        </w:tc>
        <w:tc>
          <w:tcPr>
            <w:tcW w:w="6335" w:type="dxa"/>
            <w:tcBorders>
              <w:right w:val="double" w:color="auto" w:sz="4" w:space="0"/>
            </w:tcBorders>
            <w:vAlign w:val="center"/>
          </w:tcPr>
          <w:p>
            <w:pPr>
              <w:adjustRightInd w:val="0"/>
              <w:spacing w:line="360" w:lineRule="auto"/>
              <w:jc w:val="left"/>
              <w:rPr>
                <w:rFonts w:ascii="仿宋" w:hAnsi="仿宋" w:eastAsia="仿宋" w:cs="宋体"/>
                <w:kern w:val="0"/>
                <w:sz w:val="22"/>
              </w:rPr>
            </w:pPr>
            <w:r>
              <w:rPr>
                <w:rFonts w:hint="eastAsia" w:ascii="仿宋" w:hAnsi="仿宋" w:eastAsia="仿宋" w:cs="宋体"/>
                <w:kern w:val="0"/>
                <w:sz w:val="22"/>
              </w:rPr>
              <w:t>价格分按以下方案计算：</w:t>
            </w:r>
          </w:p>
          <w:p>
            <w:pPr>
              <w:adjustRightInd w:val="0"/>
              <w:spacing w:line="360" w:lineRule="auto"/>
              <w:jc w:val="left"/>
              <w:rPr>
                <w:rFonts w:ascii="仿宋" w:hAnsi="仿宋" w:eastAsia="仿宋" w:cs="宋体"/>
                <w:kern w:val="0"/>
                <w:sz w:val="22"/>
              </w:rPr>
            </w:pPr>
            <w:r>
              <w:rPr>
                <w:rFonts w:hint="eastAsia" w:ascii="仿宋" w:hAnsi="仿宋" w:eastAsia="仿宋" w:cs="宋体"/>
                <w:kern w:val="0"/>
                <w:sz w:val="22"/>
              </w:rPr>
              <w:t>投标报价得分= Z/Sn×30</w:t>
            </w:r>
          </w:p>
          <w:p>
            <w:pPr>
              <w:adjustRightInd w:val="0"/>
              <w:spacing w:line="360" w:lineRule="auto"/>
              <w:jc w:val="left"/>
              <w:rPr>
                <w:rFonts w:ascii="仿宋" w:hAnsi="仿宋" w:eastAsia="仿宋" w:cs="宋体"/>
                <w:kern w:val="0"/>
                <w:sz w:val="22"/>
              </w:rPr>
            </w:pPr>
            <w:r>
              <w:rPr>
                <w:rFonts w:hint="eastAsia" w:ascii="仿宋" w:hAnsi="仿宋" w:eastAsia="仿宋" w:cs="宋体"/>
                <w:kern w:val="0"/>
                <w:sz w:val="22"/>
              </w:rPr>
              <w:t>其中： Z --评标基准价，即通过资格性审查和符合性审查且投标价格最低的投标报价</w:t>
            </w:r>
          </w:p>
          <w:p>
            <w:pPr>
              <w:adjustRightInd w:val="0"/>
              <w:spacing w:line="360" w:lineRule="auto"/>
              <w:rPr>
                <w:rFonts w:ascii="仿宋" w:hAnsi="仿宋" w:eastAsia="仿宋" w:cs="宋体"/>
                <w:kern w:val="0"/>
                <w:sz w:val="22"/>
              </w:rPr>
            </w:pPr>
            <w:r>
              <w:rPr>
                <w:rFonts w:hint="eastAsia" w:ascii="仿宋" w:hAnsi="仿宋" w:eastAsia="仿宋" w:cs="宋体"/>
                <w:kern w:val="0"/>
                <w:sz w:val="22"/>
              </w:rPr>
              <w:tab/>
            </w:r>
            <w:r>
              <w:rPr>
                <w:rFonts w:hint="eastAsia" w:ascii="仿宋" w:hAnsi="仿宋" w:eastAsia="仿宋" w:cs="宋体"/>
                <w:kern w:val="0"/>
                <w:sz w:val="22"/>
              </w:rPr>
              <w:t xml:space="preserve">  Sn ---投标报价，即通过资格性审查和符合性审查的投标报价。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技术标（J）</w:t>
            </w:r>
          </w:p>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（总分</w:t>
            </w:r>
            <w:r>
              <w:rPr>
                <w:rFonts w:hint="eastAsia" w:ascii="仿宋" w:hAnsi="仿宋" w:eastAsia="仿宋"/>
                <w:b/>
                <w:bCs/>
                <w:snapToGrid w:val="0"/>
                <w:kern w:val="0"/>
                <w:sz w:val="22"/>
                <w:lang w:val="en-US" w:eastAsia="zh-CN"/>
              </w:rPr>
              <w:t>60</w:t>
            </w:r>
            <w:r>
              <w:rPr>
                <w:rFonts w:hint="eastAsia" w:ascii="仿宋" w:hAnsi="仿宋" w:eastAsia="仿宋"/>
                <w:b/>
                <w:bCs/>
                <w:snapToGrid w:val="0"/>
                <w:kern w:val="0"/>
                <w:sz w:val="22"/>
              </w:rPr>
              <w:t>分）</w:t>
            </w:r>
          </w:p>
        </w:tc>
        <w:tc>
          <w:tcPr>
            <w:tcW w:w="1182" w:type="dxa"/>
            <w:vAlign w:val="center"/>
          </w:tcPr>
          <w:p>
            <w:pPr>
              <w:adjustRightInd w:val="0"/>
              <w:spacing w:line="360" w:lineRule="auto"/>
              <w:jc w:val="center"/>
              <w:rPr>
                <w:rFonts w:ascii="仿宋" w:hAnsi="仿宋" w:eastAsia="仿宋" w:cs="宋体"/>
                <w:kern w:val="0"/>
                <w:sz w:val="22"/>
              </w:rPr>
            </w:pPr>
            <w:r>
              <w:rPr>
                <w:rFonts w:hint="eastAsia" w:ascii="仿宋" w:hAnsi="仿宋" w:eastAsia="仿宋" w:cs="宋体"/>
                <w:kern w:val="0"/>
                <w:sz w:val="22"/>
              </w:rPr>
              <w:t>技术规格偏离情况</w:t>
            </w:r>
          </w:p>
        </w:tc>
        <w:tc>
          <w:tcPr>
            <w:tcW w:w="709" w:type="dxa"/>
            <w:vAlign w:val="center"/>
          </w:tcPr>
          <w:p>
            <w:pPr>
              <w:spacing w:line="360" w:lineRule="auto"/>
              <w:jc w:val="center"/>
              <w:rPr>
                <w:rFonts w:ascii="仿宋" w:hAnsi="仿宋" w:eastAsia="仿宋" w:cs="宋体"/>
                <w:kern w:val="0"/>
                <w:sz w:val="22"/>
              </w:rPr>
            </w:pPr>
            <w:r>
              <w:rPr>
                <w:rFonts w:hint="eastAsia" w:ascii="仿宋" w:hAnsi="仿宋" w:eastAsia="仿宋" w:cs="宋体"/>
                <w:kern w:val="0"/>
                <w:sz w:val="22"/>
              </w:rPr>
              <w:t>50</w:t>
            </w:r>
          </w:p>
        </w:tc>
        <w:tc>
          <w:tcPr>
            <w:tcW w:w="6335" w:type="dxa"/>
            <w:tcBorders>
              <w:right w:val="double" w:color="auto" w:sz="4" w:space="0"/>
            </w:tcBorders>
            <w:vAlign w:val="center"/>
          </w:tcPr>
          <w:p>
            <w:pPr>
              <w:adjustRightInd w:val="0"/>
              <w:snapToGrid w:val="0"/>
              <w:spacing w:line="360" w:lineRule="auto"/>
              <w:rPr>
                <w:rFonts w:ascii="仿宋" w:hAnsi="仿宋" w:eastAsia="仿宋"/>
                <w:sz w:val="22"/>
              </w:rPr>
            </w:pPr>
            <w:r>
              <w:rPr>
                <w:rFonts w:hint="eastAsia" w:ascii="仿宋" w:hAnsi="仿宋" w:eastAsia="仿宋"/>
                <w:sz w:val="22"/>
              </w:rPr>
              <w:t>投标人应如实填写《技术规格偏离表》，评审委员会根据技术参数响应情况进行打分，各项技术参数指标及要求全部满足的得满分50分，</w:t>
            </w:r>
            <w:r>
              <w:rPr>
                <w:rFonts w:hint="eastAsia" w:ascii="仿宋" w:hAnsi="仿宋" w:eastAsia="仿宋"/>
                <w:color w:val="FF0000"/>
                <w:sz w:val="22"/>
              </w:rPr>
              <w:t>未响应的参数按负偏离扣分。</w:t>
            </w:r>
            <w:r>
              <w:rPr>
                <w:rFonts w:hint="eastAsia" w:ascii="仿宋" w:hAnsi="仿宋" w:eastAsia="仿宋"/>
                <w:sz w:val="22"/>
              </w:rPr>
              <w:t>带</w:t>
            </w:r>
            <w:r>
              <w:rPr>
                <w:rFonts w:hint="eastAsia" w:ascii="仿宋" w:hAnsi="仿宋" w:eastAsia="仿宋" w:cs="宋体"/>
                <w:kern w:val="0"/>
                <w:sz w:val="22"/>
              </w:rPr>
              <w:t>▲</w:t>
            </w:r>
            <w:r>
              <w:rPr>
                <w:rFonts w:hint="eastAsia" w:ascii="仿宋" w:hAnsi="仿宋" w:eastAsia="仿宋"/>
                <w:sz w:val="22"/>
              </w:rPr>
              <w:t>的重要参数每负偏离一项扣</w:t>
            </w:r>
            <w:r>
              <w:rPr>
                <w:rFonts w:hint="eastAsia" w:ascii="仿宋" w:hAnsi="仿宋" w:eastAsia="仿宋"/>
                <w:sz w:val="22"/>
                <w:lang w:val="en-US" w:eastAsia="zh-CN"/>
              </w:rPr>
              <w:t>10</w:t>
            </w:r>
            <w:r>
              <w:rPr>
                <w:rFonts w:hint="eastAsia" w:ascii="仿宋" w:hAnsi="仿宋" w:eastAsia="仿宋"/>
                <w:sz w:val="22"/>
              </w:rPr>
              <w:t>分，其他一般参数每负偏离一项扣</w:t>
            </w:r>
            <w:r>
              <w:rPr>
                <w:rFonts w:hint="eastAsia" w:ascii="仿宋" w:hAnsi="仿宋" w:eastAsia="仿宋"/>
                <w:sz w:val="22"/>
                <w:lang w:val="en-US" w:eastAsia="zh-CN"/>
              </w:rPr>
              <w:t>5</w:t>
            </w:r>
            <w:r>
              <w:rPr>
                <w:rFonts w:hint="eastAsia" w:ascii="仿宋" w:hAnsi="仿宋" w:eastAsia="仿宋"/>
                <w:sz w:val="22"/>
              </w:rPr>
              <w:t>分。扣完为止，最低得0分。</w:t>
            </w:r>
          </w:p>
          <w:p>
            <w:pPr>
              <w:adjustRightInd w:val="0"/>
              <w:spacing w:line="360" w:lineRule="auto"/>
              <w:rPr>
                <w:rFonts w:ascii="仿宋" w:hAnsi="仿宋" w:eastAsia="仿宋" w:cs="宋体"/>
                <w:kern w:val="0"/>
                <w:sz w:val="22"/>
              </w:rPr>
            </w:pPr>
            <w:r>
              <w:rPr>
                <w:rFonts w:hint="eastAsia" w:ascii="仿宋" w:hAnsi="仿宋" w:eastAsia="仿宋"/>
                <w:sz w:val="22"/>
              </w:rPr>
              <w:t>【根据技术参数要求提供相关证明文件，未提供或提供的证明文件不符合要求的均视为负偏离。对于《技术规格偏离表》中投标技术响应与偏离情况填写不一致的，评委会可按负偏离处理。】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hint="eastAsia" w:ascii="仿宋" w:hAnsi="仿宋" w:eastAsia="仿宋"/>
                <w:b/>
                <w:bCs/>
                <w:snapToGrid w:val="0"/>
                <w:kern w:val="0"/>
                <w:sz w:val="22"/>
              </w:rPr>
            </w:pPr>
          </w:p>
        </w:tc>
        <w:tc>
          <w:tcPr>
            <w:tcW w:w="1182" w:type="dxa"/>
            <w:vAlign w:val="center"/>
          </w:tcPr>
          <w:p>
            <w:pPr>
              <w:adjustRightInd w:val="0"/>
              <w:spacing w:line="360" w:lineRule="auto"/>
              <w:jc w:val="center"/>
              <w:rPr>
                <w:rFonts w:hint="eastAsia" w:ascii="仿宋" w:hAnsi="仿宋" w:eastAsia="仿宋" w:cs="宋体"/>
                <w:kern w:val="0"/>
                <w:sz w:val="22"/>
              </w:rPr>
            </w:pPr>
            <w:r>
              <w:rPr>
                <w:rFonts w:hint="eastAsia" w:ascii="仿宋" w:hAnsi="仿宋" w:eastAsia="仿宋" w:cs="宋体"/>
                <w:kern w:val="0"/>
                <w:sz w:val="22"/>
              </w:rPr>
              <w:t>技术保障措施</w:t>
            </w:r>
          </w:p>
        </w:tc>
        <w:tc>
          <w:tcPr>
            <w:tcW w:w="709" w:type="dxa"/>
            <w:vAlign w:val="center"/>
          </w:tcPr>
          <w:p>
            <w:pPr>
              <w:spacing w:line="360" w:lineRule="auto"/>
              <w:jc w:val="center"/>
              <w:rPr>
                <w:rFonts w:hint="default" w:ascii="仿宋" w:hAnsi="仿宋" w:eastAsia="仿宋" w:cs="宋体"/>
                <w:kern w:val="0"/>
                <w:sz w:val="22"/>
                <w:lang w:val="en-US"/>
              </w:rPr>
            </w:pPr>
            <w:r>
              <w:rPr>
                <w:rFonts w:hint="eastAsia" w:ascii="仿宋" w:hAnsi="仿宋" w:eastAsia="仿宋" w:cs="宋体"/>
                <w:kern w:val="0"/>
                <w:sz w:val="24"/>
                <w:szCs w:val="24"/>
                <w:lang w:val="en-US" w:eastAsia="zh-CN"/>
              </w:rPr>
              <w:t>10</w:t>
            </w:r>
          </w:p>
        </w:tc>
        <w:tc>
          <w:tcPr>
            <w:tcW w:w="6335" w:type="dxa"/>
            <w:tcBorders>
              <w:right w:val="double" w:color="auto" w:sz="4" w:space="0"/>
            </w:tcBorders>
            <w:vAlign w:val="center"/>
          </w:tcPr>
          <w:p>
            <w:pPr>
              <w:adjustRightInd w:val="0"/>
              <w:spacing w:line="360" w:lineRule="auto"/>
              <w:rPr>
                <w:rFonts w:ascii="仿宋" w:hAnsi="仿宋" w:eastAsia="仿宋" w:cs="宋体"/>
                <w:kern w:val="0"/>
                <w:sz w:val="24"/>
                <w:szCs w:val="24"/>
              </w:rPr>
            </w:pPr>
            <w:r>
              <w:rPr>
                <w:rFonts w:ascii="仿宋" w:hAnsi="仿宋" w:eastAsia="仿宋" w:cs="宋体"/>
                <w:kern w:val="0"/>
                <w:sz w:val="24"/>
                <w:szCs w:val="24"/>
              </w:rPr>
              <w:t>评标委员会根据投标人</w:t>
            </w:r>
            <w:r>
              <w:rPr>
                <w:rFonts w:hint="eastAsia" w:ascii="仿宋" w:hAnsi="仿宋" w:eastAsia="仿宋" w:cs="宋体"/>
                <w:kern w:val="0"/>
                <w:sz w:val="24"/>
                <w:szCs w:val="24"/>
                <w:lang w:val="en-US" w:eastAsia="zh-CN"/>
              </w:rPr>
              <w:t>针对本项目</w:t>
            </w:r>
            <w:r>
              <w:rPr>
                <w:rFonts w:ascii="仿宋" w:hAnsi="仿宋" w:eastAsia="仿宋" w:cs="宋体"/>
                <w:kern w:val="0"/>
                <w:sz w:val="24"/>
                <w:szCs w:val="24"/>
              </w:rPr>
              <w:t>提供的</w:t>
            </w:r>
            <w:r>
              <w:rPr>
                <w:rFonts w:hint="eastAsia" w:ascii="仿宋" w:hAnsi="仿宋" w:eastAsia="仿宋" w:cs="宋体"/>
                <w:kern w:val="0"/>
                <w:sz w:val="22"/>
              </w:rPr>
              <w:t>技术保障措施</w:t>
            </w:r>
            <w:r>
              <w:rPr>
                <w:rFonts w:hint="eastAsia" w:ascii="仿宋" w:hAnsi="仿宋" w:eastAsia="仿宋" w:cs="宋体"/>
                <w:kern w:val="0"/>
                <w:sz w:val="24"/>
                <w:szCs w:val="24"/>
              </w:rPr>
              <w:t>方案</w:t>
            </w:r>
            <w:r>
              <w:rPr>
                <w:rFonts w:hint="eastAsia" w:ascii="仿宋" w:hAnsi="仿宋" w:eastAsia="仿宋" w:cs="宋体"/>
                <w:kern w:val="0"/>
                <w:sz w:val="24"/>
                <w:szCs w:val="24"/>
                <w:lang w:eastAsia="zh-CN"/>
              </w:rPr>
              <w:t>（</w:t>
            </w:r>
            <w:r>
              <w:rPr>
                <w:rFonts w:hint="eastAsia" w:ascii="仿宋" w:hAnsi="仿宋" w:eastAsia="仿宋" w:cs="宋体"/>
                <w:b/>
                <w:bCs/>
                <w:kern w:val="0"/>
                <w:sz w:val="24"/>
                <w:szCs w:val="24"/>
                <w:lang w:val="en-US" w:eastAsia="zh-CN"/>
              </w:rPr>
              <w:t>包含但不限于技术团队、技术方案、售后技术人员、场地、车辆等</w:t>
            </w:r>
            <w:r>
              <w:rPr>
                <w:rFonts w:hint="eastAsia" w:ascii="仿宋" w:hAnsi="仿宋" w:eastAsia="仿宋" w:cs="宋体"/>
                <w:kern w:val="0"/>
                <w:sz w:val="24"/>
                <w:szCs w:val="24"/>
                <w:lang w:eastAsia="zh-CN"/>
              </w:rPr>
              <w:t>）</w:t>
            </w:r>
            <w:r>
              <w:rPr>
                <w:rFonts w:ascii="仿宋" w:hAnsi="仿宋" w:eastAsia="仿宋" w:cs="宋体"/>
                <w:kern w:val="0"/>
                <w:sz w:val="24"/>
                <w:szCs w:val="24"/>
              </w:rPr>
              <w:t>响应情况进行评审</w:t>
            </w:r>
            <w:r>
              <w:rPr>
                <w:rFonts w:hint="eastAsia" w:ascii="仿宋" w:hAnsi="仿宋" w:eastAsia="仿宋" w:cs="宋体"/>
                <w:kern w:val="0"/>
                <w:sz w:val="24"/>
                <w:szCs w:val="24"/>
              </w:rPr>
              <w:t>：</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评审细则：</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1）方案内容全面。2）方案内容科学合理。3）方案内容具体。4）方案内容针对性强。5）方案内容可操作性强。</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评分细则：</w:t>
            </w:r>
          </w:p>
          <w:p>
            <w:pPr>
              <w:adjustRightInd w:val="0"/>
              <w:spacing w:line="360" w:lineRule="auto"/>
              <w:rPr>
                <w:rFonts w:hint="eastAsia" w:ascii="仿宋" w:hAnsi="仿宋" w:eastAsia="仿宋"/>
                <w:sz w:val="22"/>
              </w:rPr>
            </w:pPr>
            <w:r>
              <w:rPr>
                <w:rFonts w:hint="eastAsia" w:ascii="仿宋" w:hAnsi="仿宋" w:eastAsia="仿宋" w:cs="宋体"/>
                <w:kern w:val="0"/>
                <w:sz w:val="24"/>
                <w:szCs w:val="24"/>
              </w:rPr>
              <w:t>1）响应方案满足但不限于以上5项，得</w:t>
            </w:r>
            <w:r>
              <w:rPr>
                <w:rFonts w:hint="eastAsia" w:ascii="仿宋" w:hAnsi="仿宋" w:eastAsia="仿宋" w:cs="宋体"/>
                <w:kern w:val="0"/>
                <w:sz w:val="24"/>
                <w:szCs w:val="24"/>
                <w:lang w:val="en-US" w:eastAsia="zh-CN"/>
              </w:rPr>
              <w:t>10</w:t>
            </w:r>
            <w:r>
              <w:rPr>
                <w:rFonts w:hint="eastAsia" w:ascii="仿宋" w:hAnsi="仿宋" w:eastAsia="仿宋" w:cs="宋体"/>
                <w:kern w:val="0"/>
                <w:sz w:val="24"/>
                <w:szCs w:val="24"/>
              </w:rPr>
              <w:t>分。2）响应方案满足以上其中4项，得</w:t>
            </w:r>
            <w:r>
              <w:rPr>
                <w:rFonts w:hint="eastAsia" w:ascii="仿宋" w:hAnsi="仿宋" w:eastAsia="仿宋" w:cs="宋体"/>
                <w:kern w:val="0"/>
                <w:sz w:val="24"/>
                <w:szCs w:val="24"/>
                <w:lang w:val="en-US" w:eastAsia="zh-CN"/>
              </w:rPr>
              <w:t>6</w:t>
            </w:r>
            <w:r>
              <w:rPr>
                <w:rFonts w:hint="eastAsia" w:ascii="仿宋" w:hAnsi="仿宋" w:eastAsia="仿宋" w:cs="宋体"/>
                <w:kern w:val="0"/>
                <w:sz w:val="24"/>
                <w:szCs w:val="24"/>
              </w:rPr>
              <w:t>分。3）响应方案满足以上其中3项，得</w:t>
            </w:r>
            <w:r>
              <w:rPr>
                <w:rFonts w:hint="eastAsia" w:ascii="仿宋" w:hAnsi="仿宋" w:eastAsia="仿宋" w:cs="宋体"/>
                <w:kern w:val="0"/>
                <w:sz w:val="24"/>
                <w:szCs w:val="24"/>
                <w:lang w:val="en-US" w:eastAsia="zh-CN"/>
              </w:rPr>
              <w:t>2</w:t>
            </w:r>
            <w:r>
              <w:rPr>
                <w:rFonts w:hint="eastAsia" w:ascii="仿宋" w:hAnsi="仿宋" w:eastAsia="仿宋" w:cs="宋体"/>
                <w:kern w:val="0"/>
                <w:sz w:val="24"/>
                <w:szCs w:val="24"/>
              </w:rPr>
              <w:t>分。4）其他情况不得分。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商务标（S）</w:t>
            </w:r>
          </w:p>
          <w:p>
            <w:pPr>
              <w:adjustRightInd w:val="0"/>
              <w:spacing w:line="360" w:lineRule="auto"/>
              <w:jc w:val="center"/>
              <w:rPr>
                <w:rFonts w:ascii="仿宋" w:hAnsi="仿宋" w:eastAsia="仿宋"/>
                <w:b/>
                <w:bCs/>
                <w:snapToGrid w:val="0"/>
                <w:kern w:val="0"/>
                <w:sz w:val="22"/>
              </w:rPr>
            </w:pPr>
            <w:r>
              <w:rPr>
                <w:rFonts w:hint="eastAsia" w:ascii="仿宋" w:hAnsi="仿宋" w:eastAsia="仿宋"/>
                <w:b/>
                <w:bCs/>
                <w:snapToGrid w:val="0"/>
                <w:kern w:val="0"/>
                <w:sz w:val="22"/>
              </w:rPr>
              <w:t>（总分1</w:t>
            </w:r>
            <w:r>
              <w:rPr>
                <w:rFonts w:hint="eastAsia" w:ascii="仿宋" w:hAnsi="仿宋" w:eastAsia="仿宋"/>
                <w:b/>
                <w:bCs/>
                <w:snapToGrid w:val="0"/>
                <w:kern w:val="0"/>
                <w:sz w:val="22"/>
                <w:lang w:val="en-US" w:eastAsia="zh-CN"/>
              </w:rPr>
              <w:t>0</w:t>
            </w:r>
            <w:r>
              <w:rPr>
                <w:rFonts w:hint="eastAsia" w:ascii="仿宋" w:hAnsi="仿宋" w:eastAsia="仿宋"/>
                <w:b/>
                <w:bCs/>
                <w:snapToGrid w:val="0"/>
                <w:kern w:val="0"/>
                <w:sz w:val="22"/>
              </w:rPr>
              <w:t>分）</w:t>
            </w:r>
          </w:p>
        </w:tc>
        <w:tc>
          <w:tcPr>
            <w:tcW w:w="1182" w:type="dxa"/>
            <w:vAlign w:val="center"/>
          </w:tcPr>
          <w:p>
            <w:pPr>
              <w:spacing w:line="360" w:lineRule="auto"/>
              <w:jc w:val="center"/>
              <w:rPr>
                <w:rFonts w:ascii="仿宋" w:hAnsi="仿宋" w:eastAsia="仿宋"/>
                <w:sz w:val="22"/>
              </w:rPr>
            </w:pPr>
            <w:r>
              <w:rPr>
                <w:rFonts w:hint="eastAsia" w:ascii="仿宋" w:hAnsi="仿宋" w:eastAsia="仿宋" w:cs="宋体"/>
                <w:color w:val="000000"/>
                <w:kern w:val="0"/>
                <w:sz w:val="22"/>
              </w:rPr>
              <w:t>商务款偏离情况</w:t>
            </w:r>
          </w:p>
        </w:tc>
        <w:tc>
          <w:tcPr>
            <w:tcW w:w="709" w:type="dxa"/>
            <w:tcBorders>
              <w:right w:val="single" w:color="auto" w:sz="4" w:space="0"/>
            </w:tcBorders>
            <w:vAlign w:val="center"/>
          </w:tcPr>
          <w:p>
            <w:pPr>
              <w:widowControl/>
              <w:adjustRightInd w:val="0"/>
              <w:spacing w:line="360" w:lineRule="auto"/>
              <w:jc w:val="center"/>
              <w:rPr>
                <w:rFonts w:hint="eastAsia" w:ascii="仿宋" w:hAnsi="仿宋" w:eastAsia="仿宋"/>
                <w:sz w:val="22"/>
                <w:lang w:eastAsia="zh-CN"/>
              </w:rPr>
            </w:pPr>
            <w:r>
              <w:rPr>
                <w:rFonts w:hint="eastAsia" w:ascii="仿宋" w:hAnsi="仿宋" w:eastAsia="仿宋"/>
                <w:sz w:val="22"/>
                <w:lang w:val="en-US" w:eastAsia="zh-CN"/>
              </w:rPr>
              <w:t>2</w:t>
            </w:r>
          </w:p>
        </w:tc>
        <w:tc>
          <w:tcPr>
            <w:tcW w:w="6335" w:type="dxa"/>
            <w:tcBorders>
              <w:left w:val="single" w:color="auto" w:sz="4" w:space="0"/>
              <w:right w:val="double" w:color="auto" w:sz="4" w:space="0"/>
            </w:tcBorders>
            <w:vAlign w:val="center"/>
          </w:tcPr>
          <w:p>
            <w:pPr>
              <w:widowControl/>
              <w:spacing w:line="360" w:lineRule="auto"/>
              <w:jc w:val="left"/>
              <w:textAlignment w:val="center"/>
              <w:rPr>
                <w:rFonts w:ascii="仿宋" w:hAnsi="仿宋" w:eastAsia="仿宋"/>
                <w:sz w:val="22"/>
              </w:rPr>
            </w:pPr>
            <w:r>
              <w:rPr>
                <w:rFonts w:ascii="仿宋" w:hAnsi="仿宋" w:eastAsia="仿宋"/>
                <w:sz w:val="22"/>
              </w:rPr>
              <w:t>投标人应如实填写《</w:t>
            </w:r>
            <w:r>
              <w:rPr>
                <w:rFonts w:hint="eastAsia" w:ascii="仿宋" w:hAnsi="仿宋" w:eastAsia="仿宋"/>
                <w:sz w:val="22"/>
              </w:rPr>
              <w:t>商务条款偏离表</w:t>
            </w:r>
            <w:r>
              <w:rPr>
                <w:rFonts w:ascii="仿宋" w:hAnsi="仿宋" w:eastAsia="仿宋"/>
                <w:sz w:val="22"/>
              </w:rPr>
              <w:t>》，评审委员会根据响应情况进行打分</w:t>
            </w:r>
            <w:r>
              <w:rPr>
                <w:rFonts w:hint="eastAsia" w:ascii="仿宋" w:hAnsi="仿宋" w:eastAsia="仿宋"/>
                <w:sz w:val="22"/>
              </w:rPr>
              <w:t>:</w:t>
            </w:r>
            <w:r>
              <w:rPr>
                <w:rFonts w:ascii="仿宋" w:hAnsi="仿宋" w:eastAsia="仿宋" w:cs="宋体"/>
                <w:color w:val="000000"/>
                <w:kern w:val="0"/>
                <w:sz w:val="22"/>
              </w:rPr>
              <w:t xml:space="preserve"> </w:t>
            </w:r>
            <w:r>
              <w:rPr>
                <w:rFonts w:hint="eastAsia" w:ascii="仿宋" w:hAnsi="仿宋" w:eastAsia="仿宋" w:cs="宋体"/>
                <w:color w:val="000000"/>
                <w:kern w:val="0"/>
                <w:sz w:val="22"/>
              </w:rPr>
              <w:t>全部满足得</w:t>
            </w:r>
            <w:r>
              <w:rPr>
                <w:rFonts w:hint="eastAsia" w:ascii="仿宋" w:hAnsi="仿宋" w:eastAsia="仿宋" w:cs="宋体"/>
                <w:color w:val="000000"/>
                <w:kern w:val="0"/>
                <w:sz w:val="22"/>
                <w:lang w:val="en-US" w:eastAsia="zh-CN"/>
              </w:rPr>
              <w:t>2</w:t>
            </w:r>
            <w:r>
              <w:rPr>
                <w:rFonts w:hint="eastAsia" w:ascii="仿宋" w:hAnsi="仿宋" w:eastAsia="仿宋" w:cs="宋体"/>
                <w:color w:val="000000"/>
                <w:kern w:val="0"/>
                <w:sz w:val="22"/>
              </w:rPr>
              <w:t>分，</w:t>
            </w:r>
            <w:r>
              <w:rPr>
                <w:rFonts w:ascii="仿宋" w:hAnsi="仿宋" w:eastAsia="仿宋" w:cs="宋体"/>
                <w:color w:val="000000"/>
                <w:kern w:val="0"/>
                <w:sz w:val="22"/>
              </w:rPr>
              <w:t>负偏离</w:t>
            </w:r>
            <w:r>
              <w:rPr>
                <w:rFonts w:hint="eastAsia" w:ascii="仿宋" w:hAnsi="仿宋" w:eastAsia="仿宋" w:cs="宋体"/>
                <w:color w:val="000000"/>
                <w:kern w:val="0"/>
                <w:sz w:val="22"/>
                <w:lang w:val="en-US" w:eastAsia="zh-CN"/>
              </w:rPr>
              <w:t>任何</w:t>
            </w:r>
            <w:r>
              <w:rPr>
                <w:rFonts w:ascii="仿宋" w:hAnsi="仿宋" w:eastAsia="仿宋" w:cs="宋体"/>
                <w:color w:val="000000"/>
                <w:kern w:val="0"/>
                <w:sz w:val="22"/>
              </w:rPr>
              <w:t>一项</w:t>
            </w:r>
            <w:r>
              <w:rPr>
                <w:rFonts w:hint="eastAsia" w:ascii="仿宋" w:hAnsi="仿宋" w:eastAsia="仿宋" w:cs="宋体"/>
                <w:color w:val="000000"/>
                <w:kern w:val="0"/>
                <w:sz w:val="22"/>
                <w:lang w:val="en-US" w:eastAsia="zh-CN"/>
              </w:rPr>
              <w:t>不得分</w:t>
            </w:r>
            <w:r>
              <w:rPr>
                <w:rFonts w:ascii="仿宋" w:hAnsi="仿宋" w:eastAsia="仿宋"/>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82" w:type="dxa"/>
            <w:vAlign w:val="center"/>
          </w:tcPr>
          <w:p>
            <w:pPr>
              <w:widowControl/>
              <w:spacing w:before="100" w:beforeAutospacing="1" w:line="360" w:lineRule="auto"/>
              <w:jc w:val="center"/>
              <w:textAlignment w:val="center"/>
              <w:rPr>
                <w:rFonts w:ascii="仿宋" w:hAnsi="仿宋" w:eastAsia="仿宋"/>
                <w:sz w:val="22"/>
              </w:rPr>
            </w:pPr>
            <w:r>
              <w:rPr>
                <w:rFonts w:hint="eastAsia" w:ascii="仿宋" w:hAnsi="仿宋" w:eastAsia="仿宋"/>
                <w:sz w:val="22"/>
              </w:rPr>
              <w:t>同类业绩</w:t>
            </w:r>
          </w:p>
        </w:tc>
        <w:tc>
          <w:tcPr>
            <w:tcW w:w="709" w:type="dxa"/>
            <w:tcBorders>
              <w:right w:val="single" w:color="auto" w:sz="4" w:space="0"/>
            </w:tcBorders>
            <w:vAlign w:val="center"/>
          </w:tcPr>
          <w:p>
            <w:pPr>
              <w:widowControl/>
              <w:spacing w:line="360" w:lineRule="auto"/>
              <w:jc w:val="center"/>
              <w:rPr>
                <w:rFonts w:hint="eastAsia" w:ascii="仿宋" w:hAnsi="仿宋" w:eastAsia="仿宋"/>
                <w:snapToGrid w:val="0"/>
                <w:kern w:val="0"/>
                <w:sz w:val="22"/>
                <w:lang w:eastAsia="zh-CN"/>
              </w:rPr>
            </w:pPr>
            <w:r>
              <w:rPr>
                <w:rFonts w:hint="eastAsia" w:ascii="仿宋" w:hAnsi="仿宋" w:eastAsia="仿宋"/>
                <w:snapToGrid w:val="0"/>
                <w:kern w:val="0"/>
                <w:sz w:val="22"/>
                <w:lang w:val="en-US" w:eastAsia="zh-CN"/>
              </w:rPr>
              <w:t>3</w:t>
            </w:r>
          </w:p>
        </w:tc>
        <w:tc>
          <w:tcPr>
            <w:tcW w:w="6335" w:type="dxa"/>
            <w:tcBorders>
              <w:left w:val="single" w:color="auto" w:sz="4" w:space="0"/>
              <w:right w:val="double" w:color="auto" w:sz="4" w:space="0"/>
            </w:tcBorders>
            <w:vAlign w:val="center"/>
          </w:tcPr>
          <w:p>
            <w:pPr>
              <w:snapToGrid w:val="0"/>
              <w:spacing w:line="360" w:lineRule="auto"/>
              <w:jc w:val="left"/>
              <w:rPr>
                <w:rFonts w:ascii="仿宋" w:hAnsi="仿宋" w:eastAsia="仿宋" w:cs="宋体"/>
                <w:kern w:val="0"/>
                <w:sz w:val="22"/>
              </w:rPr>
            </w:pPr>
            <w:r>
              <w:rPr>
                <w:rFonts w:ascii="仿宋" w:hAnsi="仿宋" w:eastAsia="仿宋" w:cs="宋体"/>
                <w:kern w:val="0"/>
                <w:sz w:val="22"/>
              </w:rPr>
              <w:t>投标人近</w:t>
            </w:r>
            <w:r>
              <w:rPr>
                <w:rFonts w:hint="eastAsia" w:ascii="仿宋" w:hAnsi="仿宋" w:eastAsia="仿宋" w:cs="宋体"/>
                <w:kern w:val="0"/>
                <w:sz w:val="22"/>
              </w:rPr>
              <w:t>三</w:t>
            </w:r>
            <w:r>
              <w:rPr>
                <w:rFonts w:ascii="仿宋" w:hAnsi="仿宋" w:eastAsia="仿宋" w:cs="宋体"/>
                <w:kern w:val="0"/>
                <w:sz w:val="22"/>
              </w:rPr>
              <w:t>年相关同类业绩（以合同签订时间签订为准,从201</w:t>
            </w:r>
            <w:r>
              <w:rPr>
                <w:rFonts w:hint="eastAsia" w:ascii="仿宋" w:hAnsi="仿宋" w:eastAsia="仿宋" w:cs="宋体"/>
                <w:kern w:val="0"/>
                <w:sz w:val="22"/>
              </w:rPr>
              <w:t>7</w:t>
            </w:r>
            <w:r>
              <w:rPr>
                <w:rFonts w:ascii="仿宋" w:hAnsi="仿宋" w:eastAsia="仿宋" w:cs="宋体"/>
                <w:kern w:val="0"/>
                <w:sz w:val="22"/>
              </w:rPr>
              <w:t>年1月1日开始，截止日为本项目发布招标公告之日），每提供一个有效业绩得</w:t>
            </w:r>
            <w:r>
              <w:rPr>
                <w:rFonts w:hint="eastAsia" w:ascii="仿宋" w:hAnsi="仿宋" w:eastAsia="仿宋" w:cs="宋体"/>
                <w:kern w:val="0"/>
                <w:sz w:val="22"/>
              </w:rPr>
              <w:t>1分</w:t>
            </w:r>
            <w:r>
              <w:rPr>
                <w:rFonts w:ascii="仿宋" w:hAnsi="仿宋" w:eastAsia="仿宋" w:cs="宋体"/>
                <w:kern w:val="0"/>
                <w:sz w:val="22"/>
              </w:rPr>
              <w:t>，本项得分最高得</w:t>
            </w:r>
            <w:r>
              <w:rPr>
                <w:rFonts w:hint="eastAsia" w:ascii="仿宋" w:hAnsi="仿宋" w:eastAsia="仿宋" w:cs="宋体"/>
                <w:kern w:val="0"/>
                <w:sz w:val="22"/>
                <w:lang w:val="en-US" w:eastAsia="zh-CN"/>
              </w:rPr>
              <w:t>3</w:t>
            </w:r>
            <w:r>
              <w:rPr>
                <w:rFonts w:hint="eastAsia" w:ascii="仿宋" w:hAnsi="仿宋" w:eastAsia="仿宋" w:cs="宋体"/>
                <w:kern w:val="0"/>
                <w:sz w:val="22"/>
              </w:rPr>
              <w:t>分</w:t>
            </w:r>
            <w:r>
              <w:rPr>
                <w:rFonts w:ascii="仿宋" w:hAnsi="仿宋" w:eastAsia="仿宋" w:cs="宋体"/>
                <w:kern w:val="0"/>
                <w:sz w:val="22"/>
              </w:rPr>
              <w:t>。</w:t>
            </w:r>
          </w:p>
          <w:p>
            <w:pPr>
              <w:snapToGrid w:val="0"/>
              <w:spacing w:line="360" w:lineRule="auto"/>
              <w:jc w:val="left"/>
              <w:rPr>
                <w:rFonts w:ascii="仿宋" w:hAnsi="仿宋" w:eastAsia="仿宋" w:cs="宋体"/>
                <w:kern w:val="0"/>
                <w:sz w:val="22"/>
              </w:rPr>
            </w:pPr>
            <w:r>
              <w:rPr>
                <w:rFonts w:ascii="仿宋" w:hAnsi="仿宋" w:eastAsia="仿宋" w:cs="宋体"/>
                <w:kern w:val="0"/>
                <w:sz w:val="22"/>
              </w:rPr>
              <w:t>【提供签订合同</w:t>
            </w:r>
            <w:r>
              <w:rPr>
                <w:rFonts w:hint="eastAsia" w:ascii="仿宋" w:hAnsi="仿宋" w:eastAsia="仿宋" w:cs="宋体"/>
                <w:kern w:val="0"/>
                <w:sz w:val="22"/>
              </w:rPr>
              <w:t>的</w:t>
            </w:r>
            <w:r>
              <w:rPr>
                <w:rFonts w:ascii="仿宋" w:hAnsi="仿宋" w:eastAsia="仿宋" w:cs="宋体"/>
                <w:kern w:val="0"/>
                <w:sz w:val="22"/>
              </w:rPr>
              <w:t>扫描件</w:t>
            </w:r>
            <w:r>
              <w:rPr>
                <w:rFonts w:hint="eastAsia" w:ascii="仿宋" w:hAnsi="仿宋" w:eastAsia="仿宋" w:cs="宋体"/>
                <w:kern w:val="0"/>
                <w:sz w:val="22"/>
              </w:rPr>
              <w:t>并加盖投标人公章，原件备查</w:t>
            </w:r>
            <w:r>
              <w:rPr>
                <w:rFonts w:ascii="仿宋" w:hAnsi="仿宋" w:eastAsia="仿宋" w:cs="宋体"/>
                <w:kern w:val="0"/>
                <w:sz w:val="22"/>
              </w:rPr>
              <w:t>。合同须表明关键信息(</w:t>
            </w:r>
            <w:r>
              <w:rPr>
                <w:rFonts w:ascii="仿宋" w:hAnsi="仿宋" w:eastAsia="仿宋" w:cs="宋体"/>
                <w:color w:val="auto"/>
                <w:kern w:val="0"/>
                <w:sz w:val="22"/>
              </w:rPr>
              <w:t>通过合同关键信息无法判断是否得分的</w:t>
            </w:r>
            <w:r>
              <w:rPr>
                <w:rFonts w:hint="eastAsia" w:ascii="仿宋" w:hAnsi="仿宋" w:eastAsia="仿宋" w:cs="宋体"/>
                <w:color w:val="auto"/>
                <w:kern w:val="0"/>
                <w:sz w:val="22"/>
              </w:rPr>
              <w:t>，还需同时提供能证明得分的其它证明资料，如项目报告或合同采购方出具的证明文件等</w:t>
            </w:r>
            <w:r>
              <w:rPr>
                <w:rFonts w:ascii="仿宋" w:hAnsi="仿宋" w:eastAsia="仿宋" w:cs="宋体"/>
                <w:kern w:val="0"/>
                <w:sz w:val="22"/>
              </w:rPr>
              <w:t>)，未按要求提供或提供不清晰导致专家无法有效判断的不得分】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2"/>
              </w:rPr>
            </w:pPr>
          </w:p>
        </w:tc>
        <w:tc>
          <w:tcPr>
            <w:tcW w:w="1182" w:type="dxa"/>
            <w:vAlign w:val="center"/>
          </w:tcPr>
          <w:p>
            <w:pPr>
              <w:widowControl/>
              <w:spacing w:before="100" w:beforeAutospacing="1" w:after="100" w:afterAutospacing="1" w:line="20" w:lineRule="atLeast"/>
              <w:jc w:val="center"/>
              <w:rPr>
                <w:rFonts w:ascii="仿宋" w:hAnsi="仿宋" w:eastAsia="仿宋" w:cs="宋体"/>
                <w:kern w:val="0"/>
                <w:sz w:val="22"/>
              </w:rPr>
            </w:pPr>
            <w:r>
              <w:rPr>
                <w:rFonts w:hint="eastAsia" w:ascii="仿宋" w:hAnsi="仿宋" w:eastAsia="仿宋" w:cs="宋体"/>
                <w:kern w:val="0"/>
                <w:sz w:val="22"/>
              </w:rPr>
              <w:t>诚信情况</w:t>
            </w:r>
          </w:p>
        </w:tc>
        <w:tc>
          <w:tcPr>
            <w:tcW w:w="709" w:type="dxa"/>
            <w:tcBorders>
              <w:right w:val="single" w:color="auto" w:sz="4" w:space="0"/>
            </w:tcBorders>
            <w:vAlign w:val="center"/>
          </w:tcPr>
          <w:p>
            <w:pPr>
              <w:widowControl/>
              <w:spacing w:before="100" w:beforeAutospacing="1" w:after="100" w:afterAutospacing="1" w:line="20" w:lineRule="atLeast"/>
              <w:jc w:val="center"/>
              <w:rPr>
                <w:rFonts w:ascii="仿宋" w:hAnsi="仿宋" w:eastAsia="仿宋" w:cs="宋体"/>
                <w:kern w:val="0"/>
                <w:sz w:val="22"/>
              </w:rPr>
            </w:pPr>
            <w:r>
              <w:rPr>
                <w:rFonts w:hint="eastAsia" w:ascii="仿宋" w:hAnsi="仿宋" w:eastAsia="仿宋" w:cs="宋体"/>
                <w:kern w:val="0"/>
                <w:sz w:val="22"/>
              </w:rPr>
              <w:t>5</w:t>
            </w:r>
          </w:p>
        </w:tc>
        <w:tc>
          <w:tcPr>
            <w:tcW w:w="6335" w:type="dxa"/>
            <w:tcBorders>
              <w:left w:val="single" w:color="auto" w:sz="4" w:space="0"/>
              <w:right w:val="double" w:color="auto" w:sz="4" w:space="0"/>
            </w:tcBorders>
            <w:vAlign w:val="center"/>
          </w:tcPr>
          <w:p>
            <w:pPr>
              <w:widowControl/>
              <w:spacing w:line="288" w:lineRule="auto"/>
              <w:rPr>
                <w:rFonts w:ascii="仿宋" w:hAnsi="仿宋" w:eastAsia="仿宋"/>
                <w:snapToGrid w:val="0"/>
                <w:kern w:val="0"/>
                <w:sz w:val="22"/>
              </w:rPr>
            </w:pPr>
            <w:r>
              <w:rPr>
                <w:rFonts w:hint="eastAsia" w:ascii="仿宋" w:hAnsi="仿宋" w:eastAsia="仿宋"/>
                <w:snapToGrid w:val="0"/>
                <w:kern w:val="0"/>
                <w:sz w:val="22"/>
              </w:rPr>
              <w:t>投标人参与政府采购活动在诚信管理中受过主管部门通报处理且仍在实施期限内的本项不得分，否则得满分。</w:t>
            </w:r>
          </w:p>
          <w:p>
            <w:pPr>
              <w:adjustRightInd w:val="0"/>
              <w:spacing w:line="300" w:lineRule="auto"/>
              <w:rPr>
                <w:rFonts w:ascii="仿宋" w:hAnsi="仿宋" w:eastAsia="仿宋"/>
                <w:sz w:val="22"/>
              </w:rPr>
            </w:pPr>
            <w:r>
              <w:rPr>
                <w:rFonts w:hint="eastAsia" w:ascii="仿宋" w:hAnsi="仿宋" w:eastAsia="仿宋"/>
                <w:snapToGrid w:val="0"/>
                <w:kern w:val="0"/>
                <w:sz w:val="22"/>
              </w:rPr>
              <w:t>【须提供《诚信承诺函》，按招标文件格式要求提供，否则不得分。存在不诚信情况的应不提供该承诺函并如实说明情况，如被认定提供的陈述与事实不符的，依法追究其责任】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bottom w:val="double" w:color="auto" w:sz="4" w:space="0"/>
            </w:tcBorders>
            <w:vAlign w:val="center"/>
          </w:tcPr>
          <w:p>
            <w:pPr>
              <w:spacing w:line="360" w:lineRule="auto"/>
              <w:jc w:val="center"/>
              <w:rPr>
                <w:rFonts w:ascii="仿宋" w:hAnsi="仿宋" w:eastAsia="仿宋"/>
                <w:b/>
                <w:snapToGrid w:val="0"/>
                <w:kern w:val="0"/>
                <w:sz w:val="22"/>
              </w:rPr>
            </w:pPr>
            <w:r>
              <w:rPr>
                <w:rFonts w:hint="eastAsia" w:ascii="仿宋" w:hAnsi="仿宋" w:eastAsia="仿宋"/>
                <w:b/>
                <w:snapToGrid w:val="0"/>
                <w:kern w:val="0"/>
                <w:sz w:val="22"/>
              </w:rPr>
              <w:t>总得分（N）</w:t>
            </w:r>
          </w:p>
          <w:p>
            <w:pPr>
              <w:adjustRightInd w:val="0"/>
              <w:snapToGrid w:val="0"/>
              <w:spacing w:line="360" w:lineRule="auto"/>
              <w:jc w:val="center"/>
              <w:rPr>
                <w:rFonts w:ascii="仿宋" w:hAnsi="仿宋" w:eastAsia="仿宋"/>
                <w:b/>
                <w:snapToGrid w:val="0"/>
                <w:kern w:val="0"/>
                <w:sz w:val="22"/>
              </w:rPr>
            </w:pPr>
            <w:r>
              <w:rPr>
                <w:rFonts w:hint="eastAsia" w:ascii="仿宋" w:hAnsi="仿宋" w:eastAsia="仿宋"/>
                <w:b/>
                <w:snapToGrid w:val="0"/>
                <w:kern w:val="0"/>
                <w:sz w:val="22"/>
              </w:rPr>
              <w:t>（总分100分）</w:t>
            </w:r>
          </w:p>
        </w:tc>
        <w:tc>
          <w:tcPr>
            <w:tcW w:w="1182" w:type="dxa"/>
            <w:tcBorders>
              <w:bottom w:val="double" w:color="auto" w:sz="4" w:space="0"/>
            </w:tcBorders>
            <w:vAlign w:val="center"/>
          </w:tcPr>
          <w:p>
            <w:pPr>
              <w:adjustRightInd w:val="0"/>
              <w:snapToGrid w:val="0"/>
              <w:spacing w:line="360" w:lineRule="auto"/>
              <w:jc w:val="center"/>
              <w:rPr>
                <w:rFonts w:ascii="仿宋" w:hAnsi="仿宋" w:eastAsia="仿宋"/>
                <w:b/>
                <w:snapToGrid w:val="0"/>
                <w:kern w:val="0"/>
                <w:sz w:val="22"/>
              </w:rPr>
            </w:pPr>
          </w:p>
        </w:tc>
        <w:tc>
          <w:tcPr>
            <w:tcW w:w="709" w:type="dxa"/>
            <w:tcBorders>
              <w:bottom w:val="double" w:color="auto" w:sz="4" w:space="0"/>
            </w:tcBorders>
            <w:vAlign w:val="center"/>
          </w:tcPr>
          <w:p>
            <w:pPr>
              <w:adjustRightInd w:val="0"/>
              <w:snapToGrid w:val="0"/>
              <w:spacing w:line="360" w:lineRule="auto"/>
              <w:jc w:val="center"/>
              <w:rPr>
                <w:rFonts w:ascii="仿宋" w:hAnsi="仿宋" w:eastAsia="仿宋"/>
                <w:snapToGrid w:val="0"/>
                <w:kern w:val="0"/>
                <w:sz w:val="22"/>
              </w:rPr>
            </w:pPr>
            <w:r>
              <w:rPr>
                <w:rFonts w:hint="eastAsia" w:ascii="仿宋" w:hAnsi="仿宋" w:eastAsia="仿宋"/>
                <w:snapToGrid w:val="0"/>
                <w:kern w:val="0"/>
                <w:sz w:val="22"/>
              </w:rPr>
              <w:t>100</w:t>
            </w:r>
          </w:p>
        </w:tc>
        <w:tc>
          <w:tcPr>
            <w:tcW w:w="6335" w:type="dxa"/>
            <w:tcBorders>
              <w:bottom w:val="double" w:color="auto" w:sz="4" w:space="0"/>
              <w:right w:val="double" w:color="auto" w:sz="4" w:space="0"/>
            </w:tcBorders>
            <w:vAlign w:val="center"/>
          </w:tcPr>
          <w:p>
            <w:pPr>
              <w:spacing w:line="360" w:lineRule="auto"/>
              <w:jc w:val="center"/>
              <w:rPr>
                <w:rFonts w:ascii="仿宋" w:hAnsi="仿宋" w:eastAsia="仿宋"/>
                <w:snapToGrid w:val="0"/>
                <w:kern w:val="0"/>
                <w:sz w:val="22"/>
              </w:rPr>
            </w:pPr>
            <w:r>
              <w:rPr>
                <w:rFonts w:hint="eastAsia" w:ascii="仿宋" w:hAnsi="仿宋" w:eastAsia="仿宋"/>
                <w:snapToGrid w:val="0"/>
                <w:kern w:val="0"/>
                <w:sz w:val="22"/>
              </w:rPr>
              <w:t>N=J+G+S</w:t>
            </w:r>
          </w:p>
        </w:tc>
      </w:tr>
    </w:tbl>
    <w:p>
      <w:pPr>
        <w:spacing w:line="360" w:lineRule="auto"/>
        <w:jc w:val="center"/>
        <w:rPr>
          <w:rFonts w:asciiTheme="minorEastAsia" w:hAnsiTheme="minorEastAsia" w:eastAsiaTheme="minorEastAsia"/>
          <w:b/>
          <w:sz w:val="32"/>
        </w:rPr>
      </w:pPr>
    </w:p>
    <w:p>
      <w:pPr>
        <w:widowControl/>
        <w:jc w:val="left"/>
        <w:rPr>
          <w:rFonts w:ascii="仿宋" w:hAnsi="仿宋" w:eastAsia="仿宋"/>
          <w:b/>
          <w:color w:val="FF0000"/>
          <w:sz w:val="28"/>
          <w:szCs w:val="28"/>
        </w:rPr>
      </w:pPr>
      <w:r>
        <w:rPr>
          <w:rFonts w:asciiTheme="minorEastAsia" w:hAnsiTheme="minorEastAsia" w:eastAsiaTheme="minorEastAsia"/>
          <w:b/>
          <w:sz w:val="32"/>
        </w:rPr>
        <w:br w:type="page"/>
      </w: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6 </w:t>
      </w:r>
      <w:r>
        <w:rPr>
          <w:rFonts w:hint="eastAsia" w:ascii="仿宋" w:hAnsi="仿宋" w:eastAsia="仿宋"/>
          <w:b/>
          <w:sz w:val="22"/>
        </w:rPr>
        <w:t>%（请在6%-10%范围内选择）后参与评审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pPr>
      <w: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pPr>
        <w:spacing w:line="360" w:lineRule="auto"/>
        <w:ind w:firstLine="480" w:firstLineChars="200"/>
        <w:rPr>
          <w:rFonts w:ascii="仿宋" w:hAnsi="仿宋" w:eastAsia="仿宋"/>
          <w:sz w:val="24"/>
          <w:szCs w:val="21"/>
        </w:rPr>
      </w:pPr>
      <w:r>
        <w:rPr>
          <w:rFonts w:hint="eastAsia" w:ascii="仿宋" w:hAnsi="仿宋" w:eastAsia="仿宋"/>
          <w:sz w:val="24"/>
          <w:szCs w:val="21"/>
        </w:rPr>
        <w:t>本采购项目要求中所出现的工艺、材料、设备参照的品牌仅为方便描述而没有限制性，投标人可以在其提供的文件资料中选用替代标准，但这些替代标准要优于或相当于技术规格中要求的标准。</w:t>
      </w:r>
    </w:p>
    <w:p>
      <w:pPr>
        <w:widowControl/>
        <w:jc w:val="left"/>
      </w:pPr>
      <w:r>
        <w:rPr>
          <w:rFonts w:hint="eastAsia" w:ascii="仿宋" w:hAnsi="仿宋" w:eastAsia="仿宋"/>
          <w:b/>
          <w:bCs/>
          <w:sz w:val="28"/>
          <w:szCs w:val="21"/>
        </w:rPr>
        <w:t>一、采购预算</w:t>
      </w:r>
    </w:p>
    <w:tbl>
      <w:tblPr>
        <w:tblStyle w:val="15"/>
        <w:tblW w:w="890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2"/>
        <w:gridCol w:w="2812"/>
        <w:gridCol w:w="1157"/>
        <w:gridCol w:w="1826"/>
        <w:gridCol w:w="181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587" w:hRule="atLeast"/>
          <w:jc w:val="center"/>
        </w:trPr>
        <w:tc>
          <w:tcPr>
            <w:tcW w:w="1292" w:type="dxa"/>
            <w:shd w:val="clear" w:color="auto" w:fill="C6D9F1"/>
            <w:vAlign w:val="center"/>
          </w:tcPr>
          <w:p>
            <w:pPr>
              <w:jc w:val="center"/>
              <w:rPr>
                <w:rFonts w:ascii="仿宋" w:hAnsi="仿宋" w:eastAsia="仿宋"/>
                <w:b/>
                <w:sz w:val="24"/>
                <w:szCs w:val="24"/>
              </w:rPr>
            </w:pPr>
            <w:r>
              <w:rPr>
                <w:rFonts w:hint="eastAsia" w:ascii="仿宋" w:hAnsi="仿宋" w:eastAsia="仿宋"/>
                <w:b/>
                <w:sz w:val="24"/>
                <w:szCs w:val="24"/>
              </w:rPr>
              <w:t>序号</w:t>
            </w:r>
          </w:p>
        </w:tc>
        <w:tc>
          <w:tcPr>
            <w:tcW w:w="2812" w:type="dxa"/>
            <w:shd w:val="clear" w:color="auto" w:fill="C6D9F1"/>
            <w:vAlign w:val="center"/>
          </w:tcPr>
          <w:p>
            <w:pPr>
              <w:jc w:val="center"/>
              <w:rPr>
                <w:rFonts w:ascii="仿宋" w:hAnsi="仿宋" w:eastAsia="仿宋"/>
                <w:b/>
                <w:sz w:val="24"/>
                <w:szCs w:val="24"/>
              </w:rPr>
            </w:pPr>
            <w:r>
              <w:rPr>
                <w:rFonts w:hint="eastAsia" w:ascii="仿宋" w:hAnsi="仿宋" w:eastAsia="仿宋"/>
                <w:b/>
                <w:sz w:val="24"/>
                <w:szCs w:val="24"/>
              </w:rPr>
              <w:t>项目名称</w:t>
            </w:r>
          </w:p>
        </w:tc>
        <w:tc>
          <w:tcPr>
            <w:tcW w:w="1157" w:type="dxa"/>
            <w:shd w:val="clear" w:color="auto" w:fill="C6D9F1"/>
            <w:vAlign w:val="center"/>
          </w:tcPr>
          <w:p>
            <w:pPr>
              <w:jc w:val="center"/>
              <w:rPr>
                <w:rFonts w:ascii="仿宋" w:hAnsi="仿宋" w:eastAsia="仿宋"/>
                <w:b/>
                <w:sz w:val="24"/>
                <w:szCs w:val="24"/>
              </w:rPr>
            </w:pPr>
            <w:r>
              <w:rPr>
                <w:rFonts w:hint="eastAsia" w:ascii="仿宋" w:hAnsi="仿宋" w:eastAsia="仿宋"/>
                <w:b/>
                <w:sz w:val="24"/>
                <w:szCs w:val="24"/>
              </w:rPr>
              <w:t>数量</w:t>
            </w:r>
          </w:p>
        </w:tc>
        <w:tc>
          <w:tcPr>
            <w:tcW w:w="1826" w:type="dxa"/>
            <w:shd w:val="clear" w:color="auto" w:fill="C6D9F1"/>
            <w:vAlign w:val="center"/>
          </w:tcPr>
          <w:p>
            <w:pPr>
              <w:jc w:val="center"/>
              <w:rPr>
                <w:rFonts w:ascii="仿宋" w:hAnsi="仿宋" w:eastAsia="仿宋"/>
                <w:b/>
                <w:sz w:val="24"/>
                <w:szCs w:val="24"/>
              </w:rPr>
            </w:pPr>
            <w:r>
              <w:rPr>
                <w:rFonts w:hint="eastAsia" w:ascii="仿宋" w:hAnsi="仿宋" w:eastAsia="仿宋"/>
                <w:b/>
                <w:sz w:val="24"/>
                <w:szCs w:val="24"/>
              </w:rPr>
              <w:t>采购控制金额</w:t>
            </w:r>
          </w:p>
        </w:tc>
        <w:tc>
          <w:tcPr>
            <w:tcW w:w="1816" w:type="dxa"/>
            <w:shd w:val="clear" w:color="auto" w:fill="C6D9F1"/>
            <w:vAlign w:val="center"/>
          </w:tcPr>
          <w:p>
            <w:pPr>
              <w:jc w:val="center"/>
              <w:rPr>
                <w:rFonts w:ascii="仿宋" w:hAnsi="仿宋" w:eastAsia="仿宋"/>
                <w:b/>
                <w:sz w:val="24"/>
                <w:szCs w:val="24"/>
              </w:rPr>
            </w:pPr>
            <w:r>
              <w:rPr>
                <w:rFonts w:hint="eastAsia" w:ascii="仿宋" w:hAnsi="仿宋" w:eastAsia="仿宋"/>
                <w:b/>
                <w:sz w:val="24"/>
                <w:szCs w:val="24"/>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519" w:hRule="atLeast"/>
          <w:jc w:val="center"/>
        </w:trPr>
        <w:tc>
          <w:tcPr>
            <w:tcW w:w="129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w:t>
            </w:r>
          </w:p>
        </w:tc>
        <w:tc>
          <w:tcPr>
            <w:tcW w:w="281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柔性防爆罐采购项目</w:t>
            </w:r>
          </w:p>
        </w:tc>
        <w:tc>
          <w:tcPr>
            <w:tcW w:w="1157" w:type="dxa"/>
            <w:vAlign w:val="center"/>
          </w:tcPr>
          <w:p>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4套</w:t>
            </w:r>
          </w:p>
        </w:tc>
        <w:tc>
          <w:tcPr>
            <w:tcW w:w="1826" w:type="dxa"/>
            <w:vAlign w:val="center"/>
          </w:tcPr>
          <w:p>
            <w:pPr>
              <w:spacing w:line="360" w:lineRule="auto"/>
              <w:jc w:val="center"/>
              <w:rPr>
                <w:rFonts w:ascii="仿宋" w:hAnsi="仿宋" w:eastAsia="仿宋"/>
                <w:sz w:val="24"/>
                <w:szCs w:val="24"/>
              </w:rPr>
            </w:pPr>
            <w:r>
              <w:rPr>
                <w:rFonts w:hint="eastAsia" w:ascii="仿宋" w:hAnsi="仿宋" w:eastAsia="仿宋"/>
                <w:sz w:val="24"/>
                <w:szCs w:val="24"/>
                <w:lang w:val="en-US" w:eastAsia="zh-CN"/>
              </w:rPr>
              <w:t>14.4</w:t>
            </w:r>
            <w:r>
              <w:rPr>
                <w:rFonts w:hint="eastAsia" w:ascii="仿宋" w:hAnsi="仿宋" w:eastAsia="仿宋"/>
                <w:sz w:val="24"/>
                <w:szCs w:val="24"/>
              </w:rPr>
              <w:t>万元</w:t>
            </w:r>
          </w:p>
        </w:tc>
        <w:tc>
          <w:tcPr>
            <w:tcW w:w="1816" w:type="dxa"/>
            <w:vAlign w:val="center"/>
          </w:tcPr>
          <w:p>
            <w:pPr>
              <w:spacing w:line="360" w:lineRule="auto"/>
              <w:jc w:val="center"/>
              <w:rPr>
                <w:rFonts w:ascii="仿宋" w:hAnsi="仿宋" w:eastAsia="仿宋"/>
                <w:sz w:val="24"/>
                <w:szCs w:val="24"/>
              </w:rPr>
            </w:pPr>
            <w:r>
              <w:rPr>
                <w:rFonts w:hint="eastAsia" w:ascii="仿宋" w:hAnsi="仿宋" w:eastAsia="仿宋"/>
                <w:sz w:val="24"/>
                <w:szCs w:val="24"/>
                <w:lang w:val="en-US" w:eastAsia="zh-CN"/>
              </w:rPr>
              <w:t>拒绝</w:t>
            </w:r>
            <w:r>
              <w:rPr>
                <w:rFonts w:hint="eastAsia" w:ascii="仿宋" w:hAnsi="仿宋" w:eastAsia="仿宋"/>
                <w:sz w:val="24"/>
                <w:szCs w:val="24"/>
              </w:rPr>
              <w:t>进口</w:t>
            </w:r>
          </w:p>
        </w:tc>
      </w:tr>
    </w:tbl>
    <w:p>
      <w:pPr>
        <w:widowControl/>
        <w:spacing w:line="276" w:lineRule="auto"/>
        <w:jc w:val="left"/>
        <w:rPr>
          <w:rFonts w:ascii="仿宋" w:hAnsi="仿宋" w:eastAsia="仿宋"/>
          <w:bCs/>
          <w:sz w:val="22"/>
          <w:szCs w:val="21"/>
        </w:rPr>
      </w:pPr>
      <w:r>
        <w:rPr>
          <w:rFonts w:hint="eastAsia" w:ascii="仿宋" w:hAnsi="仿宋" w:eastAsia="仿宋"/>
          <w:b/>
          <w:bCs/>
          <w:color w:val="FF0000"/>
          <w:sz w:val="22"/>
          <w:szCs w:val="21"/>
        </w:rPr>
        <w:t>注：</w:t>
      </w:r>
      <w:r>
        <w:rPr>
          <w:rFonts w:hint="eastAsia" w:ascii="仿宋" w:hAnsi="仿宋" w:eastAsia="仿宋"/>
          <w:b/>
          <w:bCs/>
          <w:sz w:val="22"/>
          <w:szCs w:val="21"/>
          <w:highlight w:val="yellow"/>
        </w:rPr>
        <w:t>★</w:t>
      </w:r>
      <w:r>
        <w:rPr>
          <w:rFonts w:hint="eastAsia" w:ascii="仿宋" w:hAnsi="仿宋" w:eastAsia="仿宋"/>
          <w:bCs/>
          <w:sz w:val="22"/>
          <w:szCs w:val="21"/>
          <w:highlight w:val="yellow"/>
        </w:rPr>
        <w:t>1、投标人的投标报价超过采购控制金额的将导致废标。</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2、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 xml:space="preserve">3、备注栏注明“拒绝进口”的产品不接受投标人选用进口产品参与投标；注明“接受进口”的产品允许投标人选用进口产品参与投标，但不排斥国内产品。 </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p>
      <w:pPr>
        <w:widowControl/>
        <w:jc w:val="left"/>
        <w:rPr>
          <w:rFonts w:ascii="仿宋" w:hAnsi="仿宋" w:eastAsia="仿宋"/>
          <w:b/>
          <w:bCs/>
          <w:sz w:val="28"/>
          <w:szCs w:val="21"/>
        </w:rPr>
      </w:pPr>
      <w:r>
        <w:rPr>
          <w:rFonts w:hint="eastAsia" w:ascii="仿宋" w:hAnsi="仿宋" w:eastAsia="仿宋"/>
          <w:b/>
          <w:bCs/>
          <w:sz w:val="28"/>
          <w:szCs w:val="21"/>
        </w:rPr>
        <w:t>二、采购明细清单</w:t>
      </w:r>
    </w:p>
    <w:tbl>
      <w:tblPr>
        <w:tblStyle w:val="16"/>
        <w:tblW w:w="889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77"/>
        <w:gridCol w:w="4380"/>
        <w:gridCol w:w="810"/>
        <w:gridCol w:w="933"/>
        <w:gridCol w:w="179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977" w:type="dxa"/>
            <w:shd w:val="clear" w:color="auto" w:fill="C6D9F0" w:themeFill="text2" w:themeFillTint="33"/>
            <w:vAlign w:val="center"/>
          </w:tcPr>
          <w:p>
            <w:pPr>
              <w:widowControl/>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4380" w:type="dxa"/>
            <w:shd w:val="clear" w:color="auto" w:fill="C6D9F0" w:themeFill="text2" w:themeFillTint="33"/>
            <w:vAlign w:val="center"/>
          </w:tcPr>
          <w:p>
            <w:pPr>
              <w:widowControl/>
              <w:spacing w:line="360" w:lineRule="auto"/>
              <w:jc w:val="center"/>
              <w:rPr>
                <w:rFonts w:ascii="仿宋" w:hAnsi="仿宋" w:eastAsia="仿宋"/>
                <w:b/>
                <w:bCs/>
                <w:sz w:val="24"/>
                <w:szCs w:val="24"/>
              </w:rPr>
            </w:pPr>
            <w:r>
              <w:rPr>
                <w:rFonts w:hint="eastAsia" w:ascii="仿宋" w:hAnsi="仿宋" w:eastAsia="仿宋"/>
                <w:b/>
                <w:bCs/>
                <w:sz w:val="24"/>
                <w:szCs w:val="24"/>
              </w:rPr>
              <w:t>货物名称</w:t>
            </w:r>
          </w:p>
        </w:tc>
        <w:tc>
          <w:tcPr>
            <w:tcW w:w="810" w:type="dxa"/>
            <w:shd w:val="clear" w:color="auto" w:fill="C6D9F0" w:themeFill="text2" w:themeFillTint="33"/>
            <w:vAlign w:val="center"/>
          </w:tcPr>
          <w:p>
            <w:pPr>
              <w:widowControl/>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933" w:type="dxa"/>
            <w:shd w:val="clear" w:color="auto" w:fill="C6D9F0" w:themeFill="text2" w:themeFillTint="33"/>
            <w:vAlign w:val="center"/>
          </w:tcPr>
          <w:p>
            <w:pPr>
              <w:widowControl/>
              <w:spacing w:line="360" w:lineRule="auto"/>
              <w:jc w:val="center"/>
              <w:rPr>
                <w:rFonts w:hint="eastAsia" w:ascii="仿宋" w:hAnsi="仿宋" w:eastAsia="仿宋"/>
                <w:b/>
                <w:bCs/>
                <w:sz w:val="24"/>
                <w:szCs w:val="24"/>
                <w:lang w:eastAsia="zh-CN"/>
              </w:rPr>
            </w:pPr>
            <w:r>
              <w:rPr>
                <w:rFonts w:hint="eastAsia" w:ascii="仿宋" w:hAnsi="仿宋" w:eastAsia="仿宋"/>
                <w:b/>
                <w:bCs/>
                <w:sz w:val="24"/>
                <w:szCs w:val="24"/>
                <w:lang w:val="en-US" w:eastAsia="zh-CN"/>
              </w:rPr>
              <w:t>单位</w:t>
            </w:r>
          </w:p>
        </w:tc>
        <w:tc>
          <w:tcPr>
            <w:tcW w:w="1797" w:type="dxa"/>
            <w:shd w:val="clear" w:color="auto" w:fill="C6D9F0" w:themeFill="text2" w:themeFillTint="33"/>
            <w:vAlign w:val="center"/>
          </w:tcPr>
          <w:p>
            <w:pPr>
              <w:widowControl/>
              <w:spacing w:line="360" w:lineRule="auto"/>
              <w:jc w:val="center"/>
              <w:rPr>
                <w:rFonts w:ascii="仿宋" w:hAnsi="仿宋" w:eastAsia="仿宋"/>
                <w:b/>
                <w:bCs/>
                <w:sz w:val="24"/>
                <w:szCs w:val="24"/>
              </w:rPr>
            </w:pPr>
            <w:r>
              <w:rPr>
                <w:rFonts w:hint="eastAsia" w:ascii="仿宋" w:hAnsi="仿宋" w:eastAsia="仿宋"/>
                <w:b/>
                <w:bCs/>
                <w:sz w:val="24"/>
                <w:szCs w:val="24"/>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7" w:type="dxa"/>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4380" w:type="dxa"/>
            <w:vAlign w:val="center"/>
          </w:tcPr>
          <w:p>
            <w:pPr>
              <w:widowControl/>
              <w:spacing w:line="360" w:lineRule="auto"/>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柔性防爆罐 （100g TNT抗爆当量）</w:t>
            </w:r>
          </w:p>
        </w:tc>
        <w:tc>
          <w:tcPr>
            <w:tcW w:w="810" w:type="dxa"/>
            <w:vAlign w:val="center"/>
          </w:tcPr>
          <w:p>
            <w:pPr>
              <w:widowControl/>
              <w:spacing w:line="360" w:lineRule="auto"/>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2</w:t>
            </w:r>
          </w:p>
        </w:tc>
        <w:tc>
          <w:tcPr>
            <w:tcW w:w="933" w:type="dxa"/>
            <w:vAlign w:val="center"/>
          </w:tcPr>
          <w:p>
            <w:pPr>
              <w:widowControl/>
              <w:spacing w:line="360" w:lineRule="auto"/>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套</w:t>
            </w:r>
          </w:p>
        </w:tc>
        <w:tc>
          <w:tcPr>
            <w:tcW w:w="1797" w:type="dxa"/>
            <w:vAlign w:val="center"/>
          </w:tcPr>
          <w:p>
            <w:pPr>
              <w:widowControl/>
              <w:spacing w:line="360" w:lineRule="auto"/>
              <w:jc w:val="center"/>
              <w:rPr>
                <w:rFonts w:ascii="仿宋" w:hAnsi="仿宋" w:eastAsia="仿宋"/>
                <w:bCs/>
                <w:sz w:val="24"/>
                <w:szCs w:val="24"/>
              </w:rPr>
            </w:pPr>
            <w:r>
              <w:rPr>
                <w:rFonts w:hint="eastAsia" w:ascii="仿宋" w:hAnsi="仿宋" w:eastAsia="仿宋"/>
                <w:sz w:val="24"/>
                <w:szCs w:val="24"/>
                <w:lang w:val="en-US" w:eastAsia="zh-CN"/>
              </w:rPr>
              <w:t>拒绝</w:t>
            </w:r>
            <w:r>
              <w:rPr>
                <w:rFonts w:hint="eastAsia" w:ascii="仿宋" w:hAnsi="仿宋" w:eastAsia="仿宋"/>
                <w:sz w:val="24"/>
                <w:szCs w:val="24"/>
              </w:rPr>
              <w:t>进口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7" w:type="dxa"/>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2</w:t>
            </w:r>
          </w:p>
        </w:tc>
        <w:tc>
          <w:tcPr>
            <w:tcW w:w="4380" w:type="dxa"/>
            <w:vAlign w:val="center"/>
          </w:tcPr>
          <w:p>
            <w:pPr>
              <w:widowControl/>
              <w:spacing w:line="360" w:lineRule="auto"/>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柔性防爆罐 （500g TNT抗爆当量）</w:t>
            </w:r>
          </w:p>
        </w:tc>
        <w:tc>
          <w:tcPr>
            <w:tcW w:w="810" w:type="dxa"/>
            <w:vAlign w:val="center"/>
          </w:tcPr>
          <w:p>
            <w:pPr>
              <w:widowControl/>
              <w:spacing w:line="360" w:lineRule="auto"/>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2</w:t>
            </w:r>
          </w:p>
        </w:tc>
        <w:tc>
          <w:tcPr>
            <w:tcW w:w="933" w:type="dxa"/>
            <w:vAlign w:val="center"/>
          </w:tcPr>
          <w:p>
            <w:pPr>
              <w:widowControl/>
              <w:spacing w:line="360" w:lineRule="auto"/>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套</w:t>
            </w:r>
          </w:p>
        </w:tc>
        <w:tc>
          <w:tcPr>
            <w:tcW w:w="1797" w:type="dxa"/>
            <w:vAlign w:val="center"/>
          </w:tcPr>
          <w:p>
            <w:pPr>
              <w:widowControl/>
              <w:spacing w:line="360" w:lineRule="auto"/>
              <w:jc w:val="center"/>
              <w:rPr>
                <w:rFonts w:ascii="仿宋" w:hAnsi="仿宋" w:eastAsia="仿宋"/>
                <w:bCs/>
                <w:sz w:val="24"/>
                <w:szCs w:val="24"/>
              </w:rPr>
            </w:pPr>
            <w:r>
              <w:rPr>
                <w:rFonts w:hint="eastAsia" w:ascii="仿宋" w:hAnsi="仿宋" w:eastAsia="仿宋"/>
                <w:sz w:val="24"/>
                <w:szCs w:val="24"/>
                <w:lang w:val="en-US" w:eastAsia="zh-CN"/>
              </w:rPr>
              <w:t>拒绝</w:t>
            </w:r>
            <w:r>
              <w:rPr>
                <w:rFonts w:hint="eastAsia" w:ascii="仿宋" w:hAnsi="仿宋" w:eastAsia="仿宋"/>
                <w:sz w:val="24"/>
                <w:szCs w:val="24"/>
              </w:rPr>
              <w:t>进口</w:t>
            </w:r>
          </w:p>
        </w:tc>
      </w:tr>
    </w:tbl>
    <w:p>
      <w:pPr>
        <w:widowControl/>
        <w:jc w:val="left"/>
        <w:rPr>
          <w:rFonts w:ascii="仿宋" w:hAnsi="仿宋" w:eastAsia="仿宋"/>
          <w:b/>
          <w:bCs/>
          <w:sz w:val="28"/>
          <w:szCs w:val="21"/>
        </w:rPr>
      </w:pPr>
    </w:p>
    <w:p>
      <w:pPr>
        <w:widowControl/>
        <w:jc w:val="left"/>
        <w:rPr>
          <w:rFonts w:ascii="仿宋" w:hAnsi="仿宋" w:eastAsia="仿宋"/>
          <w:b/>
          <w:bCs/>
          <w:sz w:val="28"/>
          <w:szCs w:val="21"/>
        </w:rPr>
      </w:pPr>
      <w:r>
        <w:rPr>
          <w:rFonts w:hint="eastAsia" w:ascii="仿宋" w:hAnsi="仿宋" w:eastAsia="仿宋"/>
          <w:b/>
          <w:bCs/>
          <w:sz w:val="28"/>
          <w:szCs w:val="21"/>
        </w:rPr>
        <w:t>三、技术需求</w:t>
      </w:r>
    </w:p>
    <w:tbl>
      <w:tblPr>
        <w:tblStyle w:val="16"/>
        <w:tblW w:w="903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77"/>
        <w:gridCol w:w="1323"/>
        <w:gridCol w:w="69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777" w:type="dxa"/>
            <w:shd w:val="clear" w:color="auto" w:fill="C6D9F0" w:themeFill="text2" w:themeFillTint="33"/>
            <w:vAlign w:val="center"/>
          </w:tcPr>
          <w:p>
            <w:pPr>
              <w:widowControl/>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1323" w:type="dxa"/>
            <w:shd w:val="clear" w:color="auto" w:fill="C6D9F0" w:themeFill="text2" w:themeFillTint="33"/>
            <w:vAlign w:val="center"/>
          </w:tcPr>
          <w:p>
            <w:pPr>
              <w:widowControl/>
              <w:spacing w:line="360" w:lineRule="auto"/>
              <w:jc w:val="center"/>
              <w:rPr>
                <w:rFonts w:ascii="仿宋" w:hAnsi="仿宋" w:eastAsia="仿宋"/>
                <w:b/>
                <w:bCs/>
                <w:sz w:val="24"/>
                <w:szCs w:val="24"/>
              </w:rPr>
            </w:pPr>
            <w:r>
              <w:rPr>
                <w:rFonts w:hint="eastAsia" w:ascii="仿宋" w:hAnsi="仿宋" w:eastAsia="仿宋"/>
                <w:b/>
                <w:bCs/>
                <w:sz w:val="24"/>
                <w:szCs w:val="24"/>
              </w:rPr>
              <w:t>货物名称</w:t>
            </w:r>
          </w:p>
        </w:tc>
        <w:tc>
          <w:tcPr>
            <w:tcW w:w="6932" w:type="dxa"/>
            <w:shd w:val="clear" w:color="auto" w:fill="C6D9F0" w:themeFill="text2" w:themeFillTint="33"/>
            <w:vAlign w:val="center"/>
          </w:tcPr>
          <w:p>
            <w:pPr>
              <w:widowControl/>
              <w:spacing w:line="360" w:lineRule="auto"/>
              <w:jc w:val="center"/>
              <w:rPr>
                <w:rFonts w:ascii="仿宋" w:hAnsi="仿宋" w:eastAsia="仿宋"/>
                <w:b/>
                <w:bCs/>
                <w:sz w:val="24"/>
                <w:szCs w:val="24"/>
              </w:rPr>
            </w:pPr>
            <w:r>
              <w:rPr>
                <w:rFonts w:hint="eastAsia" w:ascii="仿宋" w:hAnsi="仿宋" w:eastAsia="仿宋"/>
                <w:b/>
                <w:bCs/>
                <w:sz w:val="24"/>
                <w:szCs w:val="24"/>
              </w:rPr>
              <w:t>具体参数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77" w:type="dxa"/>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1323" w:type="dxa"/>
            <w:vAlign w:val="center"/>
          </w:tcPr>
          <w:p>
            <w:pPr>
              <w:widowControl/>
              <w:spacing w:line="360" w:lineRule="auto"/>
              <w:jc w:val="center"/>
              <w:rPr>
                <w:rFonts w:ascii="仿宋" w:hAnsi="仿宋" w:eastAsia="仿宋"/>
                <w:bCs/>
                <w:sz w:val="24"/>
                <w:szCs w:val="24"/>
              </w:rPr>
            </w:pPr>
            <w:r>
              <w:rPr>
                <w:rFonts w:hint="eastAsia" w:ascii="仿宋" w:hAnsi="仿宋" w:eastAsia="仿宋"/>
                <w:sz w:val="24"/>
                <w:szCs w:val="24"/>
                <w:lang w:val="en-US" w:eastAsia="zh-CN"/>
              </w:rPr>
              <w:t>柔性防爆罐 （100g TNT抗爆当量）</w:t>
            </w:r>
          </w:p>
        </w:tc>
        <w:tc>
          <w:tcPr>
            <w:tcW w:w="6932" w:type="dxa"/>
            <w:vAlign w:val="center"/>
          </w:tcPr>
          <w:p>
            <w:pPr>
              <w:spacing w:line="360" w:lineRule="auto"/>
              <w:ind w:left="480" w:hanging="482" w:hangingChars="200"/>
              <w:rPr>
                <w:rFonts w:hint="eastAsia" w:ascii="仿宋" w:hAnsi="仿宋" w:eastAsia="仿宋" w:cs="仿宋"/>
                <w:b/>
                <w:bCs/>
                <w:sz w:val="24"/>
                <w:szCs w:val="24"/>
                <w:highlight w:val="yellow"/>
                <w:lang w:eastAsia="zh-CN"/>
              </w:rPr>
            </w:pPr>
            <w:r>
              <w:rPr>
                <w:rFonts w:hint="eastAsia" w:ascii="仿宋" w:hAnsi="仿宋" w:eastAsia="仿宋" w:cs="仿宋"/>
                <w:b/>
                <w:bCs/>
                <w:sz w:val="24"/>
                <w:szCs w:val="24"/>
                <w:highlight w:val="yellow"/>
              </w:rPr>
              <w:t>★1</w:t>
            </w:r>
            <w:r>
              <w:rPr>
                <w:rFonts w:hint="eastAsia" w:ascii="仿宋" w:hAnsi="仿宋" w:eastAsia="仿宋" w:cs="仿宋"/>
                <w:b/>
                <w:bCs/>
                <w:sz w:val="24"/>
                <w:szCs w:val="24"/>
                <w:highlight w:val="yellow"/>
                <w:lang w:eastAsia="zh-CN"/>
              </w:rPr>
              <w:t>）</w:t>
            </w:r>
            <w:r>
              <w:rPr>
                <w:rFonts w:hint="eastAsia" w:ascii="仿宋" w:hAnsi="仿宋" w:eastAsia="仿宋" w:cs="仿宋"/>
                <w:b/>
                <w:bCs/>
                <w:sz w:val="24"/>
                <w:szCs w:val="24"/>
                <w:highlight w:val="yellow"/>
              </w:rPr>
              <w:t>材质要求：装备不含任何金属或硬质非金属材料，过量防爆情况下装备不产生次生杀伤性碎片危害</w:t>
            </w:r>
            <w:r>
              <w:rPr>
                <w:rFonts w:hint="eastAsia" w:ascii="仿宋" w:hAnsi="仿宋" w:eastAsia="仿宋" w:cs="仿宋"/>
                <w:b/>
                <w:bCs/>
                <w:sz w:val="24"/>
                <w:szCs w:val="24"/>
                <w:highlight w:val="yellow"/>
                <w:lang w:eastAsia="zh-CN"/>
              </w:rPr>
              <w:t>。</w:t>
            </w:r>
          </w:p>
          <w:p>
            <w:pPr>
              <w:spacing w:line="360" w:lineRule="auto"/>
              <w:ind w:left="480" w:hanging="480" w:hangingChars="200"/>
              <w:rPr>
                <w:rFonts w:hint="eastAsia" w:ascii="仿宋" w:hAnsi="仿宋" w:eastAsia="仿宋" w:cs="仿宋"/>
                <w:sz w:val="24"/>
                <w:szCs w:val="24"/>
                <w:lang w:eastAsia="zh-CN"/>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rPr>
              <w:t>结构要求：装备由圆柱形桶体和圆形顶盖组成，含有桶底，桶体两侧配有可抬动装备的把手</w:t>
            </w:r>
            <w:r>
              <w:rPr>
                <w:rFonts w:hint="eastAsia" w:ascii="仿宋" w:hAnsi="仿宋" w:eastAsia="仿宋" w:cs="仿宋"/>
                <w:sz w:val="24"/>
                <w:szCs w:val="24"/>
                <w:lang w:eastAsia="zh-CN"/>
              </w:rPr>
              <w:t>。</w:t>
            </w:r>
          </w:p>
          <w:p>
            <w:pPr>
              <w:spacing w:line="360" w:lineRule="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w:t>
            </w:r>
            <w:r>
              <w:rPr>
                <w:rFonts w:hint="eastAsia" w:ascii="仿宋" w:hAnsi="仿宋" w:eastAsia="仿宋" w:cs="仿宋"/>
                <w:sz w:val="24"/>
                <w:szCs w:val="24"/>
              </w:rPr>
              <w:t>尺寸要求：内径≥160mm、外径≤350mm、高度≤430mm</w:t>
            </w:r>
          </w:p>
          <w:p>
            <w:pPr>
              <w:spacing w:line="360" w:lineRule="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eastAsia="zh-CN"/>
              </w:rPr>
              <w:t>）</w:t>
            </w:r>
            <w:r>
              <w:rPr>
                <w:rFonts w:hint="eastAsia" w:ascii="仿宋" w:hAnsi="仿宋" w:eastAsia="仿宋" w:cs="仿宋"/>
                <w:sz w:val="24"/>
                <w:szCs w:val="24"/>
              </w:rPr>
              <w:t>质量要求：≤12kg</w:t>
            </w:r>
          </w:p>
          <w:p>
            <w:pPr>
              <w:spacing w:line="360" w:lineRule="auto"/>
              <w:ind w:left="480" w:hanging="482" w:hangingChars="200"/>
              <w:rPr>
                <w:rFonts w:hint="eastAsia" w:ascii="仿宋" w:hAnsi="仿宋" w:eastAsia="仿宋" w:cs="仿宋"/>
                <w:b/>
                <w:bCs/>
                <w:sz w:val="24"/>
                <w:szCs w:val="24"/>
                <w:highlight w:val="yellow"/>
                <w:lang w:eastAsia="zh-CN"/>
              </w:rPr>
            </w:pPr>
            <w:r>
              <w:rPr>
                <w:rFonts w:hint="eastAsia" w:ascii="仿宋" w:hAnsi="仿宋" w:eastAsia="仿宋" w:cs="仿宋"/>
                <w:b/>
                <w:bCs/>
                <w:sz w:val="24"/>
                <w:szCs w:val="24"/>
                <w:highlight w:val="yellow"/>
              </w:rPr>
              <w:t>★5</w:t>
            </w:r>
            <w:r>
              <w:rPr>
                <w:rFonts w:hint="eastAsia" w:ascii="仿宋" w:hAnsi="仿宋" w:eastAsia="仿宋" w:cs="仿宋"/>
                <w:b/>
                <w:bCs/>
                <w:sz w:val="24"/>
                <w:szCs w:val="24"/>
                <w:highlight w:val="yellow"/>
                <w:lang w:eastAsia="zh-CN"/>
              </w:rPr>
              <w:t>）</w:t>
            </w:r>
            <w:r>
              <w:rPr>
                <w:rFonts w:hint="eastAsia" w:ascii="仿宋" w:hAnsi="仿宋" w:eastAsia="仿宋" w:cs="仿宋"/>
                <w:b/>
                <w:bCs/>
                <w:sz w:val="24"/>
                <w:szCs w:val="24"/>
                <w:highlight w:val="yellow"/>
              </w:rPr>
              <w:t>防爆能力：可防1颗82-2制式手雷，对于破片冲击波和高温火焰均能有效防护</w:t>
            </w:r>
            <w:r>
              <w:rPr>
                <w:rFonts w:hint="eastAsia" w:ascii="仿宋" w:hAnsi="仿宋" w:eastAsia="仿宋" w:cs="仿宋"/>
                <w:b/>
                <w:bCs/>
                <w:sz w:val="24"/>
                <w:szCs w:val="24"/>
                <w:highlight w:val="yellow"/>
                <w:lang w:eastAsia="zh-CN"/>
              </w:rPr>
              <w:t>。</w:t>
            </w:r>
          </w:p>
          <w:p>
            <w:pPr>
              <w:spacing w:line="360" w:lineRule="auto"/>
              <w:ind w:left="480" w:hanging="480" w:hangingChars="200"/>
              <w:rPr>
                <w:rFonts w:hint="eastAsia" w:ascii="仿宋" w:hAnsi="仿宋" w:eastAsia="仿宋" w:cs="仿宋"/>
                <w:sz w:val="24"/>
                <w:szCs w:val="24"/>
                <w:lang w:eastAsia="zh-CN"/>
              </w:rPr>
            </w:pPr>
            <w:r>
              <w:rPr>
                <w:rFonts w:hint="eastAsia" w:ascii="仿宋" w:hAnsi="仿宋" w:eastAsia="仿宋" w:cs="仿宋"/>
                <w:sz w:val="24"/>
                <w:szCs w:val="24"/>
              </w:rPr>
              <w:t>6</w:t>
            </w:r>
            <w:r>
              <w:rPr>
                <w:rFonts w:hint="eastAsia" w:ascii="仿宋" w:hAnsi="仿宋" w:eastAsia="仿宋" w:cs="仿宋"/>
                <w:sz w:val="24"/>
                <w:szCs w:val="24"/>
                <w:lang w:eastAsia="zh-CN"/>
              </w:rPr>
              <w:t>）</w:t>
            </w:r>
            <w:r>
              <w:rPr>
                <w:rFonts w:hint="eastAsia" w:ascii="仿宋" w:hAnsi="仿宋" w:eastAsia="仿宋" w:cs="仿宋"/>
                <w:sz w:val="24"/>
                <w:szCs w:val="24"/>
              </w:rPr>
              <w:t>处置方式：装备含有桶底，可暂存爆炸物，或者通过排爆杆将爆炸物放置其中，装备具有防弹功能</w:t>
            </w:r>
            <w:r>
              <w:rPr>
                <w:rFonts w:hint="eastAsia" w:ascii="仿宋" w:hAnsi="仿宋" w:eastAsia="仿宋" w:cs="仿宋"/>
                <w:sz w:val="24"/>
                <w:szCs w:val="24"/>
                <w:lang w:eastAsia="zh-CN"/>
              </w:rPr>
              <w:t>。</w:t>
            </w:r>
          </w:p>
          <w:p>
            <w:pPr>
              <w:spacing w:line="360" w:lineRule="auto"/>
              <w:ind w:left="480" w:hanging="480" w:hangingChars="200"/>
              <w:rPr>
                <w:rFonts w:hint="eastAsia" w:ascii="仿宋" w:hAnsi="仿宋" w:eastAsia="仿宋" w:cs="仿宋"/>
                <w:sz w:val="24"/>
                <w:szCs w:val="24"/>
                <w:lang w:eastAsia="zh-CN"/>
              </w:rPr>
            </w:pPr>
            <w:r>
              <w:rPr>
                <w:rFonts w:hint="eastAsia" w:ascii="仿宋" w:hAnsi="仿宋" w:eastAsia="仿宋" w:cs="仿宋"/>
                <w:sz w:val="24"/>
                <w:szCs w:val="24"/>
              </w:rPr>
              <w:t>7</w:t>
            </w:r>
            <w:r>
              <w:rPr>
                <w:rFonts w:hint="eastAsia" w:ascii="仿宋" w:hAnsi="仿宋" w:eastAsia="仿宋" w:cs="仿宋"/>
                <w:sz w:val="24"/>
                <w:szCs w:val="24"/>
                <w:lang w:eastAsia="zh-CN"/>
              </w:rPr>
              <w:t>）</w:t>
            </w:r>
            <w:r>
              <w:rPr>
                <w:rFonts w:hint="eastAsia" w:ascii="仿宋" w:hAnsi="仿宋" w:eastAsia="仿宋" w:cs="仿宋"/>
                <w:sz w:val="24"/>
                <w:szCs w:val="24"/>
              </w:rPr>
              <w:t>安全性能：安全距离为3米，没有可以穿透5mm厚瓦楞纸板的破片</w:t>
            </w:r>
            <w:r>
              <w:rPr>
                <w:rFonts w:hint="eastAsia" w:ascii="仿宋" w:hAnsi="仿宋" w:eastAsia="仿宋" w:cs="仿宋"/>
                <w:sz w:val="24"/>
                <w:szCs w:val="24"/>
                <w:lang w:eastAsia="zh-CN"/>
              </w:rPr>
              <w:t>。</w:t>
            </w:r>
          </w:p>
          <w:p>
            <w:pPr>
              <w:spacing w:line="360" w:lineRule="auto"/>
              <w:ind w:left="480" w:hanging="480" w:hangingChars="200"/>
              <w:rPr>
                <w:rFonts w:hint="eastAsia" w:ascii="仿宋" w:hAnsi="仿宋" w:eastAsia="仿宋" w:cs="仿宋"/>
                <w:sz w:val="24"/>
                <w:szCs w:val="24"/>
                <w:lang w:eastAsia="zh-CN"/>
              </w:rPr>
            </w:pPr>
            <w:r>
              <w:rPr>
                <w:rFonts w:hint="eastAsia" w:ascii="仿宋" w:hAnsi="仿宋" w:eastAsia="仿宋" w:cs="仿宋"/>
                <w:sz w:val="24"/>
                <w:szCs w:val="24"/>
              </w:rPr>
              <w:t>▲8</w:t>
            </w:r>
            <w:r>
              <w:rPr>
                <w:rFonts w:hint="eastAsia" w:ascii="仿宋" w:hAnsi="仿宋" w:eastAsia="仿宋" w:cs="仿宋"/>
                <w:sz w:val="24"/>
                <w:szCs w:val="24"/>
                <w:lang w:eastAsia="zh-CN"/>
              </w:rPr>
              <w:t>）</w:t>
            </w:r>
            <w:r>
              <w:rPr>
                <w:rFonts w:hint="eastAsia" w:ascii="仿宋" w:hAnsi="仿宋" w:eastAsia="仿宋" w:cs="仿宋"/>
                <w:sz w:val="24"/>
                <w:szCs w:val="24"/>
              </w:rPr>
              <w:t>环保要求：装备材质为环保材料</w:t>
            </w:r>
            <w:r>
              <w:rPr>
                <w:rFonts w:hint="eastAsia" w:ascii="仿宋" w:hAnsi="仿宋" w:eastAsia="仿宋" w:cs="仿宋"/>
                <w:sz w:val="24"/>
                <w:szCs w:val="24"/>
                <w:lang w:eastAsia="zh-CN"/>
              </w:rPr>
              <w:t>。【</w:t>
            </w:r>
            <w:r>
              <w:rPr>
                <w:rFonts w:hint="eastAsia" w:ascii="仿宋" w:hAnsi="仿宋" w:eastAsia="仿宋" w:cs="仿宋"/>
                <w:b/>
                <w:bCs/>
                <w:color w:val="FF0000"/>
                <w:sz w:val="24"/>
                <w:szCs w:val="24"/>
                <w:lang w:val="en-US" w:eastAsia="zh-CN"/>
              </w:rPr>
              <w:t>提供由第三方检测机构出具检测报告的扫描件并加盖投标人公章，原本备查</w:t>
            </w:r>
            <w:r>
              <w:rPr>
                <w:rFonts w:hint="eastAsia" w:ascii="仿宋" w:hAnsi="仿宋" w:eastAsia="仿宋" w:cs="仿宋"/>
                <w:sz w:val="24"/>
                <w:szCs w:val="24"/>
                <w:lang w:eastAsia="zh-CN"/>
              </w:rPr>
              <w:t>】</w:t>
            </w:r>
          </w:p>
          <w:p>
            <w:pPr>
              <w:spacing w:line="360" w:lineRule="auto"/>
              <w:ind w:left="480" w:hanging="480" w:hangingChars="200"/>
              <w:rPr>
                <w:rFonts w:hint="eastAsia" w:ascii="仿宋" w:hAnsi="仿宋" w:eastAsia="仿宋" w:cs="仿宋"/>
                <w:sz w:val="24"/>
                <w:szCs w:val="24"/>
                <w:lang w:eastAsia="zh-CN"/>
              </w:rPr>
            </w:pPr>
            <w:r>
              <w:rPr>
                <w:rFonts w:hint="eastAsia" w:ascii="仿宋" w:hAnsi="仿宋" w:eastAsia="仿宋" w:cs="仿宋"/>
                <w:sz w:val="24"/>
                <w:szCs w:val="24"/>
              </w:rPr>
              <w:t>▲9</w:t>
            </w:r>
            <w:r>
              <w:rPr>
                <w:rFonts w:hint="eastAsia" w:ascii="仿宋" w:hAnsi="仿宋" w:eastAsia="仿宋" w:cs="仿宋"/>
                <w:sz w:val="24"/>
                <w:szCs w:val="24"/>
                <w:lang w:eastAsia="zh-CN"/>
              </w:rPr>
              <w:t>）</w:t>
            </w:r>
            <w:r>
              <w:rPr>
                <w:rFonts w:hint="eastAsia" w:ascii="仿宋" w:hAnsi="仿宋" w:eastAsia="仿宋" w:cs="仿宋"/>
                <w:sz w:val="24"/>
                <w:szCs w:val="24"/>
              </w:rPr>
              <w:t>检测报告：装备具备国家安全防范报警系统产品质量监督检验中心及公安部安全与警用电子产品质量检测中心出具的检测报告</w:t>
            </w:r>
            <w:r>
              <w:rPr>
                <w:rFonts w:hint="eastAsia" w:ascii="仿宋" w:hAnsi="仿宋" w:eastAsia="仿宋" w:cs="仿宋"/>
                <w:sz w:val="24"/>
                <w:szCs w:val="24"/>
                <w:lang w:eastAsia="zh-CN"/>
              </w:rPr>
              <w:t>。【</w:t>
            </w:r>
            <w:r>
              <w:rPr>
                <w:rFonts w:hint="eastAsia" w:ascii="仿宋" w:hAnsi="仿宋" w:eastAsia="仿宋" w:cs="仿宋"/>
                <w:b/>
                <w:bCs/>
                <w:color w:val="FF0000"/>
                <w:sz w:val="24"/>
                <w:szCs w:val="24"/>
                <w:lang w:val="en-US" w:eastAsia="zh-CN"/>
              </w:rPr>
              <w:t>提供检测报告的扫描件并加盖投标人公章，原本备查</w:t>
            </w:r>
            <w:r>
              <w:rPr>
                <w:rFonts w:hint="eastAsia" w:ascii="仿宋" w:hAnsi="仿宋" w:eastAsia="仿宋" w:cs="仿宋"/>
                <w:sz w:val="24"/>
                <w:szCs w:val="24"/>
                <w:lang w:eastAsia="zh-CN"/>
              </w:rPr>
              <w:t>】</w:t>
            </w:r>
          </w:p>
          <w:p>
            <w:pPr>
              <w:spacing w:line="360" w:lineRule="auto"/>
              <w:ind w:left="480" w:hanging="480" w:hangingChars="200"/>
              <w:rPr>
                <w:rFonts w:ascii="仿宋" w:hAnsi="仿宋" w:eastAsia="仿宋"/>
                <w:bCs/>
                <w:sz w:val="24"/>
                <w:szCs w:val="24"/>
              </w:rPr>
            </w:pPr>
            <w:r>
              <w:rPr>
                <w:rFonts w:hint="eastAsia" w:ascii="仿宋" w:hAnsi="仿宋" w:eastAsia="仿宋" w:cs="仿宋"/>
                <w:sz w:val="24"/>
                <w:szCs w:val="24"/>
              </w:rPr>
              <w:t>▲10</w:t>
            </w:r>
            <w:r>
              <w:rPr>
                <w:rFonts w:hint="eastAsia" w:ascii="仿宋" w:hAnsi="仿宋" w:eastAsia="仿宋" w:cs="仿宋"/>
                <w:sz w:val="24"/>
                <w:szCs w:val="24"/>
                <w:lang w:eastAsia="zh-CN"/>
              </w:rPr>
              <w:t>）</w:t>
            </w:r>
            <w:r>
              <w:rPr>
                <w:rFonts w:hint="eastAsia" w:ascii="仿宋" w:hAnsi="仿宋" w:eastAsia="仿宋" w:cs="仿宋"/>
                <w:sz w:val="24"/>
                <w:szCs w:val="24"/>
              </w:rPr>
              <w:t>保险：装备具备不少于500万的保险</w:t>
            </w:r>
            <w:r>
              <w:rPr>
                <w:rFonts w:hint="eastAsia" w:ascii="仿宋" w:hAnsi="仿宋" w:eastAsia="仿宋" w:cs="仿宋"/>
                <w:sz w:val="24"/>
                <w:szCs w:val="24"/>
                <w:lang w:eastAsia="zh-CN"/>
              </w:rPr>
              <w:t>。【</w:t>
            </w:r>
            <w:r>
              <w:rPr>
                <w:rFonts w:hint="eastAsia" w:ascii="仿宋" w:hAnsi="仿宋" w:eastAsia="仿宋" w:cs="仿宋"/>
                <w:b/>
                <w:bCs/>
                <w:color w:val="FF0000"/>
                <w:sz w:val="24"/>
                <w:szCs w:val="24"/>
                <w:lang w:val="en-US" w:eastAsia="zh-CN"/>
              </w:rPr>
              <w:t>提供保险保单的扫描件并加盖投标人公章，原本备查</w:t>
            </w:r>
            <w:r>
              <w:rPr>
                <w:rFonts w:hint="eastAsia" w:ascii="仿宋" w:hAnsi="仿宋" w:eastAsia="仿宋" w:cs="仿宋"/>
                <w:sz w:val="24"/>
                <w:szCs w:val="24"/>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77" w:type="dxa"/>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2</w:t>
            </w:r>
          </w:p>
        </w:tc>
        <w:tc>
          <w:tcPr>
            <w:tcW w:w="1323" w:type="dxa"/>
            <w:vAlign w:val="center"/>
          </w:tcPr>
          <w:p>
            <w:pPr>
              <w:widowControl/>
              <w:spacing w:line="360" w:lineRule="auto"/>
              <w:jc w:val="center"/>
              <w:rPr>
                <w:rFonts w:ascii="仿宋" w:hAnsi="仿宋" w:eastAsia="仿宋"/>
                <w:bCs/>
                <w:sz w:val="24"/>
                <w:szCs w:val="24"/>
              </w:rPr>
            </w:pPr>
            <w:r>
              <w:rPr>
                <w:rFonts w:hint="eastAsia" w:ascii="仿宋" w:hAnsi="仿宋" w:eastAsia="仿宋"/>
                <w:sz w:val="24"/>
                <w:szCs w:val="24"/>
                <w:lang w:val="en-US" w:eastAsia="zh-CN"/>
              </w:rPr>
              <w:t>柔性防爆罐 （500g TNT抗爆当量）</w:t>
            </w:r>
          </w:p>
        </w:tc>
        <w:tc>
          <w:tcPr>
            <w:tcW w:w="6932" w:type="dxa"/>
            <w:vAlign w:val="center"/>
          </w:tcPr>
          <w:p>
            <w:pPr>
              <w:spacing w:line="360" w:lineRule="auto"/>
              <w:ind w:left="480" w:hanging="482" w:hangingChars="200"/>
              <w:rPr>
                <w:rFonts w:hint="eastAsia" w:ascii="仿宋" w:hAnsi="仿宋" w:eastAsia="仿宋" w:cs="仿宋"/>
                <w:b/>
                <w:bCs/>
                <w:sz w:val="24"/>
                <w:szCs w:val="24"/>
                <w:highlight w:val="yellow"/>
                <w:lang w:eastAsia="zh-CN"/>
              </w:rPr>
            </w:pPr>
            <w:r>
              <w:rPr>
                <w:rFonts w:hint="eastAsia" w:ascii="仿宋" w:hAnsi="仿宋" w:eastAsia="仿宋" w:cs="仿宋"/>
                <w:b/>
                <w:bCs/>
                <w:sz w:val="24"/>
                <w:szCs w:val="24"/>
                <w:highlight w:val="yellow"/>
              </w:rPr>
              <w:t>★1</w:t>
            </w:r>
            <w:r>
              <w:rPr>
                <w:rFonts w:hint="eastAsia" w:ascii="仿宋" w:hAnsi="仿宋" w:eastAsia="仿宋" w:cs="仿宋"/>
                <w:b/>
                <w:bCs/>
                <w:sz w:val="24"/>
                <w:szCs w:val="24"/>
                <w:highlight w:val="yellow"/>
                <w:lang w:eastAsia="zh-CN"/>
              </w:rPr>
              <w:t>）</w:t>
            </w:r>
            <w:r>
              <w:rPr>
                <w:rFonts w:hint="eastAsia" w:ascii="仿宋" w:hAnsi="仿宋" w:eastAsia="仿宋" w:cs="仿宋"/>
                <w:b/>
                <w:bCs/>
                <w:sz w:val="24"/>
                <w:szCs w:val="24"/>
                <w:highlight w:val="yellow"/>
              </w:rPr>
              <w:t>材质要求：装备不含任何金属或硬质非金属材料，过量防爆情况下装备不产生次生杀伤性碎片危害</w:t>
            </w:r>
            <w:r>
              <w:rPr>
                <w:rFonts w:hint="eastAsia" w:ascii="仿宋" w:hAnsi="仿宋" w:eastAsia="仿宋" w:cs="仿宋"/>
                <w:b/>
                <w:bCs/>
                <w:sz w:val="24"/>
                <w:szCs w:val="24"/>
                <w:highlight w:val="yellow"/>
                <w:lang w:eastAsia="zh-CN"/>
              </w:rPr>
              <w:t>。</w:t>
            </w:r>
          </w:p>
          <w:p>
            <w:pPr>
              <w:spacing w:line="360" w:lineRule="auto"/>
              <w:ind w:left="480" w:hanging="480" w:hangingChars="200"/>
              <w:rPr>
                <w:rFonts w:hint="eastAsia" w:ascii="仿宋" w:hAnsi="仿宋" w:eastAsia="仿宋" w:cs="仿宋"/>
                <w:sz w:val="24"/>
                <w:szCs w:val="24"/>
                <w:lang w:eastAsia="zh-CN"/>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rPr>
              <w:t>结构要求：装备为圆台形结构，由上窄下宽圆台形桶体和圆形顶盖组成，桶体底部为中空，外部配有可抬动装备的把手，内部配有可拆卸用于放置爆炸物的网兜</w:t>
            </w:r>
            <w:r>
              <w:rPr>
                <w:rFonts w:hint="eastAsia" w:ascii="仿宋" w:hAnsi="仿宋" w:eastAsia="仿宋" w:cs="仿宋"/>
                <w:sz w:val="24"/>
                <w:szCs w:val="24"/>
                <w:lang w:eastAsia="zh-CN"/>
              </w:rPr>
              <w:t>。</w:t>
            </w:r>
          </w:p>
          <w:p>
            <w:pPr>
              <w:spacing w:line="360" w:lineRule="auto"/>
              <w:ind w:left="480" w:hanging="480" w:hanging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w:t>
            </w:r>
            <w:r>
              <w:rPr>
                <w:rFonts w:hint="eastAsia" w:ascii="仿宋" w:hAnsi="仿宋" w:eastAsia="仿宋" w:cs="仿宋"/>
                <w:sz w:val="24"/>
                <w:szCs w:val="24"/>
              </w:rPr>
              <w:t>尺寸要求：圆台形结构，上端内径≥290mm，下端内径≥430mm，</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装备最大外径≤750mm，装备高度≤580mm</w:t>
            </w:r>
          </w:p>
          <w:p>
            <w:pPr>
              <w:spacing w:line="360" w:lineRule="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eastAsia="zh-CN"/>
              </w:rPr>
              <w:t>）</w:t>
            </w:r>
            <w:r>
              <w:rPr>
                <w:rFonts w:hint="eastAsia" w:ascii="仿宋" w:hAnsi="仿宋" w:eastAsia="仿宋" w:cs="仿宋"/>
                <w:sz w:val="24"/>
                <w:szCs w:val="24"/>
              </w:rPr>
              <w:t>质量要求：≤70kg</w:t>
            </w:r>
          </w:p>
          <w:p>
            <w:pPr>
              <w:spacing w:line="360" w:lineRule="auto"/>
              <w:ind w:left="480" w:hanging="482" w:hangingChars="200"/>
              <w:rPr>
                <w:rFonts w:hint="eastAsia" w:ascii="仿宋" w:hAnsi="仿宋" w:eastAsia="仿宋" w:cs="仿宋"/>
                <w:b/>
                <w:bCs/>
                <w:sz w:val="24"/>
                <w:szCs w:val="24"/>
                <w:highlight w:val="yellow"/>
                <w:lang w:eastAsia="zh-CN"/>
              </w:rPr>
            </w:pPr>
            <w:r>
              <w:rPr>
                <w:rFonts w:hint="eastAsia" w:ascii="仿宋" w:hAnsi="仿宋" w:eastAsia="仿宋" w:cs="仿宋"/>
                <w:b/>
                <w:bCs/>
                <w:sz w:val="24"/>
                <w:szCs w:val="24"/>
                <w:highlight w:val="yellow"/>
              </w:rPr>
              <w:t>★5</w:t>
            </w:r>
            <w:r>
              <w:rPr>
                <w:rFonts w:hint="eastAsia" w:ascii="仿宋" w:hAnsi="仿宋" w:eastAsia="仿宋" w:cs="仿宋"/>
                <w:b/>
                <w:bCs/>
                <w:sz w:val="24"/>
                <w:szCs w:val="24"/>
                <w:highlight w:val="yellow"/>
                <w:lang w:eastAsia="zh-CN"/>
              </w:rPr>
              <w:t>）</w:t>
            </w:r>
            <w:r>
              <w:rPr>
                <w:rFonts w:hint="eastAsia" w:ascii="仿宋" w:hAnsi="仿宋" w:eastAsia="仿宋" w:cs="仿宋"/>
                <w:b/>
                <w:bCs/>
                <w:sz w:val="24"/>
                <w:szCs w:val="24"/>
                <w:highlight w:val="yellow"/>
              </w:rPr>
              <w:t>防爆能力：可防不少于500g 带破片爆炸物(TNT 药柱质量≥500g，装填质量≥200g直径8mm 钢珠破片)；爆炸产生的火焰被快速抑制</w:t>
            </w:r>
            <w:r>
              <w:rPr>
                <w:rFonts w:hint="eastAsia" w:ascii="仿宋" w:hAnsi="仿宋" w:eastAsia="仿宋" w:cs="仿宋"/>
                <w:b/>
                <w:bCs/>
                <w:sz w:val="24"/>
                <w:szCs w:val="24"/>
                <w:highlight w:val="yellow"/>
                <w:lang w:eastAsia="zh-CN"/>
              </w:rPr>
              <w:t>。</w:t>
            </w:r>
          </w:p>
          <w:p>
            <w:pPr>
              <w:spacing w:line="360" w:lineRule="auto"/>
              <w:ind w:left="480" w:hanging="480" w:hangingChars="200"/>
              <w:rPr>
                <w:rFonts w:hint="eastAsia" w:ascii="仿宋" w:hAnsi="仿宋" w:eastAsia="仿宋" w:cs="仿宋"/>
                <w:sz w:val="24"/>
                <w:szCs w:val="24"/>
                <w:lang w:eastAsia="zh-CN"/>
              </w:rPr>
            </w:pPr>
            <w:r>
              <w:rPr>
                <w:rFonts w:hint="eastAsia" w:ascii="仿宋" w:hAnsi="仿宋" w:eastAsia="仿宋" w:cs="仿宋"/>
                <w:sz w:val="24"/>
                <w:szCs w:val="24"/>
              </w:rPr>
              <w:t>6</w:t>
            </w:r>
            <w:r>
              <w:rPr>
                <w:rFonts w:hint="eastAsia" w:ascii="仿宋" w:hAnsi="仿宋" w:eastAsia="仿宋" w:cs="仿宋"/>
                <w:sz w:val="24"/>
                <w:szCs w:val="24"/>
                <w:lang w:eastAsia="zh-CN"/>
              </w:rPr>
              <w:t>）</w:t>
            </w:r>
            <w:r>
              <w:rPr>
                <w:rFonts w:hint="eastAsia" w:ascii="仿宋" w:hAnsi="仿宋" w:eastAsia="仿宋" w:cs="仿宋"/>
                <w:sz w:val="24"/>
                <w:szCs w:val="24"/>
              </w:rPr>
              <w:t>处置方式：装备可用非接触式罩挡方法处置未知爆炸物，也可将爆炸物转移到装备内部处置</w:t>
            </w:r>
            <w:r>
              <w:rPr>
                <w:rFonts w:hint="eastAsia" w:ascii="仿宋" w:hAnsi="仿宋" w:eastAsia="仿宋" w:cs="仿宋"/>
                <w:sz w:val="24"/>
                <w:szCs w:val="24"/>
                <w:lang w:eastAsia="zh-CN"/>
              </w:rPr>
              <w:t>。</w:t>
            </w:r>
          </w:p>
          <w:p>
            <w:pPr>
              <w:spacing w:line="360" w:lineRule="auto"/>
              <w:ind w:left="480" w:hanging="480" w:hangingChars="200"/>
              <w:rPr>
                <w:rFonts w:hint="eastAsia" w:ascii="仿宋" w:hAnsi="仿宋" w:eastAsia="仿宋" w:cs="仿宋"/>
                <w:sz w:val="24"/>
                <w:szCs w:val="24"/>
              </w:rPr>
            </w:pPr>
            <w:r>
              <w:rPr>
                <w:rFonts w:hint="eastAsia" w:ascii="仿宋" w:hAnsi="仿宋" w:eastAsia="仿宋" w:cs="仿宋"/>
                <w:sz w:val="24"/>
                <w:szCs w:val="24"/>
              </w:rPr>
              <w:t>7</w:t>
            </w:r>
            <w:r>
              <w:rPr>
                <w:rFonts w:hint="eastAsia" w:ascii="仿宋" w:hAnsi="仿宋" w:eastAsia="仿宋" w:cs="仿宋"/>
                <w:sz w:val="24"/>
                <w:szCs w:val="24"/>
                <w:lang w:eastAsia="zh-CN"/>
              </w:rPr>
              <w:t>）</w:t>
            </w:r>
            <w:r>
              <w:rPr>
                <w:rFonts w:hint="eastAsia" w:ascii="仿宋" w:hAnsi="仿宋" w:eastAsia="仿宋" w:cs="仿宋"/>
                <w:sz w:val="24"/>
                <w:szCs w:val="24"/>
              </w:rPr>
              <w:t>安全性能：距离爆炸物3.5米外为安全距离，安全距离外的冲击波超压＜30kPa</w:t>
            </w:r>
          </w:p>
          <w:p>
            <w:pPr>
              <w:spacing w:line="360" w:lineRule="auto"/>
              <w:ind w:left="480" w:hanging="480" w:hangingChars="200"/>
              <w:rPr>
                <w:rFonts w:hint="eastAsia" w:ascii="仿宋" w:hAnsi="仿宋" w:eastAsia="仿宋" w:cs="仿宋"/>
                <w:sz w:val="24"/>
                <w:szCs w:val="24"/>
              </w:rPr>
            </w:pPr>
            <w:r>
              <w:rPr>
                <w:rFonts w:hint="eastAsia" w:ascii="仿宋" w:hAnsi="仿宋" w:eastAsia="仿宋" w:cs="仿宋"/>
                <w:sz w:val="24"/>
                <w:szCs w:val="24"/>
              </w:rPr>
              <w:t>▲8</w:t>
            </w:r>
            <w:r>
              <w:rPr>
                <w:rFonts w:hint="eastAsia" w:ascii="仿宋" w:hAnsi="仿宋" w:eastAsia="仿宋" w:cs="仿宋"/>
                <w:sz w:val="24"/>
                <w:szCs w:val="24"/>
                <w:lang w:eastAsia="zh-CN"/>
              </w:rPr>
              <w:t>）</w:t>
            </w:r>
            <w:r>
              <w:rPr>
                <w:rFonts w:hint="eastAsia" w:ascii="仿宋" w:hAnsi="仿宋" w:eastAsia="仿宋" w:cs="仿宋"/>
                <w:sz w:val="24"/>
                <w:szCs w:val="24"/>
              </w:rPr>
              <w:t>环保要求：装备材质为环保材料</w:t>
            </w:r>
            <w:r>
              <w:rPr>
                <w:rFonts w:hint="eastAsia" w:ascii="仿宋" w:hAnsi="仿宋" w:eastAsia="仿宋" w:cs="仿宋"/>
                <w:sz w:val="24"/>
                <w:szCs w:val="24"/>
                <w:lang w:eastAsia="zh-CN"/>
              </w:rPr>
              <w:t>。【</w:t>
            </w:r>
            <w:r>
              <w:rPr>
                <w:rFonts w:hint="eastAsia" w:ascii="仿宋" w:hAnsi="仿宋" w:eastAsia="仿宋" w:cs="仿宋"/>
                <w:b/>
                <w:bCs/>
                <w:color w:val="FF0000"/>
                <w:sz w:val="24"/>
                <w:szCs w:val="24"/>
                <w:lang w:val="en-US" w:eastAsia="zh-CN"/>
              </w:rPr>
              <w:t>提供由第三方检测机构出具检测报告的扫描件并加盖投标人公章，原本备查</w:t>
            </w:r>
            <w:r>
              <w:rPr>
                <w:rFonts w:hint="eastAsia" w:ascii="仿宋" w:hAnsi="仿宋" w:eastAsia="仿宋" w:cs="仿宋"/>
                <w:sz w:val="24"/>
                <w:szCs w:val="24"/>
                <w:lang w:eastAsia="zh-CN"/>
              </w:rPr>
              <w:t>】</w:t>
            </w:r>
          </w:p>
          <w:p>
            <w:pPr>
              <w:spacing w:line="360" w:lineRule="auto"/>
              <w:ind w:left="480" w:hanging="480" w:hangingChars="200"/>
              <w:rPr>
                <w:rFonts w:hint="eastAsia" w:ascii="仿宋" w:hAnsi="仿宋" w:eastAsia="仿宋" w:cs="仿宋"/>
                <w:sz w:val="24"/>
                <w:szCs w:val="24"/>
              </w:rPr>
            </w:pPr>
            <w:r>
              <w:rPr>
                <w:rFonts w:hint="eastAsia" w:ascii="仿宋" w:hAnsi="仿宋" w:eastAsia="仿宋" w:cs="仿宋"/>
                <w:sz w:val="24"/>
                <w:szCs w:val="24"/>
              </w:rPr>
              <w:t>▲9</w:t>
            </w:r>
            <w:r>
              <w:rPr>
                <w:rFonts w:hint="eastAsia" w:ascii="仿宋" w:hAnsi="仿宋" w:eastAsia="仿宋" w:cs="仿宋"/>
                <w:sz w:val="24"/>
                <w:szCs w:val="24"/>
                <w:lang w:eastAsia="zh-CN"/>
              </w:rPr>
              <w:t>）</w:t>
            </w:r>
            <w:r>
              <w:rPr>
                <w:rFonts w:hint="eastAsia" w:ascii="仿宋" w:hAnsi="仿宋" w:eastAsia="仿宋" w:cs="仿宋"/>
                <w:sz w:val="24"/>
                <w:szCs w:val="24"/>
              </w:rPr>
              <w:t>检测报告：装备具备国家安全防范报警系统产品质量监督检验中心及公安部安全与警用电子产品质量检测中心出具的检测报告</w:t>
            </w:r>
            <w:r>
              <w:rPr>
                <w:rFonts w:hint="eastAsia" w:ascii="仿宋" w:hAnsi="仿宋" w:eastAsia="仿宋" w:cs="仿宋"/>
                <w:sz w:val="24"/>
                <w:szCs w:val="24"/>
                <w:lang w:eastAsia="zh-CN"/>
              </w:rPr>
              <w:t>。【</w:t>
            </w:r>
            <w:r>
              <w:rPr>
                <w:rFonts w:hint="eastAsia" w:ascii="仿宋" w:hAnsi="仿宋" w:eastAsia="仿宋" w:cs="仿宋"/>
                <w:b/>
                <w:bCs/>
                <w:color w:val="FF0000"/>
                <w:sz w:val="24"/>
                <w:szCs w:val="24"/>
                <w:lang w:val="en-US" w:eastAsia="zh-CN"/>
              </w:rPr>
              <w:t>提供检测报告的扫描件并加盖投标人公章，原本备查</w:t>
            </w:r>
            <w:r>
              <w:rPr>
                <w:rFonts w:hint="eastAsia" w:ascii="仿宋" w:hAnsi="仿宋" w:eastAsia="仿宋" w:cs="仿宋"/>
                <w:sz w:val="24"/>
                <w:szCs w:val="24"/>
                <w:lang w:eastAsia="zh-CN"/>
              </w:rPr>
              <w:t>】</w:t>
            </w:r>
          </w:p>
          <w:p>
            <w:pPr>
              <w:spacing w:line="360" w:lineRule="auto"/>
              <w:ind w:left="480" w:hanging="480" w:hangingChars="200"/>
              <w:rPr>
                <w:rFonts w:hint="eastAsia" w:ascii="仿宋" w:hAnsi="仿宋" w:eastAsia="仿宋"/>
                <w:bCs/>
                <w:sz w:val="24"/>
                <w:szCs w:val="24"/>
                <w:lang w:eastAsia="zh-CN"/>
              </w:rPr>
            </w:pPr>
            <w:r>
              <w:rPr>
                <w:rFonts w:hint="eastAsia" w:ascii="仿宋" w:hAnsi="仿宋" w:eastAsia="仿宋" w:cs="仿宋"/>
                <w:sz w:val="24"/>
                <w:szCs w:val="24"/>
              </w:rPr>
              <w:t>▲10</w:t>
            </w:r>
            <w:r>
              <w:rPr>
                <w:rFonts w:hint="eastAsia" w:ascii="仿宋" w:hAnsi="仿宋" w:eastAsia="仿宋" w:cs="仿宋"/>
                <w:sz w:val="24"/>
                <w:szCs w:val="24"/>
                <w:lang w:eastAsia="zh-CN"/>
              </w:rPr>
              <w:t>）</w:t>
            </w:r>
            <w:r>
              <w:rPr>
                <w:rFonts w:hint="eastAsia" w:ascii="仿宋" w:hAnsi="仿宋" w:eastAsia="仿宋" w:cs="仿宋"/>
                <w:sz w:val="24"/>
                <w:szCs w:val="24"/>
              </w:rPr>
              <w:t>保险：装备具备不少于500万的保险</w:t>
            </w:r>
            <w:r>
              <w:rPr>
                <w:rFonts w:hint="eastAsia" w:ascii="仿宋" w:hAnsi="仿宋" w:eastAsia="仿宋" w:cs="仿宋"/>
                <w:sz w:val="24"/>
                <w:szCs w:val="24"/>
                <w:lang w:eastAsia="zh-CN"/>
              </w:rPr>
              <w:t>。【</w:t>
            </w:r>
            <w:r>
              <w:rPr>
                <w:rFonts w:hint="eastAsia" w:ascii="仿宋" w:hAnsi="仿宋" w:eastAsia="仿宋" w:cs="仿宋"/>
                <w:b/>
                <w:bCs/>
                <w:color w:val="FF0000"/>
                <w:sz w:val="24"/>
                <w:szCs w:val="24"/>
                <w:lang w:val="en-US" w:eastAsia="zh-CN"/>
              </w:rPr>
              <w:t>提供保险保单的扫描件并加盖投标人公章，原本备查</w:t>
            </w:r>
            <w:r>
              <w:rPr>
                <w:rFonts w:hint="eastAsia" w:ascii="仿宋" w:hAnsi="仿宋" w:eastAsia="仿宋" w:cs="仿宋"/>
                <w:sz w:val="24"/>
                <w:szCs w:val="24"/>
                <w:lang w:eastAsia="zh-CN"/>
              </w:rPr>
              <w:t>】</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widowControl/>
        <w:ind w:firstLine="773" w:firstLineChars="350"/>
        <w:jc w:val="left"/>
        <w:rPr>
          <w:rFonts w:ascii="仿宋" w:hAnsi="仿宋" w:eastAsia="仿宋"/>
          <w:bCs/>
          <w:sz w:val="22"/>
          <w:szCs w:val="21"/>
        </w:rPr>
      </w:pPr>
      <w:r>
        <w:rPr>
          <w:rFonts w:hint="eastAsia" w:ascii="仿宋" w:hAnsi="仿宋" w:eastAsia="仿宋"/>
          <w:b/>
          <w:bCs/>
          <w:color w:val="FF0000"/>
          <w:sz w:val="22"/>
          <w:szCs w:val="21"/>
        </w:rPr>
        <w:t>2、加注“▲”的条款要求为重要技术参数，均须要提供相关证明材料进行佐证，</w:t>
      </w:r>
      <w:r>
        <w:rPr>
          <w:rFonts w:hint="eastAsia" w:ascii="仿宋" w:hAnsi="仿宋" w:eastAsia="仿宋"/>
          <w:bCs/>
          <w:sz w:val="22"/>
          <w:szCs w:val="21"/>
        </w:rPr>
        <w:t>如不满足或负偏离将按投标人须知26.4的评分细则进行扣分。</w:t>
      </w:r>
    </w:p>
    <w:p>
      <w:pPr>
        <w:widowControl/>
        <w:ind w:firstLine="770" w:firstLineChars="350"/>
        <w:jc w:val="left"/>
        <w:rPr>
          <w:rFonts w:ascii="仿宋" w:hAnsi="仿宋" w:eastAsia="仿宋"/>
          <w:bCs/>
          <w:sz w:val="22"/>
          <w:szCs w:val="21"/>
        </w:rPr>
      </w:pPr>
    </w:p>
    <w:p>
      <w:pPr>
        <w:widowControl/>
        <w:jc w:val="left"/>
        <w:rPr>
          <w:rFonts w:ascii="仿宋" w:hAnsi="仿宋" w:eastAsia="仿宋"/>
          <w:b/>
          <w:bCs/>
          <w:sz w:val="28"/>
          <w:szCs w:val="21"/>
        </w:rPr>
      </w:pPr>
      <w:r>
        <w:rPr>
          <w:rFonts w:hint="eastAsia" w:ascii="仿宋" w:hAnsi="仿宋" w:eastAsia="仿宋"/>
          <w:b/>
          <w:bCs/>
          <w:sz w:val="28"/>
          <w:szCs w:val="21"/>
        </w:rPr>
        <w:t>四、商务需求</w:t>
      </w:r>
    </w:p>
    <w:tbl>
      <w:tblPr>
        <w:tblStyle w:val="15"/>
        <w:tblW w:w="94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276"/>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0" w:type="dxa"/>
            <w:tcBorders>
              <w:bottom w:val="single" w:color="auto" w:sz="4" w:space="0"/>
            </w:tcBorders>
            <w:shd w:val="clear" w:color="auto" w:fill="C6D9F1"/>
            <w:vAlign w:val="center"/>
          </w:tcPr>
          <w:p>
            <w:pPr>
              <w:spacing w:line="360" w:lineRule="auto"/>
              <w:jc w:val="center"/>
              <w:rPr>
                <w:rFonts w:ascii="仿宋" w:hAnsi="仿宋" w:eastAsia="仿宋"/>
                <w:b/>
                <w:color w:val="000000"/>
                <w:sz w:val="24"/>
                <w:szCs w:val="24"/>
              </w:rPr>
            </w:pPr>
            <w:r>
              <w:rPr>
                <w:rFonts w:hint="eastAsia" w:ascii="仿宋" w:hAnsi="仿宋" w:eastAsia="仿宋"/>
                <w:b/>
                <w:color w:val="000000"/>
                <w:sz w:val="24"/>
                <w:szCs w:val="24"/>
              </w:rPr>
              <w:t>序号</w:t>
            </w:r>
          </w:p>
        </w:tc>
        <w:tc>
          <w:tcPr>
            <w:tcW w:w="1276" w:type="dxa"/>
            <w:tcBorders>
              <w:bottom w:val="single" w:color="auto" w:sz="4" w:space="0"/>
            </w:tcBorders>
            <w:shd w:val="clear" w:color="auto" w:fill="C6D9F1"/>
            <w:vAlign w:val="center"/>
          </w:tcPr>
          <w:p>
            <w:pPr>
              <w:spacing w:line="360" w:lineRule="auto"/>
              <w:jc w:val="center"/>
              <w:rPr>
                <w:rFonts w:ascii="仿宋" w:hAnsi="仿宋" w:eastAsia="仿宋"/>
                <w:b/>
                <w:color w:val="000000"/>
                <w:sz w:val="24"/>
                <w:szCs w:val="24"/>
              </w:rPr>
            </w:pPr>
            <w:r>
              <w:rPr>
                <w:rFonts w:hint="eastAsia" w:ascii="仿宋" w:hAnsi="仿宋" w:eastAsia="仿宋"/>
                <w:b/>
                <w:color w:val="000000"/>
                <w:sz w:val="24"/>
                <w:szCs w:val="24"/>
              </w:rPr>
              <w:t>目录</w:t>
            </w:r>
          </w:p>
        </w:tc>
        <w:tc>
          <w:tcPr>
            <w:tcW w:w="7298" w:type="dxa"/>
            <w:tcBorders>
              <w:bottom w:val="single" w:color="auto" w:sz="4" w:space="0"/>
            </w:tcBorders>
            <w:shd w:val="clear" w:color="auto" w:fill="C6D9F1"/>
            <w:vAlign w:val="center"/>
          </w:tcPr>
          <w:p>
            <w:pPr>
              <w:spacing w:line="360" w:lineRule="auto"/>
              <w:jc w:val="center"/>
              <w:rPr>
                <w:rFonts w:ascii="仿宋" w:hAnsi="仿宋" w:eastAsia="仿宋"/>
                <w:b/>
                <w:color w:val="000000"/>
                <w:sz w:val="24"/>
                <w:szCs w:val="24"/>
              </w:rPr>
            </w:pPr>
            <w:r>
              <w:rPr>
                <w:rFonts w:hint="eastAsia" w:ascii="仿宋" w:hAnsi="仿宋" w:eastAsia="仿宋"/>
                <w:b/>
                <w:color w:val="000000"/>
                <w:sz w:val="24"/>
                <w:szCs w:val="24"/>
              </w:rPr>
              <w:t>具体需求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4" w:type="dxa"/>
            <w:gridSpan w:val="3"/>
            <w:shd w:val="clear" w:color="auto" w:fill="DCD8C2" w:themeFill="background2" w:themeFillShade="E5"/>
            <w:vAlign w:val="center"/>
          </w:tcPr>
          <w:p>
            <w:pPr>
              <w:spacing w:line="360" w:lineRule="auto"/>
              <w:rPr>
                <w:rFonts w:ascii="仿宋" w:hAnsi="仿宋" w:eastAsia="仿宋"/>
                <w:b/>
                <w:color w:val="000000"/>
                <w:sz w:val="24"/>
                <w:szCs w:val="24"/>
              </w:rPr>
            </w:pPr>
            <w:r>
              <w:rPr>
                <w:rFonts w:hint="eastAsia" w:ascii="仿宋" w:hAnsi="仿宋" w:eastAsia="仿宋"/>
                <w:b/>
                <w:color w:val="000000"/>
                <w:sz w:val="24"/>
                <w:szCs w:val="24"/>
              </w:rPr>
              <w:t>（一）免费保修期内售后服务要求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1</w:t>
            </w:r>
          </w:p>
        </w:tc>
        <w:tc>
          <w:tcPr>
            <w:tcW w:w="1276" w:type="dxa"/>
            <w:vAlign w:val="center"/>
          </w:tcPr>
          <w:p>
            <w:pPr>
              <w:spacing w:line="360" w:lineRule="auto"/>
              <w:jc w:val="center"/>
              <w:rPr>
                <w:rFonts w:hint="default" w:ascii="仿宋" w:hAnsi="仿宋" w:eastAsia="仿宋"/>
                <w:color w:val="000000"/>
                <w:sz w:val="24"/>
                <w:szCs w:val="24"/>
                <w:lang w:val="en-US" w:eastAsia="zh-CN"/>
              </w:rPr>
            </w:pPr>
            <w:r>
              <w:rPr>
                <w:rFonts w:hint="eastAsia" w:ascii="仿宋" w:hAnsi="仿宋" w:eastAsia="仿宋"/>
                <w:color w:val="000000"/>
                <w:sz w:val="24"/>
                <w:szCs w:val="24"/>
                <w:lang w:val="en-US" w:eastAsia="zh-CN"/>
              </w:rPr>
              <w:t>保修期限</w:t>
            </w:r>
          </w:p>
        </w:tc>
        <w:tc>
          <w:tcPr>
            <w:tcW w:w="7298" w:type="dxa"/>
            <w:vAlign w:val="center"/>
          </w:tcPr>
          <w:p>
            <w:pPr>
              <w:spacing w:line="360" w:lineRule="auto"/>
              <w:ind w:left="440" w:hanging="482" w:hangingChars="200"/>
              <w:rPr>
                <w:rFonts w:ascii="仿宋" w:hAnsi="仿宋" w:eastAsia="仿宋"/>
                <w:color w:val="000000"/>
                <w:sz w:val="24"/>
                <w:szCs w:val="24"/>
              </w:rPr>
            </w:pPr>
            <w:r>
              <w:rPr>
                <w:rFonts w:hint="eastAsia" w:ascii="仿宋" w:hAnsi="仿宋" w:eastAsia="仿宋"/>
                <w:b/>
                <w:bCs/>
                <w:color w:val="000000"/>
                <w:sz w:val="24"/>
                <w:szCs w:val="24"/>
                <w:highlight w:val="yellow"/>
              </w:rPr>
              <w:t>★货物硬件以及软件免费维护保修期1年，时间自</w:t>
            </w:r>
            <w:r>
              <w:rPr>
                <w:rFonts w:ascii="仿宋" w:hAnsi="仿宋" w:eastAsia="仿宋"/>
                <w:b/>
                <w:bCs/>
                <w:color w:val="000000"/>
                <w:sz w:val="24"/>
                <w:szCs w:val="24"/>
                <w:highlight w:val="yellow"/>
              </w:rPr>
              <w:t>交付之日起</w:t>
            </w:r>
            <w:r>
              <w:rPr>
                <w:rFonts w:hint="eastAsia" w:ascii="仿宋" w:hAnsi="仿宋" w:eastAsia="仿宋"/>
                <w:b/>
                <w:bCs/>
                <w:color w:val="000000"/>
                <w:sz w:val="24"/>
                <w:szCs w:val="24"/>
                <w:highlight w:val="yellow"/>
              </w:rPr>
              <w:t>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spacing w:line="360" w:lineRule="auto"/>
              <w:jc w:val="center"/>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2</w:t>
            </w:r>
          </w:p>
        </w:tc>
        <w:tc>
          <w:tcPr>
            <w:tcW w:w="1276" w:type="dxa"/>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维修响应及故障解决时间</w:t>
            </w:r>
          </w:p>
        </w:tc>
        <w:tc>
          <w:tcPr>
            <w:tcW w:w="7298" w:type="dxa"/>
            <w:vAlign w:val="top"/>
          </w:tcPr>
          <w:p>
            <w:pPr>
              <w:spacing w:line="360" w:lineRule="auto"/>
              <w:ind w:left="440" w:hanging="480" w:hangingChars="200"/>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1）</w:t>
            </w:r>
            <w:r>
              <w:rPr>
                <w:rFonts w:hint="eastAsia" w:ascii="仿宋" w:hAnsi="仿宋" w:eastAsia="仿宋"/>
                <w:color w:val="000000"/>
                <w:sz w:val="24"/>
                <w:szCs w:val="24"/>
              </w:rPr>
              <w:t>在保修期内，投标人提供7*24小时的电话、远程、邮件以及上门支持服务。</w:t>
            </w:r>
          </w:p>
          <w:p>
            <w:pPr>
              <w:spacing w:line="360" w:lineRule="auto"/>
              <w:ind w:left="440" w:hanging="480" w:hangingChars="200"/>
              <w:rPr>
                <w:rFonts w:hint="eastAsia" w:ascii="仿宋" w:hAnsi="仿宋" w:eastAsia="仿宋"/>
                <w:color w:val="000000"/>
                <w:sz w:val="24"/>
                <w:szCs w:val="24"/>
              </w:rPr>
            </w:pPr>
            <w:r>
              <w:rPr>
                <w:rFonts w:hint="eastAsia" w:ascii="仿宋" w:hAnsi="仿宋" w:eastAsia="仿宋"/>
                <w:color w:val="000000"/>
                <w:sz w:val="24"/>
                <w:szCs w:val="24"/>
                <w:lang w:val="en-US" w:eastAsia="zh-CN"/>
              </w:rPr>
              <w:t>2）</w:t>
            </w:r>
            <w:r>
              <w:rPr>
                <w:rFonts w:hint="eastAsia" w:ascii="仿宋" w:hAnsi="仿宋" w:eastAsia="仿宋"/>
                <w:color w:val="000000"/>
                <w:sz w:val="24"/>
                <w:szCs w:val="24"/>
              </w:rPr>
              <w:t>发生故障时，投标人保证在24小时之内安排技术人员到达故障现场，协助采购单位定位故障，直至故障排除，设备恢复正常运行。</w:t>
            </w:r>
          </w:p>
          <w:p>
            <w:pPr>
              <w:spacing w:line="360" w:lineRule="auto"/>
              <w:ind w:left="440" w:hanging="480" w:hangingChars="200"/>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3）</w:t>
            </w:r>
            <w:r>
              <w:rPr>
                <w:rFonts w:hint="eastAsia" w:ascii="仿宋" w:hAnsi="仿宋" w:eastAsia="仿宋"/>
                <w:color w:val="000000"/>
                <w:sz w:val="24"/>
                <w:szCs w:val="24"/>
              </w:rPr>
              <w:t>提供原厂备件支持，如有设备问题，投标人保证在下一个日历日内提供解决方案，更换原厂全新备件并排除故障，对业务造成影响的紧急情况，提供设备先行替换服务。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4" w:type="dxa"/>
            <w:gridSpan w:val="3"/>
            <w:shd w:val="clear" w:color="auto" w:fill="DCD8C2" w:themeFill="background2" w:themeFillShade="E5"/>
            <w:vAlign w:val="center"/>
          </w:tcPr>
          <w:p>
            <w:pPr>
              <w:spacing w:line="360" w:lineRule="auto"/>
              <w:jc w:val="left"/>
              <w:rPr>
                <w:rFonts w:ascii="仿宋" w:hAnsi="仿宋" w:eastAsia="仿宋"/>
                <w:b/>
                <w:color w:val="000000"/>
                <w:sz w:val="24"/>
                <w:szCs w:val="24"/>
              </w:rPr>
            </w:pPr>
            <w:r>
              <w:rPr>
                <w:rFonts w:hint="eastAsia" w:ascii="仿宋" w:hAnsi="仿宋" w:eastAsia="仿宋"/>
                <w:b/>
                <w:color w:val="000000"/>
                <w:sz w:val="24"/>
                <w:szCs w:val="24"/>
              </w:rPr>
              <w:t>（</w:t>
            </w:r>
            <w:r>
              <w:rPr>
                <w:rFonts w:hint="eastAsia" w:ascii="仿宋" w:hAnsi="仿宋" w:eastAsia="仿宋"/>
                <w:b/>
                <w:color w:val="000000"/>
                <w:sz w:val="24"/>
                <w:szCs w:val="24"/>
                <w:lang w:val="en-US" w:eastAsia="zh-CN"/>
              </w:rPr>
              <w:t>二</w:t>
            </w:r>
            <w:r>
              <w:rPr>
                <w:rFonts w:hint="eastAsia" w:ascii="仿宋" w:hAnsi="仿宋" w:eastAsia="仿宋"/>
                <w:b/>
                <w:color w:val="000000"/>
                <w:sz w:val="24"/>
                <w:szCs w:val="24"/>
              </w:rPr>
              <w:t>）其他商务要求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1</w:t>
            </w:r>
          </w:p>
        </w:tc>
        <w:tc>
          <w:tcPr>
            <w:tcW w:w="1276" w:type="dxa"/>
            <w:shd w:val="clear" w:color="auto" w:fill="auto"/>
            <w:vAlign w:val="center"/>
          </w:tcPr>
          <w:p>
            <w:pPr>
              <w:spacing w:line="360" w:lineRule="auto"/>
              <w:jc w:val="center"/>
              <w:rPr>
                <w:rFonts w:hint="eastAsia" w:ascii="仿宋" w:hAnsi="仿宋" w:eastAsia="仿宋"/>
                <w:color w:val="000000"/>
                <w:sz w:val="24"/>
                <w:szCs w:val="24"/>
              </w:rPr>
            </w:pPr>
            <w:r>
              <w:rPr>
                <w:rFonts w:hint="eastAsia" w:ascii="仿宋" w:hAnsi="仿宋" w:eastAsia="仿宋"/>
                <w:color w:val="000000"/>
                <w:sz w:val="24"/>
                <w:szCs w:val="24"/>
              </w:rPr>
              <w:t>关于交货</w:t>
            </w:r>
          </w:p>
        </w:tc>
        <w:tc>
          <w:tcPr>
            <w:tcW w:w="7298" w:type="dxa"/>
            <w:shd w:val="clear" w:color="auto" w:fill="auto"/>
            <w:vAlign w:val="center"/>
          </w:tcPr>
          <w:p>
            <w:pPr>
              <w:spacing w:line="360" w:lineRule="auto"/>
              <w:ind w:left="440" w:hanging="480" w:hangingChars="200"/>
              <w:rPr>
                <w:rFonts w:hint="eastAsia" w:ascii="仿宋" w:hAnsi="仿宋" w:eastAsia="仿宋"/>
                <w:b w:val="0"/>
                <w:bCs w:val="0"/>
                <w:color w:val="000000"/>
                <w:sz w:val="24"/>
                <w:szCs w:val="24"/>
              </w:rPr>
            </w:pPr>
            <w:r>
              <w:rPr>
                <w:rFonts w:hint="eastAsia" w:ascii="仿宋" w:hAnsi="仿宋" w:eastAsia="仿宋"/>
                <w:b w:val="0"/>
                <w:bCs w:val="0"/>
                <w:color w:val="000000"/>
                <w:sz w:val="24"/>
                <w:szCs w:val="24"/>
                <w:lang w:val="en-US" w:eastAsia="zh-CN"/>
              </w:rPr>
              <w:t>1）</w:t>
            </w:r>
            <w:r>
              <w:rPr>
                <w:rFonts w:hint="eastAsia" w:ascii="仿宋" w:hAnsi="仿宋" w:eastAsia="仿宋"/>
                <w:b/>
                <w:bCs/>
                <w:color w:val="000000"/>
                <w:sz w:val="24"/>
                <w:szCs w:val="24"/>
                <w:highlight w:val="yellow"/>
              </w:rPr>
              <w:t>★交货时间：签订合同后</w:t>
            </w:r>
            <w:r>
              <w:rPr>
                <w:rFonts w:hint="eastAsia" w:ascii="仿宋" w:hAnsi="仿宋" w:eastAsia="仿宋"/>
                <w:b/>
                <w:bCs/>
                <w:color w:val="000000"/>
                <w:sz w:val="24"/>
                <w:szCs w:val="24"/>
                <w:highlight w:val="yellow"/>
                <w:lang w:val="en-US" w:eastAsia="zh-CN"/>
              </w:rPr>
              <w:t>30</w:t>
            </w:r>
            <w:r>
              <w:rPr>
                <w:rFonts w:hint="eastAsia" w:ascii="仿宋" w:hAnsi="仿宋" w:eastAsia="仿宋"/>
                <w:b/>
                <w:bCs/>
                <w:color w:val="000000"/>
                <w:sz w:val="24"/>
                <w:szCs w:val="24"/>
                <w:highlight w:val="yellow"/>
              </w:rPr>
              <w:t>天（日历日）内交货</w:t>
            </w:r>
            <w:r>
              <w:rPr>
                <w:rFonts w:hint="eastAsia" w:ascii="仿宋" w:hAnsi="仿宋" w:eastAsia="仿宋"/>
                <w:b/>
                <w:bCs/>
                <w:color w:val="000000"/>
                <w:sz w:val="24"/>
                <w:szCs w:val="24"/>
                <w:highlight w:val="yellow"/>
                <w:lang w:val="en-US" w:eastAsia="zh-CN"/>
              </w:rPr>
              <w:t>并安装调试</w:t>
            </w:r>
            <w:r>
              <w:rPr>
                <w:rFonts w:hint="eastAsia" w:ascii="仿宋" w:hAnsi="仿宋" w:eastAsia="仿宋"/>
                <w:b/>
                <w:bCs/>
                <w:color w:val="000000"/>
                <w:sz w:val="24"/>
                <w:szCs w:val="24"/>
                <w:highlight w:val="yellow"/>
              </w:rPr>
              <w:t>。</w:t>
            </w:r>
          </w:p>
          <w:p>
            <w:pPr>
              <w:spacing w:line="360" w:lineRule="auto"/>
              <w:ind w:left="440" w:hanging="480" w:hangingChars="200"/>
              <w:rPr>
                <w:rFonts w:hint="eastAsia" w:ascii="仿宋" w:hAnsi="仿宋" w:eastAsia="仿宋"/>
                <w:b w:val="0"/>
                <w:bCs w:val="0"/>
                <w:color w:val="000000"/>
                <w:sz w:val="24"/>
                <w:szCs w:val="24"/>
                <w:lang w:val="en-US" w:eastAsia="zh-CN"/>
              </w:rPr>
            </w:pPr>
            <w:r>
              <w:rPr>
                <w:rFonts w:hint="eastAsia" w:ascii="仿宋" w:hAnsi="仿宋" w:eastAsia="仿宋"/>
                <w:b w:val="0"/>
                <w:bCs w:val="0"/>
                <w:color w:val="000000"/>
                <w:sz w:val="24"/>
                <w:szCs w:val="24"/>
                <w:lang w:val="en-US" w:eastAsia="zh-CN"/>
              </w:rPr>
              <w:t>2）</w:t>
            </w:r>
            <w:r>
              <w:rPr>
                <w:rFonts w:hint="eastAsia" w:ascii="仿宋" w:hAnsi="仿宋" w:eastAsia="仿宋"/>
                <w:b w:val="0"/>
                <w:bCs w:val="0"/>
                <w:color w:val="000000"/>
                <w:sz w:val="24"/>
                <w:szCs w:val="24"/>
              </w:rPr>
              <w:t>交货地点：深圳市公安局特警支队指定地点。</w:t>
            </w:r>
          </w:p>
          <w:p>
            <w:pPr>
              <w:spacing w:line="360" w:lineRule="auto"/>
              <w:ind w:left="440" w:hanging="480" w:hangingChars="200"/>
              <w:rPr>
                <w:rFonts w:ascii="仿宋" w:hAnsi="仿宋" w:eastAsia="仿宋"/>
                <w:b w:val="0"/>
                <w:bCs w:val="0"/>
                <w:color w:val="000000"/>
                <w:sz w:val="24"/>
                <w:szCs w:val="24"/>
              </w:rPr>
            </w:pPr>
            <w:r>
              <w:rPr>
                <w:rFonts w:hint="eastAsia" w:ascii="仿宋" w:hAnsi="仿宋" w:eastAsia="仿宋"/>
                <w:b w:val="0"/>
                <w:bCs w:val="0"/>
                <w:color w:val="000000"/>
                <w:sz w:val="24"/>
                <w:szCs w:val="24"/>
                <w:lang w:val="en-US" w:eastAsia="zh-CN"/>
              </w:rPr>
              <w:t>3）</w:t>
            </w:r>
            <w:r>
              <w:rPr>
                <w:rFonts w:hint="eastAsia" w:ascii="仿宋" w:hAnsi="仿宋" w:eastAsia="仿宋"/>
                <w:b w:val="0"/>
                <w:bCs w:val="0"/>
                <w:color w:val="000000"/>
                <w:sz w:val="24"/>
                <w:szCs w:val="24"/>
              </w:rPr>
              <w:t>投标人必须承担的设备运输、安装调试、验收检测和提供设备操作说明书、图纸等其他类似的义务。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2</w:t>
            </w:r>
          </w:p>
        </w:tc>
        <w:tc>
          <w:tcPr>
            <w:tcW w:w="1276" w:type="dxa"/>
            <w:vAlign w:val="center"/>
          </w:tcPr>
          <w:p>
            <w:pPr>
              <w:spacing w:line="360" w:lineRule="auto"/>
              <w:jc w:val="center"/>
              <w:rPr>
                <w:rFonts w:hint="eastAsia" w:ascii="仿宋" w:hAnsi="仿宋" w:eastAsia="仿宋"/>
                <w:color w:val="000000"/>
                <w:sz w:val="24"/>
                <w:szCs w:val="24"/>
              </w:rPr>
            </w:pPr>
            <w:r>
              <w:rPr>
                <w:rFonts w:hint="eastAsia" w:ascii="仿宋" w:hAnsi="仿宋" w:eastAsia="仿宋"/>
                <w:color w:val="000000"/>
                <w:sz w:val="24"/>
                <w:szCs w:val="24"/>
              </w:rPr>
              <w:t>关于验收</w:t>
            </w:r>
          </w:p>
        </w:tc>
        <w:tc>
          <w:tcPr>
            <w:tcW w:w="7298" w:type="dxa"/>
          </w:tcPr>
          <w:p>
            <w:pPr>
              <w:spacing w:line="360" w:lineRule="auto"/>
              <w:ind w:left="440" w:hanging="480" w:hangingChars="200"/>
              <w:rPr>
                <w:rFonts w:hint="eastAsia" w:ascii="仿宋" w:hAnsi="仿宋" w:eastAsia="仿宋"/>
                <w:b w:val="0"/>
                <w:bCs w:val="0"/>
                <w:color w:val="000000"/>
                <w:sz w:val="24"/>
                <w:szCs w:val="24"/>
              </w:rPr>
            </w:pPr>
            <w:r>
              <w:rPr>
                <w:rFonts w:hint="eastAsia" w:ascii="仿宋" w:hAnsi="仿宋" w:eastAsia="仿宋"/>
                <w:b w:val="0"/>
                <w:bCs w:val="0"/>
                <w:color w:val="000000"/>
                <w:sz w:val="24"/>
                <w:szCs w:val="24"/>
                <w:lang w:val="en-US" w:eastAsia="zh-CN"/>
              </w:rPr>
              <w:t>1）</w:t>
            </w:r>
            <w:r>
              <w:rPr>
                <w:rFonts w:hint="eastAsia" w:ascii="仿宋" w:hAnsi="仿宋" w:eastAsia="仿宋"/>
                <w:b w:val="0"/>
                <w:bCs w:val="0"/>
                <w:color w:val="000000"/>
                <w:sz w:val="24"/>
                <w:szCs w:val="24"/>
              </w:rPr>
              <w:t>投标人货物经过双方检验认可后，签署验收报告，由投标人提供产品保修文件。</w:t>
            </w:r>
          </w:p>
          <w:p>
            <w:pPr>
              <w:spacing w:line="360" w:lineRule="auto"/>
              <w:ind w:left="440" w:hanging="480" w:hangingChars="200"/>
              <w:rPr>
                <w:rFonts w:hint="eastAsia" w:ascii="仿宋" w:hAnsi="仿宋" w:eastAsia="仿宋"/>
                <w:b w:val="0"/>
                <w:bCs w:val="0"/>
                <w:color w:val="000000"/>
                <w:sz w:val="24"/>
                <w:szCs w:val="24"/>
                <w:lang w:eastAsia="zh-CN"/>
              </w:rPr>
            </w:pPr>
            <w:r>
              <w:rPr>
                <w:rFonts w:hint="eastAsia" w:ascii="仿宋" w:hAnsi="仿宋" w:eastAsia="仿宋"/>
                <w:b w:val="0"/>
                <w:bCs w:val="0"/>
                <w:color w:val="000000"/>
                <w:sz w:val="24"/>
                <w:szCs w:val="24"/>
                <w:lang w:val="en-US" w:eastAsia="zh-CN"/>
              </w:rPr>
              <w:t>2）</w:t>
            </w:r>
            <w:r>
              <w:rPr>
                <w:rFonts w:hint="eastAsia" w:ascii="仿宋" w:hAnsi="仿宋" w:eastAsia="仿宋"/>
                <w:b w:val="0"/>
                <w:bCs w:val="0"/>
                <w:color w:val="000000"/>
                <w:sz w:val="24"/>
                <w:szCs w:val="24"/>
              </w:rPr>
              <w:t>在买方现场按合同要求，进行现场操作、运行验收</w:t>
            </w:r>
            <w:r>
              <w:rPr>
                <w:rFonts w:hint="eastAsia" w:ascii="仿宋" w:hAnsi="仿宋" w:eastAsia="仿宋"/>
                <w:b w:val="0"/>
                <w:bCs w:val="0"/>
                <w:color w:val="000000"/>
                <w:sz w:val="24"/>
                <w:szCs w:val="24"/>
                <w:lang w:eastAsia="zh-CN"/>
              </w:rPr>
              <w:t>。</w:t>
            </w:r>
          </w:p>
          <w:p>
            <w:pPr>
              <w:spacing w:line="360" w:lineRule="auto"/>
              <w:ind w:left="440" w:hanging="480" w:hangingChars="200"/>
              <w:rPr>
                <w:rFonts w:hint="eastAsia" w:ascii="仿宋" w:hAnsi="仿宋" w:eastAsia="仿宋"/>
                <w:b w:val="0"/>
                <w:bCs w:val="0"/>
                <w:color w:val="000000"/>
                <w:sz w:val="24"/>
                <w:szCs w:val="24"/>
                <w:lang w:eastAsia="zh-CN"/>
              </w:rPr>
            </w:pPr>
            <w:r>
              <w:rPr>
                <w:rFonts w:hint="eastAsia" w:ascii="仿宋" w:hAnsi="仿宋" w:eastAsia="仿宋"/>
                <w:b w:val="0"/>
                <w:bCs w:val="0"/>
                <w:color w:val="000000"/>
                <w:sz w:val="24"/>
                <w:szCs w:val="24"/>
                <w:lang w:val="en-US" w:eastAsia="zh-CN"/>
              </w:rPr>
              <w:t>3）</w:t>
            </w:r>
            <w:r>
              <w:rPr>
                <w:rFonts w:hint="eastAsia" w:ascii="仿宋" w:hAnsi="仿宋" w:eastAsia="仿宋"/>
                <w:b w:val="0"/>
                <w:bCs w:val="0"/>
                <w:color w:val="000000"/>
                <w:sz w:val="24"/>
                <w:szCs w:val="24"/>
              </w:rPr>
              <w:t>设备在</w:t>
            </w:r>
            <w:r>
              <w:rPr>
                <w:rFonts w:hint="eastAsia" w:ascii="仿宋" w:hAnsi="仿宋" w:eastAsia="仿宋"/>
                <w:b w:val="0"/>
                <w:bCs w:val="0"/>
                <w:color w:val="000000"/>
                <w:sz w:val="24"/>
                <w:szCs w:val="24"/>
                <w:lang w:val="en-US" w:eastAsia="zh-CN"/>
              </w:rPr>
              <w:t>采购人</w:t>
            </w:r>
            <w:r>
              <w:rPr>
                <w:rFonts w:hint="eastAsia" w:ascii="仿宋" w:hAnsi="仿宋" w:eastAsia="仿宋"/>
                <w:b w:val="0"/>
                <w:bCs w:val="0"/>
                <w:color w:val="000000"/>
                <w:sz w:val="24"/>
                <w:szCs w:val="24"/>
              </w:rPr>
              <w:t>指定现场进行</w:t>
            </w:r>
            <w:r>
              <w:rPr>
                <w:rFonts w:hint="eastAsia" w:ascii="仿宋" w:hAnsi="仿宋" w:eastAsia="仿宋"/>
                <w:b w:val="0"/>
                <w:bCs w:val="0"/>
                <w:color w:val="000000"/>
                <w:sz w:val="24"/>
                <w:szCs w:val="24"/>
                <w:lang w:eastAsia="zh-CN"/>
              </w:rPr>
              <w:t>。</w:t>
            </w:r>
          </w:p>
          <w:p>
            <w:pPr>
              <w:spacing w:line="360" w:lineRule="auto"/>
              <w:ind w:left="440" w:hanging="480" w:hangingChars="200"/>
              <w:rPr>
                <w:rFonts w:hint="eastAsia" w:ascii="仿宋" w:hAnsi="仿宋" w:eastAsia="仿宋"/>
                <w:b w:val="0"/>
                <w:bCs w:val="0"/>
                <w:color w:val="000000"/>
                <w:sz w:val="24"/>
                <w:szCs w:val="24"/>
              </w:rPr>
            </w:pPr>
            <w:r>
              <w:rPr>
                <w:rFonts w:hint="eastAsia" w:ascii="仿宋" w:hAnsi="仿宋" w:eastAsia="仿宋"/>
                <w:b w:val="0"/>
                <w:bCs w:val="0"/>
                <w:color w:val="000000"/>
                <w:sz w:val="24"/>
                <w:szCs w:val="24"/>
                <w:lang w:val="en-US" w:eastAsia="zh-CN"/>
              </w:rPr>
              <w:t>4）</w:t>
            </w:r>
            <w:r>
              <w:rPr>
                <w:rFonts w:hint="eastAsia" w:ascii="仿宋" w:hAnsi="仿宋" w:eastAsia="仿宋"/>
                <w:b w:val="0"/>
                <w:bCs w:val="0"/>
                <w:color w:val="000000"/>
                <w:sz w:val="24"/>
                <w:szCs w:val="24"/>
              </w:rPr>
              <w:t>验收合格后、双方在有关文件上签字。</w:t>
            </w:r>
          </w:p>
          <w:p>
            <w:pPr>
              <w:spacing w:line="360" w:lineRule="auto"/>
              <w:ind w:left="440" w:hanging="480" w:hangingChars="200"/>
              <w:rPr>
                <w:rFonts w:hint="eastAsia" w:ascii="仿宋" w:hAnsi="仿宋" w:eastAsia="仿宋"/>
                <w:b w:val="0"/>
                <w:bCs w:val="0"/>
                <w:color w:val="000000"/>
                <w:sz w:val="24"/>
                <w:szCs w:val="24"/>
              </w:rPr>
            </w:pPr>
            <w:r>
              <w:rPr>
                <w:rFonts w:hint="eastAsia" w:ascii="仿宋" w:hAnsi="仿宋" w:eastAsia="仿宋"/>
                <w:b w:val="0"/>
                <w:bCs w:val="0"/>
                <w:color w:val="000000"/>
                <w:sz w:val="24"/>
                <w:szCs w:val="24"/>
                <w:lang w:val="en-US" w:eastAsia="zh-CN"/>
              </w:rPr>
              <w:t>5）</w:t>
            </w:r>
            <w:r>
              <w:rPr>
                <w:rFonts w:hint="eastAsia" w:ascii="仿宋" w:hAnsi="仿宋" w:eastAsia="仿宋"/>
                <w:b w:val="0"/>
                <w:bCs w:val="0"/>
                <w:color w:val="000000"/>
                <w:sz w:val="24"/>
                <w:szCs w:val="24"/>
              </w:rPr>
              <w:t>投标人货物经过双方检验认可后，签署验收报告，产品保修期自验收合格之日起算，由投标人提供产品保修文件。</w:t>
            </w:r>
          </w:p>
          <w:p>
            <w:pPr>
              <w:spacing w:line="360" w:lineRule="auto"/>
              <w:ind w:left="440" w:hanging="480" w:hangingChars="200"/>
              <w:rPr>
                <w:rFonts w:ascii="仿宋" w:hAnsi="仿宋" w:eastAsia="仿宋"/>
                <w:b w:val="0"/>
                <w:bCs w:val="0"/>
                <w:color w:val="000000"/>
                <w:sz w:val="24"/>
                <w:szCs w:val="24"/>
              </w:rPr>
            </w:pPr>
            <w:r>
              <w:rPr>
                <w:rFonts w:hint="eastAsia" w:ascii="仿宋" w:hAnsi="仿宋" w:eastAsia="仿宋"/>
                <w:b w:val="0"/>
                <w:bCs w:val="0"/>
                <w:color w:val="000000"/>
                <w:sz w:val="24"/>
                <w:szCs w:val="24"/>
                <w:lang w:val="en-US" w:eastAsia="zh-CN"/>
              </w:rPr>
              <w:t>6）</w:t>
            </w:r>
            <w:r>
              <w:rPr>
                <w:rFonts w:hint="eastAsia" w:ascii="仿宋" w:hAnsi="仿宋" w:eastAsia="仿宋"/>
                <w:b w:val="0"/>
                <w:bCs w:val="0"/>
                <w:color w:val="000000"/>
                <w:sz w:val="24"/>
                <w:szCs w:val="24"/>
              </w:rPr>
              <w:t>货物具备产品合格证。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3</w:t>
            </w:r>
          </w:p>
        </w:tc>
        <w:tc>
          <w:tcPr>
            <w:tcW w:w="1276" w:type="dxa"/>
            <w:vAlign w:val="center"/>
          </w:tcPr>
          <w:p>
            <w:pPr>
              <w:spacing w:line="360" w:lineRule="auto"/>
              <w:jc w:val="center"/>
              <w:rPr>
                <w:rFonts w:hint="eastAsia" w:ascii="仿宋" w:hAnsi="仿宋" w:eastAsia="仿宋"/>
                <w:color w:val="000000"/>
                <w:sz w:val="24"/>
                <w:szCs w:val="24"/>
              </w:rPr>
            </w:pPr>
            <w:r>
              <w:rPr>
                <w:rFonts w:hint="eastAsia" w:ascii="仿宋" w:hAnsi="仿宋" w:eastAsia="仿宋"/>
                <w:color w:val="000000"/>
                <w:sz w:val="24"/>
                <w:szCs w:val="24"/>
              </w:rPr>
              <w:t>关于付款</w:t>
            </w:r>
          </w:p>
        </w:tc>
        <w:tc>
          <w:tcPr>
            <w:tcW w:w="7298" w:type="dxa"/>
          </w:tcPr>
          <w:p>
            <w:pPr>
              <w:spacing w:line="360" w:lineRule="auto"/>
              <w:rPr>
                <w:rFonts w:hint="eastAsia" w:ascii="仿宋" w:hAnsi="仿宋" w:eastAsia="仿宋"/>
                <w:b w:val="0"/>
                <w:bCs/>
                <w:color w:val="000000"/>
                <w:sz w:val="24"/>
                <w:szCs w:val="24"/>
                <w:lang w:eastAsia="zh-CN"/>
              </w:rPr>
            </w:pPr>
            <w:r>
              <w:rPr>
                <w:rFonts w:hint="eastAsia" w:ascii="仿宋" w:hAnsi="仿宋" w:eastAsia="仿宋"/>
                <w:b w:val="0"/>
                <w:bCs/>
                <w:color w:val="000000"/>
                <w:sz w:val="24"/>
                <w:szCs w:val="24"/>
              </w:rPr>
              <w:t>验收合格后再支付100%合同款</w:t>
            </w:r>
            <w:r>
              <w:rPr>
                <w:rFonts w:hint="eastAsia" w:ascii="仿宋" w:hAnsi="仿宋" w:eastAsia="仿宋"/>
                <w:b w:val="0"/>
                <w:bCs/>
                <w:color w:val="00000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4</w:t>
            </w:r>
          </w:p>
        </w:tc>
        <w:tc>
          <w:tcPr>
            <w:tcW w:w="1276" w:type="dxa"/>
            <w:vAlign w:val="center"/>
          </w:tcPr>
          <w:p>
            <w:pPr>
              <w:spacing w:line="360" w:lineRule="auto"/>
              <w:jc w:val="center"/>
              <w:rPr>
                <w:rFonts w:hint="eastAsia" w:ascii="仿宋" w:hAnsi="仿宋" w:eastAsia="仿宋"/>
                <w:color w:val="000000"/>
                <w:sz w:val="24"/>
                <w:szCs w:val="24"/>
              </w:rPr>
            </w:pPr>
            <w:r>
              <w:rPr>
                <w:rFonts w:hint="eastAsia" w:ascii="仿宋" w:hAnsi="仿宋" w:eastAsia="仿宋"/>
                <w:color w:val="000000"/>
                <w:sz w:val="24"/>
                <w:szCs w:val="24"/>
              </w:rPr>
              <w:t>售后服务</w:t>
            </w:r>
          </w:p>
        </w:tc>
        <w:tc>
          <w:tcPr>
            <w:tcW w:w="7298" w:type="dxa"/>
          </w:tcPr>
          <w:p>
            <w:pPr>
              <w:spacing w:line="360" w:lineRule="auto"/>
              <w:ind w:left="440" w:hanging="482" w:hangingChars="200"/>
              <w:rPr>
                <w:rFonts w:hint="eastAsia" w:ascii="仿宋" w:hAnsi="仿宋" w:eastAsia="仿宋"/>
                <w:b w:val="0"/>
                <w:bCs/>
                <w:color w:val="000000"/>
                <w:sz w:val="24"/>
                <w:szCs w:val="24"/>
              </w:rPr>
            </w:pPr>
            <w:r>
              <w:rPr>
                <w:rFonts w:hint="eastAsia" w:ascii="仿宋" w:hAnsi="仿宋" w:eastAsia="仿宋"/>
                <w:b/>
                <w:bCs/>
                <w:color w:val="000000"/>
                <w:sz w:val="24"/>
                <w:szCs w:val="24"/>
                <w:highlight w:val="yellow"/>
              </w:rPr>
              <w:t>★</w:t>
            </w:r>
            <w:r>
              <w:rPr>
                <w:rFonts w:hint="eastAsia" w:ascii="仿宋" w:hAnsi="仿宋" w:eastAsia="仿宋"/>
                <w:b/>
                <w:bCs/>
                <w:color w:val="000000"/>
                <w:sz w:val="24"/>
                <w:szCs w:val="24"/>
                <w:highlight w:val="yellow"/>
                <w:lang w:val="en-US" w:eastAsia="zh-CN"/>
              </w:rPr>
              <w:t>1）</w:t>
            </w:r>
            <w:r>
              <w:rPr>
                <w:rFonts w:hint="eastAsia" w:ascii="仿宋" w:hAnsi="仿宋" w:eastAsia="仿宋"/>
                <w:b/>
                <w:bCs/>
                <w:color w:val="000000"/>
                <w:sz w:val="24"/>
                <w:szCs w:val="24"/>
                <w:highlight w:val="yellow"/>
              </w:rPr>
              <w:t>免费保修期为1年。</w:t>
            </w:r>
            <w:r>
              <w:rPr>
                <w:rFonts w:hint="eastAsia" w:ascii="仿宋" w:hAnsi="仿宋" w:eastAsia="仿宋"/>
                <w:b/>
                <w:bCs/>
                <w:color w:val="000000"/>
                <w:sz w:val="24"/>
                <w:szCs w:val="24"/>
                <w:highlight w:val="yellow"/>
                <w:lang w:val="en-US" w:eastAsia="zh-CN"/>
              </w:rPr>
              <w:t>时间至验收合格之日起算。</w:t>
            </w:r>
            <w:r>
              <w:rPr>
                <w:rFonts w:hint="eastAsia" w:ascii="仿宋" w:hAnsi="仿宋" w:eastAsia="仿宋"/>
                <w:b w:val="0"/>
                <w:bCs/>
                <w:color w:val="000000"/>
                <w:sz w:val="24"/>
                <w:szCs w:val="24"/>
              </w:rPr>
              <w:t>在免费保修期内产品发生故障，免费维修或更换；在保证期外发生故障，给予有偿服务。</w:t>
            </w:r>
          </w:p>
          <w:p>
            <w:pPr>
              <w:spacing w:line="360" w:lineRule="auto"/>
              <w:ind w:left="440" w:hanging="480" w:hangingChars="200"/>
              <w:rPr>
                <w:rFonts w:hint="eastAsia" w:ascii="仿宋" w:hAnsi="仿宋" w:eastAsia="仿宋"/>
                <w:b w:val="0"/>
                <w:bCs/>
                <w:color w:val="000000"/>
                <w:sz w:val="24"/>
                <w:szCs w:val="24"/>
              </w:rPr>
            </w:pPr>
            <w:r>
              <w:rPr>
                <w:rFonts w:hint="eastAsia" w:ascii="仿宋" w:hAnsi="仿宋" w:eastAsia="仿宋"/>
                <w:b w:val="0"/>
                <w:bCs/>
                <w:color w:val="000000"/>
                <w:sz w:val="24"/>
                <w:szCs w:val="24"/>
                <w:lang w:val="en-US" w:eastAsia="zh-CN"/>
              </w:rPr>
              <w:t>2）</w:t>
            </w:r>
            <w:r>
              <w:rPr>
                <w:rFonts w:hint="eastAsia" w:ascii="仿宋" w:hAnsi="仿宋" w:eastAsia="仿宋"/>
                <w:b w:val="0"/>
                <w:bCs/>
                <w:color w:val="000000"/>
                <w:sz w:val="24"/>
                <w:szCs w:val="24"/>
              </w:rPr>
              <w:t>货物免费保修期自最终验收合格之日起计算。在保修期内，一旦发生质量问题，投标人保证在接到通知24小时内赶到现场进行修理或更换。</w:t>
            </w:r>
          </w:p>
          <w:p>
            <w:pPr>
              <w:spacing w:line="360" w:lineRule="auto"/>
              <w:ind w:left="440" w:hanging="480" w:hangingChars="200"/>
              <w:rPr>
                <w:rFonts w:ascii="仿宋" w:hAnsi="仿宋" w:eastAsia="仿宋"/>
                <w:b w:val="0"/>
                <w:bCs/>
                <w:color w:val="000000"/>
                <w:sz w:val="24"/>
                <w:szCs w:val="24"/>
              </w:rPr>
            </w:pPr>
            <w:r>
              <w:rPr>
                <w:rFonts w:hint="eastAsia" w:ascii="仿宋" w:hAnsi="仿宋" w:eastAsia="仿宋"/>
                <w:b w:val="0"/>
                <w:bCs/>
                <w:color w:val="000000"/>
                <w:sz w:val="24"/>
                <w:szCs w:val="24"/>
                <w:lang w:val="en-US" w:eastAsia="zh-CN"/>
              </w:rPr>
              <w:t>3）</w:t>
            </w:r>
            <w:r>
              <w:rPr>
                <w:rFonts w:hint="eastAsia" w:ascii="仿宋" w:hAnsi="仿宋" w:eastAsia="仿宋"/>
                <w:b w:val="0"/>
                <w:bCs/>
                <w:color w:val="000000"/>
                <w:sz w:val="24"/>
                <w:szCs w:val="24"/>
              </w:rPr>
              <w:t>投标人应按其投标文件中的承诺，进行其他售后服务工作。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5</w:t>
            </w:r>
          </w:p>
        </w:tc>
        <w:tc>
          <w:tcPr>
            <w:tcW w:w="1276" w:type="dxa"/>
            <w:vAlign w:val="center"/>
          </w:tcPr>
          <w:p>
            <w:pPr>
              <w:spacing w:line="360" w:lineRule="auto"/>
              <w:jc w:val="center"/>
              <w:rPr>
                <w:rFonts w:hint="default" w:ascii="仿宋" w:hAnsi="仿宋" w:eastAsia="仿宋"/>
                <w:color w:val="000000"/>
                <w:sz w:val="24"/>
                <w:szCs w:val="24"/>
                <w:lang w:val="en-US" w:eastAsia="zh-CN"/>
              </w:rPr>
            </w:pPr>
            <w:r>
              <w:rPr>
                <w:rFonts w:hint="eastAsia" w:ascii="仿宋" w:hAnsi="仿宋" w:eastAsia="仿宋"/>
                <w:color w:val="000000"/>
                <w:sz w:val="24"/>
                <w:szCs w:val="24"/>
                <w:lang w:val="en-US" w:eastAsia="zh-CN"/>
              </w:rPr>
              <w:t>其他要求</w:t>
            </w:r>
          </w:p>
        </w:tc>
        <w:tc>
          <w:tcPr>
            <w:tcW w:w="7298" w:type="dxa"/>
          </w:tcPr>
          <w:p>
            <w:pPr>
              <w:spacing w:line="360" w:lineRule="auto"/>
              <w:ind w:left="516" w:hanging="516" w:hangingChars="215"/>
              <w:rPr>
                <w:rFonts w:hint="eastAsia" w:ascii="仿宋" w:hAnsi="仿宋" w:eastAsia="仿宋"/>
                <w:b w:val="0"/>
                <w:bCs/>
                <w:color w:val="000000"/>
                <w:sz w:val="24"/>
                <w:szCs w:val="24"/>
              </w:rPr>
            </w:pPr>
            <w:r>
              <w:rPr>
                <w:rFonts w:hint="eastAsia" w:ascii="仿宋" w:hAnsi="仿宋" w:eastAsia="仿宋"/>
                <w:b w:val="0"/>
                <w:bCs/>
                <w:color w:val="000000"/>
                <w:sz w:val="24"/>
                <w:szCs w:val="24"/>
                <w:lang w:val="en-US" w:eastAsia="zh-CN"/>
              </w:rPr>
              <w:t>1）</w:t>
            </w:r>
            <w:r>
              <w:rPr>
                <w:rFonts w:hint="eastAsia" w:ascii="仿宋" w:hAnsi="仿宋" w:eastAsia="仿宋"/>
                <w:b w:val="0"/>
                <w:bCs/>
                <w:color w:val="000000"/>
                <w:sz w:val="24"/>
                <w:szCs w:val="24"/>
              </w:rPr>
              <w:t>本项目预算控制总金额为人民币壹拾肆万肆仟元整，超过本预算控制总金额及货物需求表中列明的条目控制单价和总价的投标报价将作废标处理。</w:t>
            </w:r>
          </w:p>
          <w:p>
            <w:pPr>
              <w:spacing w:line="360" w:lineRule="auto"/>
              <w:ind w:left="35" w:hanging="38" w:hangingChars="16"/>
              <w:rPr>
                <w:rFonts w:ascii="仿宋" w:hAnsi="仿宋" w:eastAsia="仿宋"/>
                <w:b w:val="0"/>
                <w:bCs/>
                <w:color w:val="000000"/>
                <w:sz w:val="24"/>
                <w:szCs w:val="24"/>
              </w:rPr>
            </w:pPr>
            <w:r>
              <w:rPr>
                <w:rFonts w:hint="eastAsia" w:ascii="仿宋" w:hAnsi="仿宋" w:eastAsia="仿宋"/>
                <w:b w:val="0"/>
                <w:bCs/>
                <w:color w:val="000000"/>
                <w:sz w:val="24"/>
                <w:szCs w:val="24"/>
                <w:lang w:val="en-US" w:eastAsia="zh-CN"/>
              </w:rPr>
              <w:t>2）</w:t>
            </w:r>
            <w:r>
              <w:rPr>
                <w:rFonts w:hint="eastAsia" w:ascii="仿宋" w:hAnsi="仿宋" w:eastAsia="仿宋"/>
                <w:b w:val="0"/>
                <w:bCs/>
                <w:color w:val="000000"/>
                <w:sz w:val="24"/>
                <w:szCs w:val="24"/>
              </w:rPr>
              <w:t>投标货币种类：人民币。</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ind w:firstLine="770" w:firstLineChars="350"/>
      </w:pPr>
      <w:r>
        <w:rPr>
          <w:rFonts w:hint="eastAsia" w:ascii="仿宋" w:hAnsi="仿宋" w:eastAsia="仿宋"/>
          <w:bCs/>
          <w:sz w:val="22"/>
          <w:szCs w:val="21"/>
        </w:rPr>
        <w:t>2、加注“★”的条款要求为不可偏离项，如不满足或负偏离将导致其投标无效。</w:t>
      </w:r>
    </w:p>
    <w:p>
      <w:pPr>
        <w:widowControl/>
        <w:jc w:val="left"/>
      </w:pPr>
      <w:r>
        <w:br w:type="page"/>
      </w:r>
    </w:p>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widowControl/>
        <w:jc w:val="left"/>
      </w:pPr>
      <w:r>
        <w:br w:type="page"/>
      </w:r>
    </w:p>
    <w:p/>
    <w:p/>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
    <w:p/>
    <w:p/>
    <w:p/>
    <w:p/>
    <w:p/>
    <w:p/>
    <w:p/>
    <w:p/>
    <w:tbl>
      <w:tblPr>
        <w:tblStyle w:val="1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1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二、评标指引表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三、投标函（格式1）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四、投标人资格证明文件和资格声明（格式2）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五、评分中涉及的承诺及声明函（格式3）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六、开标一览表（格式4）</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七、报价表（格式5）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八、技术规格（格式6）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九、交付进度（格式7）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w:t>
            </w:r>
            <w:r>
              <w:rPr>
                <w:rFonts w:ascii="仿宋" w:hAnsi="仿宋" w:eastAsia="仿宋" w:cs="Arial Unicode MS"/>
                <w:sz w:val="24"/>
              </w:rPr>
              <w:t>售后服务和质量承诺</w:t>
            </w:r>
            <w:r>
              <w:rPr>
                <w:rFonts w:hint="eastAsia" w:ascii="仿宋" w:hAnsi="仿宋" w:eastAsia="仿宋" w:cs="Arial Unicode MS"/>
                <w:sz w:val="24"/>
              </w:rPr>
              <w:t>（格式8）</w:t>
            </w:r>
          </w:p>
          <w:p>
            <w:pPr>
              <w:widowControl/>
              <w:spacing w:line="360" w:lineRule="auto"/>
              <w:rPr>
                <w:rFonts w:ascii="仿宋" w:hAnsi="仿宋" w:eastAsia="仿宋" w:cs="Arial Unicode MS"/>
                <w:sz w:val="24"/>
              </w:rPr>
            </w:pPr>
            <w:r>
              <w:rPr>
                <w:rFonts w:hint="eastAsia" w:ascii="仿宋" w:hAnsi="仿宋" w:eastAsia="仿宋" w:cs="Arial Unicode MS"/>
                <w:sz w:val="24"/>
              </w:rPr>
              <w:t>十一、偏离</w:t>
            </w:r>
            <w:r>
              <w:rPr>
                <w:rFonts w:ascii="仿宋" w:hAnsi="仿宋" w:eastAsia="仿宋" w:cs="Arial Unicode MS"/>
                <w:sz w:val="24"/>
              </w:rPr>
              <w:t>表（格式</w:t>
            </w:r>
            <w:r>
              <w:rPr>
                <w:rFonts w:hint="eastAsia" w:ascii="仿宋" w:hAnsi="仿宋" w:eastAsia="仿宋" w:cs="Arial Unicode MS"/>
                <w:sz w:val="24"/>
              </w:rPr>
              <w:t>9</w:t>
            </w:r>
            <w:r>
              <w:rPr>
                <w:rFonts w:ascii="仿宋" w:hAnsi="仿宋" w:eastAsia="仿宋" w:cs="Arial Unicode MS"/>
                <w:sz w:val="24"/>
              </w:rPr>
              <w:t>）</w:t>
            </w:r>
          </w:p>
          <w:p>
            <w:pPr>
              <w:widowControl/>
              <w:spacing w:line="360" w:lineRule="auto"/>
              <w:rPr>
                <w:rFonts w:ascii="仿宋" w:hAnsi="仿宋" w:eastAsia="仿宋" w:cs="Arial Unicode MS"/>
                <w:sz w:val="24"/>
              </w:rPr>
            </w:pPr>
            <w:r>
              <w:rPr>
                <w:rFonts w:hint="eastAsia" w:ascii="仿宋" w:hAnsi="仿宋" w:eastAsia="仿宋" w:cs="Arial Unicode MS"/>
                <w:sz w:val="24"/>
              </w:rPr>
              <w:t>十二、</w:t>
            </w:r>
            <w:r>
              <w:rPr>
                <w:rFonts w:ascii="仿宋" w:hAnsi="仿宋" w:eastAsia="仿宋" w:cs="Arial Unicode MS"/>
                <w:sz w:val="24"/>
              </w:rPr>
              <w:t>其他</w:t>
            </w:r>
            <w:r>
              <w:rPr>
                <w:rFonts w:hint="eastAsia" w:ascii="仿宋" w:hAnsi="仿宋" w:eastAsia="仿宋" w:cs="Arial Unicode MS"/>
                <w:sz w:val="24"/>
              </w:rPr>
              <w:t>采购</w:t>
            </w:r>
            <w:r>
              <w:rPr>
                <w:rFonts w:ascii="仿宋" w:hAnsi="仿宋" w:eastAsia="仿宋" w:cs="Arial Unicode MS"/>
                <w:sz w:val="24"/>
              </w:rPr>
              <w:t>文件要求的资料或投标人认为需要补充的资料</w:t>
            </w:r>
            <w:r>
              <w:rPr>
                <w:rFonts w:hint="eastAsia" w:ascii="仿宋" w:hAnsi="仿宋" w:eastAsia="仿宋" w:cs="Arial Unicode MS"/>
                <w:sz w:val="24"/>
              </w:rPr>
              <w:t>（格式10）</w:t>
            </w:r>
          </w:p>
        </w:tc>
      </w:tr>
    </w:tbl>
    <w:p/>
    <w:p>
      <w:pPr>
        <w:jc w:val="left"/>
      </w:pPr>
      <w:r>
        <w:br w:type="page"/>
      </w:r>
    </w:p>
    <w:p>
      <w:pPr>
        <w:jc w:val="center"/>
        <w:rPr>
          <w:rFonts w:ascii="仿宋" w:hAnsi="仿宋" w:eastAsia="仿宋"/>
          <w:b/>
          <w:sz w:val="36"/>
          <w:szCs w:val="36"/>
        </w:rPr>
      </w:pPr>
      <w:r>
        <w:rPr>
          <w:rFonts w:hint="eastAsia" w:ascii="仿宋" w:hAnsi="仿宋" w:eastAsia="仿宋"/>
          <w:b/>
          <w:sz w:val="36"/>
          <w:szCs w:val="36"/>
        </w:rPr>
        <w:t>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1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0"/>
        <w:gridCol w:w="3544"/>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38"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jc w:val="center"/>
              <w:rPr>
                <w:rFonts w:ascii="仿宋" w:hAnsi="仿宋" w:eastAsia="仿宋"/>
              </w:rPr>
            </w:pPr>
            <w:r>
              <w:rPr>
                <w:rFonts w:hint="eastAsia" w:ascii="仿宋" w:hAnsi="仿宋" w:eastAsia="仿宋"/>
              </w:rPr>
              <w:t>评分类型</w:t>
            </w:r>
          </w:p>
        </w:tc>
        <w:tc>
          <w:tcPr>
            <w:tcW w:w="3544"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spacing w:line="276" w:lineRule="auto"/>
              <w:jc w:val="center"/>
              <w:rPr>
                <w:rFonts w:ascii="仿宋" w:hAnsi="仿宋" w:eastAsia="仿宋"/>
              </w:rPr>
            </w:pPr>
            <w:r>
              <w:rPr>
                <w:rFonts w:hint="eastAsia" w:ascii="仿宋" w:hAnsi="仿宋" w:eastAsia="仿宋"/>
              </w:rPr>
              <w:t>价格标</w:t>
            </w:r>
          </w:p>
        </w:tc>
        <w:tc>
          <w:tcPr>
            <w:tcW w:w="3544" w:type="dxa"/>
          </w:tcPr>
          <w:p>
            <w:pPr>
              <w:spacing w:line="360" w:lineRule="auto"/>
              <w:jc w:val="center"/>
              <w:rPr>
                <w:rFonts w:ascii="仿宋" w:hAnsi="仿宋" w:eastAsia="仿宋"/>
              </w:rPr>
            </w:pPr>
            <w:r>
              <w:rPr>
                <w:rFonts w:hint="eastAsia" w:ascii="仿宋" w:hAnsi="仿宋" w:eastAsia="仿宋"/>
                <w:sz w:val="16"/>
              </w:rPr>
              <w:t>《节能产品政府采购品目清单》或《环境标志产品政府采购品目清单》或《深圳市政府采购循环经济产品（服务）目录》中列示的产品，或小型企业、微型企业、监狱企业、残疾人福利性单位证明等 ，详见26.4.3</w:t>
            </w:r>
            <w:r>
              <w:rPr>
                <w:rFonts w:hint="eastAsia" w:ascii="仿宋" w:hAnsi="仿宋" w:eastAsia="仿宋"/>
                <w:bCs/>
                <w:sz w:val="16"/>
              </w:rPr>
              <w:t>评标优惠政策</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2"/>
          <w:szCs w:val="36"/>
        </w:rPr>
        <w:t>格式1  投 标 函</w:t>
      </w:r>
    </w:p>
    <w:p>
      <w:pPr>
        <w:jc w:val="center"/>
        <w:rPr>
          <w:rFonts w:asciiTheme="minorEastAsia" w:hAnsiTheme="minorEastAsia" w:eastAsiaTheme="minorEastAsia"/>
          <w:b/>
          <w:sz w:val="36"/>
          <w:szCs w:val="36"/>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rPr>
          <w:rFonts w:ascii="仿宋" w:hAnsi="仿宋" w:eastAsia="仿宋"/>
        </w:rPr>
      </w:pPr>
      <w:r>
        <w:rPr>
          <w:rFonts w:ascii="仿宋" w:hAnsi="仿宋" w:eastAsia="仿宋"/>
        </w:rPr>
        <w:t xml:space="preserve">    我们收到你们组织的 （</w:t>
      </w:r>
      <w:r>
        <w:rPr>
          <w:rFonts w:ascii="仿宋" w:hAnsi="仿宋" w:eastAsia="仿宋"/>
          <w:u w:val="single"/>
        </w:rPr>
        <w:t>项目名称</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文件，经详细研究，我们决定参加该项目 （</w:t>
      </w:r>
      <w:r>
        <w:rPr>
          <w:rFonts w:ascii="仿宋" w:hAnsi="仿宋" w:eastAsia="仿宋"/>
          <w:u w:val="single"/>
        </w:rPr>
        <w:t>项目编号</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的有关活动并投标。为此，我方谨郑重声明以下诸点，并对之负法律责任。</w:t>
      </w:r>
    </w:p>
    <w:p>
      <w:pPr>
        <w:spacing w:line="360" w:lineRule="auto"/>
        <w:ind w:firstLine="424" w:firstLineChars="202"/>
        <w:jc w:val="left"/>
        <w:rPr>
          <w:rFonts w:ascii="仿宋" w:hAnsi="仿宋" w:eastAsia="仿宋"/>
        </w:rPr>
      </w:pPr>
      <w:r>
        <w:rPr>
          <w:rFonts w:hint="eastAsia" w:ascii="仿宋" w:hAnsi="仿宋" w:eastAsia="仿宋"/>
        </w:rPr>
        <w:t>1．我方愿以《开标一览表》中填写的投标总价并按照采购文件中的一切要求，承担上述项目的全部工作。</w:t>
      </w:r>
    </w:p>
    <w:p>
      <w:pPr>
        <w:spacing w:line="360" w:lineRule="auto"/>
        <w:ind w:firstLine="424" w:firstLineChars="202"/>
        <w:rPr>
          <w:rFonts w:ascii="仿宋" w:hAnsi="仿宋" w:eastAsia="仿宋"/>
        </w:rPr>
      </w:pPr>
      <w:r>
        <w:rPr>
          <w:rFonts w:hint="eastAsia" w:ascii="仿宋" w:hAnsi="仿宋" w:eastAsia="仿宋"/>
        </w:rPr>
        <w:t>2．我方提交的投标文件为：投标书正本一份，副本四份，电子档文件（正文彩色扫描件PDF格式）一份。</w:t>
      </w:r>
    </w:p>
    <w:p>
      <w:pPr>
        <w:spacing w:line="360" w:lineRule="auto"/>
        <w:ind w:firstLine="424" w:firstLineChars="202"/>
        <w:rPr>
          <w:rFonts w:ascii="仿宋" w:hAnsi="仿宋" w:eastAsia="仿宋"/>
        </w:rPr>
      </w:pPr>
      <w:r>
        <w:rPr>
          <w:rFonts w:hint="eastAsia" w:ascii="仿宋" w:hAnsi="仿宋" w:eastAsia="仿宋"/>
        </w:rPr>
        <w:t>3．如果我们投标书被接受，我们将履行采购文件中规定的每一项要求，按期、按质、按量完成任务。</w:t>
      </w:r>
    </w:p>
    <w:p>
      <w:pPr>
        <w:spacing w:line="360" w:lineRule="auto"/>
        <w:ind w:firstLine="424" w:firstLineChars="202"/>
        <w:rPr>
          <w:rFonts w:ascii="仿宋" w:hAnsi="仿宋" w:eastAsia="仿宋"/>
        </w:rPr>
      </w:pPr>
      <w:r>
        <w:rPr>
          <w:rFonts w:hint="eastAsia" w:ascii="仿宋" w:hAnsi="仿宋" w:eastAsia="仿宋"/>
        </w:rPr>
        <w:t>4．我们愿意提供采购代理机构在采购文件中要求的所有资料，且所递交的投标文件在投标有效期（即90天）内有效，在此期间内我方的投标有可能中标，我方将受此约束。如果在投标有效期内撤销投标文件，贵司有权无条件不退还本司已提交的项目保证金。</w:t>
      </w:r>
    </w:p>
    <w:p>
      <w:pPr>
        <w:spacing w:line="360" w:lineRule="auto"/>
        <w:ind w:firstLine="424" w:firstLineChars="202"/>
        <w:rPr>
          <w:rFonts w:ascii="仿宋" w:hAnsi="仿宋" w:eastAsia="仿宋"/>
        </w:rPr>
      </w:pPr>
      <w:r>
        <w:rPr>
          <w:rFonts w:hint="eastAsia" w:ascii="仿宋" w:hAnsi="仿宋" w:eastAsia="仿宋"/>
        </w:rPr>
        <w:t>5．我们理解，最低报价不是中标的唯一条件。我们认为你们有选择或拒绝任何投标者中标的权利。</w:t>
      </w:r>
    </w:p>
    <w:p>
      <w:pPr>
        <w:spacing w:line="360" w:lineRule="auto"/>
        <w:ind w:firstLine="424" w:firstLineChars="202"/>
        <w:rPr>
          <w:rFonts w:ascii="仿宋" w:hAnsi="仿宋" w:eastAsia="仿宋"/>
        </w:rPr>
      </w:pPr>
      <w:r>
        <w:rPr>
          <w:rFonts w:hint="eastAsia" w:ascii="仿宋" w:hAnsi="仿宋" w:eastAsia="仿宋"/>
        </w:rPr>
        <w:t>6．我方愿按《民法典》履行自己的全部责任。</w:t>
      </w:r>
    </w:p>
    <w:p>
      <w:pPr>
        <w:spacing w:line="360" w:lineRule="auto"/>
        <w:ind w:firstLine="424" w:firstLineChars="202"/>
        <w:rPr>
          <w:rFonts w:ascii="仿宋" w:hAnsi="仿宋" w:eastAsia="仿宋"/>
        </w:rPr>
      </w:pPr>
      <w:r>
        <w:rPr>
          <w:rFonts w:hint="eastAsia" w:ascii="仿宋" w:hAnsi="仿宋" w:eastAsia="仿宋"/>
        </w:rPr>
        <w:t>7．我们同意采购文件之规定，遵守有关采购的各项规定。</w:t>
      </w:r>
    </w:p>
    <w:p>
      <w:pPr>
        <w:spacing w:line="360" w:lineRule="auto"/>
        <w:ind w:firstLine="424" w:firstLineChars="202"/>
        <w:rPr>
          <w:rFonts w:ascii="仿宋" w:hAnsi="仿宋" w:eastAsia="仿宋"/>
        </w:rPr>
      </w:pPr>
      <w:r>
        <w:rPr>
          <w:rFonts w:hint="eastAsia" w:ascii="仿宋" w:hAnsi="仿宋" w:eastAsia="仿宋"/>
        </w:rPr>
        <w:t>8</w:t>
      </w:r>
      <w:r>
        <w:rPr>
          <w:rFonts w:ascii="仿宋" w:hAnsi="仿宋" w:eastAsia="仿宋"/>
        </w:rPr>
        <w:t>.</w:t>
      </w:r>
      <w:r>
        <w:rPr>
          <w:rFonts w:hint="eastAsia" w:ascii="仿宋" w:hAnsi="仿宋" w:eastAsia="仿宋"/>
        </w:rPr>
        <w:t xml:space="preserve"> 我们同意中标后向采购代理机构支付采购文件要求数额的采购代理服务费。</w:t>
      </w:r>
    </w:p>
    <w:p>
      <w:pPr>
        <w:spacing w:line="360" w:lineRule="auto"/>
        <w:ind w:firstLine="424" w:firstLineChars="202"/>
        <w:rPr>
          <w:rFonts w:ascii="仿宋" w:hAnsi="仿宋" w:eastAsia="仿宋"/>
        </w:rPr>
      </w:pPr>
      <w:r>
        <w:rPr>
          <w:rFonts w:hint="eastAsia" w:ascii="仿宋" w:hAnsi="仿宋" w:eastAsia="仿宋"/>
        </w:rPr>
        <w:t>9．所有有关本标书的函电，请按下列地址联系：</w:t>
      </w:r>
    </w:p>
    <w:p>
      <w:pPr>
        <w:adjustRightInd w:val="0"/>
        <w:snapToGrid w:val="0"/>
        <w:spacing w:line="360" w:lineRule="auto"/>
        <w:ind w:firstLine="600"/>
        <w:rPr>
          <w:rFonts w:ascii="仿宋" w:hAnsi="仿宋" w:eastAsia="仿宋"/>
        </w:rPr>
      </w:pPr>
    </w:p>
    <w:p>
      <w:pPr>
        <w:adjustRightInd w:val="0"/>
        <w:snapToGrid w:val="0"/>
        <w:spacing w:line="360" w:lineRule="auto"/>
        <w:ind w:firstLine="600"/>
        <w:rPr>
          <w:rFonts w:ascii="仿宋" w:hAnsi="仿宋" w:eastAsia="仿宋"/>
        </w:rPr>
      </w:pPr>
      <w:r>
        <w:rPr>
          <w:rFonts w:ascii="仿宋" w:hAnsi="仿宋" w:eastAsia="仿宋"/>
        </w:rPr>
        <w:t>单    位： （盖章）</w:t>
      </w:r>
    </w:p>
    <w:p>
      <w:pPr>
        <w:adjustRightInd w:val="0"/>
        <w:snapToGrid w:val="0"/>
        <w:spacing w:line="360" w:lineRule="auto"/>
        <w:ind w:firstLine="600"/>
        <w:rPr>
          <w:rFonts w:ascii="仿宋" w:hAnsi="仿宋" w:eastAsia="仿宋"/>
        </w:rPr>
      </w:pPr>
      <w:r>
        <w:rPr>
          <w:rFonts w:hint="eastAsia" w:ascii="仿宋" w:hAnsi="仿宋" w:eastAsia="仿宋"/>
        </w:rPr>
        <w:t>授权代表或法定代表人： （签字）</w:t>
      </w:r>
    </w:p>
    <w:p>
      <w:pPr>
        <w:adjustRightInd w:val="0"/>
        <w:snapToGrid w:val="0"/>
        <w:spacing w:line="360" w:lineRule="auto"/>
        <w:ind w:firstLine="600"/>
        <w:rPr>
          <w:rFonts w:ascii="仿宋" w:hAnsi="仿宋" w:eastAsia="仿宋"/>
        </w:rPr>
      </w:pPr>
      <w:r>
        <w:rPr>
          <w:rFonts w:ascii="仿宋" w:hAnsi="仿宋" w:eastAsia="仿宋"/>
        </w:rPr>
        <w:t>地    址：</w:t>
      </w:r>
    </w:p>
    <w:p>
      <w:pPr>
        <w:adjustRightInd w:val="0"/>
        <w:snapToGrid w:val="0"/>
        <w:spacing w:line="360" w:lineRule="auto"/>
        <w:ind w:firstLine="600"/>
        <w:rPr>
          <w:rFonts w:ascii="仿宋" w:hAnsi="仿宋" w:eastAsia="仿宋"/>
        </w:rPr>
      </w:pPr>
      <w:r>
        <w:rPr>
          <w:rFonts w:ascii="仿宋" w:hAnsi="仿宋" w:eastAsia="仿宋"/>
        </w:rPr>
        <w:t>电    话：</w:t>
      </w:r>
    </w:p>
    <w:p>
      <w:pPr>
        <w:adjustRightInd w:val="0"/>
        <w:snapToGrid w:val="0"/>
        <w:spacing w:line="360" w:lineRule="auto"/>
        <w:ind w:firstLine="600"/>
        <w:rPr>
          <w:rFonts w:ascii="仿宋" w:hAnsi="仿宋" w:eastAsia="仿宋"/>
        </w:rPr>
      </w:pPr>
      <w:r>
        <w:rPr>
          <w:rFonts w:ascii="仿宋" w:hAnsi="仿宋" w:eastAsia="仿宋"/>
        </w:rPr>
        <w:t>联 系 人：</w:t>
      </w:r>
    </w:p>
    <w:p>
      <w:pPr>
        <w:jc w:val="left"/>
        <w:rPr>
          <w:rFonts w:ascii="仿宋" w:hAnsi="仿宋" w:eastAsia="仿宋"/>
        </w:rPr>
      </w:pPr>
    </w:p>
    <w:p>
      <w:pPr>
        <w:jc w:val="left"/>
        <w:rPr>
          <w:rFonts w:ascii="仿宋" w:hAnsi="仿宋" w:eastAsia="仿宋"/>
        </w:rPr>
      </w:pPr>
    </w:p>
    <w:p>
      <w:pPr>
        <w:jc w:val="right"/>
        <w:rPr>
          <w:rFonts w:ascii="仿宋" w:hAnsi="仿宋" w:eastAsia="仿宋"/>
        </w:rPr>
      </w:pPr>
      <w:r>
        <w:rPr>
          <w:rFonts w:ascii="仿宋" w:hAnsi="仿宋" w:eastAsia="仿宋"/>
        </w:rPr>
        <w:t xml:space="preserve">年  </w:t>
      </w:r>
      <w:r>
        <w:rPr>
          <w:rFonts w:hint="eastAsia" w:ascii="仿宋" w:hAnsi="仿宋" w:eastAsia="仿宋"/>
        </w:rPr>
        <w:t xml:space="preserve">  </w:t>
      </w:r>
      <w:r>
        <w:rPr>
          <w:rFonts w:ascii="仿宋" w:hAnsi="仿宋" w:eastAsia="仿宋"/>
        </w:rPr>
        <w:t xml:space="preserve">月 </w:t>
      </w:r>
      <w:r>
        <w:rPr>
          <w:rFonts w:hint="eastAsia" w:ascii="仿宋" w:hAnsi="仿宋" w:eastAsia="仿宋"/>
        </w:rPr>
        <w:t xml:space="preserve">  </w:t>
      </w:r>
      <w:r>
        <w:rPr>
          <w:rFonts w:ascii="仿宋" w:hAnsi="仿宋" w:eastAsia="仿宋"/>
        </w:rPr>
        <w:t xml:space="preserve"> 日</w:t>
      </w:r>
    </w:p>
    <w:p>
      <w:pPr>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格式2  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850" w:firstLineChars="40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850" w:firstLineChars="40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850" w:firstLineChars="40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firstLine="850" w:firstLineChars="405"/>
        <w:rPr>
          <w:rFonts w:ascii="仿宋" w:hAnsi="仿宋" w:eastAsia="仿宋"/>
        </w:rPr>
      </w:pPr>
      <w:r>
        <w:rPr>
          <w:rFonts w:hint="eastAsia" w:ascii="仿宋" w:hAnsi="仿宋" w:eastAsia="仿宋"/>
        </w:rPr>
        <w:t>4、政府采购投标及履约承诺函【详见格式《政府采购投标及履约承诺函》】</w:t>
      </w:r>
    </w:p>
    <w:p>
      <w:pPr>
        <w:spacing w:line="360" w:lineRule="auto"/>
        <w:ind w:firstLine="850" w:firstLineChars="405"/>
        <w:rPr>
          <w:rFonts w:ascii="仿宋" w:hAnsi="仿宋" w:eastAsia="仿宋"/>
        </w:rPr>
      </w:pPr>
      <w:r>
        <w:rPr>
          <w:rFonts w:hint="eastAsia" w:ascii="仿宋" w:hAnsi="仿宋" w:eastAsia="仿宋"/>
          <w:lang w:val="en-US" w:eastAsia="zh-CN"/>
        </w:rPr>
        <w:t>5</w:t>
      </w:r>
      <w:r>
        <w:rPr>
          <w:rFonts w:hint="eastAsia" w:ascii="仿宋" w:hAnsi="仿宋" w:eastAsia="仿宋"/>
        </w:rPr>
        <w:t>、非进口产品参与投标承诺函</w:t>
      </w:r>
      <w:r>
        <w:rPr>
          <w:rFonts w:hint="eastAsia" w:ascii="仿宋" w:hAnsi="仿宋" w:eastAsia="仿宋"/>
          <w:bCs/>
        </w:rPr>
        <w:t>【原件</w:t>
      </w:r>
      <w:r>
        <w:rPr>
          <w:rFonts w:hint="eastAsia" w:ascii="仿宋" w:hAnsi="仿宋" w:eastAsia="仿宋"/>
        </w:rPr>
        <w:t>，格式自拟</w:t>
      </w:r>
      <w:r>
        <w:rPr>
          <w:rFonts w:hint="eastAsia" w:ascii="仿宋" w:hAnsi="仿宋" w:eastAsia="仿宋"/>
          <w:bCs/>
        </w:rPr>
        <w:t>】</w:t>
      </w:r>
    </w:p>
    <w:p>
      <w:pPr>
        <w:spacing w:line="360" w:lineRule="auto"/>
        <w:ind w:firstLine="850" w:firstLineChars="405"/>
        <w:rPr>
          <w:rFonts w:ascii="仿宋" w:hAnsi="仿宋" w:eastAsia="仿宋"/>
        </w:rPr>
      </w:pPr>
      <w:r>
        <w:rPr>
          <w:rFonts w:hint="eastAsia" w:ascii="仿宋" w:hAnsi="仿宋" w:eastAsia="仿宋"/>
          <w:lang w:val="en-US" w:eastAsia="zh-CN"/>
        </w:rPr>
        <w:t>6</w:t>
      </w:r>
      <w:r>
        <w:rPr>
          <w:rFonts w:hint="eastAsia" w:ascii="仿宋" w:hAnsi="仿宋" w:eastAsia="仿宋"/>
        </w:rPr>
        <w:t>、非联合体投标，不违规分包或转包的承诺函【原件，格式自拟】</w:t>
      </w:r>
    </w:p>
    <w:p>
      <w:pPr>
        <w:spacing w:line="360" w:lineRule="auto"/>
        <w:ind w:firstLine="850" w:firstLineChars="405"/>
        <w:rPr>
          <w:rFonts w:hint="default" w:ascii="仿宋" w:hAnsi="仿宋" w:eastAsia="仿宋"/>
          <w:lang w:val="en-US" w:eastAsia="zh-CN"/>
        </w:rPr>
      </w:pPr>
      <w:r>
        <w:rPr>
          <w:rFonts w:hint="eastAsia" w:ascii="仿宋" w:hAnsi="仿宋" w:eastAsia="仿宋"/>
          <w:lang w:val="en-US" w:eastAsia="zh-CN"/>
        </w:rPr>
        <w:t>7</w:t>
      </w:r>
      <w:r>
        <w:rPr>
          <w:rFonts w:hint="eastAsia" w:ascii="仿宋" w:hAnsi="仿宋" w:eastAsia="仿宋"/>
        </w:rPr>
        <w:t>、</w:t>
      </w:r>
      <w:r>
        <w:rPr>
          <w:rFonts w:hint="eastAsia" w:ascii="仿宋" w:hAnsi="仿宋" w:eastAsia="仿宋"/>
          <w:lang w:val="en-US" w:eastAsia="zh-CN"/>
        </w:rPr>
        <w:t>信用查询截图</w:t>
      </w:r>
    </w:p>
    <w:p>
      <w:pPr>
        <w:spacing w:line="360" w:lineRule="auto"/>
        <w:ind w:firstLine="850" w:firstLineChars="405"/>
        <w:rPr>
          <w:rFonts w:ascii="仿宋" w:hAnsi="仿宋" w:eastAsia="仿宋"/>
          <w:bCs/>
        </w:rPr>
      </w:pPr>
      <w:r>
        <w:rPr>
          <w:rFonts w:hint="eastAsia" w:ascii="仿宋" w:hAnsi="仿宋" w:eastAsia="仿宋"/>
          <w:lang w:val="en-US" w:eastAsia="zh-CN"/>
        </w:rPr>
        <w:t>8、</w:t>
      </w:r>
      <w:r>
        <w:rPr>
          <w:rFonts w:hint="eastAsia" w:ascii="仿宋" w:hAnsi="仿宋" w:eastAsia="仿宋"/>
        </w:rPr>
        <w:t>投标人认为有必要提供</w:t>
      </w:r>
      <w:r>
        <w:rPr>
          <w:rFonts w:hint="eastAsia" w:ascii="仿宋" w:hAnsi="仿宋" w:eastAsia="仿宋"/>
          <w:bCs/>
        </w:rPr>
        <w:t>的其他文件</w:t>
      </w: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995" w:leftChars="474" w:firstLine="850" w:firstLineChars="405"/>
        <w:rPr>
          <w:rFonts w:ascii="仿宋" w:hAnsi="仿宋" w:eastAsia="仿宋"/>
          <w:bCs/>
        </w:rPr>
      </w:pPr>
    </w:p>
    <w:p>
      <w:pPr>
        <w:spacing w:line="360" w:lineRule="auto"/>
        <w:ind w:firstLine="850" w:firstLineChars="385"/>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firstLine="850" w:firstLineChars="385"/>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w:t>
      </w:r>
      <w:r>
        <w:rPr>
          <w:rFonts w:hint="eastAsia" w:ascii="仿宋" w:hAnsi="仿宋" w:eastAsia="仿宋"/>
          <w:b/>
          <w:sz w:val="32"/>
          <w:szCs w:val="36"/>
          <w:lang w:eastAsia="zh-CN"/>
        </w:rPr>
        <w:t>（</w:t>
      </w:r>
      <w:r>
        <w:rPr>
          <w:rFonts w:hint="eastAsia" w:ascii="仿宋" w:hAnsi="仿宋" w:eastAsia="仿宋"/>
          <w:b/>
          <w:sz w:val="32"/>
          <w:szCs w:val="36"/>
          <w:lang w:val="en-US" w:eastAsia="zh-CN"/>
        </w:rPr>
        <w:t>负责人</w:t>
      </w:r>
      <w:r>
        <w:rPr>
          <w:rFonts w:hint="eastAsia" w:ascii="仿宋" w:hAnsi="仿宋" w:eastAsia="仿宋"/>
          <w:b/>
          <w:sz w:val="32"/>
          <w:szCs w:val="36"/>
          <w:lang w:eastAsia="zh-CN"/>
        </w:rPr>
        <w:t>）</w:t>
      </w:r>
      <w:r>
        <w:rPr>
          <w:rFonts w:hint="eastAsia" w:ascii="仿宋" w:hAnsi="仿宋" w:eastAsia="仿宋"/>
          <w:b/>
          <w:sz w:val="32"/>
          <w:szCs w:val="36"/>
        </w:rPr>
        <w:t>证明书（格式）</w:t>
      </w:r>
    </w:p>
    <w:p>
      <w:pPr>
        <w:jc w:val="center"/>
        <w:rPr>
          <w:rFonts w:ascii="仿宋" w:hAnsi="仿宋" w:eastAsia="仿宋"/>
          <w:b/>
          <w:sz w:val="32"/>
          <w:szCs w:val="36"/>
        </w:rPr>
      </w:pPr>
    </w:p>
    <w:p>
      <w:pPr>
        <w:tabs>
          <w:tab w:val="left" w:pos="900"/>
        </w:tabs>
        <w:spacing w:line="360" w:lineRule="auto"/>
        <w:ind w:firstLine="630" w:firstLineChars="300"/>
        <w:rPr>
          <w:rFonts w:ascii="仿宋" w:hAnsi="仿宋" w:eastAsia="仿宋"/>
        </w:rPr>
      </w:pP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同志，现任我单位</w:t>
      </w: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职务，为法定代表人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r>
        <w:rPr>
          <w:rFonts w:hint="eastAsia" w:ascii="仿宋" w:hAnsi="仿宋" w:eastAsia="仿宋"/>
        </w:rPr>
        <w:t>，特此证明。</w:t>
      </w:r>
    </w:p>
    <w:p>
      <w:pPr>
        <w:spacing w:line="360" w:lineRule="auto"/>
        <w:ind w:firstLine="420" w:firstLineChars="200"/>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ind w:firstLine="420" w:firstLineChars="200"/>
        <w:rPr>
          <w:rFonts w:ascii="仿宋" w:hAnsi="仿宋" w:eastAsia="仿宋"/>
        </w:rPr>
      </w:pPr>
      <w:r>
        <w:rPr>
          <w:rFonts w:hint="eastAsia" w:ascii="仿宋" w:hAnsi="仿宋" w:eastAsia="仿宋"/>
        </w:rPr>
        <w:t>附：</w:t>
      </w:r>
    </w:p>
    <w:p>
      <w:pPr>
        <w:spacing w:line="360" w:lineRule="auto"/>
        <w:ind w:firstLine="840" w:firstLineChars="400"/>
        <w:rPr>
          <w:rFonts w:ascii="仿宋" w:hAnsi="仿宋" w:eastAsia="仿宋"/>
        </w:rPr>
      </w:pPr>
      <w:r>
        <w:rPr>
          <w:rFonts w:hint="eastAsia" w:ascii="仿宋" w:hAnsi="仿宋" w:eastAsia="仿宋"/>
        </w:rPr>
        <w:t xml:space="preserve">营业执照（注册号）： </w:t>
      </w:r>
    </w:p>
    <w:p>
      <w:pPr>
        <w:spacing w:line="360" w:lineRule="auto"/>
        <w:ind w:firstLine="840" w:firstLineChars="400"/>
        <w:rPr>
          <w:rFonts w:ascii="仿宋" w:hAnsi="仿宋" w:eastAsia="仿宋"/>
        </w:rPr>
      </w:pPr>
      <w:r>
        <w:rPr>
          <w:rFonts w:hint="eastAsia" w:ascii="仿宋" w:hAnsi="仿宋" w:eastAsia="仿宋"/>
        </w:rPr>
        <w:t>经济性质：</w:t>
      </w:r>
    </w:p>
    <w:p>
      <w:pPr>
        <w:spacing w:line="360" w:lineRule="auto"/>
        <w:ind w:firstLine="840" w:firstLineChars="400"/>
        <w:rPr>
          <w:rFonts w:ascii="仿宋" w:hAnsi="仿宋" w:eastAsia="仿宋"/>
        </w:rPr>
      </w:pPr>
      <w:r>
        <w:rPr>
          <w:rFonts w:hint="eastAsia" w:ascii="仿宋" w:hAnsi="仿宋" w:eastAsia="仿宋"/>
        </w:rPr>
        <w:t>主营（产）：</w:t>
      </w:r>
    </w:p>
    <w:p>
      <w:pPr>
        <w:spacing w:line="360" w:lineRule="auto"/>
        <w:ind w:firstLine="840" w:firstLineChars="400"/>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w:pict>
          <v:rect id="Rectangle 5" o:spid="_x0000_s1033" o:spt="1" style="position:absolute;left:0pt;margin-left:223.65pt;margin-top:10.75pt;height:156pt;width:213pt;z-index:251661312;mso-width-relative:page;mso-height-relative:page;" coordsize="21600,21600">
            <v:path/>
            <v:fill focussize="0,0"/>
            <v:stroke/>
            <v:imagedata o:title=""/>
            <o:lock v:ext="edit"/>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eastAsia="zh-CN"/>
                    </w:rPr>
                    <w:t>（</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w:r>
      <w:r>
        <w:rPr>
          <w:rFonts w:ascii="宋体"/>
          <w:b/>
          <w:bCs/>
        </w:rPr>
        <w:pict>
          <v:rect id="Rectangle 4" o:spid="_x0000_s1032" o:spt="1" style="position:absolute;left:0pt;margin-left:-8.85pt;margin-top:10.75pt;height:156pt;width:213pt;z-index:251660288;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法定代表人授权委托证明书（格式）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629"/>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（采购项目名称、编号）</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0" w:name="_Toc226217114"/>
      <w:r>
        <w:rPr>
          <w:rFonts w:ascii="宋体"/>
        </w:rPr>
        <w:pict>
          <v:rect id="Rectangle 2" o:spid="_x0000_s1038" o:spt="1" style="position:absolute;left:0pt;margin-left:-1.35pt;margin-top:5.6pt;height:135.65pt;width:206.25pt;z-index:251662336;mso-width-relative:page;mso-height-relative:page;" coordsize="21600,21600">
            <v:path/>
            <v:fill focussize="0,0"/>
            <v:stroke/>
            <v:imagedata o:title=""/>
            <o:lock v:ext="edit"/>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r>
        <w:rPr>
          <w:rFonts w:ascii="黑体" w:eastAsia="黑体"/>
        </w:rPr>
        <w:pict>
          <v:rect id="Rectangle 3" o:spid="_x0000_s1039" o:spt="1" style="position:absolute;left:0pt;margin-left:222.15pt;margin-top:5.6pt;height:135.65pt;width:199.5pt;z-index:251663360;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w:r>
      <w:bookmarkEnd w:id="0"/>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1.我公司本采购项目所提供的货物或服务未侵犯知识产权。</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3.我公司参与本项目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4.我公司具备《中华人民共和国政府采购法》第二十二条第一款规定的资质。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5.我公司与其他投标供应商不存在单位负责人为同一人或者存在直接控股、管理关系，未对本次采购项目提供整体设计、规范编制或者项目管理、监理、检测等服务。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6.我公司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7.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8.我公司如果中标，做到守信，不偷工减料，依照本项目采购文件需求内容、签署的采购合同及本公司在投标中所作的一切承诺履约。项目验收达到全部指标合格，力争优良。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9.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10.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11.我公司承诺本项目非联合体投标，不非法转包、分包。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格式3  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根据《深圳市政府采购供应商诚信管理暂行办法》相关规定，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）采购活动，提供的货物全部由符合政策要求的中小企业制造。相关企业（含联合体中的中小企业、签订分包意向协议的中小企业）的具体情况如下：</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jc w:val="right"/>
        <w:rPr>
          <w:rFonts w:ascii="仿宋" w:hAnsi="仿宋" w:eastAsia="仿宋"/>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p>
    <w:p>
      <w:pPr>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1、填写前请认真阅读《工业和信息化部、国家统计局、国家发展和改革委员会、财政部关于印发中小企业划型标准规定的通知》(工信部联企业〔2011〕300号)和《财政部 工业和信息化部关于印发《政府采购促进中小企业发展管理办法》的通知》(财库〔2020〕46号)相关规定。如不符合前述相关规定所确定的小型和微型企业，则不需要在投标文件中提供本《中小企业声明函》；若符合前述相关规定所确定的小型和微型企业，在投标文件中没有提供本《中小企业声明函》，视为在本项目中放弃政府采购政策扶持，不进行价格扣除。</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2、从业人员、营业收入、资产总额填报上一年度数据，无上一年度数据的新成立企业可不填报。</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3、供应商提供的货物既有中小企业制造货物，也有大型企业制造货物的，不享受中小企业扶持政策。</w:t>
      </w:r>
    </w:p>
    <w:p>
      <w:pPr>
        <w:rPr>
          <w:rFonts w:ascii="仿宋" w:hAnsi="仿宋" w:eastAsia="仿宋" w:cs="Courier New"/>
          <w:snapToGrid w:val="0"/>
          <w:szCs w:val="18"/>
        </w:rPr>
      </w:pPr>
    </w:p>
    <w:p>
      <w:pPr>
        <w:rPr>
          <w:rFonts w:ascii="仿宋" w:hAnsi="仿宋" w:eastAsia="仿宋" w:cs="Courier New"/>
          <w:snapToGrid w:val="0"/>
          <w:szCs w:val="18"/>
        </w:rPr>
      </w:pPr>
    </w:p>
    <w:p>
      <w:pPr>
        <w:rPr>
          <w:rFonts w:ascii="仿宋" w:hAnsi="仿宋" w:eastAsia="仿宋" w:cs="Courier New"/>
          <w:snapToGrid w:val="0"/>
          <w:szCs w:val="18"/>
        </w:rPr>
      </w:pPr>
    </w:p>
    <w:p>
      <w:pPr>
        <w:widowControl/>
        <w:jc w:val="left"/>
        <w:rPr>
          <w:rFonts w:ascii="仿宋" w:hAnsi="仿宋" w:eastAsia="仿宋"/>
          <w:b/>
          <w:sz w:val="32"/>
          <w:szCs w:val="32"/>
        </w:rPr>
      </w:pPr>
      <w:r>
        <w:rPr>
          <w:rFonts w:ascii="仿宋" w:hAnsi="仿宋" w:eastAsia="仿宋"/>
          <w:b/>
          <w:sz w:val="32"/>
          <w:szCs w:val="32"/>
        </w:rPr>
        <w:br w:type="page"/>
      </w:r>
    </w:p>
    <w:p>
      <w:pPr>
        <w:jc w:val="center"/>
        <w:rPr>
          <w:rFonts w:ascii="仿宋" w:hAnsi="仿宋" w:eastAsia="仿宋"/>
          <w:b/>
          <w:sz w:val="32"/>
          <w:szCs w:val="32"/>
        </w:rPr>
      </w:pPr>
      <w:r>
        <w:rPr>
          <w:rFonts w:hint="eastAsia" w:ascii="仿宋" w:hAnsi="仿宋" w:eastAsia="仿宋"/>
          <w:b/>
          <w:sz w:val="32"/>
          <w:szCs w:val="32"/>
        </w:rPr>
        <w:t>监狱企业</w:t>
      </w:r>
      <w:r>
        <w:rPr>
          <w:rFonts w:ascii="仿宋" w:hAnsi="仿宋" w:eastAsia="仿宋"/>
          <w:b/>
          <w:sz w:val="32"/>
          <w:szCs w:val="32"/>
        </w:rPr>
        <w:t>证明文件</w:t>
      </w:r>
      <w:r>
        <w:rPr>
          <w:rFonts w:hint="eastAsia" w:ascii="仿宋" w:hAnsi="仿宋" w:eastAsia="仿宋"/>
          <w:b/>
          <w:sz w:val="32"/>
          <w:szCs w:val="32"/>
        </w:rPr>
        <w:t>要求</w:t>
      </w:r>
    </w:p>
    <w:p>
      <w:pPr>
        <w:ind w:firstLine="420" w:firstLineChars="200"/>
        <w:rPr>
          <w:rFonts w:ascii="仿宋" w:hAnsi="仿宋" w:eastAsia="仿宋" w:cs="Courier New"/>
          <w:snapToGrid w:val="0"/>
          <w:szCs w:val="18"/>
        </w:rPr>
      </w:pP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属于监狱企业的应当提供由省级以上监狱管理局、戒毒管理局（含新疆生产建设兵团）出具的属于监狱企业的证明文件。否则视为在本项目中放弃政府采购政策扶持，不进行价格扣除。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b/>
          <w:snapToGrid w:val="0"/>
          <w:szCs w:val="18"/>
        </w:rPr>
      </w:pPr>
      <w:r>
        <w:rPr>
          <w:rFonts w:hint="eastAsia" w:ascii="仿宋" w:hAnsi="仿宋" w:eastAsia="仿宋" w:cs="Courier New"/>
          <w:b/>
          <w:snapToGrid w:val="0"/>
          <w:szCs w:val="18"/>
        </w:rPr>
        <w:t>附：省级以上监狱管理局、戒毒管理局（含新疆生产建设兵团）出具的监狱企业证明文件。</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ind w:firstLine="420" w:firstLineChars="200"/>
        <w:rPr>
          <w:rFonts w:ascii="仿宋" w:hAnsi="仿宋" w:eastAsia="仿宋" w:cs="Courier New"/>
          <w:snapToGrid w:val="0"/>
          <w:szCs w:val="18"/>
        </w:rPr>
      </w:pPr>
    </w:p>
    <w:p>
      <w:pPr>
        <w:jc w:val="center"/>
        <w:rPr>
          <w:rFonts w:ascii="仿宋" w:hAnsi="仿宋" w:eastAsia="仿宋"/>
          <w:b/>
          <w:sz w:val="32"/>
          <w:szCs w:val="32"/>
        </w:rPr>
      </w:pPr>
      <w:r>
        <w:rPr>
          <w:rFonts w:hint="eastAsia" w:ascii="仿宋" w:hAnsi="仿宋" w:eastAsia="仿宋"/>
          <w:b/>
          <w:sz w:val="32"/>
          <w:szCs w:val="32"/>
        </w:rPr>
        <w:t>残疾人福利性单位声明函</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单位的</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r>
        <w:rPr>
          <w:rFonts w:hint="eastAsia" w:ascii="仿宋" w:hAnsi="仿宋" w:eastAsia="仿宋" w:cs="Courier New"/>
          <w:snapToGrid w:val="0"/>
          <w:szCs w:val="18"/>
        </w:rPr>
        <w:t xml:space="preserve">    </w:t>
      </w:r>
    </w:p>
    <w:p>
      <w:pPr>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填写前请认真阅读《财政部、民政部、中国残疾人联合会关于促进残疾人就业政府采购政策的通知》</w:t>
      </w:r>
      <w:r>
        <w:rPr>
          <w:rFonts w:ascii="仿宋" w:hAnsi="仿宋" w:eastAsia="仿宋" w:cs="Courier New"/>
          <w:snapToGrid w:val="0"/>
          <w:szCs w:val="18"/>
        </w:rPr>
        <w:t>(</w:t>
      </w:r>
      <w:r>
        <w:rPr>
          <w:rFonts w:hint="eastAsia" w:ascii="仿宋" w:hAnsi="仿宋" w:eastAsia="仿宋" w:cs="Courier New"/>
          <w:snapToGrid w:val="0"/>
          <w:szCs w:val="18"/>
        </w:rPr>
        <w:t>财库〔2017〕141号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ind w:firstLine="420" w:firstLineChars="200"/>
        <w:rPr>
          <w:rFonts w:ascii="仿宋" w:hAnsi="仿宋" w:eastAsia="仿宋" w:cs="Courier New"/>
          <w:snapToGrid w:val="0"/>
          <w:szCs w:val="18"/>
        </w:rPr>
      </w:pPr>
    </w:p>
    <w:p>
      <w:pPr>
        <w:ind w:firstLine="643" w:firstLineChars="200"/>
        <w:jc w:val="center"/>
        <w:rPr>
          <w:rFonts w:ascii="仿宋" w:hAnsi="仿宋" w:eastAsia="仿宋" w:cs="Courier New"/>
          <w:snapToGrid w:val="0"/>
          <w:szCs w:val="18"/>
        </w:rPr>
      </w:pPr>
      <w:r>
        <w:rPr>
          <w:rFonts w:hint="eastAsia" w:ascii="仿宋" w:hAnsi="仿宋" w:eastAsia="仿宋"/>
          <w:b/>
          <w:sz w:val="32"/>
          <w:szCs w:val="32"/>
        </w:rPr>
        <w:t>列入政府优先采购清单的投标产品一览表</w:t>
      </w:r>
    </w:p>
    <w:tbl>
      <w:tblPr>
        <w:tblStyle w:val="1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851"/>
        <w:gridCol w:w="850"/>
        <w:gridCol w:w="709"/>
        <w:gridCol w:w="851"/>
        <w:gridCol w:w="1134"/>
        <w:gridCol w:w="1558"/>
        <w:gridCol w:w="1135"/>
        <w:gridCol w:w="7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restart"/>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序号</w:t>
            </w:r>
          </w:p>
        </w:tc>
        <w:tc>
          <w:tcPr>
            <w:tcW w:w="851"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投标产品名称</w:t>
            </w:r>
          </w:p>
        </w:tc>
        <w:tc>
          <w:tcPr>
            <w:tcW w:w="850"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规格及型号</w:t>
            </w:r>
          </w:p>
        </w:tc>
        <w:tc>
          <w:tcPr>
            <w:tcW w:w="4252" w:type="dxa"/>
            <w:gridSpan w:val="4"/>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该投标产品报价及占投标总价的比例</w:t>
            </w:r>
          </w:p>
        </w:tc>
        <w:tc>
          <w:tcPr>
            <w:tcW w:w="1135"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属于优先采购清单的类别</w:t>
            </w:r>
          </w:p>
        </w:tc>
        <w:tc>
          <w:tcPr>
            <w:tcW w:w="759" w:type="dxa"/>
            <w:vMerge w:val="restart"/>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continue"/>
            <w:tcBorders>
              <w:lef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c>
          <w:tcPr>
            <w:tcW w:w="851"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850"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09"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数量</w:t>
            </w:r>
          </w:p>
        </w:tc>
        <w:tc>
          <w:tcPr>
            <w:tcW w:w="851"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投标单价（元）</w:t>
            </w:r>
          </w:p>
        </w:tc>
        <w:tc>
          <w:tcPr>
            <w:tcW w:w="1134"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投标合计报价（元）</w:t>
            </w:r>
          </w:p>
        </w:tc>
        <w:tc>
          <w:tcPr>
            <w:tcW w:w="1558"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占投标总价的比例（%）</w:t>
            </w:r>
          </w:p>
        </w:tc>
        <w:tc>
          <w:tcPr>
            <w:tcW w:w="1135"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59" w:type="dxa"/>
            <w:vMerge w:val="continue"/>
            <w:tcBorders>
              <w:righ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1</w:t>
            </w:r>
          </w:p>
        </w:tc>
        <w:tc>
          <w:tcPr>
            <w:tcW w:w="851" w:type="dxa"/>
            <w:vAlign w:val="center"/>
          </w:tcPr>
          <w:p>
            <w:pPr>
              <w:spacing w:line="360" w:lineRule="auto"/>
              <w:jc w:val="center"/>
              <w:rPr>
                <w:rFonts w:ascii="仿宋" w:hAnsi="仿宋" w:eastAsia="仿宋" w:cs="Courier New"/>
                <w:snapToGrid w:val="0"/>
                <w:szCs w:val="18"/>
              </w:rPr>
            </w:pPr>
          </w:p>
        </w:tc>
        <w:tc>
          <w:tcPr>
            <w:tcW w:w="850" w:type="dxa"/>
            <w:vAlign w:val="center"/>
          </w:tcPr>
          <w:p>
            <w:pPr>
              <w:spacing w:line="360" w:lineRule="auto"/>
              <w:jc w:val="center"/>
              <w:rPr>
                <w:rFonts w:ascii="仿宋" w:hAnsi="仿宋" w:eastAsia="仿宋" w:cs="Courier New"/>
                <w:snapToGrid w:val="0"/>
                <w:szCs w:val="18"/>
              </w:rPr>
            </w:pPr>
          </w:p>
        </w:tc>
        <w:tc>
          <w:tcPr>
            <w:tcW w:w="709" w:type="dxa"/>
            <w:vAlign w:val="center"/>
          </w:tcPr>
          <w:p>
            <w:pPr>
              <w:spacing w:line="360" w:lineRule="auto"/>
              <w:jc w:val="center"/>
              <w:rPr>
                <w:rFonts w:ascii="仿宋" w:hAnsi="仿宋" w:eastAsia="仿宋" w:cs="Courier New"/>
                <w:snapToGrid w:val="0"/>
                <w:szCs w:val="18"/>
              </w:rPr>
            </w:pPr>
          </w:p>
        </w:tc>
        <w:tc>
          <w:tcPr>
            <w:tcW w:w="851" w:type="dxa"/>
            <w:vAlign w:val="center"/>
          </w:tcPr>
          <w:p>
            <w:pPr>
              <w:spacing w:line="360" w:lineRule="auto"/>
              <w:jc w:val="center"/>
              <w:rPr>
                <w:rFonts w:ascii="仿宋" w:hAnsi="仿宋" w:eastAsia="仿宋" w:cs="Courier New"/>
                <w:snapToGrid w:val="0"/>
                <w:szCs w:val="18"/>
              </w:rPr>
            </w:pPr>
          </w:p>
        </w:tc>
        <w:tc>
          <w:tcPr>
            <w:tcW w:w="1134" w:type="dxa"/>
            <w:vAlign w:val="center"/>
          </w:tcPr>
          <w:p>
            <w:pPr>
              <w:spacing w:line="360" w:lineRule="auto"/>
              <w:jc w:val="center"/>
              <w:rPr>
                <w:rFonts w:ascii="仿宋" w:hAnsi="仿宋" w:eastAsia="仿宋" w:cs="Courier New"/>
                <w:snapToGrid w:val="0"/>
                <w:szCs w:val="18"/>
              </w:rPr>
            </w:pPr>
          </w:p>
        </w:tc>
        <w:tc>
          <w:tcPr>
            <w:tcW w:w="1558" w:type="dxa"/>
            <w:vAlign w:val="center"/>
          </w:tcPr>
          <w:p>
            <w:pPr>
              <w:spacing w:line="360" w:lineRule="auto"/>
              <w:jc w:val="center"/>
              <w:rPr>
                <w:rFonts w:ascii="仿宋" w:hAnsi="仿宋" w:eastAsia="仿宋" w:cs="Courier New"/>
                <w:snapToGrid w:val="0"/>
                <w:szCs w:val="18"/>
              </w:rPr>
            </w:pPr>
          </w:p>
        </w:tc>
        <w:tc>
          <w:tcPr>
            <w:tcW w:w="1135" w:type="dxa"/>
            <w:vAlign w:val="center"/>
          </w:tcPr>
          <w:p>
            <w:pPr>
              <w:spacing w:line="360" w:lineRule="auto"/>
              <w:jc w:val="center"/>
              <w:rPr>
                <w:rFonts w:ascii="仿宋" w:hAnsi="仿宋" w:eastAsia="仿宋" w:cs="Courier New"/>
                <w:snapToGrid w:val="0"/>
                <w:szCs w:val="18"/>
              </w:rPr>
            </w:pPr>
          </w:p>
        </w:tc>
        <w:tc>
          <w:tcPr>
            <w:tcW w:w="759" w:type="dxa"/>
            <w:tcBorders>
              <w:right w:val="double" w:color="auto" w:sz="4" w:space="0"/>
            </w:tcBorders>
            <w:vAlign w:val="center"/>
          </w:tcPr>
          <w:p>
            <w:pPr>
              <w:spacing w:line="360" w:lineRule="auto"/>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2</w:t>
            </w: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0"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09"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4"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558"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5"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59" w:type="dxa"/>
            <w:tcBorders>
              <w:bottom w:val="double" w:color="auto" w:sz="4" w:space="0"/>
              <w:right w:val="double" w:color="auto" w:sz="4" w:space="0"/>
            </w:tcBorders>
            <w:vAlign w:val="center"/>
          </w:tcPr>
          <w:p>
            <w:pPr>
              <w:spacing w:line="360" w:lineRule="auto"/>
              <w:jc w:val="center"/>
              <w:rPr>
                <w:rFonts w:ascii="仿宋" w:hAnsi="仿宋" w:eastAsia="仿宋" w:cs="Courier New"/>
                <w:snapToGrid w:val="0"/>
                <w:szCs w:val="18"/>
              </w:rPr>
            </w:pPr>
          </w:p>
        </w:tc>
      </w:tr>
    </w:tbl>
    <w:p/>
    <w:p>
      <w:pPr>
        <w:spacing w:line="360" w:lineRule="auto"/>
        <w:rPr>
          <w:rFonts w:ascii="仿宋" w:hAnsi="仿宋" w:eastAsia="仿宋" w:cs="Courier New"/>
          <w:snapToGrid w:val="0"/>
          <w:szCs w:val="18"/>
        </w:rPr>
      </w:pPr>
      <w:r>
        <w:rPr>
          <w:rFonts w:hint="eastAsia" w:ascii="仿宋" w:hAnsi="仿宋" w:eastAsia="仿宋" w:cs="Courier New"/>
          <w:b/>
          <w:snapToGrid w:val="0"/>
          <w:color w:val="FF0000"/>
          <w:szCs w:val="18"/>
        </w:rPr>
        <w:t>注：</w:t>
      </w:r>
      <w:r>
        <w:rPr>
          <w:rFonts w:hint="eastAsia" w:ascii="仿宋" w:hAnsi="仿宋" w:eastAsia="仿宋" w:cs="Courier New"/>
          <w:snapToGrid w:val="0"/>
          <w:szCs w:val="18"/>
        </w:rPr>
        <w:t>1、投标人的投标产品若不属于采购文件“投标人须知 26.4.3</w:t>
      </w:r>
      <w:r>
        <w:rPr>
          <w:rFonts w:hint="eastAsia" w:ascii="仿宋" w:hAnsi="仿宋" w:eastAsia="仿宋" w:cs="Courier New"/>
          <w:bCs/>
          <w:snapToGrid w:val="0"/>
          <w:szCs w:val="18"/>
        </w:rPr>
        <w:t>评标优惠政策”</w:t>
      </w:r>
      <w:r>
        <w:rPr>
          <w:rFonts w:hint="eastAsia" w:ascii="仿宋" w:hAnsi="仿宋" w:eastAsia="仿宋" w:cs="Courier New"/>
          <w:snapToGrid w:val="0"/>
          <w:szCs w:val="18"/>
        </w:rPr>
        <w:t>中①所述的清单或目录范围内，则投标文件无需提供该表。</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2、“该投标产品报价及占投标总价的比例”栏中须准确填报该投标产品的投标单价、数量、投标合计报价及占投标总价的比例。</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3、“属于优先采购清单的类别”栏中填写“《节能产品政府采购品目清单》”、“《环境标志产品政府采购品目清单》”（以</w:t>
      </w:r>
      <w:r>
        <w:rPr>
          <w:rFonts w:hint="eastAsia" w:ascii="仿宋" w:hAnsi="仿宋" w:eastAsia="仿宋" w:cs="Courier New"/>
          <w:bCs/>
          <w:snapToGrid w:val="0"/>
          <w:szCs w:val="18"/>
        </w:rPr>
        <w:t>中国政府采购网（http://www.ccgp.gov.cn/）最新一期查询结果为准</w:t>
      </w:r>
      <w:r>
        <w:rPr>
          <w:rFonts w:hint="eastAsia" w:ascii="仿宋" w:hAnsi="仿宋" w:eastAsia="仿宋" w:cs="Courier New"/>
          <w:snapToGrid w:val="0"/>
          <w:szCs w:val="18"/>
        </w:rPr>
        <w:t>）或《深圳市政府采购循环经济产品（服务）目录》。</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4、</w:t>
      </w:r>
      <w:r>
        <w:rPr>
          <w:rFonts w:hint="eastAsia" w:ascii="仿宋" w:hAnsi="仿宋" w:eastAsia="仿宋" w:cs="Courier New"/>
          <w:b/>
          <w:snapToGrid w:val="0"/>
          <w:szCs w:val="18"/>
        </w:rPr>
        <w:t>对上表所列属于《关于调整优化节能产品环境标志产品政府采购执行机制的通知》（财库〔2019〕9号）、《关于印发环境标志产品政府采购品目清单的通知》（财库〔2019〕18号）和《关于印发节能产品政府采购品目清单的通知》（财库〔2019〕19号）品目清单范围内的产品，投标人须提供国家确定的认证机构出具的、处于有效期之内的节能产品、环境标志产品认证证书，以及相应的品目清单，并显著标识投标产品所处位置</w:t>
      </w:r>
      <w:r>
        <w:rPr>
          <w:rFonts w:hint="eastAsia" w:ascii="仿宋" w:hAnsi="仿宋" w:eastAsia="仿宋" w:cs="Courier New"/>
          <w:snapToGrid w:val="0"/>
          <w:szCs w:val="18"/>
        </w:rPr>
        <w:t>。提供以上证明材料的扫描件或复印件加盖投标人公章，提供的证书若存在不齐全、已过有效期或其他未被评标委员会接受的瑕疵将不予认可。</w:t>
      </w:r>
    </w:p>
    <w:p>
      <w:pPr>
        <w:widowControl/>
        <w:jc w:val="left"/>
        <w:rPr>
          <w:rFonts w:ascii="仿宋" w:hAnsi="仿宋" w:eastAsia="仿宋" w:cs="Courier New"/>
          <w:snapToGrid w:val="0"/>
          <w:szCs w:val="18"/>
        </w:rPr>
      </w:pPr>
      <w:r>
        <w:rPr>
          <w:rFonts w:ascii="仿宋" w:hAnsi="仿宋" w:eastAsia="仿宋" w:cs="Courier New"/>
          <w:snapToGrid w:val="0"/>
          <w:szCs w:val="18"/>
        </w:rPr>
        <w:br w:type="page"/>
      </w:r>
    </w:p>
    <w:p>
      <w:pPr>
        <w:jc w:val="center"/>
        <w:rPr>
          <w:rFonts w:ascii="仿宋" w:hAnsi="仿宋" w:eastAsia="仿宋"/>
          <w:b/>
          <w:bCs/>
          <w:sz w:val="32"/>
          <w:szCs w:val="32"/>
        </w:rPr>
      </w:pPr>
      <w:r>
        <w:rPr>
          <w:rFonts w:hint="eastAsia" w:ascii="仿宋" w:hAnsi="仿宋" w:eastAsia="仿宋"/>
          <w:b/>
          <w:sz w:val="32"/>
          <w:szCs w:val="32"/>
        </w:rPr>
        <w:t xml:space="preserve">格式4  </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jc w:val="left"/>
        <w:rPr>
          <w:rFonts w:ascii="仿宋" w:hAnsi="仿宋" w:eastAsia="仿宋"/>
        </w:rPr>
      </w:pPr>
      <w:r>
        <w:rPr>
          <w:rFonts w:hint="eastAsia" w:ascii="仿宋" w:hAnsi="仿宋" w:eastAsia="仿宋"/>
        </w:rPr>
        <w:t>项目编号：</w:t>
      </w:r>
      <w:r>
        <w:rPr>
          <w:rFonts w:hint="eastAsia" w:ascii="仿宋" w:hAnsi="仿宋" w:eastAsia="仿宋"/>
          <w:u w:val="single"/>
        </w:rPr>
        <w:t xml:space="preserve">                </w:t>
      </w:r>
    </w:p>
    <w:tbl>
      <w:tblPr>
        <w:tblStyle w:val="16"/>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1"/>
        <w:gridCol w:w="3119"/>
        <w:gridCol w:w="2693"/>
        <w:gridCol w:w="118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项目名称</w:t>
            </w:r>
          </w:p>
        </w:tc>
        <w:tc>
          <w:tcPr>
            <w:tcW w:w="3119" w:type="dxa"/>
            <w:shd w:val="clear" w:color="auto" w:fill="C6D9F0" w:themeFill="text2" w:themeFillTint="33"/>
            <w:vAlign w:val="center"/>
          </w:tcPr>
          <w:p>
            <w:pPr>
              <w:jc w:val="center"/>
              <w:rPr>
                <w:rFonts w:ascii="仿宋" w:hAnsi="仿宋" w:eastAsia="仿宋"/>
                <w:b/>
              </w:rPr>
            </w:pPr>
            <w:r>
              <w:rPr>
                <w:rFonts w:hint="eastAsia" w:ascii="仿宋" w:hAnsi="仿宋" w:eastAsia="仿宋"/>
                <w:b/>
              </w:rPr>
              <w:t>投标总价</w:t>
            </w:r>
          </w:p>
          <w:p>
            <w:pPr>
              <w:jc w:val="center"/>
              <w:rPr>
                <w:rFonts w:ascii="仿宋" w:hAnsi="仿宋" w:eastAsia="仿宋"/>
                <w:b/>
              </w:rPr>
            </w:pPr>
            <w:r>
              <w:rPr>
                <w:rFonts w:hint="eastAsia" w:ascii="仿宋" w:hAnsi="仿宋" w:eastAsia="仿宋"/>
                <w:b/>
              </w:rPr>
              <w:t>（人民币元）</w:t>
            </w:r>
          </w:p>
        </w:tc>
        <w:tc>
          <w:tcPr>
            <w:tcW w:w="2693"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交货期限</w:t>
            </w:r>
          </w:p>
        </w:tc>
        <w:tc>
          <w:tcPr>
            <w:tcW w:w="118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vAlign w:val="center"/>
          </w:tcPr>
          <w:p>
            <w:pPr>
              <w:spacing w:line="360" w:lineRule="auto"/>
              <w:rPr>
                <w:rFonts w:ascii="仿宋" w:hAnsi="仿宋" w:eastAsia="仿宋"/>
              </w:rPr>
            </w:pPr>
          </w:p>
        </w:tc>
        <w:tc>
          <w:tcPr>
            <w:tcW w:w="3119" w:type="dxa"/>
            <w:vAlign w:val="center"/>
          </w:tcPr>
          <w:p>
            <w:pPr>
              <w:spacing w:line="360" w:lineRule="auto"/>
              <w:rPr>
                <w:rFonts w:ascii="仿宋" w:hAnsi="仿宋" w:eastAsia="仿宋"/>
              </w:rPr>
            </w:pPr>
            <w:r>
              <w:rPr>
                <w:rFonts w:hint="eastAsia" w:ascii="仿宋" w:hAnsi="仿宋" w:eastAsia="仿宋"/>
              </w:rPr>
              <w:t>大写：</w:t>
            </w:r>
            <w:r>
              <w:rPr>
                <w:rFonts w:hint="eastAsia" w:ascii="仿宋" w:hAnsi="仿宋" w:eastAsia="仿宋"/>
                <w:u w:val="single"/>
              </w:rPr>
              <w:t xml:space="preserve">                </w:t>
            </w:r>
          </w:p>
          <w:p>
            <w:pPr>
              <w:spacing w:line="360" w:lineRule="auto"/>
              <w:rPr>
                <w:rFonts w:ascii="仿宋" w:hAnsi="仿宋" w:eastAsia="仿宋"/>
              </w:rPr>
            </w:pPr>
            <w:r>
              <w:rPr>
                <w:rFonts w:hint="eastAsia" w:ascii="仿宋" w:hAnsi="仿宋" w:eastAsia="仿宋"/>
              </w:rPr>
              <w:t>小写：</w:t>
            </w:r>
            <w:r>
              <w:rPr>
                <w:rFonts w:hint="eastAsia" w:ascii="仿宋" w:hAnsi="仿宋" w:eastAsia="仿宋"/>
                <w:u w:val="single"/>
              </w:rPr>
              <w:t xml:space="preserve">                </w:t>
            </w:r>
          </w:p>
        </w:tc>
        <w:tc>
          <w:tcPr>
            <w:tcW w:w="2693" w:type="dxa"/>
            <w:vAlign w:val="center"/>
          </w:tcPr>
          <w:p>
            <w:pPr>
              <w:spacing w:line="360" w:lineRule="auto"/>
              <w:rPr>
                <w:rFonts w:ascii="仿宋" w:hAnsi="仿宋" w:eastAsia="仿宋"/>
              </w:rPr>
            </w:pPr>
            <w:r>
              <w:rPr>
                <w:rFonts w:hint="eastAsia" w:ascii="仿宋" w:hAnsi="仿宋" w:eastAsia="仿宋"/>
              </w:rPr>
              <w:t>签订合同后</w:t>
            </w:r>
            <w:r>
              <w:rPr>
                <w:rFonts w:hint="eastAsia" w:ascii="仿宋" w:hAnsi="仿宋" w:eastAsia="仿宋"/>
                <w:u w:val="single"/>
                <w:lang w:val="en-US" w:eastAsia="zh-CN"/>
              </w:rPr>
              <w:t xml:space="preserve">   </w:t>
            </w:r>
            <w:r>
              <w:rPr>
                <w:rFonts w:hint="eastAsia" w:ascii="仿宋" w:hAnsi="仿宋" w:eastAsia="仿宋"/>
              </w:rPr>
              <w:t>天（日历日）内交货</w:t>
            </w:r>
            <w:r>
              <w:rPr>
                <w:rFonts w:hint="eastAsia" w:ascii="仿宋" w:hAnsi="仿宋" w:eastAsia="仿宋"/>
                <w:lang w:val="en-US" w:eastAsia="zh-CN"/>
              </w:rPr>
              <w:t>并安装调试</w:t>
            </w:r>
          </w:p>
        </w:tc>
        <w:tc>
          <w:tcPr>
            <w:tcW w:w="1182" w:type="dxa"/>
            <w:vAlign w:val="center"/>
          </w:tcPr>
          <w:p>
            <w:pPr>
              <w:spacing w:line="360" w:lineRule="auto"/>
              <w:rPr>
                <w:rFonts w:ascii="仿宋" w:hAnsi="仿宋" w:eastAsia="仿宋"/>
              </w:rPr>
            </w:pP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spacing w:line="360" w:lineRule="auto"/>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spacing w:line="360" w:lineRule="auto"/>
        <w:ind w:firstLine="420" w:firstLineChars="200"/>
        <w:jc w:val="left"/>
        <w:rPr>
          <w:rFonts w:ascii="仿宋" w:hAnsi="仿宋" w:eastAsia="仿宋"/>
        </w:rPr>
      </w:pPr>
      <w:r>
        <w:rPr>
          <w:rFonts w:ascii="仿宋" w:hAnsi="仿宋" w:eastAsia="仿宋"/>
          <w:bCs/>
        </w:rPr>
        <w:t>2、</w:t>
      </w:r>
      <w:r>
        <w:rPr>
          <w:rFonts w:hint="eastAsia" w:ascii="仿宋" w:hAnsi="仿宋" w:eastAsia="仿宋"/>
        </w:rPr>
        <w:t>本项目服务费采用包干制，应包括服务成本、法定税费和企业的利润。</w:t>
      </w:r>
    </w:p>
    <w:p>
      <w:pPr>
        <w:spacing w:line="360" w:lineRule="auto"/>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spacing w:line="360" w:lineRule="auto"/>
        <w:ind w:firstLine="413" w:firstLineChars="196"/>
        <w:jc w:val="left"/>
        <w:rPr>
          <w:rFonts w:ascii="仿宋" w:hAnsi="仿宋" w:eastAsia="仿宋"/>
          <w:b/>
        </w:rPr>
      </w:pPr>
      <w:r>
        <w:rPr>
          <w:rFonts w:hint="eastAsia" w:ascii="仿宋" w:hAnsi="仿宋" w:eastAsia="仿宋"/>
          <w:b/>
        </w:rPr>
        <w:t>4、</w:t>
      </w:r>
      <w:r>
        <w:rPr>
          <w:rFonts w:ascii="仿宋" w:hAnsi="仿宋" w:eastAsia="仿宋"/>
          <w:b/>
        </w:rPr>
        <w:t>此表毋需装订于正副本内，应按“投标人须知”18.</w:t>
      </w:r>
      <w:r>
        <w:rPr>
          <w:rFonts w:hint="eastAsia" w:ascii="仿宋" w:hAnsi="仿宋" w:eastAsia="仿宋"/>
          <w:b/>
        </w:rPr>
        <w:t>5</w:t>
      </w:r>
      <w:r>
        <w:rPr>
          <w:rFonts w:ascii="仿宋" w:hAnsi="仿宋" w:eastAsia="仿宋"/>
          <w:b/>
        </w:rPr>
        <w:t>项要求</w:t>
      </w:r>
      <w:r>
        <w:rPr>
          <w:rFonts w:hint="eastAsia" w:ascii="仿宋" w:hAnsi="仿宋" w:eastAsia="仿宋"/>
          <w:b/>
        </w:rPr>
        <w:t>，与“法定代表人证明书、法定代表人授权委托证明书”一起</w:t>
      </w:r>
      <w:r>
        <w:rPr>
          <w:rFonts w:ascii="仿宋" w:hAnsi="仿宋" w:eastAsia="仿宋"/>
          <w:b/>
        </w:rPr>
        <w:t>单独密封</w:t>
      </w:r>
      <w:r>
        <w:rPr>
          <w:rFonts w:hint="eastAsia" w:ascii="仿宋" w:hAnsi="仿宋" w:eastAsia="仿宋"/>
          <w:b/>
        </w:rPr>
        <w:t>提交</w:t>
      </w:r>
    </w:p>
    <w:p>
      <w:pPr>
        <w:ind w:firstLine="413" w:firstLineChars="196"/>
        <w:jc w:val="left"/>
        <w:rPr>
          <w:rFonts w:ascii="仿宋" w:hAnsi="仿宋" w:eastAsia="仿宋"/>
          <w:b/>
        </w:rPr>
      </w:pP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格式5  </w:t>
      </w:r>
      <w:r>
        <w:rPr>
          <w:rFonts w:hint="eastAsia" w:ascii="仿宋" w:hAnsi="仿宋" w:eastAsia="仿宋"/>
          <w:b/>
          <w:bCs/>
          <w:sz w:val="32"/>
          <w:szCs w:val="32"/>
        </w:rPr>
        <w:t>报价表</w:t>
      </w:r>
    </w:p>
    <w:p/>
    <w:p>
      <w:pPr>
        <w:spacing w:line="360" w:lineRule="auto"/>
        <w:rPr>
          <w:rFonts w:ascii="仿宋" w:hAnsi="仿宋" w:eastAsia="仿宋"/>
        </w:rPr>
      </w:pPr>
      <w:r>
        <w:rPr>
          <w:rFonts w:hint="eastAsia" w:ascii="仿宋" w:hAnsi="仿宋" w:eastAsia="仿宋"/>
        </w:rPr>
        <w:t>一、报价要求</w:t>
      </w:r>
    </w:p>
    <w:p>
      <w:pPr>
        <w:spacing w:line="360" w:lineRule="auto"/>
        <w:ind w:firstLine="420" w:firstLineChars="200"/>
        <w:rPr>
          <w:rFonts w:ascii="仿宋" w:hAnsi="仿宋" w:eastAsia="仿宋"/>
        </w:rPr>
      </w:pPr>
      <w:r>
        <w:rPr>
          <w:rFonts w:hint="eastAsia" w:ascii="仿宋" w:hAnsi="仿宋" w:eastAsia="仿宋"/>
        </w:rPr>
        <w:t>1、所有价格应按“采购文件”中规定的货币单位填写。</w:t>
      </w:r>
    </w:p>
    <w:p>
      <w:pPr>
        <w:spacing w:line="360" w:lineRule="auto"/>
        <w:ind w:firstLine="420" w:firstLineChars="200"/>
        <w:rPr>
          <w:rFonts w:ascii="仿宋" w:hAnsi="仿宋" w:eastAsia="仿宋"/>
        </w:rPr>
      </w:pPr>
      <w:r>
        <w:rPr>
          <w:rFonts w:hint="eastAsia" w:ascii="仿宋" w:hAnsi="仿宋" w:eastAsia="仿宋"/>
        </w:rPr>
        <w:t>2、</w:t>
      </w:r>
      <w:r>
        <w:rPr>
          <w:rFonts w:ascii="仿宋" w:hAnsi="仿宋" w:eastAsia="仿宋"/>
        </w:rPr>
        <w:t>报价为</w:t>
      </w:r>
      <w:r>
        <w:rPr>
          <w:rFonts w:hint="eastAsia" w:ascii="仿宋" w:hAnsi="仿宋" w:eastAsia="仿宋"/>
        </w:rPr>
        <w:t>包干价，包含但不限于</w:t>
      </w:r>
      <w:r>
        <w:rPr>
          <w:rFonts w:hint="eastAsia" w:ascii="仿宋" w:hAnsi="仿宋" w:eastAsia="仿宋"/>
          <w:bCs/>
        </w:rPr>
        <w:t>设备的价款（含税）、安装调试、售后服务、运输装卸、保险费等一切费用</w:t>
      </w:r>
      <w:r>
        <w:rPr>
          <w:rFonts w:hint="eastAsia" w:ascii="仿宋" w:hAnsi="仿宋" w:eastAsia="仿宋"/>
        </w:rPr>
        <w:t>。</w:t>
      </w:r>
    </w:p>
    <w:p>
      <w:pPr>
        <w:spacing w:line="360" w:lineRule="auto"/>
        <w:ind w:firstLine="420" w:firstLineChars="200"/>
        <w:rPr>
          <w:rFonts w:ascii="仿宋" w:hAnsi="仿宋" w:eastAsia="仿宋"/>
        </w:rPr>
      </w:pPr>
      <w:r>
        <w:rPr>
          <w:rFonts w:hint="eastAsia" w:ascii="仿宋" w:hAnsi="仿宋" w:eastAsia="仿宋"/>
        </w:rPr>
        <w:t>3、</w:t>
      </w:r>
      <w:r>
        <w:rPr>
          <w:rFonts w:ascii="仿宋" w:hAnsi="仿宋" w:eastAsia="仿宋"/>
          <w:bCs/>
        </w:rPr>
        <w:t>此表应经法定代表人或授权委托人签名，并加盖公章</w:t>
      </w:r>
      <w:r>
        <w:rPr>
          <w:rFonts w:hint="eastAsia" w:ascii="仿宋" w:hAnsi="仿宋" w:eastAsia="仿宋"/>
        </w:rPr>
        <w:t>。</w:t>
      </w:r>
    </w:p>
    <w:p>
      <w:pPr>
        <w:spacing w:line="360" w:lineRule="auto"/>
        <w:ind w:firstLine="420" w:firstLineChars="200"/>
        <w:rPr>
          <w:rFonts w:ascii="仿宋" w:hAnsi="仿宋" w:eastAsia="仿宋"/>
        </w:rPr>
      </w:pPr>
    </w:p>
    <w:p>
      <w:pPr>
        <w:spacing w:line="360" w:lineRule="auto"/>
        <w:ind w:firstLine="643" w:firstLineChars="200"/>
        <w:jc w:val="center"/>
        <w:rPr>
          <w:rFonts w:ascii="仿宋" w:hAnsi="仿宋" w:eastAsia="仿宋"/>
          <w:b/>
          <w:bCs/>
          <w:sz w:val="32"/>
          <w:szCs w:val="32"/>
        </w:rPr>
      </w:pPr>
      <w:r>
        <w:rPr>
          <w:rFonts w:hint="eastAsia" w:ascii="仿宋" w:hAnsi="仿宋" w:eastAsia="仿宋"/>
          <w:b/>
          <w:bCs/>
          <w:sz w:val="32"/>
          <w:szCs w:val="32"/>
        </w:rPr>
        <w:t>（一）报价总表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pPr>
      <w:r>
        <w:rPr>
          <w:rFonts w:hint="eastAsia" w:ascii="仿宋" w:hAnsi="仿宋" w:eastAsia="仿宋"/>
        </w:rPr>
        <w:t>项目编号：</w:t>
      </w:r>
      <w:r>
        <w:rPr>
          <w:rFonts w:hint="eastAsia" w:ascii="仿宋" w:hAnsi="仿宋" w:eastAsia="仿宋"/>
          <w:u w:val="single"/>
        </w:rPr>
        <w:t xml:space="preserve">                </w:t>
      </w:r>
    </w:p>
    <w:tbl>
      <w:tblPr>
        <w:tblStyle w:val="1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3119"/>
        <w:gridCol w:w="2693"/>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top w:val="double" w:color="auto" w:sz="4" w:space="0"/>
              <w:left w:val="double" w:color="auto" w:sz="4" w:space="0"/>
            </w:tcBorders>
            <w:shd w:val="clear" w:color="auto" w:fill="C6D9F0" w:themeFill="text2" w:themeFillTint="33"/>
            <w:vAlign w:val="center"/>
          </w:tcPr>
          <w:p>
            <w:pPr>
              <w:spacing w:line="360" w:lineRule="auto"/>
              <w:jc w:val="center"/>
              <w:rPr>
                <w:b/>
              </w:rPr>
            </w:pPr>
            <w:r>
              <w:rPr>
                <w:rFonts w:hint="eastAsia"/>
                <w:b/>
              </w:rPr>
              <w:t>序号</w:t>
            </w:r>
          </w:p>
        </w:tc>
        <w:tc>
          <w:tcPr>
            <w:tcW w:w="3119"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项目内容</w:t>
            </w:r>
          </w:p>
        </w:tc>
        <w:tc>
          <w:tcPr>
            <w:tcW w:w="2693"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分项报价（元）</w:t>
            </w:r>
          </w:p>
        </w:tc>
        <w:tc>
          <w:tcPr>
            <w:tcW w:w="1326" w:type="dxa"/>
            <w:tcBorders>
              <w:top w:val="double" w:color="auto" w:sz="4" w:space="0"/>
              <w:right w:val="double" w:color="auto" w:sz="4" w:space="0"/>
            </w:tcBorders>
            <w:shd w:val="clear" w:color="auto" w:fill="C6D9F0" w:themeFill="text2" w:themeFillTint="33"/>
            <w:vAlign w:val="center"/>
          </w:tcPr>
          <w:p>
            <w:pPr>
              <w:spacing w:line="360" w:lineRule="auto"/>
              <w:jc w:val="center"/>
              <w:rPr>
                <w:b/>
              </w:rPr>
            </w:pPr>
            <w:r>
              <w:rPr>
                <w:rFonts w:hint="eastAsia"/>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3119" w:type="dxa"/>
            <w:vAlign w:val="center"/>
          </w:tcPr>
          <w:p>
            <w:pPr>
              <w:spacing w:line="360" w:lineRule="auto"/>
              <w:jc w:val="center"/>
              <w:rPr>
                <w:rFonts w:ascii="仿宋" w:hAnsi="仿宋" w:eastAsia="仿宋"/>
              </w:rPr>
            </w:pPr>
            <w:r>
              <w:rPr>
                <w:rFonts w:hint="eastAsia" w:ascii="仿宋" w:hAnsi="仿宋" w:eastAsia="仿宋"/>
              </w:rPr>
              <w:t>设备费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3119" w:type="dxa"/>
            <w:vAlign w:val="center"/>
          </w:tcPr>
          <w:p>
            <w:pPr>
              <w:spacing w:line="360" w:lineRule="auto"/>
              <w:jc w:val="center"/>
              <w:rPr>
                <w:rFonts w:ascii="仿宋" w:hAnsi="仿宋" w:eastAsia="仿宋"/>
              </w:rPr>
            </w:pPr>
            <w:r>
              <w:rPr>
                <w:rFonts w:hint="eastAsia" w:ascii="仿宋" w:hAnsi="仿宋" w:eastAsia="仿宋"/>
              </w:rPr>
              <w:t>运输费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3119" w:type="dxa"/>
            <w:vAlign w:val="center"/>
          </w:tcPr>
          <w:p>
            <w:pPr>
              <w:spacing w:line="360" w:lineRule="auto"/>
              <w:jc w:val="center"/>
              <w:rPr>
                <w:rFonts w:ascii="仿宋" w:hAnsi="仿宋" w:eastAsia="仿宋"/>
              </w:rPr>
            </w:pPr>
            <w:r>
              <w:rPr>
                <w:rFonts w:hint="eastAsia" w:ascii="仿宋" w:hAnsi="仿宋" w:eastAsia="仿宋"/>
              </w:rPr>
              <w:t>装卸费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4</w:t>
            </w:r>
          </w:p>
        </w:tc>
        <w:tc>
          <w:tcPr>
            <w:tcW w:w="3119" w:type="dxa"/>
            <w:vAlign w:val="center"/>
          </w:tcPr>
          <w:p>
            <w:pPr>
              <w:spacing w:line="360" w:lineRule="auto"/>
              <w:jc w:val="center"/>
              <w:rPr>
                <w:rFonts w:ascii="仿宋" w:hAnsi="仿宋" w:eastAsia="仿宋"/>
              </w:rPr>
            </w:pPr>
            <w:r>
              <w:rPr>
                <w:rFonts w:hint="eastAsia" w:ascii="仿宋" w:hAnsi="仿宋" w:eastAsia="仿宋"/>
              </w:rPr>
              <w:t>安装费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5</w:t>
            </w:r>
          </w:p>
        </w:tc>
        <w:tc>
          <w:tcPr>
            <w:tcW w:w="3119" w:type="dxa"/>
            <w:vAlign w:val="center"/>
          </w:tcPr>
          <w:p>
            <w:pPr>
              <w:spacing w:line="360" w:lineRule="auto"/>
              <w:jc w:val="center"/>
              <w:rPr>
                <w:rFonts w:ascii="仿宋" w:hAnsi="仿宋" w:eastAsia="仿宋"/>
              </w:rPr>
            </w:pPr>
            <w:r>
              <w:rPr>
                <w:rFonts w:hint="eastAsia" w:ascii="仿宋" w:hAnsi="仿宋" w:eastAsia="仿宋"/>
              </w:rPr>
              <w:t>调试费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6</w:t>
            </w:r>
          </w:p>
        </w:tc>
        <w:tc>
          <w:tcPr>
            <w:tcW w:w="3119" w:type="dxa"/>
            <w:vAlign w:val="center"/>
          </w:tcPr>
          <w:p>
            <w:pPr>
              <w:spacing w:line="360" w:lineRule="auto"/>
              <w:jc w:val="center"/>
              <w:rPr>
                <w:rFonts w:ascii="仿宋" w:hAnsi="仿宋" w:eastAsia="仿宋"/>
              </w:rPr>
            </w:pPr>
            <w:r>
              <w:rPr>
                <w:rFonts w:hint="eastAsia" w:ascii="仿宋" w:hAnsi="仿宋" w:eastAsia="仿宋"/>
              </w:rPr>
              <w:t>保险费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7</w:t>
            </w:r>
          </w:p>
        </w:tc>
        <w:tc>
          <w:tcPr>
            <w:tcW w:w="3119" w:type="dxa"/>
            <w:vAlign w:val="center"/>
          </w:tcPr>
          <w:p>
            <w:pPr>
              <w:spacing w:line="360" w:lineRule="auto"/>
              <w:jc w:val="center"/>
              <w:rPr>
                <w:rFonts w:ascii="仿宋" w:hAnsi="仿宋" w:eastAsia="仿宋"/>
              </w:rPr>
            </w:pPr>
            <w:r>
              <w:rPr>
                <w:rFonts w:hint="eastAsia" w:ascii="仿宋" w:hAnsi="仿宋" w:eastAsia="仿宋"/>
              </w:rPr>
              <w:t>技术培训费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8</w:t>
            </w:r>
          </w:p>
        </w:tc>
        <w:tc>
          <w:tcPr>
            <w:tcW w:w="3119" w:type="dxa"/>
            <w:vAlign w:val="center"/>
          </w:tcPr>
          <w:p>
            <w:pPr>
              <w:spacing w:line="360" w:lineRule="auto"/>
              <w:jc w:val="center"/>
              <w:rPr>
                <w:rFonts w:ascii="仿宋" w:hAnsi="仿宋" w:eastAsia="仿宋"/>
              </w:rPr>
            </w:pPr>
            <w:r>
              <w:rPr>
                <w:rFonts w:hint="eastAsia" w:ascii="仿宋" w:hAnsi="仿宋" w:eastAsia="仿宋"/>
              </w:rPr>
              <w:t>售后服务费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9</w:t>
            </w:r>
          </w:p>
        </w:tc>
        <w:tc>
          <w:tcPr>
            <w:tcW w:w="3119" w:type="dxa"/>
            <w:vAlign w:val="center"/>
          </w:tcPr>
          <w:p>
            <w:pPr>
              <w:spacing w:line="360" w:lineRule="auto"/>
              <w:jc w:val="center"/>
              <w:rPr>
                <w:rFonts w:ascii="仿宋" w:hAnsi="仿宋" w:eastAsia="仿宋"/>
              </w:rPr>
            </w:pPr>
            <w:r>
              <w:rPr>
                <w:rFonts w:hint="eastAsia" w:ascii="仿宋" w:hAnsi="仿宋" w:eastAsia="仿宋"/>
              </w:rPr>
              <w:t>国家规定的各项税费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10</w:t>
            </w:r>
          </w:p>
        </w:tc>
        <w:tc>
          <w:tcPr>
            <w:tcW w:w="3119" w:type="dxa"/>
            <w:tcBorders>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其它</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503" w:type="dxa"/>
            <w:gridSpan w:val="2"/>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b/>
              </w:rPr>
            </w:pPr>
            <w:r>
              <w:rPr>
                <w:rFonts w:hint="eastAsia" w:ascii="仿宋" w:hAnsi="仿宋" w:eastAsia="仿宋"/>
                <w:b/>
              </w:rPr>
              <w:t>投标总价（元）：</w:t>
            </w:r>
            <w:r>
              <w:rPr>
                <w:rFonts w:ascii="仿宋" w:hAnsi="仿宋" w:eastAsia="仿宋"/>
                <w:b/>
              </w:rPr>
              <w:t xml:space="preserve"> </w:t>
            </w:r>
          </w:p>
        </w:tc>
        <w:tc>
          <w:tcPr>
            <w:tcW w:w="4019" w:type="dxa"/>
            <w:gridSpan w:val="2"/>
            <w:tcBorders>
              <w:bottom w:val="double" w:color="auto" w:sz="4" w:space="0"/>
              <w:right w:val="double" w:color="auto" w:sz="4" w:space="0"/>
            </w:tcBorders>
            <w:vAlign w:val="center"/>
          </w:tcPr>
          <w:p>
            <w:pPr>
              <w:spacing w:line="360" w:lineRule="auto"/>
              <w:jc w:val="cente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1、本表格仅为指导性范本，供应商可根据项目具体情况对各分项内容进行调整。</w:t>
      </w:r>
    </w:p>
    <w:p>
      <w:pPr>
        <w:spacing w:line="360" w:lineRule="auto"/>
        <w:ind w:firstLine="527" w:firstLineChars="251"/>
        <w:rPr>
          <w:rFonts w:ascii="仿宋" w:hAnsi="仿宋" w:eastAsia="仿宋"/>
        </w:rPr>
      </w:pPr>
      <w:r>
        <w:rPr>
          <w:rFonts w:hint="eastAsia" w:ascii="仿宋" w:hAnsi="仿宋" w:eastAsia="仿宋"/>
        </w:rPr>
        <w:t>2、投标总价应为以上各分项价格之和。</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bCs/>
          <w:sz w:val="32"/>
          <w:szCs w:val="32"/>
        </w:rPr>
        <w:t>（二）分项价格表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rPr>
          <w:rFonts w:ascii="仿宋" w:hAnsi="仿宋" w:eastAsia="仿宋"/>
          <w:u w:val="single"/>
        </w:rPr>
      </w:pPr>
      <w:r>
        <w:rPr>
          <w:rFonts w:hint="eastAsia" w:ascii="仿宋" w:hAnsi="仿宋" w:eastAsia="仿宋"/>
        </w:rPr>
        <w:t>项目编号：</w:t>
      </w:r>
      <w:r>
        <w:rPr>
          <w:rFonts w:hint="eastAsia" w:ascii="仿宋" w:hAnsi="仿宋" w:eastAsia="仿宋"/>
          <w:u w:val="single"/>
        </w:rPr>
        <w:t xml:space="preserve">                </w:t>
      </w:r>
    </w:p>
    <w:tbl>
      <w:tblPr>
        <w:tblStyle w:val="16"/>
        <w:tblW w:w="8613"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709"/>
        <w:gridCol w:w="851"/>
        <w:gridCol w:w="708"/>
        <w:gridCol w:w="907"/>
        <w:gridCol w:w="907"/>
        <w:gridCol w:w="907"/>
        <w:gridCol w:w="907"/>
        <w:gridCol w:w="908"/>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70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8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规矩/型号</w:t>
            </w:r>
          </w:p>
        </w:tc>
        <w:tc>
          <w:tcPr>
            <w:tcW w:w="7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w:t>
            </w:r>
          </w:p>
        </w:tc>
        <w:tc>
          <w:tcPr>
            <w:tcW w:w="9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合价</w:t>
            </w:r>
          </w:p>
        </w:tc>
        <w:tc>
          <w:tcPr>
            <w:tcW w:w="1134"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是否为进口产品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709" w:type="dxa"/>
            <w:tcBorders>
              <w:bottom w:val="single" w:color="000000" w:themeColor="text1" w:sz="4" w:space="0"/>
            </w:tcBorders>
            <w:vAlign w:val="center"/>
          </w:tcPr>
          <w:p>
            <w:pPr>
              <w:spacing w:line="360" w:lineRule="auto"/>
              <w:jc w:val="center"/>
              <w:rPr>
                <w:rFonts w:ascii="仿宋" w:hAnsi="仿宋" w:eastAsia="仿宋"/>
              </w:rPr>
            </w:pPr>
          </w:p>
        </w:tc>
        <w:tc>
          <w:tcPr>
            <w:tcW w:w="851" w:type="dxa"/>
            <w:tcBorders>
              <w:bottom w:val="single" w:color="000000" w:themeColor="text1" w:sz="4" w:space="0"/>
            </w:tcBorders>
            <w:vAlign w:val="center"/>
          </w:tcPr>
          <w:p>
            <w:pPr>
              <w:spacing w:line="360" w:lineRule="auto"/>
              <w:jc w:val="center"/>
              <w:rPr>
                <w:rFonts w:ascii="仿宋" w:hAnsi="仿宋" w:eastAsia="仿宋"/>
              </w:rPr>
            </w:pPr>
          </w:p>
        </w:tc>
        <w:tc>
          <w:tcPr>
            <w:tcW w:w="708"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64" w:type="dxa"/>
            <w:gridSpan w:val="7"/>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rPr>
            </w:pPr>
            <w:r>
              <w:rPr>
                <w:rFonts w:hint="eastAsia" w:ascii="仿宋" w:hAnsi="仿宋" w:eastAsia="仿宋"/>
                <w:b/>
              </w:rPr>
              <w:t>合计</w:t>
            </w:r>
            <w:r>
              <w:rPr>
                <w:rFonts w:hint="eastAsia" w:ascii="仿宋" w:hAnsi="仿宋" w:eastAsia="仿宋"/>
              </w:rPr>
              <w:t>（即投标总价；币种：人民币；单位：元）</w:t>
            </w:r>
          </w:p>
        </w:tc>
        <w:tc>
          <w:tcPr>
            <w:tcW w:w="2949" w:type="dxa"/>
            <w:gridSpan w:val="3"/>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w:t>
      </w:r>
      <w:r>
        <w:rPr>
          <w:rFonts w:hint="eastAsia" w:ascii="仿宋" w:hAnsi="仿宋" w:eastAsia="仿宋"/>
          <w:b/>
        </w:rPr>
        <w:t>分项价格表</w:t>
      </w:r>
      <w:r>
        <w:rPr>
          <w:rFonts w:hint="eastAsia" w:ascii="仿宋" w:hAnsi="仿宋" w:eastAsia="仿宋"/>
        </w:rPr>
        <w:t>”应根据“第三部分采购项目要求“ 的“二、采购清单”填写，本表格不得修改（续行除外）。若所投产品属于定制类的非量产货物或无具体品牌型号的货物，可以不填写品牌、型号等信息，但应当标注投标产品为定制产品。</w:t>
      </w:r>
    </w:p>
    <w:p>
      <w:pPr>
        <w:spacing w:line="360" w:lineRule="auto"/>
        <w:ind w:firstLine="424" w:firstLineChars="202"/>
        <w:rPr>
          <w:rFonts w:ascii="仿宋" w:hAnsi="仿宋" w:eastAsia="仿宋"/>
        </w:rPr>
      </w:pPr>
      <w:r>
        <w:rPr>
          <w:rFonts w:hint="eastAsia" w:ascii="仿宋" w:hAnsi="仿宋" w:eastAsia="仿宋"/>
        </w:rPr>
        <w:t>2、投标人必须对照进口产品的规定明确其投标产品是否为进口产品。</w:t>
      </w:r>
    </w:p>
    <w:p>
      <w:pPr>
        <w:spacing w:line="360" w:lineRule="auto"/>
        <w:ind w:firstLine="424" w:firstLineChars="202"/>
        <w:rPr>
          <w:rFonts w:ascii="仿宋" w:hAnsi="仿宋" w:eastAsia="仿宋"/>
        </w:rPr>
      </w:pPr>
      <w:r>
        <w:rPr>
          <w:rFonts w:hint="eastAsia" w:ascii="仿宋" w:hAnsi="仿宋" w:eastAsia="仿宋"/>
        </w:rPr>
        <w:t>3、投标总价应为以上各分项价格之和；投标总价和表中单个采购条目报价均不得超过对应的财政预算限额，否则将导致无效投标。</w:t>
      </w:r>
    </w:p>
    <w:p>
      <w:pPr>
        <w:spacing w:line="360" w:lineRule="auto"/>
        <w:ind w:firstLine="424" w:firstLineChars="202"/>
        <w:rPr>
          <w:rFonts w:ascii="仿宋" w:hAnsi="仿宋" w:eastAsia="仿宋"/>
        </w:rPr>
      </w:pPr>
      <w:r>
        <w:rPr>
          <w:rFonts w:hint="eastAsia" w:ascii="仿宋" w:hAnsi="仿宋" w:eastAsia="仿宋"/>
        </w:rPr>
        <w:t>4、开标一览表中的投标总价应该与本表中的投标总价一致。</w:t>
      </w:r>
    </w:p>
    <w:p>
      <w:pPr>
        <w:spacing w:line="360" w:lineRule="auto"/>
        <w:ind w:firstLine="424" w:firstLineChars="202"/>
        <w:rPr>
          <w:rFonts w:ascii="仿宋" w:hAnsi="仿宋" w:eastAsia="仿宋"/>
        </w:rPr>
      </w:pPr>
      <w:r>
        <w:rPr>
          <w:rFonts w:hint="eastAsia" w:ascii="仿宋" w:hAnsi="仿宋" w:eastAsia="仿宋"/>
        </w:rPr>
        <w:t>5、“原产地”是指该产品的实际生产加工地，而非品牌总公司所在地。</w:t>
      </w:r>
    </w:p>
    <w:p/>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pPr>
    </w:p>
    <w:p/>
    <w:p>
      <w:pPr>
        <w:widowControl/>
        <w:jc w:val="left"/>
      </w:pPr>
      <w:r>
        <w:br w:type="page"/>
      </w:r>
    </w:p>
    <w:p>
      <w:pPr>
        <w:jc w:val="center"/>
        <w:rPr>
          <w:rFonts w:ascii="仿宋" w:hAnsi="仿宋" w:eastAsia="仿宋"/>
          <w:b/>
          <w:bCs/>
          <w:sz w:val="32"/>
          <w:szCs w:val="32"/>
        </w:rPr>
      </w:pPr>
      <w:r>
        <w:rPr>
          <w:rFonts w:hint="eastAsia" w:ascii="仿宋" w:hAnsi="仿宋" w:eastAsia="仿宋"/>
          <w:b/>
          <w:bCs/>
          <w:sz w:val="32"/>
          <w:szCs w:val="32"/>
        </w:rPr>
        <w:t>（三）零配件、消耗品和延续保修合同报价清单</w:t>
      </w:r>
    </w:p>
    <w:p>
      <w:pPr>
        <w:jc w:val="center"/>
        <w:rPr>
          <w:rFonts w:ascii="仿宋" w:hAnsi="仿宋" w:eastAsia="仿宋"/>
          <w:b/>
          <w:bCs/>
          <w:sz w:val="32"/>
          <w:szCs w:val="32"/>
        </w:rPr>
      </w:pPr>
      <w:r>
        <w:rPr>
          <w:rFonts w:hint="eastAsia" w:ascii="仿宋" w:hAnsi="仿宋" w:eastAsia="仿宋"/>
          <w:b/>
          <w:bCs/>
          <w:sz w:val="32"/>
          <w:szCs w:val="32"/>
        </w:rPr>
        <w:t>（该部分报价不包括在投标总价内）</w:t>
      </w:r>
    </w:p>
    <w:p>
      <w:pPr>
        <w:rPr>
          <w:rFonts w:ascii="仿宋" w:hAnsi="仿宋" w:eastAsia="仿宋"/>
        </w:rPr>
      </w:pPr>
    </w:p>
    <w:p>
      <w:pPr>
        <w:spacing w:line="360" w:lineRule="auto"/>
        <w:rPr>
          <w:rFonts w:ascii="仿宋" w:hAnsi="仿宋" w:eastAsia="仿宋"/>
          <w:sz w:val="24"/>
          <w:szCs w:val="24"/>
        </w:rPr>
      </w:pPr>
      <w:r>
        <w:rPr>
          <w:rFonts w:hint="eastAsia" w:ascii="仿宋" w:hAnsi="仿宋" w:eastAsia="仿宋"/>
          <w:sz w:val="24"/>
          <w:szCs w:val="24"/>
        </w:rPr>
        <w:t>1、零配件、消耗品报价清单</w:t>
      </w:r>
    </w:p>
    <w:tbl>
      <w:tblPr>
        <w:tblStyle w:val="1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规格/型号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142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142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pPr>
      <w:r>
        <w:rPr>
          <w:rFonts w:hint="eastAsia" w:ascii="仿宋" w:hAnsi="仿宋" w:eastAsia="仿宋"/>
          <w:sz w:val="24"/>
          <w:szCs w:val="24"/>
        </w:rPr>
        <w:t>2、延续保修合同等服务报价清单</w:t>
      </w:r>
    </w:p>
    <w:tbl>
      <w:tblPr>
        <w:tblStyle w:val="1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2350"/>
        <w:gridCol w:w="2351"/>
        <w:gridCol w:w="235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235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服务名称</w:t>
            </w:r>
          </w:p>
        </w:tc>
        <w:tc>
          <w:tcPr>
            <w:tcW w:w="23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服务内容</w:t>
            </w:r>
          </w:p>
        </w:tc>
        <w:tc>
          <w:tcPr>
            <w:tcW w:w="235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价格（元）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2350" w:type="dxa"/>
            <w:vAlign w:val="center"/>
          </w:tcPr>
          <w:p>
            <w:pPr>
              <w:spacing w:line="360" w:lineRule="auto"/>
              <w:jc w:val="center"/>
              <w:rPr>
                <w:rFonts w:ascii="仿宋" w:hAnsi="仿宋" w:eastAsia="仿宋"/>
              </w:rPr>
            </w:pPr>
            <w:r>
              <w:rPr>
                <w:rFonts w:hint="eastAsia" w:ascii="仿宋" w:hAnsi="仿宋" w:eastAsia="仿宋"/>
              </w:rPr>
              <w:t>延续保修合同</w:t>
            </w: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2350"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ind w:right="-764" w:rightChars="-364"/>
        <w:rPr>
          <w:rFonts w:ascii="仿宋" w:hAnsi="仿宋" w:eastAsia="仿宋"/>
          <w:sz w:val="24"/>
          <w:szCs w:val="24"/>
        </w:rPr>
      </w:pPr>
      <w:r>
        <w:rPr>
          <w:rFonts w:hint="eastAsia" w:ascii="仿宋" w:hAnsi="仿宋" w:eastAsia="仿宋"/>
          <w:b/>
          <w:color w:val="FF0000"/>
          <w:sz w:val="24"/>
          <w:szCs w:val="24"/>
        </w:rPr>
        <w:t>注：</w:t>
      </w:r>
      <w:r>
        <w:rPr>
          <w:rFonts w:hint="eastAsia" w:ascii="仿宋" w:hAnsi="仿宋" w:eastAsia="仿宋"/>
          <w:sz w:val="24"/>
          <w:szCs w:val="24"/>
        </w:rPr>
        <w:t>价格最高的前5项零配件、消耗品和延续保修合同的报价明细必须填写于此表。</w:t>
      </w:r>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bCs/>
          <w:sz w:val="32"/>
          <w:szCs w:val="32"/>
        </w:rPr>
      </w:pPr>
    </w:p>
    <w:p>
      <w:pPr>
        <w:jc w:val="center"/>
        <w:rPr>
          <w:rFonts w:ascii="仿宋" w:hAnsi="仿宋" w:eastAsia="仿宋"/>
          <w:b/>
          <w:bCs/>
          <w:sz w:val="32"/>
          <w:szCs w:val="32"/>
        </w:rPr>
      </w:pPr>
      <w:r>
        <w:rPr>
          <w:rFonts w:hint="eastAsia" w:ascii="仿宋" w:hAnsi="仿宋" w:eastAsia="仿宋"/>
          <w:b/>
          <w:bCs/>
          <w:sz w:val="32"/>
          <w:szCs w:val="32"/>
        </w:rPr>
        <w:t>（四）供应商认为需要涉及的其他内容报价清单</w:t>
      </w:r>
    </w:p>
    <w:p>
      <w:pPr>
        <w:tabs>
          <w:tab w:val="left" w:pos="2662"/>
        </w:tabs>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sz w:val="32"/>
          <w:szCs w:val="32"/>
        </w:rPr>
        <w:t xml:space="preserve">格式6  </w:t>
      </w:r>
      <w:r>
        <w:rPr>
          <w:rFonts w:hint="eastAsia" w:ascii="仿宋" w:hAnsi="仿宋" w:eastAsia="仿宋"/>
          <w:b/>
          <w:bCs/>
          <w:sz w:val="32"/>
          <w:szCs w:val="32"/>
        </w:rPr>
        <w:t>技术规格</w:t>
      </w:r>
    </w:p>
    <w:p>
      <w:pPr>
        <w:rPr>
          <w:rFonts w:ascii="仿宋" w:hAnsi="仿宋" w:eastAsia="仿宋"/>
        </w:rPr>
      </w:pPr>
    </w:p>
    <w:p>
      <w:pPr>
        <w:spacing w:line="360" w:lineRule="auto"/>
        <w:rPr>
          <w:rFonts w:ascii="仿宋" w:hAnsi="仿宋" w:eastAsia="仿宋"/>
        </w:rPr>
      </w:pPr>
      <w:r>
        <w:rPr>
          <w:rFonts w:hint="eastAsia" w:ascii="仿宋" w:hAnsi="仿宋" w:eastAsia="仿宋"/>
        </w:rPr>
        <w:t>1、对投标产品的整体描述（包括采用文字、表格等形式）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2、投标产品的技术规格、性能特点说明等（包括所投产品彩页及详细资料等）</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3、技术保障措施</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4、其它</w:t>
      </w:r>
    </w:p>
    <w:p>
      <w:pPr>
        <w:spacing w:line="360" w:lineRule="auto"/>
        <w:rPr>
          <w:rFonts w:ascii="仿宋" w:hAnsi="仿宋" w:eastAsia="仿宋"/>
        </w:rPr>
      </w:pPr>
    </w:p>
    <w:p>
      <w:pPr>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仿宋" w:hAnsi="仿宋" w:eastAsia="仿宋"/>
        </w:rPr>
      </w:pPr>
    </w:p>
    <w:p>
      <w:pPr>
        <w:widowControl/>
        <w:jc w:val="left"/>
        <w:rPr>
          <w:rFonts w:ascii="仿宋" w:hAnsi="仿宋" w:eastAsia="仿宋"/>
        </w:rPr>
      </w:pPr>
      <w:r>
        <w:rPr>
          <w:rFonts w:ascii="仿宋" w:hAnsi="仿宋" w:eastAsia="仿宋"/>
        </w:rPr>
        <w:br w:type="page"/>
      </w:r>
    </w:p>
    <w:p>
      <w:pPr>
        <w:tabs>
          <w:tab w:val="left" w:pos="170"/>
        </w:tabs>
        <w:autoSpaceDE w:val="0"/>
        <w:autoSpaceDN w:val="0"/>
        <w:adjustRightInd w:val="0"/>
        <w:spacing w:line="360" w:lineRule="auto"/>
        <w:ind w:firstLine="321" w:firstLineChars="100"/>
        <w:jc w:val="center"/>
        <w:rPr>
          <w:rFonts w:ascii="仿宋" w:hAnsi="仿宋" w:eastAsia="仿宋"/>
        </w:rPr>
      </w:pPr>
      <w:r>
        <w:rPr>
          <w:rFonts w:hint="eastAsia" w:ascii="仿宋" w:hAnsi="仿宋" w:eastAsia="仿宋"/>
          <w:b/>
          <w:sz w:val="32"/>
          <w:szCs w:val="32"/>
        </w:rPr>
        <w:t xml:space="preserve">格式7  </w:t>
      </w:r>
      <w:r>
        <w:rPr>
          <w:rFonts w:hint="eastAsia" w:ascii="仿宋" w:hAnsi="仿宋" w:eastAsia="仿宋"/>
          <w:b/>
          <w:bCs/>
          <w:sz w:val="32"/>
          <w:szCs w:val="32"/>
        </w:rPr>
        <w:t>交付进度</w:t>
      </w:r>
    </w:p>
    <w:p>
      <w:pPr>
        <w:rPr>
          <w:rFonts w:ascii="仿宋" w:hAnsi="仿宋" w:eastAsia="仿宋"/>
        </w:rPr>
      </w:pPr>
    </w:p>
    <w:p>
      <w:pPr>
        <w:spacing w:line="360" w:lineRule="auto"/>
        <w:jc w:val="center"/>
        <w:rPr>
          <w:rFonts w:ascii="仿宋" w:hAnsi="仿宋" w:eastAsia="仿宋"/>
          <w:sz w:val="24"/>
          <w:u w:val="single"/>
        </w:rPr>
      </w:pPr>
      <w:r>
        <w:rPr>
          <w:rFonts w:hint="eastAsia" w:ascii="仿宋" w:hAnsi="仿宋" w:eastAsia="仿宋"/>
          <w:sz w:val="24"/>
        </w:rPr>
        <w:t>（一）货物交货进度</w:t>
      </w:r>
    </w:p>
    <w:tbl>
      <w:tblPr>
        <w:tblStyle w:val="1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218"/>
        <w:gridCol w:w="1217"/>
        <w:gridCol w:w="1218"/>
        <w:gridCol w:w="139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21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39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交付地点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217"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39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r>
        <w:tblPrEx>
          <w:tblBorders>
            <w:top w:val="doub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8522" w:type="dxa"/>
            <w:gridSpan w:val="7"/>
            <w:tcBorders>
              <w:top w:val="double" w:color="auto" w:sz="4" w:space="0"/>
            </w:tcBorders>
          </w:tcPr>
          <w:p>
            <w:pPr>
              <w:rPr>
                <w:rFonts w:ascii="仿宋" w:hAnsi="仿宋" w:eastAsia="仿宋"/>
              </w:rPr>
            </w:pPr>
          </w:p>
        </w:tc>
      </w:tr>
    </w:tbl>
    <w:p>
      <w:pPr>
        <w:spacing w:line="360" w:lineRule="auto"/>
        <w:jc w:val="center"/>
        <w:rPr>
          <w:rFonts w:ascii="仿宋" w:hAnsi="仿宋" w:eastAsia="仿宋"/>
          <w:sz w:val="24"/>
          <w:u w:val="single"/>
        </w:rPr>
      </w:pPr>
      <w:r>
        <w:rPr>
          <w:rFonts w:hint="eastAsia" w:ascii="仿宋" w:hAnsi="仿宋" w:eastAsia="仿宋"/>
          <w:sz w:val="24"/>
        </w:rPr>
        <w:t>（二）安装调试进度表</w:t>
      </w:r>
    </w:p>
    <w:tbl>
      <w:tblPr>
        <w:tblStyle w:val="1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067"/>
        <w:gridCol w:w="1068"/>
        <w:gridCol w:w="1068"/>
        <w:gridCol w:w="184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06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84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ascii="仿宋" w:hAnsi="仿宋" w:eastAsia="仿宋"/>
                <w:b/>
              </w:rPr>
              <w:t>安装调试地点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067"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84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bCs/>
        </w:rPr>
      </w:pPr>
    </w:p>
    <w:p>
      <w:pPr>
        <w:rPr>
          <w:rFonts w:ascii="仿宋" w:hAnsi="仿宋" w:eastAsia="仿宋"/>
          <w:bCs/>
        </w:rPr>
      </w:pPr>
    </w:p>
    <w:p>
      <w:pPr>
        <w:rPr>
          <w:rFonts w:ascii="仿宋" w:hAnsi="仿宋" w:eastAsia="仿宋"/>
          <w:bCs/>
        </w:rPr>
      </w:pPr>
    </w:p>
    <w:p>
      <w:pPr>
        <w:rPr>
          <w:rFonts w:ascii="仿宋" w:hAnsi="仿宋" w:eastAsia="仿宋"/>
          <w:bCs/>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
    <w:p>
      <w:pPr>
        <w:widowControl/>
        <w:jc w:val="left"/>
      </w:pPr>
      <w:r>
        <w:br w:type="page"/>
      </w:r>
    </w:p>
    <w:p>
      <w:pPr>
        <w:jc w:val="center"/>
        <w:rPr>
          <w:rFonts w:ascii="仿宋" w:hAnsi="仿宋" w:eastAsia="仿宋"/>
          <w:b/>
          <w:bCs/>
          <w:sz w:val="28"/>
          <w:szCs w:val="32"/>
        </w:rPr>
      </w:pPr>
      <w:r>
        <w:rPr>
          <w:rFonts w:hint="eastAsia" w:ascii="仿宋" w:hAnsi="仿宋" w:eastAsia="仿宋"/>
          <w:b/>
          <w:sz w:val="28"/>
          <w:szCs w:val="32"/>
        </w:rPr>
        <w:t xml:space="preserve">格式8 </w:t>
      </w:r>
      <w:r>
        <w:rPr>
          <w:rFonts w:ascii="仿宋" w:hAnsi="仿宋" w:eastAsia="仿宋"/>
          <w:b/>
          <w:bCs/>
          <w:sz w:val="28"/>
          <w:szCs w:val="32"/>
        </w:rPr>
        <w:t>售后服务和质量承诺</w:t>
      </w:r>
    </w:p>
    <w:p>
      <w:pPr>
        <w:ind w:firstLine="850" w:firstLineChars="405"/>
      </w:pPr>
    </w:p>
    <w:p>
      <w:pPr>
        <w:spacing w:line="360" w:lineRule="auto"/>
        <w:ind w:firstLine="849" w:firstLineChars="354"/>
        <w:rPr>
          <w:rFonts w:ascii="仿宋" w:hAnsi="仿宋" w:eastAsia="仿宋"/>
          <w:sz w:val="24"/>
        </w:rPr>
      </w:pPr>
      <w:r>
        <w:rPr>
          <w:rFonts w:hint="eastAsia" w:ascii="仿宋" w:hAnsi="仿宋" w:eastAsia="仿宋"/>
          <w:sz w:val="24"/>
        </w:rPr>
        <w:t>1、</w:t>
      </w:r>
      <w:r>
        <w:rPr>
          <w:rFonts w:ascii="仿宋" w:hAnsi="仿宋" w:eastAsia="仿宋"/>
          <w:sz w:val="24"/>
        </w:rPr>
        <w:t>售后服务部门机构及人员配备、技术力量情况</w:t>
      </w:r>
    </w:p>
    <w:p>
      <w:pPr>
        <w:spacing w:line="360" w:lineRule="auto"/>
        <w:ind w:firstLine="849" w:firstLineChars="354"/>
        <w:rPr>
          <w:rFonts w:ascii="仿宋" w:hAnsi="仿宋" w:eastAsia="仿宋"/>
          <w:sz w:val="24"/>
        </w:rPr>
      </w:pPr>
      <w:r>
        <w:rPr>
          <w:rFonts w:hint="eastAsia" w:ascii="仿宋" w:hAnsi="仿宋" w:eastAsia="仿宋"/>
          <w:sz w:val="24"/>
        </w:rPr>
        <w:t>2</w:t>
      </w:r>
      <w:r>
        <w:rPr>
          <w:rFonts w:ascii="仿宋" w:hAnsi="仿宋" w:eastAsia="仿宋"/>
          <w:sz w:val="24"/>
        </w:rPr>
        <w:t>、投标产品的质量保证期</w:t>
      </w:r>
    </w:p>
    <w:p>
      <w:pPr>
        <w:spacing w:line="360" w:lineRule="auto"/>
        <w:ind w:firstLine="849" w:firstLineChars="354"/>
        <w:rPr>
          <w:rFonts w:ascii="仿宋" w:hAnsi="仿宋" w:eastAsia="仿宋"/>
          <w:sz w:val="24"/>
        </w:rPr>
      </w:pPr>
      <w:r>
        <w:rPr>
          <w:rFonts w:hint="eastAsia" w:ascii="仿宋" w:hAnsi="仿宋" w:eastAsia="仿宋"/>
          <w:sz w:val="24"/>
        </w:rPr>
        <w:t>3</w:t>
      </w:r>
      <w:r>
        <w:rPr>
          <w:rFonts w:ascii="仿宋" w:hAnsi="仿宋" w:eastAsia="仿宋"/>
          <w:sz w:val="24"/>
        </w:rPr>
        <w:t>、故障</w:t>
      </w:r>
      <w:r>
        <w:rPr>
          <w:rFonts w:hint="eastAsia" w:ascii="仿宋" w:hAnsi="仿宋" w:eastAsia="仿宋"/>
          <w:sz w:val="24"/>
        </w:rPr>
        <w:t>或技术支持</w:t>
      </w:r>
      <w:r>
        <w:rPr>
          <w:rFonts w:ascii="仿宋" w:hAnsi="仿宋" w:eastAsia="仿宋"/>
          <w:sz w:val="24"/>
        </w:rPr>
        <w:t>响应时间</w:t>
      </w:r>
      <w:r>
        <w:rPr>
          <w:rFonts w:hint="eastAsia" w:ascii="仿宋" w:hAnsi="仿宋" w:eastAsia="仿宋"/>
          <w:sz w:val="24"/>
        </w:rPr>
        <w:t>及维修维护方案措施</w:t>
      </w:r>
    </w:p>
    <w:p>
      <w:pPr>
        <w:spacing w:line="360" w:lineRule="auto"/>
        <w:ind w:firstLine="849" w:firstLineChars="354"/>
        <w:rPr>
          <w:rFonts w:ascii="仿宋" w:hAnsi="仿宋" w:eastAsia="仿宋"/>
          <w:sz w:val="24"/>
        </w:rPr>
      </w:pPr>
      <w:r>
        <w:rPr>
          <w:rFonts w:hint="eastAsia" w:ascii="仿宋" w:hAnsi="仿宋" w:eastAsia="仿宋"/>
          <w:sz w:val="24"/>
        </w:rPr>
        <w:t>4</w:t>
      </w:r>
      <w:r>
        <w:rPr>
          <w:rFonts w:ascii="仿宋" w:hAnsi="仿宋" w:eastAsia="仿宋"/>
          <w:sz w:val="24"/>
        </w:rPr>
        <w:t>、技术服务计划</w:t>
      </w:r>
    </w:p>
    <w:p>
      <w:pPr>
        <w:spacing w:line="360" w:lineRule="auto"/>
        <w:ind w:firstLine="849" w:firstLineChars="354"/>
        <w:rPr>
          <w:rFonts w:ascii="仿宋" w:hAnsi="仿宋" w:eastAsia="仿宋"/>
          <w:sz w:val="24"/>
        </w:rPr>
      </w:pPr>
      <w:r>
        <w:rPr>
          <w:rFonts w:hint="eastAsia" w:ascii="仿宋" w:hAnsi="仿宋" w:eastAsia="仿宋"/>
          <w:sz w:val="24"/>
        </w:rPr>
        <w:t>5</w:t>
      </w:r>
      <w:r>
        <w:rPr>
          <w:rFonts w:ascii="仿宋" w:hAnsi="仿宋" w:eastAsia="仿宋"/>
          <w:sz w:val="24"/>
        </w:rPr>
        <w:t>、备/配件支持计划</w:t>
      </w:r>
    </w:p>
    <w:p>
      <w:pPr>
        <w:spacing w:line="360" w:lineRule="auto"/>
        <w:ind w:firstLine="849" w:firstLineChars="354"/>
        <w:rPr>
          <w:rFonts w:ascii="仿宋" w:hAnsi="仿宋" w:eastAsia="仿宋"/>
          <w:bCs/>
          <w:sz w:val="24"/>
        </w:rPr>
      </w:pPr>
      <w:r>
        <w:rPr>
          <w:rFonts w:hint="eastAsia" w:ascii="仿宋" w:hAnsi="仿宋" w:eastAsia="仿宋"/>
          <w:bCs/>
          <w:sz w:val="24"/>
        </w:rPr>
        <w:t>6</w:t>
      </w:r>
      <w:r>
        <w:rPr>
          <w:rFonts w:ascii="仿宋" w:hAnsi="仿宋" w:eastAsia="仿宋"/>
          <w:bCs/>
          <w:sz w:val="24"/>
        </w:rPr>
        <w:t>、</w:t>
      </w:r>
      <w:r>
        <w:rPr>
          <w:rFonts w:ascii="仿宋" w:hAnsi="仿宋" w:eastAsia="仿宋"/>
          <w:sz w:val="24"/>
        </w:rPr>
        <w:t>非</w:t>
      </w:r>
      <w:r>
        <w:rPr>
          <w:rFonts w:ascii="仿宋" w:hAnsi="仿宋" w:eastAsia="仿宋"/>
          <w:bCs/>
          <w:sz w:val="24"/>
        </w:rPr>
        <w:t>保修期维修费用收取标准</w:t>
      </w:r>
    </w:p>
    <w:p>
      <w:pPr>
        <w:spacing w:line="360" w:lineRule="auto"/>
        <w:ind w:firstLine="849" w:firstLineChars="354"/>
        <w:rPr>
          <w:rFonts w:ascii="仿宋" w:hAnsi="仿宋" w:eastAsia="仿宋"/>
          <w:bCs/>
          <w:sz w:val="24"/>
        </w:rPr>
      </w:pPr>
      <w:r>
        <w:rPr>
          <w:rFonts w:hint="eastAsia" w:ascii="仿宋" w:hAnsi="仿宋" w:eastAsia="仿宋"/>
          <w:bCs/>
          <w:sz w:val="24"/>
        </w:rPr>
        <w:t>7、售后服务承诺：针对本项目具体的售后服务承诺</w:t>
      </w:r>
    </w:p>
    <w:p>
      <w:pPr>
        <w:spacing w:line="360" w:lineRule="auto"/>
        <w:ind w:firstLine="849" w:firstLineChars="354"/>
        <w:rPr>
          <w:rFonts w:ascii="仿宋" w:hAnsi="仿宋" w:eastAsia="仿宋"/>
          <w:sz w:val="24"/>
        </w:rPr>
      </w:pPr>
      <w:r>
        <w:rPr>
          <w:rFonts w:hint="eastAsia" w:ascii="仿宋" w:hAnsi="仿宋" w:eastAsia="仿宋"/>
          <w:bCs/>
          <w:sz w:val="24"/>
        </w:rPr>
        <w:t>8、其他</w:t>
      </w:r>
    </w:p>
    <w:p>
      <w:pPr>
        <w:widowControl/>
        <w:spacing w:line="360" w:lineRule="auto"/>
        <w:ind w:firstLine="743" w:firstLineChars="354"/>
        <w:jc w:val="left"/>
      </w:pPr>
      <w:r>
        <w:br w:type="page"/>
      </w:r>
    </w:p>
    <w:p>
      <w:pPr>
        <w:jc w:val="center"/>
        <w:rPr>
          <w:rFonts w:ascii="仿宋" w:hAnsi="仿宋" w:eastAsia="仿宋"/>
          <w:b/>
          <w:sz w:val="28"/>
          <w:szCs w:val="32"/>
        </w:rPr>
      </w:pPr>
      <w:r>
        <w:rPr>
          <w:rFonts w:hint="eastAsia" w:ascii="仿宋" w:hAnsi="仿宋" w:eastAsia="仿宋"/>
          <w:b/>
          <w:sz w:val="28"/>
          <w:szCs w:val="32"/>
        </w:rPr>
        <w:t>格式9  偏离表</w:t>
      </w:r>
    </w:p>
    <w:p>
      <w:pPr>
        <w:spacing w:line="360" w:lineRule="auto"/>
        <w:jc w:val="center"/>
        <w:rPr>
          <w:rFonts w:ascii="仿宋" w:hAnsi="仿宋" w:eastAsia="仿宋"/>
          <w:b/>
          <w:sz w:val="28"/>
          <w:u w:val="single"/>
        </w:rPr>
      </w:pPr>
      <w:r>
        <w:rPr>
          <w:rFonts w:hint="eastAsia" w:ascii="仿宋" w:hAnsi="仿宋" w:eastAsia="仿宋"/>
          <w:b/>
          <w:sz w:val="28"/>
        </w:rPr>
        <w:t>（一）技术规格偏离表</w:t>
      </w:r>
    </w:p>
    <w:tbl>
      <w:tblPr>
        <w:tblStyle w:val="16"/>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21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采购技术需求</w:t>
            </w:r>
          </w:p>
        </w:tc>
        <w:tc>
          <w:tcPr>
            <w:tcW w:w="216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投标技术响应</w:t>
            </w:r>
          </w:p>
        </w:tc>
        <w:tc>
          <w:tcPr>
            <w:tcW w:w="155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ind w:right="-340" w:rightChars="-162"/>
        <w:rPr>
          <w:sz w:val="20"/>
        </w:rPr>
      </w:pPr>
      <w:r>
        <w:rPr>
          <w:rFonts w:hint="eastAsia" w:ascii="仿宋" w:hAnsi="仿宋" w:eastAsia="仿宋"/>
          <w:b/>
          <w:color w:val="FF0000"/>
          <w:sz w:val="22"/>
        </w:rPr>
        <w:t>注：</w:t>
      </w:r>
      <w:r>
        <w:rPr>
          <w:rFonts w:hint="eastAsia" w:ascii="仿宋" w:hAnsi="仿宋" w:eastAsia="仿宋"/>
          <w:sz w:val="22"/>
        </w:rPr>
        <w:t>投标人应将本采购文件第三部分“采购项目要求”中的“</w:t>
      </w:r>
      <w:r>
        <w:rPr>
          <w:rFonts w:hint="eastAsia" w:ascii="仿宋" w:hAnsi="仿宋" w:eastAsia="仿宋"/>
          <w:b/>
          <w:sz w:val="22"/>
        </w:rPr>
        <w:t>三、技术需求</w:t>
      </w:r>
      <w:r>
        <w:rPr>
          <w:rFonts w:hint="eastAsia" w:ascii="仿宋" w:hAnsi="仿宋" w:eastAsia="仿宋"/>
          <w:sz w:val="22"/>
        </w:rPr>
        <w:t>”响应情况一一如实填写并说明偏离情况； “偏离情况”栏中应填写“正偏离”、“负偏离”或“无偏离”。</w:t>
      </w:r>
    </w:p>
    <w:p>
      <w:pPr>
        <w:spacing w:line="360" w:lineRule="auto"/>
        <w:jc w:val="center"/>
        <w:rPr>
          <w:rFonts w:ascii="仿宋" w:hAnsi="仿宋" w:eastAsia="仿宋"/>
          <w:b/>
          <w:sz w:val="28"/>
          <w:u w:val="single"/>
        </w:rPr>
      </w:pPr>
      <w:r>
        <w:rPr>
          <w:rFonts w:hint="eastAsia" w:ascii="仿宋" w:hAnsi="仿宋" w:eastAsia="仿宋"/>
          <w:b/>
          <w:sz w:val="28"/>
        </w:rPr>
        <w:t>（二）商务条款偏离表</w:t>
      </w:r>
    </w:p>
    <w:tbl>
      <w:tblPr>
        <w:tblStyle w:val="16"/>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目录</w:t>
            </w:r>
          </w:p>
        </w:tc>
        <w:tc>
          <w:tcPr>
            <w:tcW w:w="2168"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采购商务条款</w:t>
            </w:r>
          </w:p>
        </w:tc>
        <w:tc>
          <w:tcPr>
            <w:tcW w:w="216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投标商务条款</w:t>
            </w:r>
          </w:p>
        </w:tc>
        <w:tc>
          <w:tcPr>
            <w:tcW w:w="155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bottom w:val="single" w:color="000000" w:themeColor="text1"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b/>
              </w:rPr>
            </w:pPr>
            <w:r>
              <w:rPr>
                <w:rFonts w:hint="eastAsia" w:ascii="仿宋" w:hAnsi="仿宋" w:eastAsia="仿宋"/>
                <w:b/>
              </w:rPr>
              <w:t>（一）免费保修期内售后服务要求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276" w:lineRule="auto"/>
              <w:jc w:val="center"/>
              <w:rPr>
                <w:rFonts w:ascii="仿宋" w:hAnsi="仿宋" w:eastAsia="仿宋"/>
              </w:rPr>
            </w:pPr>
            <w:r>
              <w:rPr>
                <w:rFonts w:hint="eastAsia" w:ascii="仿宋" w:hAnsi="仿宋" w:eastAsia="仿宋"/>
              </w:rPr>
              <w:t>1</w:t>
            </w:r>
          </w:p>
        </w:tc>
        <w:tc>
          <w:tcPr>
            <w:tcW w:w="1475" w:type="dxa"/>
            <w:vAlign w:val="center"/>
          </w:tcPr>
          <w:p>
            <w:pPr>
              <w:spacing w:line="276" w:lineRule="auto"/>
              <w:jc w:val="center"/>
              <w:rPr>
                <w:rFonts w:ascii="仿宋" w:hAnsi="仿宋" w:eastAsia="仿宋"/>
              </w:rPr>
            </w:pPr>
          </w:p>
        </w:tc>
        <w:tc>
          <w:tcPr>
            <w:tcW w:w="2168" w:type="dxa"/>
            <w:vAlign w:val="center"/>
          </w:tcPr>
          <w:p>
            <w:pPr>
              <w:spacing w:line="276" w:lineRule="auto"/>
              <w:jc w:val="center"/>
              <w:rPr>
                <w:rFonts w:ascii="仿宋" w:hAnsi="仿宋" w:eastAsia="仿宋"/>
              </w:rPr>
            </w:pPr>
          </w:p>
        </w:tc>
        <w:tc>
          <w:tcPr>
            <w:tcW w:w="2169" w:type="dxa"/>
            <w:vAlign w:val="center"/>
          </w:tcPr>
          <w:p>
            <w:pPr>
              <w:spacing w:line="276" w:lineRule="auto"/>
              <w:jc w:val="center"/>
              <w:rPr>
                <w:rFonts w:ascii="仿宋" w:hAnsi="仿宋" w:eastAsia="仿宋"/>
              </w:rPr>
            </w:pPr>
          </w:p>
        </w:tc>
        <w:tc>
          <w:tcPr>
            <w:tcW w:w="1559" w:type="dxa"/>
            <w:vAlign w:val="center"/>
          </w:tcPr>
          <w:p>
            <w:pPr>
              <w:spacing w:line="276" w:lineRule="auto"/>
              <w:jc w:val="center"/>
              <w:rPr>
                <w:rFonts w:ascii="仿宋" w:hAnsi="仿宋" w:eastAsia="仿宋"/>
              </w:rPr>
            </w:pPr>
          </w:p>
        </w:tc>
        <w:tc>
          <w:tcPr>
            <w:tcW w:w="992" w:type="dxa"/>
            <w:tcBorders>
              <w:right w:val="double" w:color="auto" w:sz="4" w:space="0"/>
            </w:tcBorders>
            <w:vAlign w:val="center"/>
          </w:tcPr>
          <w:p>
            <w:pPr>
              <w:spacing w:line="276"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7" w:hRule="atLeast"/>
          <w:jc w:val="center"/>
        </w:trPr>
        <w:tc>
          <w:tcPr>
            <w:tcW w:w="959"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single" w:color="000000" w:themeColor="text1" w:sz="4" w:space="0"/>
            </w:tcBorders>
            <w:vAlign w:val="center"/>
          </w:tcPr>
          <w:p>
            <w:pPr>
              <w:spacing w:line="360" w:lineRule="auto"/>
              <w:jc w:val="center"/>
              <w:rPr>
                <w:rFonts w:ascii="仿宋" w:hAnsi="仿宋" w:eastAsia="仿宋"/>
              </w:rPr>
            </w:pPr>
          </w:p>
        </w:tc>
        <w:tc>
          <w:tcPr>
            <w:tcW w:w="2168" w:type="dxa"/>
            <w:tcBorders>
              <w:bottom w:val="single" w:color="000000" w:themeColor="text1" w:sz="4" w:space="0"/>
            </w:tcBorders>
            <w:vAlign w:val="center"/>
          </w:tcPr>
          <w:p>
            <w:pPr>
              <w:spacing w:line="360" w:lineRule="auto"/>
              <w:jc w:val="center"/>
              <w:rPr>
                <w:rFonts w:ascii="仿宋" w:hAnsi="仿宋" w:eastAsia="仿宋"/>
              </w:rPr>
            </w:pPr>
          </w:p>
        </w:tc>
        <w:tc>
          <w:tcPr>
            <w:tcW w:w="2169" w:type="dxa"/>
            <w:tcBorders>
              <w:bottom w:val="single" w:color="000000" w:themeColor="text1" w:sz="4" w:space="0"/>
            </w:tcBorders>
            <w:vAlign w:val="center"/>
          </w:tcPr>
          <w:p>
            <w:pPr>
              <w:spacing w:line="360" w:lineRule="auto"/>
              <w:jc w:val="center"/>
              <w:rPr>
                <w:rFonts w:ascii="仿宋" w:hAnsi="仿宋" w:eastAsia="仿宋"/>
              </w:rPr>
            </w:pPr>
          </w:p>
        </w:tc>
        <w:tc>
          <w:tcPr>
            <w:tcW w:w="1559" w:type="dxa"/>
            <w:tcBorders>
              <w:bottom w:val="single" w:color="000000" w:themeColor="text1" w:sz="4" w:space="0"/>
            </w:tcBorders>
            <w:vAlign w:val="center"/>
          </w:tcPr>
          <w:p>
            <w:pPr>
              <w:spacing w:line="360" w:lineRule="auto"/>
              <w:jc w:val="center"/>
              <w:rPr>
                <w:rFonts w:ascii="仿宋" w:hAnsi="仿宋" w:eastAsia="仿宋"/>
              </w:rPr>
            </w:pPr>
          </w:p>
        </w:tc>
        <w:tc>
          <w:tcPr>
            <w:tcW w:w="992" w:type="dxa"/>
            <w:tcBorders>
              <w:bottom w:val="single" w:color="000000" w:themeColor="text1" w:sz="4" w:space="0"/>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rPr>
            </w:pPr>
            <w:r>
              <w:rPr>
                <w:rFonts w:hint="eastAsia" w:ascii="仿宋" w:hAnsi="仿宋" w:eastAsia="仿宋"/>
                <w:b/>
              </w:rPr>
              <w:t>（</w:t>
            </w:r>
            <w:r>
              <w:rPr>
                <w:rFonts w:hint="eastAsia" w:ascii="仿宋" w:hAnsi="仿宋" w:eastAsia="仿宋"/>
                <w:b/>
                <w:lang w:val="en-US" w:eastAsia="zh-CN"/>
              </w:rPr>
              <w:t>二</w:t>
            </w:r>
            <w:r>
              <w:rPr>
                <w:rFonts w:hint="eastAsia" w:ascii="仿宋" w:hAnsi="仿宋" w:eastAsia="仿宋"/>
                <w:b/>
              </w:rPr>
              <w:t>）其他商务要求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sz w:val="22"/>
        </w:rPr>
      </w:pPr>
      <w:r>
        <w:rPr>
          <w:rFonts w:hint="eastAsia" w:ascii="仿宋" w:hAnsi="仿宋" w:eastAsia="仿宋"/>
          <w:sz w:val="22"/>
        </w:rPr>
        <w:t>注：投标人应将本采购文件第三部分“采购项目要求”中的“</w:t>
      </w:r>
      <w:r>
        <w:rPr>
          <w:rFonts w:hint="eastAsia" w:ascii="仿宋" w:hAnsi="仿宋" w:eastAsia="仿宋"/>
          <w:b/>
          <w:sz w:val="22"/>
        </w:rPr>
        <w:t>四、商务需求</w:t>
      </w:r>
      <w:r>
        <w:rPr>
          <w:rFonts w:hint="eastAsia" w:ascii="仿宋" w:hAnsi="仿宋" w:eastAsia="仿宋"/>
          <w:sz w:val="22"/>
        </w:rPr>
        <w:t>”响应情况一一如实填写并说明偏离情况。</w:t>
      </w:r>
    </w:p>
    <w:p>
      <w:pPr>
        <w:rPr>
          <w:rFonts w:ascii="仿宋" w:hAnsi="仿宋" w:eastAsia="仿宋"/>
          <w:sz w:val="22"/>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bCs/>
          <w:sz w:val="28"/>
          <w:szCs w:val="32"/>
        </w:rPr>
      </w:pPr>
      <w:r>
        <w:rPr>
          <w:rFonts w:hint="eastAsia" w:ascii="仿宋" w:hAnsi="仿宋" w:eastAsia="仿宋"/>
          <w:b/>
          <w:sz w:val="28"/>
          <w:szCs w:val="32"/>
        </w:rPr>
        <w:t xml:space="preserve">格式10 </w:t>
      </w:r>
      <w:r>
        <w:rPr>
          <w:rFonts w:ascii="仿宋" w:hAnsi="仿宋" w:eastAsia="仿宋"/>
          <w:b/>
          <w:bCs/>
          <w:sz w:val="28"/>
          <w:szCs w:val="32"/>
        </w:rPr>
        <w:t>其他</w:t>
      </w:r>
      <w:r>
        <w:rPr>
          <w:rFonts w:hint="eastAsia" w:ascii="仿宋" w:hAnsi="仿宋" w:eastAsia="仿宋"/>
          <w:b/>
          <w:bCs/>
          <w:sz w:val="28"/>
          <w:szCs w:val="32"/>
        </w:rPr>
        <w:t>采购</w:t>
      </w:r>
      <w:r>
        <w:rPr>
          <w:rFonts w:ascii="仿宋" w:hAnsi="仿宋" w:eastAsia="仿宋"/>
          <w:b/>
          <w:bCs/>
          <w:sz w:val="28"/>
          <w:szCs w:val="32"/>
        </w:rPr>
        <w:t>文件要求的资料或投标人认为需要补充的资料</w:t>
      </w:r>
    </w:p>
    <w:p/>
    <w:p>
      <w:pPr>
        <w:spacing w:line="360" w:lineRule="auto"/>
        <w:ind w:firstLine="420" w:firstLineChars="200"/>
        <w:rPr>
          <w:rFonts w:ascii="仿宋" w:hAnsi="仿宋" w:eastAsia="仿宋"/>
          <w:bCs/>
        </w:rPr>
      </w:pPr>
      <w:r>
        <w:rPr>
          <w:rFonts w:ascii="仿宋" w:hAnsi="仿宋" w:eastAsia="仿宋"/>
          <w:bCs/>
        </w:rPr>
        <w:t>投标人</w:t>
      </w:r>
      <w:r>
        <w:rPr>
          <w:rFonts w:hint="eastAsia" w:ascii="仿宋" w:hAnsi="仿宋" w:eastAsia="仿宋"/>
          <w:bCs/>
        </w:rPr>
        <w:t>须</w:t>
      </w:r>
      <w:r>
        <w:rPr>
          <w:rFonts w:ascii="仿宋" w:hAnsi="仿宋" w:eastAsia="仿宋"/>
          <w:bCs/>
        </w:rPr>
        <w:t>按要求编制投标文件，提供的内容要详细、真实、可靠。若提供的资料不齐，将导致扣分；若严重缺项、漏项，其投标将被拒绝。</w:t>
      </w:r>
    </w:p>
    <w:p>
      <w:pPr>
        <w:spacing w:line="360" w:lineRule="auto"/>
        <w:rPr>
          <w:rFonts w:ascii="仿宋" w:hAnsi="仿宋" w:eastAsia="仿宋"/>
          <w:bCs/>
        </w:rPr>
      </w:pPr>
      <w:r>
        <w:rPr>
          <w:rFonts w:hint="eastAsia" w:ascii="仿宋" w:hAnsi="仿宋" w:eastAsia="仿宋"/>
          <w:b/>
          <w:bCs/>
          <w:color w:val="FF0000"/>
        </w:rPr>
        <w:t>注：</w:t>
      </w:r>
      <w:r>
        <w:rPr>
          <w:rFonts w:hint="eastAsia" w:ascii="仿宋" w:hAnsi="仿宋" w:eastAsia="仿宋"/>
          <w:bCs/>
        </w:rPr>
        <w:t>如需提供补充资料，本部分资料格式不做统一规定，由投标人自行设计。</w:t>
      </w:r>
    </w:p>
    <w:p>
      <w:pPr>
        <w:widowControl/>
        <w:jc w:val="left"/>
        <w:rPr>
          <w:rFonts w:ascii="仿宋" w:hAnsi="仿宋" w:eastAsia="仿宋"/>
          <w:bCs/>
        </w:rPr>
      </w:pPr>
      <w:r>
        <w:rPr>
          <w:rFonts w:ascii="仿宋" w:hAnsi="仿宋" w:eastAsia="仿宋"/>
          <w:bCs/>
        </w:rPr>
        <w:br w:type="page"/>
      </w: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w:t>
      </w:r>
    </w:p>
    <w:p>
      <w:pPr>
        <w:widowControl/>
        <w:jc w:val="left"/>
      </w:pPr>
      <w:r>
        <w:br w:type="page"/>
      </w: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合同条款</w:t>
      </w:r>
    </w:p>
    <w:p>
      <w:pPr>
        <w:pStyle w:val="34"/>
        <w:widowControl w:val="0"/>
        <w:pBdr>
          <w:bottom w:val="none" w:color="auto" w:sz="0" w:space="0"/>
        </w:pBdr>
        <w:adjustRightInd w:val="0"/>
        <w:snapToGrid w:val="0"/>
        <w:spacing w:before="0" w:beforeAutospacing="0" w:after="0" w:afterAutospacing="0" w:line="360" w:lineRule="auto"/>
        <w:textAlignment w:val="auto"/>
        <w:rPr>
          <w:rFonts w:ascii="仿宋" w:hAnsi="仿宋" w:eastAsia="仿宋"/>
          <w:b/>
          <w:bCs/>
          <w:snapToGrid w:val="0"/>
          <w:sz w:val="32"/>
          <w:szCs w:val="32"/>
        </w:rPr>
      </w:pPr>
      <w:r>
        <w:rPr>
          <w:rFonts w:hint="eastAsia" w:ascii="仿宋" w:hAnsi="仿宋" w:eastAsia="仿宋"/>
          <w:b/>
          <w:bCs/>
          <w:snapToGrid w:val="0"/>
          <w:sz w:val="32"/>
          <w:szCs w:val="32"/>
        </w:rPr>
        <w:t>（仅供参考）</w:t>
      </w:r>
    </w:p>
    <w:p>
      <w:pPr>
        <w:spacing w:line="360" w:lineRule="auto"/>
        <w:ind w:firstLine="420" w:firstLineChars="200"/>
      </w:pPr>
      <w:r>
        <w:rPr>
          <w:rFonts w:hint="eastAsia"/>
        </w:rPr>
        <w:t>根据深圳市中正招标有限公司组织的项目编号为</w:t>
      </w:r>
      <w:r>
        <w:rPr>
          <w:rFonts w:hint="eastAsia"/>
          <w:u w:val="single"/>
        </w:rPr>
        <w:t xml:space="preserve">        </w:t>
      </w:r>
      <w:r>
        <w:rPr>
          <w:rFonts w:hint="eastAsia"/>
        </w:rPr>
        <w:t>的</w:t>
      </w:r>
      <w:r>
        <w:rPr>
          <w:rFonts w:hint="eastAsia"/>
          <w:u w:val="single"/>
        </w:rPr>
        <w:t xml:space="preserve">        </w:t>
      </w:r>
      <w:r>
        <w:rPr>
          <w:rFonts w:hint="eastAsia"/>
        </w:rPr>
        <w:t>项目采购结果，缔结合同如下：</w:t>
      </w:r>
    </w:p>
    <w:p>
      <w:pPr>
        <w:numPr>
          <w:ilvl w:val="0"/>
          <w:numId w:val="2"/>
        </w:numPr>
        <w:spacing w:line="360" w:lineRule="auto"/>
      </w:pPr>
      <w:r>
        <w:rPr>
          <w:rFonts w:hint="eastAsia"/>
        </w:rPr>
        <w:t>总则</w:t>
      </w:r>
    </w:p>
    <w:p>
      <w:pPr>
        <w:numPr>
          <w:ilvl w:val="1"/>
          <w:numId w:val="2"/>
        </w:numPr>
        <w:spacing w:line="360" w:lineRule="auto"/>
      </w:pPr>
      <w:r>
        <w:rPr>
          <w:rFonts w:hint="eastAsia"/>
        </w:rPr>
        <w:t>定义：除非上下文另有要求，下列词汇，一旦用在本合同中，具有下列含义</w:t>
      </w:r>
    </w:p>
    <w:p>
      <w:pPr>
        <w:numPr>
          <w:ilvl w:val="2"/>
          <w:numId w:val="3"/>
        </w:numPr>
        <w:spacing w:line="360" w:lineRule="auto"/>
      </w:pPr>
      <w:r>
        <w:rPr>
          <w:rFonts w:hint="eastAsia"/>
        </w:rPr>
        <w:t>“合同”是指由委托方和服务供应方签订的合同，按由双方签字的合同格式加以记载，其中包括全部附件和附录以及以参考资料形式列入的全部文件。</w:t>
      </w:r>
    </w:p>
    <w:p>
      <w:pPr>
        <w:numPr>
          <w:ilvl w:val="2"/>
          <w:numId w:val="3"/>
        </w:numPr>
        <w:spacing w:line="360" w:lineRule="auto"/>
      </w:pPr>
      <w:r>
        <w:rPr>
          <w:rFonts w:hint="eastAsia"/>
        </w:rPr>
        <w:t>“服务供应方”根据招标结果确定的中标单位。</w:t>
      </w:r>
    </w:p>
    <w:p>
      <w:pPr>
        <w:numPr>
          <w:ilvl w:val="2"/>
          <w:numId w:val="3"/>
        </w:numPr>
        <w:spacing w:line="360" w:lineRule="auto"/>
      </w:pPr>
      <w:r>
        <w:rPr>
          <w:rFonts w:hint="eastAsia"/>
        </w:rPr>
        <w:t>“委托方”是指其雇用服务供应方执行服务的一方，在本合同中特指</w:t>
      </w:r>
      <w:r>
        <w:rPr>
          <w:rFonts w:hint="eastAsia"/>
          <w:u w:val="single"/>
        </w:rPr>
        <w:t xml:space="preserve">        </w:t>
      </w:r>
      <w:r>
        <w:rPr>
          <w:rFonts w:hint="eastAsia"/>
        </w:rPr>
        <w:t>，“由委托方提供的支持”是指由委托方免费为服务供应方执行合同项下的服务而提供的数据、服务、设备以及便利。</w:t>
      </w:r>
    </w:p>
    <w:p>
      <w:pPr>
        <w:numPr>
          <w:ilvl w:val="2"/>
          <w:numId w:val="3"/>
        </w:numPr>
        <w:spacing w:line="360" w:lineRule="auto"/>
      </w:pPr>
      <w:r>
        <w:rPr>
          <w:rFonts w:hint="eastAsia"/>
        </w:rPr>
        <w:t>“一方”是指委托方或服务供应方，视情况而定，而“双方”是指他们二者。</w:t>
      </w:r>
    </w:p>
    <w:p>
      <w:pPr>
        <w:numPr>
          <w:ilvl w:val="2"/>
          <w:numId w:val="3"/>
        </w:numPr>
        <w:spacing w:line="360" w:lineRule="auto"/>
      </w:pPr>
      <w:r>
        <w:rPr>
          <w:rFonts w:hint="eastAsia"/>
        </w:rPr>
        <w:t xml:space="preserve">“人员”是指作为雇员由服务供应方所雇用并被分配执行服务或其任何部分的人员• </w:t>
      </w:r>
    </w:p>
    <w:p>
      <w:pPr>
        <w:numPr>
          <w:ilvl w:val="2"/>
          <w:numId w:val="3"/>
        </w:numPr>
        <w:spacing w:line="360" w:lineRule="auto"/>
      </w:pPr>
      <w:r>
        <w:rPr>
          <w:rFonts w:hint="eastAsia"/>
        </w:rPr>
        <w:t>“服务”是指由服务供应方根据合同所实施的工作。</w:t>
      </w:r>
    </w:p>
    <w:p>
      <w:pPr>
        <w:numPr>
          <w:ilvl w:val="0"/>
          <w:numId w:val="2"/>
        </w:numPr>
        <w:spacing w:line="360" w:lineRule="auto"/>
      </w:pPr>
      <w:r>
        <w:rPr>
          <w:rFonts w:hint="eastAsia"/>
        </w:rPr>
        <w:t>服务</w:t>
      </w:r>
    </w:p>
    <w:p>
      <w:pPr>
        <w:numPr>
          <w:ilvl w:val="1"/>
          <w:numId w:val="2"/>
        </w:numPr>
        <w:spacing w:line="360" w:lineRule="auto"/>
      </w:pPr>
      <w:r>
        <w:rPr>
          <w:rFonts w:hint="eastAsia"/>
        </w:rPr>
        <w:t>服务的范围：服务供应方将依据招标结果及相关的补充协议和本合同要求执行服务。</w:t>
      </w:r>
    </w:p>
    <w:p>
      <w:pPr>
        <w:numPr>
          <w:ilvl w:val="1"/>
          <w:numId w:val="2"/>
        </w:numPr>
        <w:spacing w:line="360" w:lineRule="auto"/>
      </w:pPr>
      <w:r>
        <w:rPr>
          <w:rFonts w:hint="eastAsia"/>
        </w:rPr>
        <w:t>服务的标准：服务供应方将依据国家有关规定及采购文件规定的标准提供服务。</w:t>
      </w:r>
    </w:p>
    <w:p>
      <w:pPr>
        <w:numPr>
          <w:ilvl w:val="1"/>
          <w:numId w:val="2"/>
        </w:numPr>
        <w:spacing w:line="360" w:lineRule="auto"/>
      </w:pPr>
      <w:r>
        <w:rPr>
          <w:rFonts w:hint="eastAsia"/>
        </w:rPr>
        <w:t>人员数量：</w:t>
      </w:r>
    </w:p>
    <w:p>
      <w:pPr>
        <w:numPr>
          <w:ilvl w:val="2"/>
          <w:numId w:val="2"/>
        </w:numPr>
        <w:spacing w:line="360" w:lineRule="auto"/>
      </w:pPr>
      <w:r>
        <w:rPr>
          <w:rFonts w:hint="eastAsia"/>
        </w:rPr>
        <w:t>管理人员</w:t>
      </w:r>
      <w:r>
        <w:rPr>
          <w:rFonts w:hint="eastAsia"/>
          <w:u w:val="single"/>
        </w:rPr>
        <w:t>　　</w:t>
      </w:r>
      <w:r>
        <w:rPr>
          <w:rFonts w:hint="eastAsia"/>
        </w:rPr>
        <w:t>人，维护人员</w:t>
      </w:r>
      <w:r>
        <w:rPr>
          <w:rFonts w:hint="eastAsia"/>
          <w:u w:val="single"/>
        </w:rPr>
        <w:t>　　　</w:t>
      </w:r>
      <w:r>
        <w:rPr>
          <w:rFonts w:hint="eastAsia"/>
        </w:rPr>
        <w:t>人。</w:t>
      </w:r>
    </w:p>
    <w:p>
      <w:pPr>
        <w:numPr>
          <w:ilvl w:val="2"/>
          <w:numId w:val="2"/>
        </w:numPr>
        <w:spacing w:line="360" w:lineRule="auto"/>
      </w:pPr>
      <w:r>
        <w:rPr>
          <w:rFonts w:hint="eastAsia"/>
        </w:rPr>
        <w:t>服务供应方将认真负责地履行其义务并将时时刻刻为委托方的利益而工作。为了达到这些目的，经委托方的同意，服务供应方将应提供具有充分素质和经验的人员并为圆满完成服务提供所需的人数。</w:t>
      </w:r>
    </w:p>
    <w:p>
      <w:pPr>
        <w:numPr>
          <w:ilvl w:val="2"/>
          <w:numId w:val="2"/>
        </w:numPr>
        <w:spacing w:line="360" w:lineRule="auto"/>
      </w:pPr>
      <w:r>
        <w:rPr>
          <w:rFonts w:hint="eastAsia"/>
        </w:rPr>
        <w:t>为了执行他在本合同项下的义务，维护服务供应方将按招标结果提供相应服务。</w:t>
      </w:r>
    </w:p>
    <w:p>
      <w:pPr>
        <w:numPr>
          <w:ilvl w:val="0"/>
          <w:numId w:val="2"/>
        </w:numPr>
        <w:spacing w:line="360" w:lineRule="auto"/>
      </w:pPr>
      <w:r>
        <w:rPr>
          <w:rFonts w:hint="eastAsia"/>
        </w:rPr>
        <w:t>人员</w:t>
      </w:r>
    </w:p>
    <w:p>
      <w:pPr>
        <w:numPr>
          <w:ilvl w:val="1"/>
          <w:numId w:val="2"/>
        </w:numPr>
        <w:spacing w:line="360" w:lineRule="auto"/>
      </w:pPr>
      <w:r>
        <w:rPr>
          <w:rFonts w:hint="eastAsia"/>
        </w:rPr>
        <w:t>关键人员：关键人员包括管理人员及技术负责人。</w:t>
      </w:r>
    </w:p>
    <w:p>
      <w:pPr>
        <w:numPr>
          <w:ilvl w:val="2"/>
          <w:numId w:val="2"/>
        </w:numPr>
        <w:spacing w:line="360" w:lineRule="auto"/>
      </w:pPr>
      <w:r>
        <w:rPr>
          <w:rFonts w:hint="eastAsia"/>
        </w:rPr>
        <w:t>服务将由在附件中所指定的人员并在规定的期限内完成。</w:t>
      </w:r>
    </w:p>
    <w:p>
      <w:pPr>
        <w:numPr>
          <w:ilvl w:val="2"/>
          <w:numId w:val="2"/>
        </w:numPr>
        <w:spacing w:line="360" w:lineRule="auto"/>
      </w:pPr>
      <w:r>
        <w:rPr>
          <w:rFonts w:hint="eastAsia"/>
        </w:rPr>
        <w:t>关键人员的变更：</w:t>
      </w:r>
    </w:p>
    <w:p>
      <w:pPr>
        <w:numPr>
          <w:ilvl w:val="3"/>
          <w:numId w:val="2"/>
        </w:numPr>
        <w:spacing w:line="360" w:lineRule="auto"/>
      </w:pPr>
      <w:r>
        <w:rPr>
          <w:rFonts w:hint="eastAsia"/>
        </w:rPr>
        <w:t>除非服务供应方另行书面同意，关键人员将由在附件中所列那些人组成，而且将不得改变。</w:t>
      </w:r>
    </w:p>
    <w:p>
      <w:pPr>
        <w:numPr>
          <w:ilvl w:val="3"/>
          <w:numId w:val="2"/>
        </w:numPr>
        <w:spacing w:line="360" w:lineRule="auto"/>
      </w:pPr>
      <w:r>
        <w:rPr>
          <w:rFonts w:hint="eastAsia"/>
        </w:rPr>
        <w:t>委托方可以以类似的方式给服务供应方发出书面指令，说明理由，指示他更换他的任何被委托方发现不合格、没有能力或因他故而不希望要的关键人员。</w:t>
      </w:r>
    </w:p>
    <w:p>
      <w:pPr>
        <w:numPr>
          <w:ilvl w:val="1"/>
          <w:numId w:val="2"/>
        </w:numPr>
        <w:spacing w:line="360" w:lineRule="auto"/>
      </w:pPr>
      <w:r>
        <w:rPr>
          <w:rFonts w:hint="eastAsia"/>
        </w:rPr>
        <w:t>负责人</w:t>
      </w:r>
    </w:p>
    <w:p>
      <w:pPr>
        <w:numPr>
          <w:ilvl w:val="2"/>
          <w:numId w:val="2"/>
        </w:numPr>
        <w:spacing w:line="360" w:lineRule="auto"/>
      </w:pPr>
      <w:r>
        <w:rPr>
          <w:rFonts w:hint="eastAsia"/>
        </w:rPr>
        <w:t>服务供应方将保证由一位经委托方书面批准的负责人在执行服务期内长驻工作地点，负责供应方人员的管理、对维护作业负责并负责供应方与委托方之间的联络。</w:t>
      </w:r>
    </w:p>
    <w:p>
      <w:pPr>
        <w:numPr>
          <w:ilvl w:val="1"/>
          <w:numId w:val="2"/>
        </w:numPr>
        <w:spacing w:line="360" w:lineRule="auto"/>
      </w:pPr>
      <w:r>
        <w:rPr>
          <w:rFonts w:hint="eastAsia"/>
        </w:rPr>
        <w:t>身体健康</w:t>
      </w:r>
    </w:p>
    <w:p>
      <w:pPr>
        <w:numPr>
          <w:ilvl w:val="2"/>
          <w:numId w:val="2"/>
        </w:numPr>
        <w:spacing w:line="360" w:lineRule="auto"/>
      </w:pPr>
      <w:r>
        <w:rPr>
          <w:rFonts w:hint="eastAsia"/>
        </w:rPr>
        <w:t>服务供应方负责确保其所有关键人员都身体健康，能够提供在合同项下的服务。</w:t>
      </w:r>
    </w:p>
    <w:p>
      <w:pPr>
        <w:numPr>
          <w:ilvl w:val="0"/>
          <w:numId w:val="2"/>
        </w:numPr>
        <w:spacing w:line="360" w:lineRule="auto"/>
      </w:pPr>
      <w:r>
        <w:rPr>
          <w:rFonts w:hint="eastAsia"/>
        </w:rPr>
        <w:t>付款</w:t>
      </w:r>
    </w:p>
    <w:p>
      <w:pPr>
        <w:numPr>
          <w:ilvl w:val="1"/>
          <w:numId w:val="2"/>
        </w:numPr>
        <w:spacing w:line="360" w:lineRule="auto"/>
      </w:pPr>
      <w:r>
        <w:rPr>
          <w:rFonts w:hint="eastAsia"/>
        </w:rPr>
        <w:t>付款货币：除非另经委托方同意，全部付款都以人民币支付。</w:t>
      </w:r>
    </w:p>
    <w:p>
      <w:pPr>
        <w:numPr>
          <w:ilvl w:val="1"/>
          <w:numId w:val="2"/>
        </w:numPr>
        <w:spacing w:line="360" w:lineRule="auto"/>
      </w:pPr>
      <w:r>
        <w:rPr>
          <w:rFonts w:hint="eastAsia"/>
        </w:rPr>
        <w:t>付款程序：</w:t>
      </w:r>
    </w:p>
    <w:p>
      <w:pPr>
        <w:numPr>
          <w:ilvl w:val="0"/>
          <w:numId w:val="2"/>
        </w:numPr>
        <w:spacing w:line="360" w:lineRule="auto"/>
      </w:pPr>
      <w:r>
        <w:rPr>
          <w:rFonts w:hint="eastAsia"/>
        </w:rPr>
        <w:t>委托方的义务</w:t>
      </w:r>
    </w:p>
    <w:p>
      <w:pPr>
        <w:numPr>
          <w:ilvl w:val="1"/>
          <w:numId w:val="2"/>
        </w:numPr>
        <w:spacing w:line="360" w:lineRule="auto"/>
      </w:pPr>
      <w:r>
        <w:rPr>
          <w:rFonts w:hint="eastAsia"/>
        </w:rPr>
        <w:t>由委托方提供的支持</w:t>
      </w:r>
    </w:p>
    <w:p>
      <w:pPr>
        <w:numPr>
          <w:ilvl w:val="2"/>
          <w:numId w:val="2"/>
        </w:numPr>
        <w:spacing w:line="360" w:lineRule="auto"/>
      </w:pPr>
      <w:r>
        <w:rPr>
          <w:rFonts w:hint="eastAsia"/>
        </w:rPr>
        <w:t>委托方应以在本合同所附的并构成本合同一部分的附件中所列的设施、设备、数据以及服务的形式免费向服务供应方和其人员提供。</w:t>
      </w:r>
    </w:p>
    <w:p>
      <w:pPr>
        <w:numPr>
          <w:ilvl w:val="2"/>
          <w:numId w:val="2"/>
        </w:numPr>
        <w:spacing w:line="360" w:lineRule="auto"/>
      </w:pPr>
      <w:r>
        <w:rPr>
          <w:rFonts w:hint="eastAsia"/>
        </w:rPr>
        <w:t>进入服务地点和现场的权利</w:t>
      </w:r>
      <w:r>
        <w:br w:type="textWrapping"/>
      </w:r>
      <w:r>
        <w:rPr>
          <w:rFonts w:hint="eastAsia"/>
        </w:rPr>
        <w:t>委托方要保证使服务供应方有权进入为有效执行服务而需要进入的全部地点和现场，只要服务供应方和其人员满足所规定的安全批准要求。服务供应方对这样的土地或财产由于这样的进入而造成的任何损失将负责任，只要这样的损失是由于服务供应方或其人员的有意过失或疏忽所造成的。</w:t>
      </w:r>
    </w:p>
    <w:p>
      <w:pPr>
        <w:numPr>
          <w:ilvl w:val="2"/>
          <w:numId w:val="2"/>
        </w:numPr>
        <w:spacing w:line="360" w:lineRule="auto"/>
      </w:pPr>
      <w:r>
        <w:rPr>
          <w:rFonts w:hint="eastAsia"/>
        </w:rPr>
        <w:t>协助配合供应方进行配合的义务</w:t>
      </w:r>
    </w:p>
    <w:p>
      <w:pPr>
        <w:numPr>
          <w:ilvl w:val="0"/>
          <w:numId w:val="2"/>
        </w:numPr>
        <w:spacing w:line="360" w:lineRule="auto"/>
      </w:pPr>
      <w:r>
        <w:rPr>
          <w:rFonts w:hint="eastAsia"/>
        </w:rPr>
        <w:t>服务供应方的义务</w:t>
      </w:r>
    </w:p>
    <w:p>
      <w:pPr>
        <w:numPr>
          <w:ilvl w:val="1"/>
          <w:numId w:val="2"/>
        </w:numPr>
        <w:spacing w:line="360" w:lineRule="auto"/>
      </w:pPr>
      <w:r>
        <w:rPr>
          <w:rFonts w:hint="eastAsia"/>
        </w:rPr>
        <w:t>服务供应方的责任</w:t>
      </w:r>
    </w:p>
    <w:p>
      <w:pPr>
        <w:numPr>
          <w:ilvl w:val="2"/>
          <w:numId w:val="2"/>
        </w:numPr>
        <w:spacing w:line="360" w:lineRule="auto"/>
      </w:pPr>
      <w:r>
        <w:rPr>
          <w:rFonts w:hint="eastAsia"/>
        </w:rPr>
        <w:t>以正确的判断和最高的职业、技术和质量标准，遵照所有有关法律和规定提供服务，以确保使结果为委托方带来最大的好处；</w:t>
      </w:r>
    </w:p>
    <w:p>
      <w:pPr>
        <w:numPr>
          <w:ilvl w:val="2"/>
          <w:numId w:val="2"/>
        </w:numPr>
        <w:spacing w:line="360" w:lineRule="auto"/>
      </w:pPr>
      <w:r>
        <w:rPr>
          <w:rFonts w:hint="eastAsia"/>
        </w:rPr>
        <w:t>接受对本合同项下要执行服务的全部责任，尤其是服务供应方对委托方的义务；</w:t>
      </w:r>
    </w:p>
    <w:p>
      <w:pPr>
        <w:numPr>
          <w:ilvl w:val="2"/>
          <w:numId w:val="2"/>
        </w:numPr>
        <w:spacing w:line="360" w:lineRule="auto"/>
      </w:pPr>
      <w:r>
        <w:rPr>
          <w:rFonts w:hint="eastAsia"/>
        </w:rPr>
        <w:t>以高效而勤奋的态度进行工作并尽其最大努力将可报销的费用降到最低限度，而不使所提供的服务质量受影响；</w:t>
      </w:r>
    </w:p>
    <w:p>
      <w:pPr>
        <w:numPr>
          <w:ilvl w:val="1"/>
          <w:numId w:val="2"/>
        </w:numPr>
        <w:spacing w:line="360" w:lineRule="auto"/>
      </w:pPr>
      <w:r>
        <w:rPr>
          <w:rFonts w:hint="eastAsia"/>
        </w:rPr>
        <w:t>服务供应方的义务</w:t>
      </w:r>
    </w:p>
    <w:p>
      <w:pPr>
        <w:numPr>
          <w:ilvl w:val="2"/>
          <w:numId w:val="2"/>
        </w:numPr>
        <w:spacing w:line="360" w:lineRule="auto"/>
      </w:pPr>
      <w:r>
        <w:rPr>
          <w:rFonts w:hint="eastAsia"/>
        </w:rPr>
        <w:t>服务供应方应对其所提供的服务质量负责。委托方所进行的任何审查或批准将不能卸去服务供应方的责任。</w:t>
      </w:r>
    </w:p>
    <w:p>
      <w:pPr>
        <w:numPr>
          <w:ilvl w:val="2"/>
          <w:numId w:val="2"/>
        </w:numPr>
        <w:spacing w:line="360" w:lineRule="auto"/>
      </w:pPr>
      <w:r>
        <w:rPr>
          <w:rFonts w:hint="eastAsia"/>
        </w:rPr>
        <w:t>一旦委托方单方面所进行的任何重大变化会对服务供应方提供服务的能力有负面影响，则服务供应方可以要求发书面免除责任书，免到这样的变化会对其服务质量造成影响的程度。</w:t>
      </w:r>
    </w:p>
    <w:p>
      <w:pPr>
        <w:numPr>
          <w:ilvl w:val="2"/>
          <w:numId w:val="2"/>
        </w:numPr>
        <w:spacing w:line="360" w:lineRule="auto"/>
      </w:pPr>
      <w:r>
        <w:t>转让和分包</w:t>
      </w:r>
      <w:r>
        <w:rPr>
          <w:rFonts w:hint="eastAsia"/>
        </w:rPr>
        <w:t>：</w:t>
      </w:r>
      <w:r>
        <w:t>本合同不允许进行转让或分包。</w:t>
      </w:r>
    </w:p>
    <w:p>
      <w:pPr>
        <w:numPr>
          <w:ilvl w:val="0"/>
          <w:numId w:val="2"/>
        </w:numPr>
        <w:spacing w:line="360" w:lineRule="auto"/>
      </w:pPr>
      <w:r>
        <w:rPr>
          <w:rFonts w:hint="eastAsia"/>
        </w:rPr>
        <w:t>适用法律</w:t>
      </w:r>
    </w:p>
    <w:p>
      <w:pPr>
        <w:numPr>
          <w:ilvl w:val="1"/>
          <w:numId w:val="2"/>
        </w:numPr>
        <w:spacing w:line="360" w:lineRule="auto"/>
      </w:pPr>
      <w:r>
        <w:rPr>
          <w:rFonts w:hint="eastAsia"/>
        </w:rPr>
        <w:t>本合同的适用法律将是中华人民共和国的法律及深圳经济特区的有关规定。</w:t>
      </w:r>
    </w:p>
    <w:p>
      <w:pPr>
        <w:numPr>
          <w:ilvl w:val="0"/>
          <w:numId w:val="2"/>
        </w:numPr>
        <w:spacing w:line="360" w:lineRule="auto"/>
      </w:pPr>
      <w:r>
        <w:rPr>
          <w:rFonts w:hint="eastAsia"/>
        </w:rPr>
        <w:t>委托方的财产权</w:t>
      </w:r>
    </w:p>
    <w:p>
      <w:pPr>
        <w:numPr>
          <w:ilvl w:val="1"/>
          <w:numId w:val="2"/>
        </w:numPr>
        <w:spacing w:line="360" w:lineRule="auto"/>
      </w:pPr>
      <w:r>
        <w:rPr>
          <w:rFonts w:hint="eastAsia"/>
        </w:rPr>
        <w:t>对档案和其他文件：</w:t>
      </w:r>
      <w:r>
        <w:br w:type="textWrapping"/>
      </w:r>
      <w:r>
        <w:rPr>
          <w:rFonts w:hint="eastAsia"/>
        </w:rPr>
        <w:t>在执行服务过程中所形成的有关报告、资料以及其他辅助记录都是委托方的绝对财产，而且不经委托方事先的书面批准，将不得由服务供应方用于与本合同无关的目的。</w:t>
      </w:r>
    </w:p>
    <w:p>
      <w:pPr>
        <w:numPr>
          <w:ilvl w:val="1"/>
          <w:numId w:val="2"/>
        </w:numPr>
        <w:spacing w:line="360" w:lineRule="auto"/>
      </w:pPr>
      <w:r>
        <w:rPr>
          <w:rFonts w:hint="eastAsia"/>
        </w:rPr>
        <w:t>下列设备将依然是委托方的财产：</w:t>
      </w:r>
    </w:p>
    <w:p>
      <w:pPr>
        <w:numPr>
          <w:ilvl w:val="2"/>
          <w:numId w:val="2"/>
        </w:numPr>
        <w:spacing w:line="360" w:lineRule="auto"/>
      </w:pPr>
      <w:r>
        <w:rPr>
          <w:rFonts w:hint="eastAsia"/>
        </w:rPr>
        <w:t>由委托方为服务供应方实施其服务而提供的；以及</w:t>
      </w:r>
    </w:p>
    <w:p>
      <w:pPr>
        <w:numPr>
          <w:ilvl w:val="2"/>
          <w:numId w:val="2"/>
        </w:numPr>
        <w:spacing w:line="360" w:lineRule="auto"/>
      </w:pPr>
      <w:r>
        <w:rPr>
          <w:rFonts w:hint="eastAsia"/>
        </w:rPr>
        <w:t>为执行本合同项下的服务的目的由委托方购买的或由服务供应方代表委托方所购买的。</w:t>
      </w:r>
    </w:p>
    <w:p>
      <w:pPr>
        <w:numPr>
          <w:ilvl w:val="0"/>
          <w:numId w:val="2"/>
        </w:numPr>
        <w:spacing w:line="360" w:lineRule="auto"/>
      </w:pPr>
      <w:r>
        <w:rPr>
          <w:rFonts w:hint="eastAsia"/>
        </w:rPr>
        <w:t>委托方的控制与批准</w:t>
      </w:r>
    </w:p>
    <w:p>
      <w:pPr>
        <w:numPr>
          <w:ilvl w:val="1"/>
          <w:numId w:val="2"/>
        </w:numPr>
        <w:spacing w:line="360" w:lineRule="auto"/>
      </w:pPr>
      <w:r>
        <w:rPr>
          <w:rFonts w:hint="eastAsia"/>
        </w:rPr>
        <w:t>委托方将以书面形式任命一位代表监督执行本合同项下的服务并经授权就所有有关事宜做出决定和给予批准。服务供应方应按合同所要求的限度在就本合同项下服务的有关重大事宜采取行动之前先与委托方或其授权代表进行磋商并取得其批准。</w:t>
      </w:r>
    </w:p>
    <w:p>
      <w:pPr>
        <w:numPr>
          <w:ilvl w:val="0"/>
          <w:numId w:val="2"/>
        </w:numPr>
        <w:spacing w:line="360" w:lineRule="auto"/>
      </w:pPr>
      <w:r>
        <w:rPr>
          <w:rFonts w:hint="eastAsia"/>
        </w:rPr>
        <w:t>服务范围的变化</w:t>
      </w:r>
    </w:p>
    <w:p>
      <w:pPr>
        <w:numPr>
          <w:ilvl w:val="1"/>
          <w:numId w:val="2"/>
        </w:numPr>
        <w:spacing w:line="360" w:lineRule="auto"/>
      </w:pPr>
      <w:r>
        <w:rPr>
          <w:rFonts w:hint="eastAsia"/>
        </w:rPr>
        <w:t>根据《深圳经济特区政府采购条例》规定委托方可以在采购文件规定的范围内对服务的数量予以增加或者减少。增减的幅度不得超过中标金额的百分之十，并不得变更单价。</w:t>
      </w:r>
    </w:p>
    <w:p>
      <w:pPr>
        <w:pStyle w:val="35"/>
        <w:numPr>
          <w:ilvl w:val="0"/>
          <w:numId w:val="2"/>
        </w:numPr>
        <w:adjustRightInd w:val="0"/>
        <w:snapToGrid w:val="0"/>
        <w:spacing w:line="360" w:lineRule="auto"/>
      </w:pPr>
      <w:r>
        <w:rPr>
          <w:rFonts w:hint="eastAsia"/>
        </w:rPr>
        <w:t>争议的解决：</w:t>
      </w:r>
      <w:r>
        <w:br w:type="textWrapping"/>
      </w:r>
      <w:r>
        <w:t>因执行本合同所发生的或与本合同有关的一切争议，双方应通过友好协商解决。</w:t>
      </w:r>
      <w:r>
        <w:rPr>
          <w:rFonts w:hint="eastAsia"/>
        </w:rPr>
        <w:t>当事人不愿协商或</w:t>
      </w:r>
      <w:r>
        <w:t>协商不成</w:t>
      </w:r>
      <w:r>
        <w:rPr>
          <w:rFonts w:hint="eastAsia"/>
        </w:rPr>
        <w:t>的，采用以下第</w:t>
      </w:r>
      <w:r>
        <w:rPr>
          <w:rFonts w:hint="eastAsia"/>
          <w:u w:val="single"/>
        </w:rPr>
        <w:t xml:space="preserve">        </w:t>
      </w:r>
      <w:r>
        <w:rPr>
          <w:rFonts w:hint="eastAsia"/>
        </w:rPr>
        <w:t>种方式解决。</w:t>
      </w:r>
      <w:r>
        <w:br w:type="textWrapping"/>
      </w:r>
      <w:r>
        <w:rPr>
          <w:rFonts w:hint="eastAsia"/>
        </w:rPr>
        <w:t>（一）因本合同所发生任何争议，申请</w:t>
      </w:r>
      <w:r>
        <w:rPr>
          <w:rFonts w:hint="eastAsia"/>
          <w:u w:val="single"/>
        </w:rPr>
        <w:t xml:space="preserve">       </w:t>
      </w:r>
      <w:r>
        <w:rPr>
          <w:rFonts w:hint="eastAsia"/>
        </w:rPr>
        <w:t>仲裁委员会仲裁，</w:t>
      </w:r>
      <w:r>
        <w:t>仲裁地点：</w:t>
      </w:r>
      <w:r>
        <w:rPr>
          <w:rFonts w:hint="eastAsia"/>
          <w:u w:val="single"/>
        </w:rPr>
        <w:t xml:space="preserve">      </w:t>
      </w:r>
      <w:r>
        <w:rPr>
          <w:rFonts w:hint="eastAsia"/>
        </w:rPr>
        <w:t>；</w:t>
      </w:r>
      <w:r>
        <w:br w:type="textWrapping"/>
      </w:r>
      <w:r>
        <w:rPr>
          <w:rFonts w:hint="eastAsia"/>
        </w:rPr>
        <w:t>（二）按司法程序解决。</w:t>
      </w:r>
    </w:p>
    <w:p>
      <w:pPr>
        <w:pStyle w:val="35"/>
        <w:numPr>
          <w:ilvl w:val="0"/>
          <w:numId w:val="2"/>
        </w:numPr>
        <w:adjustRightInd w:val="0"/>
        <w:snapToGrid w:val="0"/>
        <w:spacing w:line="360" w:lineRule="auto"/>
        <w:rPr>
          <w:rFonts w:ascii="Times New Roman" w:hAnsi="Times New Roman"/>
        </w:rPr>
      </w:pPr>
      <w:r>
        <w:rPr>
          <w:rFonts w:ascii="Times New Roman" w:hAnsi="Times New Roman"/>
        </w:rPr>
        <w:t>不可抗力条件及处理办法：</w:t>
      </w:r>
    </w:p>
    <w:p>
      <w:pPr>
        <w:pStyle w:val="35"/>
        <w:numPr>
          <w:ilvl w:val="1"/>
          <w:numId w:val="2"/>
        </w:numPr>
        <w:adjustRightInd w:val="0"/>
        <w:snapToGrid w:val="0"/>
        <w:spacing w:line="360" w:lineRule="auto"/>
        <w:rPr>
          <w:rFonts w:ascii="Times New Roman" w:hAnsi="Times New Roman"/>
        </w:rPr>
      </w:pPr>
      <w:r>
        <w:rPr>
          <w:rFonts w:ascii="Times New Roman" w:hAnsi="Times New Roman"/>
        </w:rPr>
        <w:t>不可抗力条件：</w:t>
      </w:r>
    </w:p>
    <w:p>
      <w:pPr>
        <w:pStyle w:val="35"/>
        <w:numPr>
          <w:ilvl w:val="2"/>
          <w:numId w:val="2"/>
        </w:numPr>
        <w:adjustRightInd w:val="0"/>
        <w:snapToGrid w:val="0"/>
        <w:spacing w:line="360" w:lineRule="auto"/>
        <w:rPr>
          <w:rFonts w:ascii="Times New Roman" w:hAnsi="Times New Roman"/>
        </w:rPr>
      </w:pPr>
      <w:r>
        <w:rPr>
          <w:rFonts w:ascii="Times New Roman" w:hAnsi="Times New Roman"/>
        </w:rPr>
        <w:t>是指签约双方中的一方由于战争及严重的火灾、水灾、台风、地震等不可抗力事件影响合同的执行。</w:t>
      </w:r>
    </w:p>
    <w:p>
      <w:pPr>
        <w:pStyle w:val="35"/>
        <w:numPr>
          <w:ilvl w:val="1"/>
          <w:numId w:val="2"/>
        </w:numPr>
        <w:adjustRightInd w:val="0"/>
        <w:snapToGrid w:val="0"/>
        <w:spacing w:line="360" w:lineRule="auto"/>
        <w:rPr>
          <w:rFonts w:ascii="Times New Roman" w:hAnsi="Times New Roman"/>
        </w:rPr>
      </w:pPr>
      <w:r>
        <w:rPr>
          <w:rFonts w:ascii="Times New Roman" w:hAnsi="Times New Roman"/>
        </w:rPr>
        <w:t>不可抗力的处理办法：</w:t>
      </w:r>
    </w:p>
    <w:p>
      <w:pPr>
        <w:pStyle w:val="35"/>
        <w:numPr>
          <w:ilvl w:val="2"/>
          <w:numId w:val="2"/>
        </w:numPr>
        <w:adjustRightInd w:val="0"/>
        <w:snapToGrid w:val="0"/>
        <w:spacing w:line="360" w:lineRule="auto"/>
        <w:rPr>
          <w:rFonts w:ascii="Times New Roman" w:hAnsi="Times New Roman"/>
        </w:rPr>
      </w:pPr>
      <w:r>
        <w:rPr>
          <w:rFonts w:ascii="Times New Roman" w:hAnsi="Times New Roman"/>
        </w:rPr>
        <w:t>受事件影响的一方应尽快将所发生的不可抗力事件的情况以电传或传真通知另一方，并在14日内以</w:t>
      </w:r>
      <w:r>
        <w:rPr>
          <w:rFonts w:hint="eastAsia" w:ascii="Times New Roman" w:hAnsi="Times New Roman"/>
        </w:rPr>
        <w:t>特快专递</w:t>
      </w:r>
      <w:r>
        <w:rPr>
          <w:rFonts w:ascii="Times New Roman" w:hAnsi="Times New Roman"/>
        </w:rPr>
        <w:t>将有关当局出具的证明文件提交给另一方审阅确认。</w:t>
      </w:r>
    </w:p>
    <w:p>
      <w:pPr>
        <w:pStyle w:val="35"/>
        <w:numPr>
          <w:ilvl w:val="2"/>
          <w:numId w:val="2"/>
        </w:numPr>
        <w:adjustRightInd w:val="0"/>
        <w:snapToGrid w:val="0"/>
        <w:spacing w:line="360" w:lineRule="auto"/>
        <w:rPr>
          <w:rFonts w:ascii="Times New Roman" w:hAnsi="Times New Roman"/>
        </w:rPr>
      </w:pPr>
      <w:r>
        <w:rPr>
          <w:rFonts w:ascii="Times New Roman" w:hAnsi="Times New Roman"/>
        </w:rPr>
        <w:t>如不可抗力事件延续到20日以上时，双方应通过友好协商解决合同继续履行的问题。</w:t>
      </w:r>
    </w:p>
    <w:p>
      <w:pPr>
        <w:pStyle w:val="35"/>
        <w:numPr>
          <w:ilvl w:val="2"/>
          <w:numId w:val="2"/>
        </w:numPr>
        <w:adjustRightInd w:val="0"/>
        <w:snapToGrid w:val="0"/>
        <w:spacing w:line="360" w:lineRule="auto"/>
        <w:rPr>
          <w:rFonts w:ascii="Times New Roman" w:hAnsi="Times New Roman"/>
        </w:rPr>
      </w:pPr>
      <w:r>
        <w:rPr>
          <w:rFonts w:ascii="Times New Roman" w:hAnsi="Times New Roman"/>
        </w:rPr>
        <w:t>发生事件的一方应始终采取一切合理的措施以减少由于不可抗力所导致的拖期。</w:t>
      </w:r>
    </w:p>
    <w:p>
      <w:pPr>
        <w:pStyle w:val="35"/>
        <w:numPr>
          <w:ilvl w:val="2"/>
          <w:numId w:val="2"/>
        </w:numPr>
        <w:adjustRightInd w:val="0"/>
        <w:snapToGrid w:val="0"/>
        <w:spacing w:line="360" w:lineRule="auto"/>
      </w:pPr>
      <w:r>
        <w:t>当不可抗力事件消除后，受事件影响的一方应尽快以电传或传真通知另一方，并以</w:t>
      </w:r>
      <w:r>
        <w:rPr>
          <w:rFonts w:hint="eastAsia"/>
        </w:rPr>
        <w:t>特快专递</w:t>
      </w:r>
      <w:r>
        <w:t>证实。</w:t>
      </w:r>
    </w:p>
    <w:p>
      <w:pPr>
        <w:pStyle w:val="35"/>
        <w:numPr>
          <w:ilvl w:val="2"/>
          <w:numId w:val="2"/>
        </w:numPr>
        <w:adjustRightInd w:val="0"/>
        <w:snapToGrid w:val="0"/>
        <w:spacing w:line="360" w:lineRule="auto"/>
      </w:pPr>
      <w:r>
        <w:rPr>
          <w:rFonts w:hint="eastAsia"/>
        </w:rPr>
        <w:t>当事人迟延履行后发生不可抗力的，不能免除责任。</w:t>
      </w:r>
    </w:p>
    <w:p>
      <w:pPr>
        <w:pStyle w:val="35"/>
        <w:numPr>
          <w:ilvl w:val="0"/>
          <w:numId w:val="2"/>
        </w:numPr>
        <w:adjustRightInd w:val="0"/>
        <w:snapToGrid w:val="0"/>
        <w:spacing w:line="360" w:lineRule="auto"/>
        <w:rPr>
          <w:rFonts w:ascii="Times New Roman" w:hAnsi="Times New Roman"/>
        </w:rPr>
      </w:pPr>
      <w:r>
        <w:rPr>
          <w:rFonts w:hint="eastAsia" w:ascii="Times New Roman" w:hAnsi="Times New Roman"/>
        </w:rPr>
        <w:t>通知与地址</w:t>
      </w:r>
    </w:p>
    <w:p>
      <w:pPr>
        <w:pStyle w:val="35"/>
        <w:numPr>
          <w:ilvl w:val="1"/>
          <w:numId w:val="2"/>
        </w:numPr>
        <w:adjustRightInd w:val="0"/>
        <w:snapToGrid w:val="0"/>
        <w:spacing w:line="360" w:lineRule="auto"/>
        <w:rPr>
          <w:rFonts w:ascii="Times New Roman" w:hAnsi="Times New Roman"/>
        </w:rPr>
      </w:pPr>
      <w:r>
        <w:rPr>
          <w:rFonts w:hint="eastAsia" w:ascii="Times New Roman" w:hAnsi="Times New Roman"/>
        </w:rPr>
        <w:t>本合同条款所要求或联系本合同所规定的全部通知将按下列地址联系，并在接收方收到时才能生效：</w:t>
      </w:r>
    </w:p>
    <w:p>
      <w:pPr>
        <w:pStyle w:val="35"/>
        <w:numPr>
          <w:ilvl w:val="2"/>
          <w:numId w:val="2"/>
        </w:numPr>
        <w:adjustRightInd w:val="0"/>
        <w:snapToGrid w:val="0"/>
        <w:spacing w:line="360" w:lineRule="auto"/>
        <w:rPr>
          <w:rFonts w:ascii="Times New Roman" w:hAnsi="Times New Roman"/>
        </w:rPr>
      </w:pPr>
      <w:r>
        <w:rPr>
          <w:rFonts w:hint="eastAsia" w:ascii="Times New Roman" w:hAnsi="Times New Roman"/>
        </w:rPr>
        <w:t>给委托方的通知要致：</w:t>
      </w:r>
    </w:p>
    <w:p>
      <w:pPr>
        <w:pStyle w:val="35"/>
        <w:numPr>
          <w:ilvl w:val="2"/>
          <w:numId w:val="2"/>
        </w:numPr>
        <w:adjustRightInd w:val="0"/>
        <w:snapToGrid w:val="0"/>
        <w:spacing w:line="360" w:lineRule="auto"/>
        <w:rPr>
          <w:rFonts w:ascii="Times New Roman" w:hAnsi="Times New Roman"/>
        </w:rPr>
      </w:pPr>
      <w:r>
        <w:rPr>
          <w:rFonts w:hint="eastAsia" w:ascii="Times New Roman" w:hAnsi="Times New Roman"/>
        </w:rPr>
        <w:t>给服务供应方的通知要致：</w:t>
      </w:r>
    </w:p>
    <w:p>
      <w:pPr>
        <w:pStyle w:val="35"/>
        <w:numPr>
          <w:ilvl w:val="1"/>
          <w:numId w:val="2"/>
        </w:numPr>
        <w:adjustRightInd w:val="0"/>
        <w:snapToGrid w:val="0"/>
        <w:spacing w:line="360" w:lineRule="auto"/>
        <w:rPr>
          <w:rFonts w:ascii="Times New Roman" w:hAnsi="Times New Roman"/>
        </w:rPr>
      </w:pPr>
      <w:r>
        <w:rPr>
          <w:rFonts w:hint="eastAsia" w:ascii="Times New Roman" w:hAnsi="Times New Roman"/>
        </w:rPr>
        <w:t>上述通知应以中文书写。</w:t>
      </w:r>
    </w:p>
    <w:p>
      <w:pPr>
        <w:pStyle w:val="35"/>
        <w:numPr>
          <w:ilvl w:val="1"/>
          <w:numId w:val="2"/>
        </w:numPr>
        <w:adjustRightInd w:val="0"/>
        <w:snapToGrid w:val="0"/>
        <w:spacing w:line="360" w:lineRule="auto"/>
        <w:rPr>
          <w:rFonts w:ascii="Times New Roman" w:hAnsi="Times New Roman"/>
        </w:rPr>
      </w:pPr>
      <w:r>
        <w:rPr>
          <w:rFonts w:hint="eastAsia" w:ascii="Times New Roman" w:hAnsi="Times New Roman"/>
        </w:rPr>
        <w:t>上面所提供的发通知的地址可以被任何一方改变，方式是向对方发出书面通知。</w:t>
      </w:r>
    </w:p>
    <w:p>
      <w:pPr>
        <w:pStyle w:val="35"/>
        <w:numPr>
          <w:ilvl w:val="0"/>
          <w:numId w:val="2"/>
        </w:numPr>
        <w:adjustRightInd w:val="0"/>
        <w:snapToGrid w:val="0"/>
        <w:spacing w:line="360" w:lineRule="auto"/>
        <w:rPr>
          <w:rFonts w:ascii="Times New Roman" w:hAnsi="Times New Roman"/>
        </w:rPr>
      </w:pPr>
      <w:r>
        <w:rPr>
          <w:rFonts w:ascii="Times New Roman" w:hAnsi="Times New Roman"/>
        </w:rPr>
        <w:t>合同生效要具备下列条件：</w:t>
      </w:r>
    </w:p>
    <w:p>
      <w:pPr>
        <w:pStyle w:val="35"/>
        <w:numPr>
          <w:ilvl w:val="1"/>
          <w:numId w:val="2"/>
        </w:numPr>
        <w:adjustRightInd w:val="0"/>
        <w:snapToGrid w:val="0"/>
        <w:spacing w:line="360" w:lineRule="auto"/>
        <w:rPr>
          <w:rFonts w:ascii="Times New Roman" w:hAnsi="Times New Roman"/>
        </w:rPr>
      </w:pPr>
      <w:r>
        <w:rPr>
          <w:rFonts w:ascii="Times New Roman" w:hAnsi="Times New Roman"/>
        </w:rPr>
        <w:t>双方有关单位的</w:t>
      </w:r>
      <w:r>
        <w:rPr>
          <w:rFonts w:hint="eastAsia" w:ascii="Times New Roman" w:hAnsi="Times New Roman"/>
        </w:rPr>
        <w:t>备案、</w:t>
      </w:r>
      <w:r>
        <w:rPr>
          <w:rFonts w:ascii="Times New Roman" w:hAnsi="Times New Roman"/>
        </w:rPr>
        <w:t>批准</w:t>
      </w:r>
      <w:r>
        <w:rPr>
          <w:rFonts w:hint="eastAsia" w:ascii="Times New Roman" w:hAnsi="Times New Roman"/>
        </w:rPr>
        <w:t>（如果需要）</w:t>
      </w:r>
      <w:r>
        <w:rPr>
          <w:rFonts w:ascii="Times New Roman" w:hAnsi="Times New Roman"/>
        </w:rPr>
        <w:t>；</w:t>
      </w:r>
    </w:p>
    <w:p>
      <w:pPr>
        <w:pStyle w:val="35"/>
        <w:numPr>
          <w:ilvl w:val="1"/>
          <w:numId w:val="2"/>
        </w:numPr>
        <w:adjustRightInd w:val="0"/>
        <w:snapToGrid w:val="0"/>
        <w:spacing w:line="360" w:lineRule="auto"/>
        <w:rPr>
          <w:rFonts w:ascii="Times New Roman" w:hAnsi="Times New Roman"/>
        </w:rPr>
      </w:pPr>
      <w:r>
        <w:rPr>
          <w:rFonts w:ascii="Times New Roman" w:hAnsi="Times New Roman"/>
        </w:rPr>
        <w:t>买方收到卖方提交的履约保函；</w:t>
      </w:r>
    </w:p>
    <w:p>
      <w:pPr>
        <w:pStyle w:val="35"/>
        <w:numPr>
          <w:ilvl w:val="1"/>
          <w:numId w:val="2"/>
        </w:numPr>
        <w:adjustRightInd w:val="0"/>
        <w:snapToGrid w:val="0"/>
        <w:spacing w:line="360" w:lineRule="auto"/>
        <w:rPr>
          <w:rFonts w:ascii="Times New Roman" w:hAnsi="Times New Roman"/>
        </w:rPr>
      </w:pPr>
      <w:r>
        <w:rPr>
          <w:rFonts w:ascii="Times New Roman" w:hAnsi="Times New Roman"/>
        </w:rPr>
        <w:t>本合同于_____月_____日由双方法定代表人或授权委托人签字。</w:t>
      </w:r>
    </w:p>
    <w:p>
      <w:pPr>
        <w:pStyle w:val="35"/>
        <w:numPr>
          <w:ilvl w:val="0"/>
          <w:numId w:val="2"/>
        </w:numPr>
        <w:adjustRightInd w:val="0"/>
        <w:snapToGrid w:val="0"/>
        <w:spacing w:line="360" w:lineRule="auto"/>
        <w:rPr>
          <w:rFonts w:ascii="Times New Roman" w:hAnsi="Times New Roman"/>
        </w:rPr>
      </w:pPr>
      <w:r>
        <w:rPr>
          <w:rFonts w:hint="eastAsia" w:ascii="Times New Roman" w:hAnsi="Times New Roman"/>
        </w:rPr>
        <w:t>下列文件均为本合同不可分割的一部分</w:t>
      </w:r>
      <w:r>
        <w:rPr>
          <w:rFonts w:ascii="Times New Roman" w:hAnsi="Times New Roman"/>
        </w:rPr>
        <w:t>，与合同正文具有同等效力。</w:t>
      </w:r>
    </w:p>
    <w:p>
      <w:pPr>
        <w:pStyle w:val="35"/>
        <w:numPr>
          <w:ilvl w:val="1"/>
          <w:numId w:val="2"/>
        </w:numPr>
        <w:adjustRightInd w:val="0"/>
        <w:snapToGrid w:val="0"/>
        <w:spacing w:line="360" w:lineRule="auto"/>
        <w:rPr>
          <w:rFonts w:ascii="Times New Roman" w:hAnsi="Times New Roman"/>
        </w:rPr>
      </w:pPr>
      <w:r>
        <w:rPr>
          <w:rFonts w:hint="eastAsia" w:ascii="Times New Roman" w:hAnsi="Times New Roman"/>
        </w:rPr>
        <w:t>中标通知书。</w:t>
      </w:r>
    </w:p>
    <w:p>
      <w:pPr>
        <w:pStyle w:val="35"/>
        <w:numPr>
          <w:ilvl w:val="1"/>
          <w:numId w:val="2"/>
        </w:numPr>
        <w:adjustRightInd w:val="0"/>
        <w:snapToGrid w:val="0"/>
        <w:spacing w:line="360" w:lineRule="auto"/>
        <w:rPr>
          <w:rFonts w:ascii="Times New Roman" w:hAnsi="Times New Roman"/>
        </w:rPr>
      </w:pPr>
      <w:r>
        <w:rPr>
          <w:rFonts w:hint="eastAsia" w:ascii="Times New Roman" w:hAnsi="Times New Roman"/>
        </w:rPr>
        <w:t>深圳市中正招标公司项目编号为</w:t>
      </w:r>
      <w:r>
        <w:rPr>
          <w:rFonts w:hint="eastAsia" w:ascii="Times New Roman" w:hAnsi="Times New Roman"/>
          <w:u w:val="single"/>
        </w:rPr>
        <w:t xml:space="preserve">                 </w:t>
      </w:r>
      <w:r>
        <w:rPr>
          <w:rFonts w:hint="eastAsia" w:ascii="Times New Roman" w:hAnsi="Times New Roman"/>
        </w:rPr>
        <w:t>的采购文件。</w:t>
      </w:r>
    </w:p>
    <w:p>
      <w:pPr>
        <w:pStyle w:val="35"/>
        <w:numPr>
          <w:ilvl w:val="1"/>
          <w:numId w:val="2"/>
        </w:numPr>
        <w:adjustRightInd w:val="0"/>
        <w:snapToGrid w:val="0"/>
        <w:spacing w:line="360" w:lineRule="auto"/>
        <w:rPr>
          <w:rFonts w:ascii="Times New Roman" w:hAnsi="Times New Roman"/>
        </w:rPr>
      </w:pPr>
      <w:r>
        <w:rPr>
          <w:rFonts w:hint="eastAsia" w:ascii="Times New Roman" w:hAnsi="Times New Roman"/>
        </w:rPr>
        <w:t>中标方的投标文件。</w:t>
      </w:r>
    </w:p>
    <w:p>
      <w:pPr>
        <w:pStyle w:val="35"/>
        <w:numPr>
          <w:ilvl w:val="1"/>
          <w:numId w:val="2"/>
        </w:numPr>
        <w:adjustRightInd w:val="0"/>
        <w:snapToGrid w:val="0"/>
        <w:spacing w:line="360" w:lineRule="auto"/>
        <w:rPr>
          <w:rFonts w:ascii="Times New Roman" w:hAnsi="Times New Roman"/>
        </w:rPr>
      </w:pPr>
      <w:r>
        <w:rPr>
          <w:rFonts w:hint="eastAsia" w:ascii="Times New Roman" w:hAnsi="Times New Roman"/>
        </w:rPr>
        <w:t>与本次招标活动有关的书面澄清及补充说明资料。</w:t>
      </w:r>
    </w:p>
    <w:p>
      <w:pPr>
        <w:pStyle w:val="35"/>
        <w:numPr>
          <w:ilvl w:val="0"/>
          <w:numId w:val="2"/>
        </w:numPr>
        <w:adjustRightInd w:val="0"/>
        <w:snapToGrid w:val="0"/>
        <w:spacing w:line="360" w:lineRule="auto"/>
        <w:rPr>
          <w:rFonts w:hAnsi="宋体" w:cs="宋体"/>
        </w:rPr>
      </w:pPr>
      <w:r>
        <w:t>对本合同条款的任何变更、修改或增减，须经双方协商同意以后，双方授权代表签署书面文件，作为本合同的组成部分并具有同等效力。</w:t>
      </w:r>
    </w:p>
    <w:p>
      <w:r>
        <w:t>除本合同约定的责任和义务外，双方任何一方都不承担任何其他责任和义务</w:t>
      </w:r>
    </w:p>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适用范围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本采购文件仅适用于供应商须知前附表（以下简称“前附表”）第1项所叙述项目的货物、工程及服务采购。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上述采购按照《中华人民共和国招标投标法》、《中华人民共和国政府采购法》和《深圳经济特区政府采购条例》及有关招投标法规、规章、规定通过采购来择优选定投标人。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 </w:t>
      </w:r>
      <w:r>
        <w:rPr>
          <w:rFonts w:hint="eastAsia" w:ascii="仿宋" w:hAnsi="仿宋" w:eastAsia="仿宋"/>
          <w:b/>
          <w:snapToGrid w:val="0"/>
          <w:kern w:val="0"/>
          <w:szCs w:val="21"/>
        </w:rPr>
        <w:t>定义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ascii="仿宋" w:hAnsi="仿宋" w:eastAsia="仿宋"/>
          <w:snapToGrid w:val="0"/>
          <w:kern w:val="0"/>
          <w:szCs w:val="21"/>
        </w:rPr>
        <w:t>.</w:t>
      </w:r>
      <w:r>
        <w:rPr>
          <w:rFonts w:hint="eastAsia" w:ascii="仿宋" w:hAnsi="仿宋" w:eastAsia="仿宋"/>
          <w:snapToGrid w:val="0"/>
          <w:kern w:val="0"/>
          <w:szCs w:val="21"/>
        </w:rPr>
        <w:t>1  “</w:t>
      </w:r>
      <w:r>
        <w:rPr>
          <w:rFonts w:hint="eastAsia" w:ascii="仿宋" w:hAnsi="仿宋" w:eastAsia="仿宋"/>
          <w:bCs/>
          <w:snapToGrid w:val="0"/>
          <w:kern w:val="0"/>
          <w:szCs w:val="21"/>
        </w:rPr>
        <w:t>采购人</w:t>
      </w:r>
      <w:r>
        <w:rPr>
          <w:rFonts w:hint="eastAsia" w:ascii="仿宋" w:hAnsi="仿宋" w:eastAsia="仿宋"/>
          <w:snapToGrid w:val="0"/>
          <w:kern w:val="0"/>
          <w:szCs w:val="21"/>
        </w:rPr>
        <w:t>”系指前附表第2项所述。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”系前附表第3项所述。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“投标人”系指向</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提交投标文件的供应商。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“货物”系指投标人按采购文件规定，须向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  “工程”系指投标人按采购文件规定，须向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提供的设备及材料的安装。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6  “服务”系指采购文件规定卖方须承担设计和其它类似的义务。</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 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采购资金通过前附表第4 项的方式获得，并用于采购合同下的合格支付。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合格的投标人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4.1  </w:t>
      </w:r>
      <w:r>
        <w:rPr>
          <w:rFonts w:hint="eastAsia" w:ascii="仿宋" w:hAnsi="仿宋" w:eastAsia="仿宋"/>
          <w:snapToGrid w:val="0"/>
          <w:kern w:val="0"/>
          <w:szCs w:val="21"/>
        </w:rPr>
        <w:t>具有独立承担民事责任的能力。</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4.2  </w:t>
      </w:r>
      <w:r>
        <w:rPr>
          <w:rFonts w:hint="eastAsia" w:ascii="仿宋" w:hAnsi="仿宋" w:eastAsia="仿宋"/>
          <w:snapToGrid w:val="0"/>
          <w:kern w:val="0"/>
          <w:szCs w:val="21"/>
        </w:rPr>
        <w:t>具有良好的商业信誉和健全的财务会计制度。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具有履行合同所必需的设备和专业技术能力。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4.4  有依法缴纳税收和社会保障资金的良好记录。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4.5  参加政府采购活动近三年内，在经营活动中没有重大违法记录。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4.6  法律、行政法规规定的其他条件。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4.7  符合前附表第5项规定的条件。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  联合体投标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4.8.1　以下有关联合体投标的条款仅适用于允许投标人组成联合体投标的项目。是否允许联合体投标以“前附表”中的规定或说明为准。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4.8.2  由两个或两个以上的自然人、法人或者其他组织可以组成一个联合体，以一个供应商的身份共同投标时，应符合以下原则：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（1）投标联合体各方参加政府采购活动应当具备下列条件：</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1、具有独立承担民事责任的能力；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2、具有良好的商业信誉和健全的财务会计制度；</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3、具有履行合同所必需的设备和专业技术能力；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4、有依法缴纳税收和社会保障资金的良好记录；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5、参加政府采购活动前三年内，在经营活动中没有重大违法记录；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6、法律、行政法规规定的其他条件。</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（2）投标联合体各方必须有一方先行注册成深圳公共资源交易中心供应商；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（3）联合体中有同类资质的供应商按照联合体分工承担相同工作的，应当按照资质等级较低的供应商确定资质等级。</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（5）采购人根据采购项目的特殊要求规定投标人特定条件的，联合体各方中至少应当有一方符合采购人规定的特定条件。对于采购公告</w:t>
      </w:r>
      <w:r>
        <w:rPr>
          <w:rFonts w:ascii="仿宋" w:hAnsi="仿宋" w:eastAsia="仿宋"/>
          <w:snapToGrid w:val="0"/>
          <w:kern w:val="0"/>
          <w:szCs w:val="21"/>
        </w:rPr>
        <w:t>对投标人</w:t>
      </w:r>
      <w:r>
        <w:rPr>
          <w:rFonts w:hint="eastAsia" w:ascii="仿宋" w:hAnsi="仿宋" w:eastAsia="仿宋"/>
          <w:snapToGrid w:val="0"/>
          <w:kern w:val="0"/>
          <w:szCs w:val="21"/>
        </w:rPr>
        <w:t>某一资格</w:t>
      </w:r>
      <w:r>
        <w:rPr>
          <w:rFonts w:ascii="仿宋" w:hAnsi="仿宋" w:eastAsia="仿宋"/>
          <w:snapToGrid w:val="0"/>
          <w:kern w:val="0"/>
          <w:szCs w:val="21"/>
        </w:rPr>
        <w:t>有</w:t>
      </w:r>
      <w:r>
        <w:rPr>
          <w:rFonts w:hint="eastAsia" w:ascii="仿宋" w:hAnsi="仿宋" w:eastAsia="仿宋"/>
          <w:snapToGrid w:val="0"/>
          <w:kern w:val="0"/>
          <w:szCs w:val="21"/>
        </w:rPr>
        <w:t>要求</w:t>
      </w:r>
      <w:r>
        <w:rPr>
          <w:rFonts w:ascii="仿宋" w:hAnsi="仿宋" w:eastAsia="仿宋"/>
          <w:snapToGrid w:val="0"/>
          <w:kern w:val="0"/>
          <w:szCs w:val="21"/>
        </w:rPr>
        <w:t>的，</w:t>
      </w:r>
      <w:r>
        <w:rPr>
          <w:rFonts w:hint="eastAsia" w:ascii="仿宋" w:hAnsi="仿宋" w:eastAsia="仿宋"/>
          <w:snapToGrid w:val="0"/>
          <w:kern w:val="0"/>
          <w:szCs w:val="21"/>
        </w:rPr>
        <w:t>按照联合体各方中最低资质等级确定联合体的资质等级；联合体各方的不同资质可优势互补。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（6）投标人的投标文件及中标后签署的合同协议对联合体各方均具法律约束力；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（7）联合体各方应当签订共同投标协议，明确约定各方拟承担的工作和责任，该共同投标协议应作为投标文件不可缺的组成部分；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（8）联合体中标后，联合体各方应当共同与采购人签订合同，就中标项目向采购人承担连带责任；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（11）本次采购中“投标人”一词亦指联合体各方，“前附表”另有规定或说明的除外。</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采购活动费用的承担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无论采购过程中的做法和结果如何，投标人自行承担所有与参加采购活动有关的全部费用。</w:t>
      </w:r>
    </w:p>
    <w:p>
      <w:pPr>
        <w:spacing w:line="360" w:lineRule="auto"/>
        <w:rPr>
          <w:rFonts w:ascii="仿宋" w:hAnsi="仿宋" w:eastAsia="仿宋"/>
          <w:b/>
          <w:snapToGrid w:val="0"/>
          <w:kern w:val="0"/>
          <w:szCs w:val="21"/>
        </w:rPr>
      </w:pPr>
      <w:r>
        <w:rPr>
          <w:rFonts w:hint="eastAsia" w:ascii="仿宋" w:hAnsi="仿宋" w:eastAsia="仿宋"/>
          <w:b/>
          <w:snapToGrid w:val="0"/>
          <w:kern w:val="0"/>
          <w:szCs w:val="21"/>
        </w:rPr>
        <w:t>6.  踏勘现场</w:t>
      </w:r>
    </w:p>
    <w:p>
      <w:pPr>
        <w:spacing w:line="360" w:lineRule="auto"/>
        <w:rPr>
          <w:rFonts w:ascii="仿宋" w:hAnsi="仿宋" w:eastAsia="仿宋"/>
          <w:szCs w:val="21"/>
        </w:rPr>
      </w:pPr>
      <w:r>
        <w:rPr>
          <w:rFonts w:hint="eastAsia" w:ascii="仿宋" w:hAnsi="仿宋" w:eastAsia="仿宋"/>
          <w:szCs w:val="21"/>
        </w:rPr>
        <w:t xml:space="preserve">6.1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将按前附表第6项的规定，组织投标人对现场及周围环境进行踏勘，以便投标人获取须自己负责的有关编制投标文件和签署合同所需的所有资料。踏勘现场所发生的费用由投标人自己承担。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仿宋" w:hAnsi="仿宋" w:eastAsia="仿宋"/>
          <w:szCs w:val="21"/>
        </w:rPr>
      </w:pPr>
      <w:r>
        <w:rPr>
          <w:rFonts w:hint="eastAsia" w:ascii="仿宋" w:hAnsi="仿宋" w:eastAsia="仿宋"/>
          <w:szCs w:val="21"/>
        </w:rPr>
        <w:t xml:space="preserve">6.2 </w:t>
      </w:r>
      <w:r>
        <w:rPr>
          <w:rFonts w:hint="eastAsia" w:ascii="仿宋" w:hAnsi="仿宋" w:eastAsia="仿宋"/>
          <w:bCs/>
          <w:szCs w:val="21"/>
        </w:rPr>
        <w:t xml:space="preserve"> 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向投标人提供的有关现场的资料和数据，是</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现有的能使投标人利用的资料。</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对投标人由此而做出的推论、理解和结论概不负责。</w:t>
      </w:r>
    </w:p>
    <w:p>
      <w:pPr>
        <w:spacing w:line="360" w:lineRule="auto"/>
        <w:rPr>
          <w:rFonts w:ascii="仿宋" w:hAnsi="仿宋" w:eastAsia="仿宋"/>
          <w:szCs w:val="21"/>
        </w:rPr>
      </w:pPr>
      <w:r>
        <w:rPr>
          <w:rFonts w:hint="eastAsia" w:ascii="仿宋" w:hAnsi="仿宋" w:eastAsia="仿宋"/>
          <w:szCs w:val="21"/>
        </w:rPr>
        <w:t>6.3  投标人及其人员经过</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的允许，可为踏勘目的进入</w:t>
      </w:r>
      <w:r>
        <w:rPr>
          <w:rFonts w:hint="eastAsia" w:ascii="仿宋" w:hAnsi="仿宋" w:eastAsia="仿宋"/>
          <w:bCs/>
          <w:snapToGrid w:val="0"/>
          <w:kern w:val="0"/>
          <w:szCs w:val="21"/>
        </w:rPr>
        <w:t>采购人</w:t>
      </w:r>
      <w:r>
        <w:rPr>
          <w:rFonts w:hint="eastAsia" w:ascii="仿宋" w:hAnsi="仿宋" w:eastAsia="仿宋"/>
          <w:szCs w:val="21"/>
        </w:rPr>
        <w:t>的现场，但投标人及其人员不得因此使</w:t>
      </w:r>
      <w:r>
        <w:rPr>
          <w:rFonts w:hint="eastAsia" w:ascii="仿宋" w:hAnsi="仿宋" w:eastAsia="仿宋"/>
          <w:bCs/>
          <w:szCs w:val="21"/>
        </w:rPr>
        <w:t>采购人</w:t>
      </w:r>
      <w:r>
        <w:rPr>
          <w:rFonts w:hint="eastAsia" w:ascii="仿宋" w:hAnsi="仿宋" w:eastAsia="仿宋"/>
          <w:szCs w:val="21"/>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仿宋" w:hAnsi="仿宋" w:eastAsia="仿宋"/>
          <w:szCs w:val="21"/>
        </w:rPr>
      </w:pPr>
      <w:r>
        <w:rPr>
          <w:rFonts w:hint="eastAsia" w:ascii="仿宋" w:hAnsi="仿宋" w:eastAsia="仿宋"/>
          <w:szCs w:val="21"/>
        </w:rPr>
        <w:t>6.4   如果投标人认为需要再次进行现场踏勘，</w:t>
      </w:r>
      <w:r>
        <w:rPr>
          <w:rFonts w:hint="eastAsia" w:ascii="仿宋" w:hAnsi="仿宋" w:eastAsia="仿宋"/>
          <w:bCs/>
          <w:szCs w:val="21"/>
        </w:rPr>
        <w:t>采购人</w:t>
      </w:r>
      <w:r>
        <w:rPr>
          <w:rFonts w:hint="eastAsia" w:ascii="仿宋" w:hAnsi="仿宋" w:eastAsia="仿宋"/>
          <w:szCs w:val="21"/>
        </w:rPr>
        <w:t>将予以支持，费用自理。</w:t>
      </w:r>
    </w:p>
    <w:p>
      <w:bookmarkStart w:id="1" w:name="q5"/>
      <w:bookmarkEnd w:id="1"/>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w:t>
      </w:r>
      <w:r>
        <w:rPr>
          <w:rFonts w:ascii="仿宋" w:hAnsi="仿宋" w:eastAsia="仿宋"/>
          <w:snapToGrid w:val="0"/>
          <w:kern w:val="0"/>
          <w:szCs w:val="21"/>
        </w:rPr>
        <w:t xml:space="preserve">.1  </w:t>
      </w:r>
      <w:r>
        <w:rPr>
          <w:rFonts w:hint="eastAsia" w:ascii="仿宋" w:hAnsi="仿宋" w:eastAsia="仿宋"/>
          <w:snapToGrid w:val="0"/>
          <w:kern w:val="0"/>
          <w:szCs w:val="21"/>
        </w:rPr>
        <w:t>采购文件是用以阐明所需设备及服务的情况，以及采购、投标程序和相应的合同条款。采购文件由下述部份组成：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（3）采购项目需求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（4）投标文件格式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（5）合同条款</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（6）通用条款（供应商须知）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（7）附件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采购文件的澄清及修改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投标人对采购文件如有疑点，可要求澄清，应在投标截止日5日前按采购公告中载明的地址以书面形式（包括信函、传真，下同）通知到采购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将视情况确定采用适当方式予以澄清或以书面形式予以答复，并在其认为必要时，将不标明查询来源的书面答复发给已购买采购文件的每一投标人。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.2</w:t>
      </w:r>
      <w:r>
        <w:rPr>
          <w:rFonts w:hint="eastAsia" w:ascii="仿宋" w:hAnsi="仿宋" w:eastAsia="仿宋"/>
          <w:snapToGrid w:val="0"/>
          <w:kern w:val="0"/>
          <w:szCs w:val="21"/>
        </w:rPr>
        <w:t xml:space="preserve">  在投标截止日3日前，采购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可依据投标人要求澄清的问题修改采购文件，并以书面形式通知所有购买采购文件的每一投标人，对方在收到该通知后应立即以书面的形式予以确认。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.3  </w:t>
      </w:r>
      <w:r>
        <w:rPr>
          <w:rFonts w:hint="eastAsia" w:ascii="仿宋" w:hAnsi="仿宋" w:eastAsia="仿宋"/>
          <w:snapToGrid w:val="0"/>
          <w:kern w:val="0"/>
          <w:szCs w:val="21"/>
        </w:rPr>
        <w:t>为了使投标人在准备投标文件时有合理的时间考虑采购文件的修改，采购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可酌情推迟投标截止时间和开标时间，并以书面形式通知已购买采购文件的每一投标人。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.4  </w:t>
      </w:r>
      <w:r>
        <w:rPr>
          <w:rFonts w:hint="eastAsia" w:ascii="仿宋" w:hAnsi="仿宋" w:eastAsia="仿宋"/>
          <w:snapToGrid w:val="0"/>
          <w:kern w:val="0"/>
          <w:szCs w:val="21"/>
        </w:rPr>
        <w:t>采购文件的修改将构成采购文件的一部分，对投标人有约束力。</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2" w:name="q6"/>
      <w:bookmarkEnd w:id="2"/>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投标语言及计量单位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投标文件及投标人和采购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就投标交换的文件和往来的信件，应以中文书写。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.2</w:t>
      </w:r>
      <w:r>
        <w:rPr>
          <w:rFonts w:hint="eastAsia" w:ascii="仿宋" w:hAnsi="仿宋" w:eastAsia="仿宋"/>
          <w:snapToGrid w:val="0"/>
          <w:kern w:val="0"/>
          <w:szCs w:val="21"/>
        </w:rPr>
        <w:t xml:space="preserve">  除在采购文件的设计思路和方案中另有规定外，计量单位应使用中华人民共和国法定计量单位（国际单位制和国家选定的其他计量单位）。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w:t>
      </w:r>
      <w:r>
        <w:rPr>
          <w:rFonts w:ascii="仿宋" w:hAnsi="仿宋" w:eastAsia="仿宋"/>
          <w:snapToGrid w:val="0"/>
          <w:kern w:val="0"/>
          <w:szCs w:val="21"/>
        </w:rPr>
        <w:t>.1</w:t>
      </w:r>
      <w:r>
        <w:rPr>
          <w:rFonts w:hint="eastAsia" w:ascii="仿宋" w:hAnsi="仿宋" w:eastAsia="仿宋"/>
          <w:snapToGrid w:val="0"/>
          <w:kern w:val="0"/>
          <w:szCs w:val="21"/>
        </w:rPr>
        <w:t xml:space="preserve">  投标文件应包括下列部份：</w:t>
      </w:r>
    </w:p>
    <w:p>
      <w:pPr>
        <w:adjustRightInd w:val="0"/>
        <w:spacing w:line="360" w:lineRule="auto"/>
        <w:ind w:left="945" w:leftChars="100" w:hanging="735" w:hangingChars="350"/>
        <w:rPr>
          <w:rFonts w:ascii="仿宋" w:hAnsi="仿宋" w:eastAsia="仿宋"/>
          <w:snapToGrid w:val="0"/>
          <w:kern w:val="0"/>
          <w:szCs w:val="21"/>
        </w:rPr>
      </w:pPr>
      <w:r>
        <w:rPr>
          <w:rFonts w:hint="eastAsia" w:ascii="仿宋" w:hAnsi="仿宋" w:eastAsia="仿宋"/>
          <w:snapToGrid w:val="0"/>
          <w:kern w:val="0"/>
          <w:szCs w:val="21"/>
        </w:rPr>
        <w:t>10.1.1 开标信封：装有“法定代表人证明书、法人授权委托证明书”和“开标一览表”单独密封的信封。</w:t>
      </w:r>
    </w:p>
    <w:p>
      <w:pPr>
        <w:adjustRightInd w:val="0"/>
        <w:spacing w:line="360" w:lineRule="auto"/>
        <w:ind w:firstLine="210" w:firstLineChars="100"/>
        <w:rPr>
          <w:rFonts w:ascii="仿宋" w:hAnsi="仿宋" w:eastAsia="仿宋"/>
          <w:snapToGrid w:val="0"/>
          <w:kern w:val="0"/>
          <w:szCs w:val="21"/>
        </w:rPr>
      </w:pPr>
      <w:r>
        <w:rPr>
          <w:rFonts w:hint="eastAsia" w:ascii="仿宋" w:hAnsi="仿宋" w:eastAsia="仿宋"/>
          <w:snapToGrid w:val="0"/>
          <w:kern w:val="0"/>
          <w:szCs w:val="21"/>
        </w:rPr>
        <w:t>10.1.2 投标文件：</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（1）目录</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（2）评标指引表</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（3）投标函（格式1）</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（4）投标人资格证明文件和资格声明（格式2）</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（5）评分中涉及的承诺及声明函（格式3）</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（6）</w:t>
      </w:r>
      <w:r>
        <w:fldChar w:fldCharType="begin"/>
      </w:r>
      <w:r>
        <w:instrText xml:space="preserve"> HYPERLINK \l "q24" </w:instrText>
      </w:r>
      <w:r>
        <w:fldChar w:fldCharType="separate"/>
      </w:r>
      <w:r>
        <w:rPr>
          <w:rFonts w:hint="eastAsia" w:ascii="仿宋" w:hAnsi="仿宋" w:eastAsia="仿宋"/>
          <w:szCs w:val="21"/>
        </w:rPr>
        <w:t>开标一览表</w:t>
      </w:r>
      <w:r>
        <w:rPr>
          <w:rFonts w:hint="eastAsia" w:ascii="仿宋" w:hAnsi="仿宋" w:eastAsia="仿宋"/>
          <w:szCs w:val="21"/>
        </w:rPr>
        <w:fldChar w:fldCharType="end"/>
      </w:r>
      <w:r>
        <w:rPr>
          <w:rFonts w:hint="eastAsia" w:ascii="仿宋" w:hAnsi="仿宋" w:eastAsia="仿宋"/>
          <w:snapToGrid w:val="0"/>
          <w:kern w:val="0"/>
          <w:szCs w:val="21"/>
        </w:rPr>
        <w:t>（格式4）</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（7）报价表（格式5）</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（8）技术规格（格式6）</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（9）交付进度（格式7）</w:t>
      </w:r>
    </w:p>
    <w:p>
      <w:pPr>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（10）售后服务和质量承诺</w:t>
      </w:r>
      <w:r>
        <w:rPr>
          <w:rFonts w:hint="eastAsia" w:ascii="仿宋" w:hAnsi="仿宋" w:eastAsia="仿宋"/>
          <w:snapToGrid w:val="0"/>
          <w:kern w:val="0"/>
          <w:szCs w:val="21"/>
        </w:rPr>
        <w:t>（格式8）</w:t>
      </w:r>
    </w:p>
    <w:p>
      <w:pPr>
        <w:tabs>
          <w:tab w:val="left" w:pos="1991"/>
        </w:tabs>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（11）偏离表</w:t>
      </w:r>
      <w:r>
        <w:rPr>
          <w:rFonts w:hint="eastAsia" w:ascii="仿宋" w:hAnsi="仿宋" w:eastAsia="仿宋"/>
          <w:snapToGrid w:val="0"/>
          <w:kern w:val="0"/>
          <w:szCs w:val="21"/>
        </w:rPr>
        <w:t>（格式9）</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bCs/>
          <w:snapToGrid w:val="0"/>
          <w:kern w:val="0"/>
          <w:szCs w:val="21"/>
        </w:rPr>
        <w:t>（12）</w:t>
      </w:r>
      <w:r>
        <w:rPr>
          <w:rFonts w:ascii="仿宋" w:hAnsi="仿宋" w:eastAsia="仿宋"/>
          <w:bCs/>
          <w:snapToGrid w:val="0"/>
          <w:kern w:val="0"/>
          <w:szCs w:val="21"/>
        </w:rPr>
        <w:t>其他</w:t>
      </w:r>
      <w:r>
        <w:rPr>
          <w:rFonts w:hint="eastAsia" w:ascii="仿宋" w:hAnsi="仿宋" w:eastAsia="仿宋"/>
          <w:snapToGrid w:val="0"/>
          <w:kern w:val="0"/>
          <w:szCs w:val="21"/>
        </w:rPr>
        <w:t>采购</w:t>
      </w:r>
      <w:r>
        <w:rPr>
          <w:rFonts w:ascii="仿宋" w:hAnsi="仿宋" w:eastAsia="仿宋"/>
          <w:bCs/>
          <w:snapToGrid w:val="0"/>
          <w:kern w:val="0"/>
          <w:szCs w:val="21"/>
        </w:rPr>
        <w:t>文件要求的资料或投标人认为需要补充的资料</w:t>
      </w:r>
      <w:r>
        <w:rPr>
          <w:rFonts w:hint="eastAsia" w:ascii="仿宋" w:hAnsi="仿宋" w:eastAsia="仿宋"/>
          <w:snapToGrid w:val="0"/>
          <w:kern w:val="0"/>
          <w:szCs w:val="21"/>
        </w:rPr>
        <w:t>（格式10）</w:t>
      </w:r>
    </w:p>
    <w:p>
      <w:pPr>
        <w:adjustRightInd w:val="0"/>
        <w:spacing w:line="360" w:lineRule="auto"/>
        <w:rPr>
          <w:rFonts w:ascii="仿宋" w:hAnsi="仿宋" w:eastAsia="仿宋"/>
          <w:snapToGrid w:val="0"/>
          <w:kern w:val="0"/>
          <w:szCs w:val="21"/>
        </w:rPr>
      </w:pPr>
      <w:r>
        <w:rPr>
          <w:rFonts w:hint="eastAsia" w:ascii="仿宋" w:hAnsi="仿宋" w:eastAsia="仿宋"/>
          <w:b/>
          <w:snapToGrid w:val="0"/>
          <w:kern w:val="0"/>
          <w:szCs w:val="21"/>
        </w:rPr>
        <w:t>11</w:t>
      </w:r>
      <w:r>
        <w:rPr>
          <w:rFonts w:ascii="仿宋" w:hAnsi="仿宋" w:eastAsia="仿宋"/>
          <w:b/>
          <w:snapToGrid w:val="0"/>
          <w:kern w:val="0"/>
          <w:szCs w:val="21"/>
        </w:rPr>
        <w:t xml:space="preserve">. </w:t>
      </w:r>
      <w:r>
        <w:rPr>
          <w:rFonts w:hint="eastAsia" w:ascii="仿宋" w:hAnsi="仿宋" w:eastAsia="仿宋"/>
          <w:b/>
          <w:snapToGrid w:val="0"/>
          <w:kern w:val="0"/>
          <w:szCs w:val="21"/>
        </w:rPr>
        <w:t>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w:t>
      </w:r>
      <w:r>
        <w:rPr>
          <w:rFonts w:ascii="仿宋" w:hAnsi="仿宋" w:eastAsia="仿宋"/>
          <w:snapToGrid w:val="0"/>
          <w:kern w:val="0"/>
          <w:szCs w:val="21"/>
        </w:rPr>
        <w:t xml:space="preserve">.1  </w:t>
      </w:r>
      <w:r>
        <w:rPr>
          <w:rFonts w:hint="eastAsia" w:ascii="仿宋" w:hAnsi="仿宋" w:eastAsia="仿宋"/>
          <w:snapToGrid w:val="0"/>
          <w:kern w:val="0"/>
          <w:szCs w:val="21"/>
        </w:rPr>
        <w:t>投标文件必须毫无遗漏地包括本须知第10条规定的内容，投标人提交的投标文件必须毫无例外地使用采购文件所提供投标文件格式（表格可以按同样格式扩展）。</w:t>
      </w:r>
    </w:p>
    <w:p>
      <w:pPr>
        <w:adjustRightInd w:val="0"/>
        <w:spacing w:line="360" w:lineRule="auto"/>
        <w:rPr>
          <w:rFonts w:ascii="仿宋" w:hAnsi="仿宋" w:eastAsia="仿宋"/>
          <w:snapToGrid w:val="0"/>
          <w:kern w:val="0"/>
          <w:szCs w:val="21"/>
        </w:rPr>
      </w:pPr>
      <w:r>
        <w:rPr>
          <w:rFonts w:hint="eastAsia" w:ascii="仿宋" w:hAnsi="仿宋" w:eastAsia="仿宋"/>
          <w:b/>
          <w:snapToGrid w:val="0"/>
          <w:color w:val="FF0000"/>
          <w:kern w:val="0"/>
          <w:szCs w:val="21"/>
          <w:highlight w:val="yellow"/>
        </w:rPr>
        <w:t>注：如采购文件第三部分投标格式与本须知第10条规定的内容不一致，已投标文件第三部分投标格式为准。</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w:t>
      </w:r>
      <w:r>
        <w:rPr>
          <w:rFonts w:ascii="仿宋" w:hAnsi="仿宋" w:eastAsia="仿宋"/>
          <w:b/>
          <w:snapToGrid w:val="0"/>
          <w:kern w:val="0"/>
          <w:szCs w:val="21"/>
        </w:rPr>
        <w:t xml:space="preserve">. </w:t>
      </w:r>
      <w:r>
        <w:rPr>
          <w:rFonts w:hint="eastAsia" w:ascii="仿宋" w:hAnsi="仿宋" w:eastAsia="仿宋"/>
          <w:b/>
          <w:snapToGrid w:val="0"/>
          <w:kern w:val="0"/>
          <w:szCs w:val="21"/>
        </w:rPr>
        <w:t>投标报价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12.1</w:t>
      </w:r>
      <w:r>
        <w:rPr>
          <w:rFonts w:hint="eastAsia" w:ascii="仿宋" w:hAnsi="仿宋" w:eastAsia="仿宋"/>
          <w:snapToGrid w:val="0"/>
          <w:kern w:val="0"/>
          <w:szCs w:val="21"/>
        </w:rPr>
        <w:t xml:space="preserve">  投标报价应为到指定地点价，以人民币为结算单位。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投标人应在采购文件所附的“开标一览表”（格式3）和“报价表”（格式4）上写明投标货物的单价和投标总价。投标人对每种项目只允许有一个报价，采购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不接受有任何选择的报价。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12.3  </w:t>
      </w:r>
      <w:r>
        <w:rPr>
          <w:rFonts w:hint="eastAsia" w:ascii="仿宋" w:hAnsi="仿宋" w:eastAsia="仿宋"/>
          <w:snapToGrid w:val="0"/>
          <w:kern w:val="0"/>
          <w:szCs w:val="21"/>
        </w:rPr>
        <w:t>此报价作为评标委员会评标标准，但不能限制</w:t>
      </w:r>
      <w:r>
        <w:rPr>
          <w:rFonts w:hint="eastAsia" w:ascii="仿宋" w:hAnsi="仿宋" w:eastAsia="仿宋"/>
          <w:bCs/>
          <w:snapToGrid w:val="0"/>
          <w:kern w:val="0"/>
          <w:szCs w:val="21"/>
        </w:rPr>
        <w:t>采购人</w:t>
      </w:r>
      <w:r>
        <w:rPr>
          <w:rFonts w:hint="eastAsia" w:ascii="仿宋" w:hAnsi="仿宋" w:eastAsia="仿宋"/>
          <w:snapToGrid w:val="0"/>
          <w:kern w:val="0"/>
          <w:szCs w:val="21"/>
        </w:rPr>
        <w:t>以其它方式签订合同的权力。</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3</w:t>
      </w:r>
      <w:r>
        <w:rPr>
          <w:rFonts w:ascii="仿宋" w:hAnsi="仿宋" w:eastAsia="仿宋"/>
          <w:b/>
          <w:snapToGrid w:val="0"/>
          <w:kern w:val="0"/>
          <w:szCs w:val="21"/>
        </w:rPr>
        <w:t xml:space="preserve">. </w:t>
      </w:r>
      <w:r>
        <w:rPr>
          <w:rFonts w:hint="eastAsia" w:ascii="仿宋" w:hAnsi="仿宋" w:eastAsia="仿宋"/>
          <w:b/>
          <w:snapToGrid w:val="0"/>
          <w:kern w:val="0"/>
          <w:szCs w:val="21"/>
        </w:rPr>
        <w:t>投标人资格的证明文件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3</w:t>
      </w:r>
      <w:r>
        <w:rPr>
          <w:rFonts w:ascii="仿宋" w:hAnsi="仿宋" w:eastAsia="仿宋"/>
          <w:snapToGrid w:val="0"/>
          <w:kern w:val="0"/>
          <w:szCs w:val="21"/>
        </w:rPr>
        <w:t xml:space="preserve">.1  </w:t>
      </w:r>
      <w:r>
        <w:rPr>
          <w:rFonts w:hint="eastAsia" w:ascii="仿宋" w:hAnsi="仿宋" w:eastAsia="仿宋"/>
          <w:snapToGrid w:val="0"/>
          <w:kern w:val="0"/>
          <w:szCs w:val="21"/>
        </w:rPr>
        <w:t>投标人必须提交证明其有资格进行投标，和中标后有能力履行合同的证明文件（格式1与格式2），作为投标文件的一部份。</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投标有效期</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.1</w:t>
      </w:r>
      <w:r>
        <w:rPr>
          <w:rFonts w:hint="eastAsia" w:ascii="仿宋" w:hAnsi="仿宋" w:eastAsia="仿宋"/>
          <w:snapToGrid w:val="0"/>
          <w:kern w:val="0"/>
          <w:szCs w:val="21"/>
        </w:rPr>
        <w:t xml:space="preserve">  投标文件的有效期按前附表第7项规定。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 xml:space="preserve">.2  </w:t>
      </w:r>
      <w:r>
        <w:rPr>
          <w:rFonts w:hint="eastAsia" w:ascii="仿宋" w:hAnsi="仿宋" w:eastAsia="仿宋"/>
          <w:snapToGrid w:val="0"/>
          <w:kern w:val="0"/>
          <w:szCs w:val="21"/>
        </w:rPr>
        <w:t>特殊情况下，采购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可于投标有效期期满之前，要求投标人同意延长投标有效期。投标人可以拒绝或同意上述要求，但要求与答复均须是书面文件。对于同意该要求的投标人，采购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既不要求也不允许其修改投标文件。</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15. </w:t>
      </w:r>
      <w:r>
        <w:rPr>
          <w:rFonts w:hint="eastAsia" w:ascii="仿宋" w:hAnsi="仿宋" w:eastAsia="仿宋"/>
          <w:b/>
          <w:snapToGrid w:val="0"/>
          <w:kern w:val="0"/>
          <w:szCs w:val="21"/>
        </w:rPr>
        <w:t>项目保证金</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以下有关项目保证金的条款仅适用于需要缴纳项目保证金的项目。是否需要缴纳项目保证金以《供应商须知前附表》中的规定或说明为准。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15.2 </w:t>
      </w:r>
      <w:r>
        <w:rPr>
          <w:rFonts w:hint="eastAsia" w:ascii="仿宋" w:hAnsi="仿宋" w:eastAsia="仿宋"/>
          <w:snapToGrid w:val="0"/>
          <w:kern w:val="0"/>
          <w:szCs w:val="21"/>
        </w:rPr>
        <w:t xml:space="preserve"> 投标人应向采购代理机构提交一笔不少于前附表第8项所规定的项目保证金，以到账为准。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15.3</w:t>
      </w:r>
      <w:r>
        <w:rPr>
          <w:rFonts w:hint="eastAsia" w:ascii="仿宋" w:hAnsi="仿宋" w:eastAsia="仿宋"/>
          <w:snapToGrid w:val="0"/>
          <w:kern w:val="0"/>
          <w:szCs w:val="21"/>
        </w:rPr>
        <w:t xml:space="preserve">  项目保证金用于保护本次采购免受投标人的行为而引起的风险。</w:t>
      </w:r>
    </w:p>
    <w:p>
      <w:pPr>
        <w:adjustRightInd w:val="0"/>
        <w:spacing w:line="288" w:lineRule="auto"/>
        <w:ind w:left="630" w:hanging="630" w:hangingChars="300"/>
        <w:rPr>
          <w:rFonts w:ascii="仿宋" w:hAnsi="仿宋" w:eastAsia="仿宋"/>
          <w:snapToGrid w:val="0"/>
          <w:kern w:val="0"/>
          <w:szCs w:val="21"/>
        </w:rPr>
      </w:pPr>
      <w:r>
        <w:rPr>
          <w:rFonts w:ascii="仿宋" w:hAnsi="仿宋" w:eastAsia="仿宋"/>
          <w:snapToGrid w:val="0"/>
          <w:kern w:val="0"/>
          <w:szCs w:val="21"/>
        </w:rPr>
        <w:t>15.</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项目保证金应以支票、汇票、本票或采购机构能够接受的银行保函等其它非现金形式提交。（注：必须从投标供应商基本账户转出，否则其投标无效。）</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15.5  </w:t>
      </w:r>
      <w:r>
        <w:rPr>
          <w:rFonts w:hint="eastAsia" w:ascii="仿宋" w:hAnsi="仿宋" w:eastAsia="仿宋"/>
          <w:snapToGrid w:val="0"/>
          <w:kern w:val="0"/>
          <w:szCs w:val="21"/>
        </w:rPr>
        <w:t>未按规定提交项目保证金的投标，将被视为无效投标。</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15.6 </w:t>
      </w:r>
      <w:r>
        <w:rPr>
          <w:rFonts w:hint="eastAsia" w:ascii="仿宋" w:hAnsi="仿宋" w:eastAsia="仿宋"/>
          <w:snapToGrid w:val="0"/>
          <w:kern w:val="0"/>
          <w:szCs w:val="21"/>
        </w:rPr>
        <w:t xml:space="preserve"> 未中标的投标人的项目保证金，采购代理机构将在中标通知书发出且收到投标人的《项目保证金退还申请表》后5个工作日内退还。</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15.7 </w:t>
      </w:r>
      <w:r>
        <w:rPr>
          <w:rFonts w:hint="eastAsia" w:ascii="仿宋" w:hAnsi="仿宋" w:eastAsia="仿宋"/>
          <w:snapToGrid w:val="0"/>
          <w:kern w:val="0"/>
          <w:szCs w:val="21"/>
        </w:rPr>
        <w:t xml:space="preserve"> 中标方的项目保证金</w:t>
      </w:r>
      <w:r>
        <w:rPr>
          <w:rFonts w:ascii="仿宋" w:hAnsi="仿宋" w:eastAsia="仿宋"/>
          <w:snapToGrid w:val="0"/>
          <w:kern w:val="0"/>
          <w:szCs w:val="21"/>
        </w:rPr>
        <w:t>，</w:t>
      </w:r>
      <w:r>
        <w:rPr>
          <w:rFonts w:hint="eastAsia" w:ascii="仿宋" w:hAnsi="仿宋" w:eastAsia="仿宋"/>
          <w:snapToGrid w:val="0"/>
          <w:kern w:val="0"/>
          <w:szCs w:val="21"/>
        </w:rPr>
        <w:t>采购代理机构将在中标方签订合同并支付采购代理服务费后5个工作日内退还。</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15.</w:t>
      </w:r>
      <w:r>
        <w:rPr>
          <w:rFonts w:ascii="仿宋" w:hAnsi="仿宋" w:eastAsia="仿宋"/>
          <w:snapToGrid w:val="0"/>
          <w:kern w:val="0"/>
          <w:szCs w:val="21"/>
        </w:rPr>
        <w:t>8</w:t>
      </w:r>
      <w:r>
        <w:rPr>
          <w:rFonts w:hint="eastAsia" w:ascii="仿宋" w:hAnsi="仿宋" w:eastAsia="仿宋"/>
          <w:snapToGrid w:val="0"/>
          <w:kern w:val="0"/>
          <w:szCs w:val="21"/>
        </w:rPr>
        <w:t xml:space="preserve">  发生以下情况项目保证金将被没收：</w:t>
      </w:r>
    </w:p>
    <w:p>
      <w:pPr>
        <w:adjustRightInd w:val="0"/>
        <w:spacing w:line="288" w:lineRule="auto"/>
        <w:ind w:left="630" w:hanging="630" w:hangingChars="300"/>
        <w:rPr>
          <w:rFonts w:ascii="仿宋" w:hAnsi="仿宋" w:eastAsia="仿宋"/>
          <w:snapToGrid w:val="0"/>
          <w:kern w:val="0"/>
          <w:szCs w:val="21"/>
        </w:rPr>
      </w:pPr>
      <w:r>
        <w:rPr>
          <w:rFonts w:hint="eastAsia" w:ascii="仿宋" w:hAnsi="仿宋" w:eastAsia="仿宋"/>
          <w:snapToGrid w:val="0"/>
          <w:kern w:val="0"/>
          <w:szCs w:val="21"/>
        </w:rPr>
        <w:t>（1）投标人在投标有效期内撤销投标文件；</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按本须知第32条规定签订合同；或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按本须知第33条规定提供履约保证金；或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按本须知第34条规定缴纳采购代理服务费。</w:t>
      </w:r>
    </w:p>
    <w:p>
      <w:pPr>
        <w:pStyle w:val="8"/>
        <w:rPr>
          <w:rFonts w:ascii="仿宋" w:hAnsi="仿宋" w:eastAsia="仿宋"/>
          <w:szCs w:val="21"/>
        </w:rPr>
      </w:pPr>
      <w:r>
        <w:rPr>
          <w:rFonts w:hint="eastAsia" w:ascii="仿宋" w:hAnsi="仿宋" w:eastAsia="仿宋"/>
          <w:snapToGrid w:val="0"/>
          <w:kern w:val="0"/>
          <w:szCs w:val="21"/>
        </w:rPr>
        <w:t>（5） 法律法规规定的其它情况。</w:t>
      </w:r>
    </w:p>
    <w:p>
      <w:pPr>
        <w:tabs>
          <w:tab w:val="left" w:pos="330"/>
        </w:tabs>
        <w:spacing w:line="360" w:lineRule="auto"/>
        <w:rPr>
          <w:rFonts w:ascii="仿宋" w:hAnsi="仿宋" w:eastAsia="仿宋"/>
          <w:b/>
          <w:szCs w:val="21"/>
        </w:rPr>
      </w:pPr>
      <w:r>
        <w:rPr>
          <w:rFonts w:hint="eastAsia" w:ascii="仿宋" w:hAnsi="仿宋" w:eastAsia="仿宋"/>
          <w:b/>
          <w:szCs w:val="21"/>
        </w:rPr>
        <w:t>16. 投标预备会（</w:t>
      </w:r>
      <w:r>
        <w:rPr>
          <w:rFonts w:hint="eastAsia" w:ascii="仿宋" w:hAnsi="仿宋" w:eastAsia="仿宋"/>
          <w:b/>
          <w:snapToGrid w:val="0"/>
          <w:kern w:val="0"/>
          <w:szCs w:val="21"/>
        </w:rPr>
        <w:t>答疑会）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投标预备会（答疑会），如采购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认为有必要召开投标预备会，投标人应按照前附表第9项规定的或采购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另行书面通知的时间和地点，派出代表出席采购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16.2  投标预备会的目的是澄清、解答投标人在查阅采购文件后和现场踏勘中可能提出的任何方面的问题。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投标人提出的与投标有关的任何采购问题须以书面形式给采购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16.4  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在投标预备会上所做出的澄清和解答，以书面答复为准，投标人在收到投标答疑纪要时应以书面形式予以确认。答疑纪要的有效性规定按照本须知第8</w:t>
      </w:r>
      <w:r>
        <w:rPr>
          <w:rFonts w:ascii="仿宋" w:hAnsi="仿宋" w:eastAsia="仿宋"/>
          <w:snapToGrid w:val="0"/>
          <w:kern w:val="0"/>
          <w:szCs w:val="21"/>
        </w:rPr>
        <w:t>.</w:t>
      </w:r>
      <w:r>
        <w:rPr>
          <w:rFonts w:hint="eastAsia" w:ascii="仿宋" w:hAnsi="仿宋" w:eastAsia="仿宋"/>
          <w:snapToGrid w:val="0"/>
          <w:kern w:val="0"/>
          <w:szCs w:val="21"/>
        </w:rPr>
        <w:t>2、8</w:t>
      </w:r>
      <w:r>
        <w:rPr>
          <w:rFonts w:ascii="仿宋" w:hAnsi="仿宋" w:eastAsia="仿宋"/>
          <w:snapToGrid w:val="0"/>
          <w:kern w:val="0"/>
          <w:szCs w:val="21"/>
        </w:rPr>
        <w:t>.4</w:t>
      </w:r>
      <w:r>
        <w:rPr>
          <w:rFonts w:hint="eastAsia" w:ascii="仿宋" w:hAnsi="仿宋" w:eastAsia="仿宋"/>
          <w:snapToGrid w:val="0"/>
          <w:kern w:val="0"/>
          <w:szCs w:val="21"/>
        </w:rPr>
        <w:t>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未出席投标预备会不作为否定投标人资格的理由。</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17. </w:t>
      </w:r>
      <w:r>
        <w:rPr>
          <w:rFonts w:hint="eastAsia" w:ascii="仿宋" w:hAnsi="仿宋" w:eastAsia="仿宋"/>
          <w:b/>
          <w:snapToGrid w:val="0"/>
          <w:kern w:val="0"/>
          <w:szCs w:val="21"/>
        </w:rPr>
        <w:t>投标文件的份数和签署</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17.1  </w:t>
      </w:r>
      <w:r>
        <w:rPr>
          <w:rFonts w:hint="eastAsia" w:ascii="仿宋" w:hAnsi="仿宋" w:eastAsia="仿宋"/>
          <w:snapToGrid w:val="0"/>
          <w:kern w:val="0"/>
          <w:szCs w:val="21"/>
        </w:rPr>
        <w:t>投标文件数量按前附表第10项所述，须在每一份投标文件上明确注明“正本”或“副本”字样。一旦正本和副本有差异，以正本为准。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17.2  </w:t>
      </w:r>
      <w:r>
        <w:rPr>
          <w:rFonts w:hint="eastAsia" w:ascii="仿宋" w:hAnsi="仿宋" w:eastAsia="仿宋"/>
          <w:snapToGrid w:val="0"/>
          <w:kern w:val="0"/>
          <w:szCs w:val="21"/>
        </w:rPr>
        <w:t>为了便于投标文件保存，需提交一份投标文件正文盖章扫描件（.pdf）电子档一份。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投标文件正本及开标一览表须打印，并经法定代表人或其授权代表签字和盖章，投标文件的副本可采用正本复印件。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除投标人对错处做必要修改外，投标文件中不许有加行、涂抹或改写，如有修改遗漏处，必须由投标人法定代表人或其授权代表签字和盖章。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5</w:t>
      </w:r>
      <w:r>
        <w:rPr>
          <w:rFonts w:ascii="仿宋" w:hAnsi="仿宋" w:eastAsia="仿宋"/>
          <w:snapToGrid w:val="0"/>
          <w:kern w:val="0"/>
          <w:szCs w:val="21"/>
        </w:rPr>
        <w:t xml:space="preserve">  </w:t>
      </w:r>
      <w:r>
        <w:rPr>
          <w:rFonts w:hint="eastAsia" w:ascii="仿宋" w:hAnsi="仿宋" w:eastAsia="仿宋"/>
          <w:snapToGrid w:val="0"/>
          <w:kern w:val="0"/>
          <w:szCs w:val="21"/>
        </w:rPr>
        <w:t>电报、电话、传真形式的投标概不接受。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17.6  投标文件不符合上述规定，为无效投标。</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3" w:name="q7"/>
      <w:bookmarkEnd w:id="3"/>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18.</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投标文件的密封和标记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18.1须在每一份投标文件封面上明确注明“正本”或“副本”字样。一旦正本和副本有差异，以正本为准。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18.2投标文件完整密封（包含一份正本和四份副本）。</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18.3投标人应将投标文件正文扫描件电子档单独密封于一信封，在信封上注明“备份电子档”。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18.4 将按本须知第18.2、18.3款密封好的“投标文件”和“备份电子档”一起封装在一个外层包封中，同时还应：</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w:t>
      </w:r>
      <w:r>
        <w:rPr>
          <w:rFonts w:ascii="仿宋" w:hAnsi="仿宋" w:eastAsia="仿宋"/>
          <w:snapToGrid w:val="0"/>
          <w:kern w:val="0"/>
          <w:szCs w:val="21"/>
        </w:rPr>
        <w:t>项目编号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18.5</w:t>
      </w:r>
      <w:r>
        <w:rPr>
          <w:rFonts w:ascii="仿宋" w:hAnsi="仿宋" w:eastAsia="仿宋"/>
          <w:snapToGrid w:val="0"/>
          <w:kern w:val="0"/>
          <w:szCs w:val="21"/>
        </w:rPr>
        <w:t xml:space="preserve">  </w:t>
      </w:r>
      <w:r>
        <w:rPr>
          <w:rFonts w:hint="eastAsia" w:ascii="仿宋" w:hAnsi="仿宋" w:eastAsia="仿宋"/>
          <w:snapToGrid w:val="0"/>
          <w:kern w:val="0"/>
          <w:szCs w:val="21"/>
        </w:rPr>
        <w:t>投标人应将“法定代表人证明书、法人授权委托证明书”和“开标一览表”密封于一信封，在递交投标文件时单独交与采购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，在信封上应：</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、项目</w:t>
      </w:r>
      <w:r>
        <w:rPr>
          <w:rFonts w:ascii="仿宋" w:hAnsi="仿宋" w:eastAsia="仿宋"/>
          <w:snapToGrid w:val="0"/>
          <w:kern w:val="0"/>
          <w:szCs w:val="21"/>
        </w:rPr>
        <w:t>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ascii="仿宋" w:hAnsi="仿宋" w:eastAsia="仿宋"/>
          <w:snapToGrid w:val="0"/>
          <w:kern w:val="0"/>
          <w:szCs w:val="21"/>
        </w:rPr>
        <w:t>注明</w:t>
      </w:r>
      <w:r>
        <w:rPr>
          <w:rFonts w:hint="eastAsia" w:ascii="仿宋" w:hAnsi="仿宋" w:eastAsia="仿宋"/>
          <w:snapToGrid w:val="0"/>
          <w:kern w:val="0"/>
          <w:szCs w:val="21"/>
        </w:rPr>
        <w:t>：“开标一览表”和“法定代表人证明书、法人授权委托证明书”</w:t>
      </w:r>
    </w:p>
    <w:p>
      <w:pPr>
        <w:adjustRightInd w:val="0"/>
        <w:spacing w:line="360" w:lineRule="auto"/>
        <w:ind w:firstLine="525" w:firstLineChars="250"/>
        <w:rPr>
          <w:rFonts w:ascii="仿宋" w:hAnsi="仿宋" w:eastAsia="仿宋"/>
          <w:snapToGrid w:val="0"/>
          <w:kern w:val="0"/>
          <w:szCs w:val="21"/>
        </w:rPr>
      </w:pPr>
      <w:r>
        <w:rPr>
          <w:rFonts w:ascii="仿宋" w:hAnsi="仿宋" w:eastAsia="仿宋"/>
          <w:snapToGrid w:val="0"/>
          <w:kern w:val="0"/>
          <w:szCs w:val="21"/>
        </w:rPr>
        <w:t>E</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18.6  除了按本须知第18.4、18.5款所要求的识别字样外，在所有投标文件密封袋上还应写明投标人的名称与地址、邮政编码，以便投标按本须知第20条宣布“迟到”时，投标文件可以原封退回；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18.7  如果投标文件没有按本投标须知第18.</w:t>
      </w:r>
      <w:r>
        <w:rPr>
          <w:rFonts w:ascii="仿宋" w:hAnsi="仿宋" w:eastAsia="仿宋"/>
          <w:snapToGrid w:val="0"/>
          <w:kern w:val="0"/>
          <w:szCs w:val="21"/>
        </w:rPr>
        <w:t>1</w:t>
      </w:r>
      <w:r>
        <w:rPr>
          <w:rFonts w:hint="eastAsia" w:ascii="仿宋" w:hAnsi="仿宋" w:eastAsia="仿宋"/>
          <w:snapToGrid w:val="0"/>
          <w:kern w:val="0"/>
          <w:szCs w:val="21"/>
        </w:rPr>
        <w:t>至18.6款规定加写标记和密封，采购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将拒收或者告知投标人，采购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将不承担投标文件错放或提前开封的责任。对由此造成的提前开封的投标文件将予以拒绝，并退还给投标人；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18.8  所有投标文件的密封袋的封口处应加盖投标人印章。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18.</w:t>
      </w:r>
      <w:r>
        <w:rPr>
          <w:rFonts w:hint="eastAsia" w:ascii="仿宋" w:hAnsi="仿宋" w:eastAsia="仿宋"/>
          <w:snapToGrid w:val="0"/>
          <w:kern w:val="0"/>
          <w:szCs w:val="21"/>
        </w:rPr>
        <w:t>9</w:t>
      </w:r>
      <w:r>
        <w:rPr>
          <w:rFonts w:ascii="仿宋" w:hAnsi="仿宋" w:eastAsia="仿宋"/>
          <w:snapToGrid w:val="0"/>
          <w:kern w:val="0"/>
          <w:szCs w:val="21"/>
        </w:rPr>
        <w:t xml:space="preserve">  </w:t>
      </w:r>
      <w:r>
        <w:rPr>
          <w:rFonts w:hint="eastAsia" w:ascii="仿宋" w:hAnsi="仿宋" w:eastAsia="仿宋"/>
          <w:snapToGrid w:val="0"/>
          <w:kern w:val="0"/>
          <w:szCs w:val="21"/>
        </w:rPr>
        <w:t>投标文件需由专人送交。投标人应按本投标须知第18.</w:t>
      </w:r>
      <w:r>
        <w:rPr>
          <w:rFonts w:ascii="仿宋" w:hAnsi="仿宋" w:eastAsia="仿宋"/>
          <w:snapToGrid w:val="0"/>
          <w:kern w:val="0"/>
          <w:szCs w:val="21"/>
        </w:rPr>
        <w:t>1</w:t>
      </w:r>
      <w:r>
        <w:rPr>
          <w:rFonts w:hint="eastAsia" w:ascii="仿宋" w:hAnsi="仿宋" w:eastAsia="仿宋"/>
          <w:snapToGrid w:val="0"/>
          <w:kern w:val="0"/>
          <w:szCs w:val="21"/>
        </w:rPr>
        <w:t>至18.8款中的规定进行密封和标记后，将投标文件按照前附表第11项中注明的地址送至采购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18.10  投标人按采购文件要求如需提供实物，应随投标文件一起递交。</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递交投标文件的时间、地点以及截止时间</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.1  </w:t>
      </w:r>
      <w:r>
        <w:rPr>
          <w:rFonts w:hint="eastAsia" w:ascii="仿宋" w:hAnsi="仿宋" w:eastAsia="仿宋"/>
          <w:snapToGrid w:val="0"/>
          <w:kern w:val="0"/>
          <w:szCs w:val="21"/>
        </w:rPr>
        <w:t>递交投标文件的地点与开标仪式的地点相同。</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所有投标文件都必须按采购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在前附表第</w:t>
      </w:r>
      <w:bookmarkStart w:id="4" w:name="_Hlt35050056"/>
      <w:bookmarkEnd w:id="4"/>
      <w:r>
        <w:rPr>
          <w:rFonts w:hint="eastAsia" w:ascii="仿宋" w:hAnsi="仿宋" w:eastAsia="仿宋"/>
          <w:snapToGrid w:val="0"/>
          <w:kern w:val="0"/>
          <w:szCs w:val="21"/>
        </w:rPr>
        <w:t>12项中规定的投标截止时间之前送至采购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.3  </w:t>
      </w:r>
      <w:r>
        <w:rPr>
          <w:rFonts w:hint="eastAsia" w:ascii="仿宋" w:hAnsi="仿宋" w:eastAsia="仿宋"/>
          <w:snapToGrid w:val="0"/>
          <w:kern w:val="0"/>
          <w:szCs w:val="21"/>
        </w:rPr>
        <w:t>出现第8</w:t>
      </w:r>
      <w:r>
        <w:rPr>
          <w:rFonts w:ascii="仿宋" w:hAnsi="仿宋" w:eastAsia="仿宋"/>
          <w:snapToGrid w:val="0"/>
          <w:kern w:val="0"/>
          <w:szCs w:val="21"/>
        </w:rPr>
        <w:t>.3</w:t>
      </w:r>
      <w:r>
        <w:rPr>
          <w:rFonts w:hint="eastAsia" w:ascii="仿宋" w:hAnsi="仿宋" w:eastAsia="仿宋"/>
          <w:snapToGrid w:val="0"/>
          <w:kern w:val="0"/>
          <w:szCs w:val="21"/>
        </w:rPr>
        <w:t>款因采购文件修改或其他原因推迟投标截止时，则按采购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修改通知规定的时间递交。</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在投标截止时间前30分钟开始接收投标文件。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w:t>
      </w:r>
      <w:r>
        <w:rPr>
          <w:rFonts w:ascii="仿宋" w:hAnsi="仿宋" w:eastAsia="仿宋"/>
          <w:b/>
          <w:snapToGrid w:val="0"/>
          <w:kern w:val="0"/>
          <w:szCs w:val="21"/>
        </w:rPr>
        <w:t xml:space="preserve">. </w:t>
      </w:r>
      <w:r>
        <w:rPr>
          <w:rFonts w:hint="eastAsia" w:ascii="仿宋" w:hAnsi="仿宋" w:eastAsia="仿宋"/>
          <w:b/>
          <w:snapToGrid w:val="0"/>
          <w:kern w:val="0"/>
          <w:szCs w:val="21"/>
        </w:rPr>
        <w:t>迟交的投标文件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w:t>
      </w:r>
      <w:r>
        <w:rPr>
          <w:rFonts w:ascii="仿宋" w:hAnsi="仿宋" w:eastAsia="仿宋"/>
          <w:snapToGrid w:val="0"/>
          <w:kern w:val="0"/>
          <w:szCs w:val="21"/>
        </w:rPr>
        <w:t xml:space="preserve">.1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将拒绝接收在投标截止时间后递交的投标文件。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投标文件的修改和撤回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投标人在提交投标文件后可对其投标文件进行修改或撤回，但采购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须在投标截止时间之前收到该修改或撤回的书面通知，该通知须有经正式授权的投标人代表签字。</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21.2</w:t>
      </w:r>
      <w:r>
        <w:rPr>
          <w:rFonts w:hint="eastAsia" w:ascii="仿宋" w:hAnsi="仿宋" w:eastAsia="仿宋"/>
          <w:snapToGrid w:val="0"/>
          <w:kern w:val="0"/>
          <w:szCs w:val="21"/>
        </w:rPr>
        <w:t xml:space="preserve">  投标人对投标文件修改的书面材料或撤回的通知应按本须知第17条和第18条规定进行编写、密封、标注和递交，并注明“修改投标文件”或“撤回投标”字样。</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21.3</w:t>
      </w:r>
      <w:r>
        <w:rPr>
          <w:rFonts w:hint="eastAsia" w:ascii="仿宋" w:hAnsi="仿宋" w:eastAsia="仿宋"/>
          <w:snapToGrid w:val="0"/>
          <w:kern w:val="0"/>
          <w:szCs w:val="21"/>
        </w:rPr>
        <w:t xml:space="preserve">  投标截止时间以后不得修改投标文件。</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21.4</w:t>
      </w:r>
      <w:r>
        <w:rPr>
          <w:rFonts w:hint="eastAsia" w:ascii="仿宋" w:hAnsi="仿宋" w:eastAsia="仿宋"/>
          <w:snapToGrid w:val="0"/>
          <w:kern w:val="0"/>
          <w:szCs w:val="21"/>
        </w:rPr>
        <w:t xml:space="preserve">  投标人不得在开标时间起到投标文件有效期满前撤销投标文件。</w:t>
      </w:r>
    </w:p>
    <w:p>
      <w:bookmarkStart w:id="5" w:name="q8"/>
      <w:bookmarkEnd w:id="5"/>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w:t>
      </w:r>
      <w:r>
        <w:rPr>
          <w:rFonts w:ascii="仿宋" w:hAnsi="仿宋" w:eastAsia="仿宋"/>
          <w:b/>
          <w:snapToGrid w:val="0"/>
          <w:kern w:val="0"/>
          <w:szCs w:val="21"/>
        </w:rPr>
        <w:t xml:space="preserve"> </w:t>
      </w:r>
      <w:r>
        <w:rPr>
          <w:rFonts w:hint="eastAsia" w:ascii="仿宋" w:hAnsi="仿宋" w:eastAsia="仿宋"/>
          <w:b/>
          <w:snapToGrid w:val="0"/>
          <w:kern w:val="0"/>
          <w:szCs w:val="21"/>
        </w:rPr>
        <w:t>开标</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22.1  </w:t>
      </w:r>
      <w:r>
        <w:rPr>
          <w:rFonts w:hint="eastAsia" w:ascii="仿宋" w:hAnsi="仿宋" w:eastAsia="仿宋"/>
          <w:snapToGrid w:val="0"/>
          <w:kern w:val="0"/>
          <w:szCs w:val="21"/>
        </w:rPr>
        <w:t>采购代理机构在前附表第11项规定的时间和地点公开开标。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22.2  所有投标人法定代表人（负责人）或授权代表都须按时参加开标会，否则不接受其投标。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  开标时，采购代理机构将检查投标文件的密封情况，在确认无误后拆封唱标。唱标主要内容为下面几点并做好唱标记录。</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 xml:space="preserve">.1 </w:t>
      </w:r>
      <w:r>
        <w:rPr>
          <w:rFonts w:hint="eastAsia" w:ascii="仿宋" w:hAnsi="仿宋" w:eastAsia="仿宋"/>
          <w:snapToGrid w:val="0"/>
          <w:kern w:val="0"/>
          <w:szCs w:val="21"/>
        </w:rPr>
        <w:t xml:space="preserve"> 核对法定代表人（负责人）或其授权代表身份证明，若不能提供相应的身份证明或不相符，则视为无效投标。 </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2  投标文件中“开标一览表”的内容。</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3  采购代理机构认为合适的其他内容。</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w:t>
      </w:r>
      <w:r>
        <w:rPr>
          <w:rFonts w:ascii="仿宋" w:hAnsi="仿宋" w:eastAsia="仿宋"/>
          <w:b/>
          <w:snapToGrid w:val="0"/>
          <w:kern w:val="0"/>
          <w:szCs w:val="21"/>
        </w:rPr>
        <w:t xml:space="preserve">. </w:t>
      </w:r>
      <w:r>
        <w:rPr>
          <w:rFonts w:hint="eastAsia" w:ascii="仿宋" w:hAnsi="仿宋" w:eastAsia="仿宋"/>
          <w:b/>
          <w:snapToGrid w:val="0"/>
          <w:kern w:val="0"/>
          <w:szCs w:val="21"/>
        </w:rPr>
        <w:t>评标委员会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.1</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将根据采购货物的特点组建评标委员会，其成员由</w:t>
      </w:r>
      <w:r>
        <w:rPr>
          <w:rFonts w:hint="eastAsia" w:ascii="仿宋" w:hAnsi="仿宋" w:eastAsia="仿宋"/>
          <w:bCs/>
          <w:snapToGrid w:val="0"/>
          <w:kern w:val="0"/>
          <w:szCs w:val="21"/>
        </w:rPr>
        <w:t>采购人</w:t>
      </w:r>
      <w:r>
        <w:rPr>
          <w:rFonts w:hint="eastAsia" w:ascii="仿宋" w:hAnsi="仿宋" w:eastAsia="仿宋"/>
          <w:snapToGrid w:val="0"/>
          <w:kern w:val="0"/>
          <w:szCs w:val="21"/>
        </w:rPr>
        <w:t>代表</w:t>
      </w:r>
      <w:r>
        <w:rPr>
          <w:rFonts w:hint="eastAsia" w:ascii="仿宋" w:hAnsi="仿宋" w:eastAsia="仿宋" w:cs="宋体"/>
          <w:bCs/>
          <w:snapToGrid w:val="0"/>
          <w:kern w:val="0"/>
          <w:szCs w:val="21"/>
        </w:rPr>
        <w:t>和有关技术、经济等方面的</w:t>
      </w:r>
      <w:r>
        <w:rPr>
          <w:rFonts w:hint="eastAsia" w:ascii="仿宋" w:hAnsi="仿宋" w:eastAsia="仿宋"/>
          <w:snapToGrid w:val="0"/>
          <w:kern w:val="0"/>
          <w:szCs w:val="21"/>
        </w:rPr>
        <w:t>专家组成。评标委员会对投标文件进行审查、质疑、评估和比较。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w:t>
      </w:r>
      <w:r>
        <w:rPr>
          <w:rFonts w:ascii="仿宋" w:hAnsi="仿宋" w:eastAsia="仿宋"/>
          <w:snapToGrid w:val="0"/>
          <w:kern w:val="0"/>
          <w:szCs w:val="21"/>
        </w:rPr>
        <w:t xml:space="preserve">.2 </w:t>
      </w:r>
      <w:r>
        <w:rPr>
          <w:rFonts w:hint="eastAsia" w:ascii="仿宋" w:hAnsi="仿宋" w:eastAsia="仿宋"/>
          <w:snapToGrid w:val="0"/>
          <w:kern w:val="0"/>
          <w:szCs w:val="21"/>
        </w:rPr>
        <w:t>评标期间，投标人应由法定代表人或其授权代表参加询标。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24. </w:t>
      </w:r>
      <w:r>
        <w:rPr>
          <w:rFonts w:hint="eastAsia" w:ascii="仿宋" w:hAnsi="仿宋" w:eastAsia="仿宋"/>
          <w:b/>
          <w:snapToGrid w:val="0"/>
          <w:kern w:val="0"/>
          <w:szCs w:val="21"/>
        </w:rPr>
        <w:t>对投标文件的审查和响应性的确定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采购机构就投标文件中的资格证明文件内容对投标供应商进行资格核查：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24.1.1采购机构就投标文件中的资格证明等内容对投标供应商进行资格核查，核查不合格的，认定其投标无效。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评标委员会将投标文件进行符合性审查：</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w:t>
      </w:r>
      <w:r>
        <w:rPr>
          <w:rFonts w:ascii="仿宋" w:hAnsi="仿宋" w:eastAsia="仿宋"/>
          <w:snapToGrid w:val="0"/>
          <w:kern w:val="0"/>
          <w:szCs w:val="21"/>
        </w:rPr>
        <w:t>1</w:t>
      </w:r>
      <w:r>
        <w:rPr>
          <w:rFonts w:hint="eastAsia" w:ascii="仿宋" w:hAnsi="仿宋" w:eastAsia="仿宋"/>
          <w:snapToGrid w:val="0"/>
          <w:kern w:val="0"/>
          <w:szCs w:val="21"/>
        </w:rPr>
        <w:t xml:space="preserve">  评标委员会将审查投标文件是否完整、总体编排是否有序、文件签署是否合格、有无计算上的错误等。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24.2.2  算术错误将按以下方法更正（次序排先者优先）：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（1）开标一览表内容与投标文件中相应内容不一致的，以开标一览表为准；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（2）</w:t>
      </w:r>
      <w:r>
        <w:rPr>
          <w:rFonts w:hint="eastAsia" w:ascii="仿宋" w:hAnsi="仿宋" w:eastAsia="仿宋"/>
          <w:szCs w:val="21"/>
        </w:rPr>
        <w:t>大写金额和小写金额不一致的，以大写金额为准；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（3）</w:t>
      </w:r>
      <w:r>
        <w:rPr>
          <w:rFonts w:hint="eastAsia" w:ascii="仿宋" w:hAnsi="仿宋" w:eastAsia="仿宋"/>
          <w:szCs w:val="21"/>
        </w:rPr>
        <w:t>单价金额小数点或者百分比有明显错位的，以开标一览表的总价为准，并修改单价；</w:t>
      </w:r>
    </w:p>
    <w:p>
      <w:pPr>
        <w:adjustRightInd w:val="0"/>
        <w:spacing w:line="360" w:lineRule="auto"/>
        <w:ind w:firstLine="105" w:firstLineChars="5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zCs w:val="21"/>
        </w:rPr>
        <w:t>总价金额与按单价汇总金额不一致的，以单价金额计算结果为准。</w:t>
      </w:r>
    </w:p>
    <w:p>
      <w:pPr>
        <w:adjustRightInd w:val="0"/>
        <w:spacing w:line="360" w:lineRule="auto"/>
        <w:ind w:left="210" w:hanging="210" w:hangingChars="100"/>
        <w:rPr>
          <w:rFonts w:ascii="仿宋" w:hAnsi="仿宋" w:eastAsia="仿宋"/>
          <w:snapToGrid w:val="0"/>
          <w:kern w:val="0"/>
          <w:szCs w:val="21"/>
        </w:rPr>
      </w:pPr>
      <w:r>
        <w:rPr>
          <w:rFonts w:hint="eastAsia" w:ascii="仿宋" w:hAnsi="仿宋" w:eastAsia="仿宋"/>
          <w:szCs w:val="21"/>
        </w:rPr>
        <w:t xml:space="preserve">     同时出现两种以上不一致的，按照前款规定的顺序修正。修正后的报价按照本须知25.2条的规定，经投标人确认后产生约束力，投标人不确认的，其投标无效。</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2.3  在对投标文件进行详细评估之前，评标委员会将依据投标人提供的“资格证明或声明文件”审查投标人的财务、技术和生产能力。如果确定投标人无资格履行合同，其投标将被拒绝。</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2.4</w:t>
      </w:r>
      <w:r>
        <w:rPr>
          <w:rFonts w:ascii="仿宋" w:hAnsi="仿宋" w:eastAsia="仿宋"/>
          <w:snapToGrid w:val="0"/>
          <w:kern w:val="0"/>
          <w:szCs w:val="21"/>
        </w:rPr>
        <w:t xml:space="preserve">  </w:t>
      </w:r>
      <w:r>
        <w:rPr>
          <w:rFonts w:hint="eastAsia" w:ascii="仿宋" w:hAnsi="仿宋" w:eastAsia="仿宋"/>
          <w:snapToGrid w:val="0"/>
          <w:kern w:val="0"/>
          <w:szCs w:val="21"/>
        </w:rPr>
        <w:t>评标委员会将确定每份投标是否对采购文件的要求，作出了实质性的响应而没有重大偏离。实质性响应的投标是指符合采购文件的所有条款、条件和规定，且没有重大偏离或保留。重大偏离或保留系指影响到采购文件规定的范围、质量和性能，或限制了</w:t>
      </w:r>
      <w:r>
        <w:rPr>
          <w:rFonts w:hint="eastAsia" w:ascii="仿宋" w:hAnsi="仿宋" w:eastAsia="仿宋"/>
          <w:bCs/>
          <w:snapToGrid w:val="0"/>
          <w:kern w:val="0"/>
          <w:szCs w:val="21"/>
        </w:rPr>
        <w:t>采购人</w:t>
      </w:r>
      <w:r>
        <w:rPr>
          <w:rFonts w:hint="eastAsia" w:ascii="仿宋" w:hAnsi="仿宋" w:eastAsia="仿宋"/>
          <w:snapToGrid w:val="0"/>
          <w:kern w:val="0"/>
          <w:szCs w:val="21"/>
        </w:rPr>
        <w:t>的权力和投标人的义务的规定。而纠正这些偏离将影响到其它提交实质性响应投标的投标人的公平竞争地位。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2.5</w:t>
      </w:r>
      <w:r>
        <w:rPr>
          <w:rFonts w:ascii="仿宋" w:hAnsi="仿宋" w:eastAsia="仿宋"/>
          <w:snapToGrid w:val="0"/>
          <w:kern w:val="0"/>
          <w:szCs w:val="21"/>
        </w:rPr>
        <w:t xml:space="preserve">  </w:t>
      </w:r>
      <w:r>
        <w:rPr>
          <w:rFonts w:hint="eastAsia" w:ascii="仿宋" w:hAnsi="仿宋" w:eastAsia="仿宋"/>
          <w:snapToGrid w:val="0"/>
          <w:kern w:val="0"/>
          <w:szCs w:val="21"/>
        </w:rPr>
        <w:t>评标委员会判断投标文件的响应性，仅基于采购文件和投标文件本身而不靠外部证据。</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2.6</w:t>
      </w:r>
      <w:r>
        <w:rPr>
          <w:rFonts w:ascii="仿宋" w:hAnsi="仿宋" w:eastAsia="仿宋"/>
          <w:snapToGrid w:val="0"/>
          <w:kern w:val="0"/>
          <w:szCs w:val="21"/>
        </w:rPr>
        <w:t xml:space="preserve">  </w:t>
      </w:r>
      <w:r>
        <w:rPr>
          <w:rFonts w:hint="eastAsia" w:ascii="仿宋" w:hAnsi="仿宋" w:eastAsia="仿宋"/>
          <w:snapToGrid w:val="0"/>
          <w:kern w:val="0"/>
          <w:szCs w:val="21"/>
        </w:rPr>
        <w:t>评标委员会将拒绝被确定为非实质性响应的投标人。投标人不能通过修正或撤销不符之处，而使其投标成为实质性响应的投标。</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2.7</w:t>
      </w:r>
      <w:r>
        <w:rPr>
          <w:rFonts w:ascii="仿宋" w:hAnsi="仿宋" w:eastAsia="仿宋"/>
          <w:snapToGrid w:val="0"/>
          <w:kern w:val="0"/>
          <w:szCs w:val="21"/>
        </w:rPr>
        <w:t xml:space="preserve">  </w:t>
      </w:r>
      <w:r>
        <w:rPr>
          <w:rFonts w:hint="eastAsia" w:ascii="仿宋" w:hAnsi="仿宋" w:eastAsia="仿宋"/>
          <w:snapToGrid w:val="0"/>
          <w:kern w:val="0"/>
          <w:szCs w:val="21"/>
        </w:rPr>
        <w:t>评标委员会允许修改投标中不构成重大偏离的、微小的、非正规、不一致或不规则的地方。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2.8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为了有助于对投标文件进行审查、评估和比较，</w:t>
      </w:r>
      <w:r>
        <w:rPr>
          <w:rFonts w:hint="eastAsia" w:ascii="仿宋" w:hAnsi="仿宋" w:eastAsia="仿宋" w:cs="宋体"/>
          <w:bCs/>
          <w:snapToGrid w:val="0"/>
          <w:kern w:val="0"/>
          <w:szCs w:val="21"/>
        </w:rPr>
        <w:t>评标委员会</w:t>
      </w:r>
      <w:r>
        <w:rPr>
          <w:rFonts w:hint="eastAsia" w:ascii="仿宋" w:hAnsi="仿宋" w:eastAsia="仿宋"/>
          <w:snapToGrid w:val="0"/>
          <w:kern w:val="0"/>
          <w:szCs w:val="21"/>
        </w:rPr>
        <w:t>有权向投标人提出质疑，并请投标人澄清其投标内容。投标人有责任，按照采购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通知的时间、地点，指派专人进行答疑和澄清。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.2  </w:t>
      </w:r>
      <w:r>
        <w:rPr>
          <w:rFonts w:hint="eastAsia" w:ascii="仿宋" w:hAnsi="仿宋" w:eastAsia="仿宋"/>
          <w:snapToGrid w:val="0"/>
          <w:kern w:val="0"/>
          <w:szCs w:val="21"/>
        </w:rPr>
        <w:t>澄清、答复应是书面的，但不得对投标内容进行实质性修改。</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26. </w:t>
      </w:r>
      <w:r>
        <w:rPr>
          <w:rFonts w:hint="eastAsia" w:ascii="仿宋" w:hAnsi="仿宋" w:eastAsia="仿宋"/>
          <w:b/>
          <w:snapToGrid w:val="0"/>
          <w:kern w:val="0"/>
          <w:szCs w:val="21"/>
        </w:rPr>
        <w:t>评标方法和详细评审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评委会将按照本须知第24条规定只对确定为实质上响应的投标文件进行评价和比较。</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26.2 </w:t>
      </w:r>
      <w:r>
        <w:rPr>
          <w:rFonts w:hint="eastAsia" w:ascii="仿宋" w:hAnsi="仿宋" w:eastAsia="仿宋"/>
          <w:snapToGrid w:val="0"/>
          <w:kern w:val="0"/>
          <w:szCs w:val="21"/>
        </w:rPr>
        <w:t>评标的基础应是本须知第</w:t>
      </w:r>
      <w:r>
        <w:rPr>
          <w:rFonts w:ascii="仿宋" w:hAnsi="仿宋" w:eastAsia="仿宋"/>
          <w:snapToGrid w:val="0"/>
          <w:kern w:val="0"/>
          <w:szCs w:val="21"/>
        </w:rPr>
        <w:t>1</w:t>
      </w:r>
      <w:r>
        <w:rPr>
          <w:rFonts w:hint="eastAsia" w:ascii="仿宋" w:hAnsi="仿宋" w:eastAsia="仿宋"/>
          <w:snapToGrid w:val="0"/>
          <w:kern w:val="0"/>
          <w:szCs w:val="21"/>
        </w:rPr>
        <w:t>2条规定的投标报价。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26.3 评标委员会将对低于成本价格的投标作无效投标处理。</w:t>
      </w:r>
    </w:p>
    <w:p>
      <w:pPr>
        <w:adjustRightInd w:val="0"/>
        <w:snapToGrid w:val="0"/>
        <w:spacing w:line="360" w:lineRule="auto"/>
        <w:rPr>
          <w:rFonts w:ascii="仿宋" w:hAnsi="仿宋" w:eastAsia="仿宋"/>
          <w:snapToGrid w:val="0"/>
          <w:kern w:val="0"/>
          <w:szCs w:val="21"/>
        </w:rPr>
      </w:pPr>
      <w:r>
        <w:rPr>
          <w:rFonts w:hint="eastAsia" w:ascii="仿宋" w:hAnsi="仿宋" w:eastAsia="仿宋"/>
          <w:snapToGrid w:val="0"/>
          <w:kern w:val="0"/>
          <w:szCs w:val="21"/>
        </w:rPr>
        <w:t>26.4 评委会在评标时，应按照评标信息量化的评审因素，对各投标文件进行分析和评审。</w:t>
      </w:r>
    </w:p>
    <w:p>
      <w:pPr>
        <w:adjustRightInd w:val="0"/>
        <w:spacing w:line="360" w:lineRule="auto"/>
        <w:rPr>
          <w:rFonts w:ascii="仿宋" w:hAnsi="仿宋" w:eastAsia="仿宋"/>
          <w:szCs w:val="21"/>
        </w:rPr>
      </w:pPr>
      <w:bookmarkStart w:id="6" w:name="q9"/>
      <w:bookmarkEnd w:id="6"/>
      <w:r>
        <w:rPr>
          <w:rFonts w:hint="eastAsia" w:ascii="仿宋" w:hAnsi="仿宋" w:eastAsia="仿宋"/>
          <w:snapToGrid w:val="0"/>
          <w:kern w:val="0"/>
          <w:szCs w:val="21"/>
        </w:rPr>
        <w:t>26.4.2</w:t>
      </w:r>
      <w:r>
        <w:rPr>
          <w:rFonts w:hint="eastAsia" w:ascii="仿宋" w:hAnsi="仿宋" w:eastAsia="仿宋"/>
          <w:szCs w:val="21"/>
        </w:rPr>
        <w:t>本项目涉及提供的有关资质证书，若原有资质证书处于年审期间，须提供证书颁发部门提供的回执，并且回执须证明该证书依然有效（若在法规范围不需提供的，投标人应做书面说明并提供证明文件，否则该证书无效），则该投标人提供年审证明的可按原资质投标；若投标人正在申报上一级别资质，在未获批准之前，仍按原级别资质投标。</w:t>
      </w:r>
    </w:p>
    <w:p>
      <w:pPr>
        <w:adjustRightInd w:val="0"/>
        <w:spacing w:line="360" w:lineRule="auto"/>
        <w:rPr>
          <w:rFonts w:ascii="仿宋" w:hAnsi="仿宋" w:eastAsia="仿宋"/>
          <w:szCs w:val="21"/>
        </w:rPr>
      </w:pPr>
      <w:r>
        <w:rPr>
          <w:rFonts w:hint="eastAsia" w:ascii="仿宋" w:hAnsi="仿宋" w:eastAsia="仿宋"/>
          <w:szCs w:val="21"/>
        </w:rPr>
        <w:t>26.4.3评标优惠政策：</w:t>
      </w:r>
    </w:p>
    <w:p>
      <w:pPr>
        <w:adjustRightInd w:val="0"/>
        <w:spacing w:line="360" w:lineRule="auto"/>
        <w:rPr>
          <w:rFonts w:ascii="仿宋" w:hAnsi="仿宋" w:eastAsia="仿宋"/>
          <w:szCs w:val="21"/>
        </w:rPr>
      </w:pPr>
      <w:r>
        <w:rPr>
          <w:rFonts w:hint="eastAsia" w:ascii="仿宋" w:hAnsi="仿宋" w:eastAsia="仿宋"/>
          <w:szCs w:val="21"/>
        </w:rPr>
        <w:t xml:space="preserve">   ①对于小型/微型企业、监狱企业和残疾人福利性单位给予投标报价</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的价格扣除，用扣除后的价格参与价格分的评审。（须按</w:t>
      </w:r>
      <w:r>
        <w:rPr>
          <w:rFonts w:hint="eastAsia" w:ascii="仿宋" w:hAnsi="仿宋" w:eastAsia="仿宋"/>
          <w:snapToGrid w:val="0"/>
          <w:kern w:val="0"/>
          <w:szCs w:val="21"/>
        </w:rPr>
        <w:t>采购</w:t>
      </w:r>
      <w:r>
        <w:rPr>
          <w:rFonts w:hint="eastAsia" w:ascii="仿宋" w:hAnsi="仿宋" w:eastAsia="仿宋"/>
          <w:szCs w:val="21"/>
        </w:rPr>
        <w:t>文件的投标文件格式部分的要求提供证明材料，否则不予价格扣除）。投标人同时满足小型/微型企业、监狱企业和残疾人福利性单位的，评审中只享受一次价格扣除，不重复进行价格扣除。</w:t>
      </w:r>
    </w:p>
    <w:p>
      <w:pPr>
        <w:adjustRightInd w:val="0"/>
        <w:spacing w:line="360" w:lineRule="auto"/>
        <w:rPr>
          <w:rFonts w:ascii="仿宋" w:hAnsi="仿宋" w:eastAsia="仿宋"/>
          <w:szCs w:val="21"/>
        </w:rPr>
      </w:pPr>
      <w:r>
        <w:rPr>
          <w:rFonts w:hint="eastAsia" w:ascii="仿宋" w:hAnsi="仿宋" w:eastAsia="仿宋"/>
          <w:szCs w:val="21"/>
        </w:rPr>
        <w:t xml:space="preserve">   ②联合体各方均为小型/微型企业、监狱企业和残疾人福利性单位的，联合体视同为小型/微型企业、监狱企业和残疾人福利性单位享受</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 </w:t>
      </w:r>
      <w:r>
        <w:rPr>
          <w:rFonts w:hint="eastAsia" w:ascii="仿宋" w:hAnsi="仿宋" w:eastAsia="仿宋"/>
          <w:szCs w:val="21"/>
        </w:rPr>
        <w:t>的价格扣除。联合协议中约定小型/微型企业、监狱企业和残疾人福利性单位的协议合同金额占到联合体协议合同总金额30%以上的，可给予联合体</w:t>
      </w:r>
      <w:r>
        <w:rPr>
          <w:rFonts w:hint="eastAsia" w:ascii="仿宋" w:hAnsi="仿宋" w:eastAsia="仿宋"/>
          <w:szCs w:val="21"/>
          <w:u w:val="single"/>
        </w:rPr>
        <w:t xml:space="preserve">  </w:t>
      </w:r>
      <w:r>
        <w:rPr>
          <w:rFonts w:hint="eastAsia" w:ascii="仿宋" w:hAnsi="仿宋" w:eastAsia="仿宋"/>
          <w:szCs w:val="21"/>
        </w:rPr>
        <w:t>的价格扣除。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综合以上分析比较按前附表第13项所述的评标方法，评委会将按照采购文件规定的各项因素对各投标文件进行量化打分并加权汇总，对各评委的总评分取算术平均值确定该投标人的评标总得分(精确至小数点后二位)，评标总得分最高者将被推荐为中标人，并作出评标结论。若得分相同的，按投标报价由低到高顺序排列；得分且投标报价相同的，按技术服务优劣顺序（即技术分由高到低排序）排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26.5.1公开征集采购方式说明：采购项目投标截止时，合格有效的投标人数量在2家（或以上）时按综合评分法进行评审；合格有效的投标人为1家时，则与投合格有效的标人进行单一来源谈判。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26.6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27. </w:t>
      </w:r>
      <w:r>
        <w:rPr>
          <w:rFonts w:hint="eastAsia" w:ascii="仿宋" w:hAnsi="仿宋" w:eastAsia="仿宋"/>
          <w:b/>
          <w:snapToGrid w:val="0"/>
          <w:kern w:val="0"/>
          <w:szCs w:val="21"/>
        </w:rPr>
        <w:t>保密及其它注意事项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w:t>
      </w:r>
      <w:r>
        <w:rPr>
          <w:rFonts w:hint="eastAsia" w:ascii="仿宋" w:hAnsi="仿宋" w:eastAsia="仿宋"/>
          <w:snapToGrid w:val="0"/>
          <w:kern w:val="0"/>
          <w:szCs w:val="21"/>
        </w:rPr>
        <w:t>1  评标是采购工作的重要环节，评标工作在评委会内独立进行。评委会将遵照评标原则，公正、平等地对待所有投标人。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27.2</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评标期间，评委会将对投标文件中有关问题分别向投标人进行询问。各投标人应予以认真答复。重要或复杂问题的答复需以书面形式，并经法定代表人或授权人签署。澄清文件将作为投标文件的组成部份。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27.3  </w:t>
      </w:r>
      <w:r>
        <w:rPr>
          <w:rFonts w:hint="eastAsia" w:ascii="仿宋" w:hAnsi="仿宋" w:eastAsia="仿宋"/>
          <w:snapToGrid w:val="0"/>
          <w:kern w:val="0"/>
          <w:szCs w:val="21"/>
        </w:rPr>
        <w:t>在开标、投标期间，投标人不得向评委询问评标情况，不得进行旨在影响评标结果的活动。</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27.4  </w:t>
      </w:r>
      <w:r>
        <w:rPr>
          <w:rFonts w:hint="eastAsia" w:ascii="仿宋" w:hAnsi="仿宋" w:eastAsia="仿宋"/>
          <w:snapToGrid w:val="0"/>
          <w:kern w:val="0"/>
          <w:szCs w:val="21"/>
        </w:rPr>
        <w:t>为保证定标的公正性，在评标过程中，评委不得与投标人私下交换意见。在采购工作结束后，凡与评标情况有接触的任何人，不得也不应将评标情况扩散出评委人员之外。</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27.5</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评委会不向落标方解释落标原因，不退还投标文件。</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8．合同授予标准</w:t>
      </w:r>
    </w:p>
    <w:p>
      <w:pPr>
        <w:tabs>
          <w:tab w:val="left" w:pos="5688"/>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本项目采购合同授予本须知26.5款所确定的中标人。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中标通知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采购机构在发出《中标通知书》之前，将中标结果通过政府采购指定网站进行公示。中标结果公示期满无异议或者异议不成立的，采购机构将发出《中标通知书》。《中标通知书》一经发出即发生法律效力。</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《中标通知书》将作为签订合同的重要依据。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中标方向采购代理机构支付采购代理服务费后，采购代理机构发出《中标通知书》。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w:t>
      </w:r>
      <w:r>
        <w:rPr>
          <w:rFonts w:ascii="仿宋" w:hAnsi="仿宋" w:eastAsia="仿宋"/>
          <w:b/>
          <w:snapToGrid w:val="0"/>
          <w:kern w:val="0"/>
          <w:szCs w:val="21"/>
        </w:rPr>
        <w:t xml:space="preserve">. </w:t>
      </w:r>
      <w:r>
        <w:rPr>
          <w:rFonts w:hint="eastAsia" w:ascii="仿宋" w:hAnsi="仿宋" w:eastAsia="仿宋"/>
          <w:b/>
          <w:snapToGrid w:val="0"/>
          <w:kern w:val="0"/>
          <w:szCs w:val="21"/>
        </w:rPr>
        <w:t>授予合同时变更数量的权力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w:t>
      </w:r>
      <w:r>
        <w:rPr>
          <w:rFonts w:ascii="仿宋" w:hAnsi="仿宋" w:eastAsia="仿宋"/>
          <w:snapToGrid w:val="0"/>
          <w:kern w:val="0"/>
          <w:szCs w:val="21"/>
        </w:rPr>
        <w:t xml:space="preserve">.1  </w:t>
      </w:r>
      <w:r>
        <w:rPr>
          <w:rFonts w:hint="eastAsia" w:ascii="仿宋" w:hAnsi="仿宋" w:eastAsia="仿宋"/>
          <w:bCs/>
          <w:snapToGrid w:val="0"/>
          <w:kern w:val="0"/>
          <w:szCs w:val="21"/>
        </w:rPr>
        <w:t>采购人</w:t>
      </w:r>
      <w:r>
        <w:rPr>
          <w:rFonts w:hint="eastAsia" w:ascii="仿宋" w:hAnsi="仿宋" w:eastAsia="仿宋"/>
          <w:snapToGrid w:val="0"/>
          <w:kern w:val="0"/>
          <w:szCs w:val="21"/>
        </w:rPr>
        <w:t>在签订合同时，有权对采购文件中列明的货物或服务的数量，在法定范围内，依法定程序予以增加或减少。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w:t>
      </w:r>
      <w:r>
        <w:rPr>
          <w:rFonts w:ascii="仿宋" w:hAnsi="仿宋" w:eastAsia="仿宋"/>
          <w:b/>
          <w:snapToGrid w:val="0"/>
          <w:kern w:val="0"/>
          <w:szCs w:val="21"/>
        </w:rPr>
        <w:t xml:space="preserve">. </w:t>
      </w:r>
      <w:r>
        <w:rPr>
          <w:rFonts w:hint="eastAsia" w:ascii="仿宋" w:hAnsi="仿宋" w:eastAsia="仿宋"/>
          <w:b/>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w:t>
      </w:r>
      <w:r>
        <w:rPr>
          <w:rFonts w:hint="eastAsia" w:ascii="仿宋" w:hAnsi="仿宋" w:eastAsia="仿宋"/>
          <w:snapToGrid w:val="0"/>
          <w:kern w:val="0"/>
          <w:szCs w:val="21"/>
        </w:rPr>
        <w:t>1  中标方应按《中标通知书》或按</w:t>
      </w:r>
      <w:r>
        <w:rPr>
          <w:rFonts w:hint="eastAsia" w:ascii="仿宋" w:hAnsi="仿宋" w:eastAsia="仿宋"/>
          <w:bCs/>
          <w:snapToGrid w:val="0"/>
          <w:kern w:val="0"/>
          <w:szCs w:val="21"/>
        </w:rPr>
        <w:t>采购人</w:t>
      </w:r>
      <w:r>
        <w:rPr>
          <w:rFonts w:hint="eastAsia" w:ascii="仿宋" w:hAnsi="仿宋" w:eastAsia="仿宋"/>
          <w:snapToGrid w:val="0"/>
          <w:kern w:val="0"/>
          <w:szCs w:val="21"/>
        </w:rPr>
        <w:t>指定的时间、地点与</w:t>
      </w:r>
      <w:r>
        <w:rPr>
          <w:rFonts w:hint="eastAsia" w:ascii="仿宋" w:hAnsi="仿宋" w:eastAsia="仿宋"/>
          <w:bCs/>
          <w:snapToGrid w:val="0"/>
          <w:kern w:val="0"/>
          <w:szCs w:val="21"/>
        </w:rPr>
        <w:t>采购人</w:t>
      </w:r>
      <w:r>
        <w:rPr>
          <w:rFonts w:hint="eastAsia" w:ascii="仿宋" w:hAnsi="仿宋" w:eastAsia="仿宋"/>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 xml:space="preserve">.2  </w:t>
      </w:r>
      <w:r>
        <w:rPr>
          <w:rFonts w:hint="eastAsia" w:ascii="仿宋" w:hAnsi="仿宋" w:eastAsia="仿宋"/>
          <w:snapToGrid w:val="0"/>
          <w:kern w:val="0"/>
          <w:szCs w:val="21"/>
        </w:rPr>
        <w:t>采购文件、中标方的投标文件及其澄清文件等，均为签订合同的依据。</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w:t>
      </w:r>
      <w:r>
        <w:rPr>
          <w:rFonts w:ascii="仿宋" w:hAnsi="仿宋" w:eastAsia="仿宋"/>
          <w:b/>
          <w:snapToGrid w:val="0"/>
          <w:kern w:val="0"/>
          <w:szCs w:val="21"/>
        </w:rPr>
        <w:t>.</w:t>
      </w:r>
      <w:r>
        <w:rPr>
          <w:rFonts w:hint="eastAsia" w:ascii="仿宋" w:hAnsi="仿宋" w:eastAsia="仿宋"/>
          <w:b/>
          <w:snapToGrid w:val="0"/>
          <w:kern w:val="0"/>
          <w:szCs w:val="21"/>
        </w:rPr>
        <w:t xml:space="preserve">  履约保证金</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中标人须按采购文件的规定或根据合同的规定向</w:t>
      </w:r>
      <w:r>
        <w:rPr>
          <w:rFonts w:hint="eastAsia" w:ascii="仿宋" w:hAnsi="仿宋" w:eastAsia="仿宋"/>
          <w:bCs/>
          <w:snapToGrid w:val="0"/>
          <w:kern w:val="0"/>
          <w:szCs w:val="21"/>
        </w:rPr>
        <w:t>采购人</w:t>
      </w:r>
      <w:r>
        <w:rPr>
          <w:rFonts w:hint="eastAsia" w:ascii="仿宋" w:hAnsi="仿宋" w:eastAsia="仿宋"/>
          <w:snapToGrid w:val="0"/>
          <w:kern w:val="0"/>
          <w:szCs w:val="21"/>
        </w:rPr>
        <w:t>提交履约保证金。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w:t>
      </w:r>
      <w:r>
        <w:rPr>
          <w:rFonts w:ascii="仿宋" w:hAnsi="仿宋" w:eastAsia="仿宋"/>
          <w:b/>
          <w:snapToGrid w:val="0"/>
          <w:kern w:val="0"/>
          <w:szCs w:val="21"/>
        </w:rPr>
        <w:t xml:space="preserve">. </w:t>
      </w:r>
      <w:r>
        <w:rPr>
          <w:rFonts w:hint="eastAsia" w:ascii="仿宋" w:hAnsi="仿宋" w:eastAsia="仿宋"/>
          <w:b/>
          <w:snapToGrid w:val="0"/>
          <w:kern w:val="0"/>
          <w:szCs w:val="21"/>
        </w:rPr>
        <w:t>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w:t>
      </w:r>
      <w:r>
        <w:rPr>
          <w:rFonts w:hint="eastAsia" w:ascii="仿宋" w:hAnsi="仿宋" w:eastAsia="仿宋"/>
          <w:snapToGrid w:val="0"/>
          <w:kern w:val="0"/>
          <w:szCs w:val="21"/>
        </w:rPr>
        <w:t>1</w:t>
      </w:r>
      <w:r>
        <w:rPr>
          <w:rFonts w:ascii="仿宋" w:hAnsi="仿宋" w:eastAsia="仿宋"/>
          <w:snapToGrid w:val="0"/>
          <w:kern w:val="0"/>
          <w:szCs w:val="21"/>
        </w:rPr>
        <w:t xml:space="preserve"> </w:t>
      </w:r>
      <w:r>
        <w:rPr>
          <w:rFonts w:hint="eastAsia" w:ascii="仿宋" w:hAnsi="仿宋" w:eastAsia="仿宋"/>
          <w:snapToGrid w:val="0"/>
          <w:kern w:val="0"/>
          <w:szCs w:val="21"/>
        </w:rPr>
        <w:t xml:space="preserve"> 采购代理服务费按前附表第14项所述。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.2</w:t>
      </w:r>
      <w:r>
        <w:rPr>
          <w:rFonts w:hint="eastAsia" w:ascii="仿宋" w:hAnsi="仿宋" w:eastAsia="仿宋"/>
          <w:snapToGrid w:val="0"/>
          <w:kern w:val="0"/>
          <w:szCs w:val="21"/>
        </w:rPr>
        <w:t xml:space="preserve">  采购代理服务费金额按下列方法计算：</w:t>
      </w:r>
    </w:p>
    <w:tbl>
      <w:tblPr>
        <w:tblStyle w:val="15"/>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2232"/>
        <w:gridCol w:w="27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75" w:hRule="atLeast"/>
        </w:trPr>
        <w:tc>
          <w:tcPr>
            <w:tcW w:w="2131" w:type="dxa"/>
          </w:tcPr>
          <w:p>
            <w:pPr>
              <w:spacing w:line="360" w:lineRule="auto"/>
              <w:ind w:firstLine="420" w:firstLineChars="200"/>
              <w:rPr>
                <w:rFonts w:ascii="仿宋" w:hAnsi="仿宋" w:eastAsia="仿宋"/>
                <w:szCs w:val="21"/>
              </w:rPr>
            </w:pPr>
            <w:r>
              <w:rPr>
                <w:rFonts w:ascii="仿宋" w:hAnsi="仿宋" w:eastAsia="仿宋"/>
                <w:szCs w:val="21"/>
              </w:rPr>
              <w:pict>
                <v:shape id="__TH_B3733" o:spid="_x0000_s1055" o:spt="202" type="#_x0000_t202" style="position:absolute;left:0pt;margin-left:56.4pt;margin-top:43.5pt;height:9.4pt;width:4.3pt;z-index:25167872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元</w:t>
                        </w:r>
                      </w:p>
                    </w:txbxContent>
                  </v:textbox>
                </v:shape>
              </w:pict>
            </w:r>
            <w:r>
              <w:rPr>
                <w:rFonts w:ascii="仿宋" w:hAnsi="仿宋" w:eastAsia="仿宋"/>
                <w:szCs w:val="21"/>
              </w:rPr>
              <w:pict>
                <v:shape id="__TH_B3632" o:spid="_x0000_s1056" o:spt="202" type="#_x0000_t202" style="position:absolute;left:0pt;margin-left:44.55pt;margin-top:42.35pt;height:9.4pt;width:9.85pt;z-index:25167769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万</w:t>
                        </w:r>
                      </w:p>
                    </w:txbxContent>
                  </v:textbox>
                </v:shape>
              </w:pict>
            </w:r>
            <w:r>
              <w:rPr>
                <w:rFonts w:ascii="仿宋" w:hAnsi="仿宋" w:eastAsia="仿宋"/>
                <w:szCs w:val="21"/>
              </w:rPr>
              <w:pict>
                <v:shape id="__TH_B3531" o:spid="_x0000_s1057" o:spt="202" type="#_x0000_t202" style="position:absolute;left:0pt;margin-left:38.45pt;margin-top:41.2pt;height:9.4pt;width:3.9pt;z-index:251676672;mso-width-relative:page;mso-height-relative:page;" filled="f" stroked="f" coordsize="21600,21600">
                  <v:path/>
                  <v:fill on="f" focussize="0,0"/>
                  <v:stroke on="f" joinstyle="miter"/>
                  <v:imagedata o:title=""/>
                  <o:lock v:ext="edit"/>
                  <v:textbox inset="0mm,0mm,0mm,0mm">
                    <w:txbxContent>
                      <w:p>
                        <w:pPr>
                          <w:snapToGrid w:val="0"/>
                          <w:rPr>
                            <w:sz w:val="15"/>
                          </w:rPr>
                        </w:pPr>
                        <w:r>
                          <w:rPr>
                            <w:sz w:val="15"/>
                          </w:rPr>
                          <w:t>(</w:t>
                        </w:r>
                      </w:p>
                    </w:txbxContent>
                  </v:textbox>
                </v:shape>
              </w:pict>
            </w:r>
            <w:r>
              <w:rPr>
                <w:rFonts w:ascii="仿宋" w:hAnsi="仿宋" w:eastAsia="仿宋"/>
                <w:szCs w:val="21"/>
              </w:rPr>
              <w:pict>
                <v:shape id="__TH_B3430" o:spid="_x0000_s1058" o:spt="202" type="#_x0000_t202" style="position:absolute;left:0pt;margin-left:26.35pt;margin-top:40.05pt;height:9.4pt;width:9.9pt;z-index:25167564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额</w:t>
                        </w:r>
                      </w:p>
                    </w:txbxContent>
                  </v:textbox>
                </v:shape>
              </w:pict>
            </w:r>
            <w:r>
              <w:rPr>
                <w:rFonts w:ascii="仿宋" w:hAnsi="仿宋" w:eastAsia="仿宋"/>
                <w:szCs w:val="21"/>
              </w:rPr>
              <w:pict>
                <v:shape id="__TH_B3329" o:spid="_x0000_s1059" o:spt="202" type="#_x0000_t202" style="position:absolute;left:0pt;margin-left:17.3pt;margin-top:38.9pt;height:9.4pt;width:9.85pt;z-index:25167462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金</w:t>
                        </w:r>
                      </w:p>
                    </w:txbxContent>
                  </v:textbox>
                </v:shape>
              </w:pict>
            </w:r>
            <w:r>
              <w:rPr>
                <w:rFonts w:ascii="仿宋" w:hAnsi="仿宋" w:eastAsia="仿宋"/>
                <w:szCs w:val="21"/>
              </w:rPr>
              <w:pict>
                <v:shape id="__TH_B3228" o:spid="_x0000_s1060" o:spt="202" type="#_x0000_t202" style="position:absolute;left:0pt;margin-left:8.2pt;margin-top:37.75pt;height:9.4pt;width:9.9pt;z-index:25167360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标</w:t>
                        </w:r>
                      </w:p>
                    </w:txbxContent>
                  </v:textbox>
                </v:shape>
              </w:pict>
            </w:r>
            <w:r>
              <w:rPr>
                <w:rFonts w:ascii="仿宋" w:hAnsi="仿宋" w:eastAsia="仿宋"/>
                <w:szCs w:val="21"/>
              </w:rPr>
              <w:pict>
                <v:shape id="__TH_B3127" o:spid="_x0000_s1061" o:spt="202" type="#_x0000_t202" style="position:absolute;left:0pt;margin-left:-0.85pt;margin-top:36.6pt;height:9.4pt;width:9.85pt;z-index:25167257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中</w:t>
                        </w:r>
                      </w:p>
                    </w:txbxContent>
                  </v:textbox>
                </v:shape>
              </w:pict>
            </w:r>
            <w:r>
              <w:rPr>
                <w:rFonts w:ascii="仿宋" w:hAnsi="仿宋" w:eastAsia="仿宋"/>
                <w:szCs w:val="21"/>
              </w:rPr>
              <w:pict>
                <v:shape id="__TH_B2226" o:spid="_x0000_s1062" o:spt="202" type="#_x0000_t202" style="position:absolute;left:0pt;margin-left:63.4pt;margin-top:32.05pt;height:9.35pt;width:9.85pt;z-index:25167155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率</w:t>
                        </w:r>
                      </w:p>
                    </w:txbxContent>
                  </v:textbox>
                </v:shape>
              </w:pict>
            </w:r>
            <w:r>
              <w:rPr>
                <w:rFonts w:ascii="仿宋" w:hAnsi="仿宋" w:eastAsia="仿宋"/>
                <w:szCs w:val="21"/>
              </w:rPr>
              <w:pict>
                <v:shape id="__TH_B2125" o:spid="_x0000_s1063" o:spt="202" type="#_x0000_t202" style="position:absolute;left:0pt;margin-left:19.95pt;margin-top:10.05pt;height:9.4pt;width:9.9pt;z-index:25167052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费</w:t>
                        </w:r>
                      </w:p>
                    </w:txbxContent>
                  </v:textbox>
                </v:shape>
              </w:pict>
            </w:r>
            <w:r>
              <w:rPr>
                <w:rFonts w:ascii="仿宋" w:hAnsi="仿宋" w:eastAsia="仿宋"/>
                <w:szCs w:val="21"/>
              </w:rPr>
              <w:pict>
                <v:shape id="__TH_B1424" o:spid="_x0000_s1064" o:spt="202" type="#_x0000_t202" style="position:absolute;left:0pt;margin-left:88.65pt;margin-top:32.35pt;height:9.35pt;width:9.85pt;z-index:25166950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型</w:t>
                        </w:r>
                      </w:p>
                    </w:txbxContent>
                  </v:textbox>
                </v:shape>
              </w:pict>
            </w:r>
            <w:r>
              <w:rPr>
                <w:rFonts w:ascii="仿宋" w:hAnsi="仿宋" w:eastAsia="仿宋"/>
                <w:szCs w:val="21"/>
              </w:rPr>
              <w:pict>
                <v:shape id="__TH_B1323" o:spid="_x0000_s1065" o:spt="202" type="#_x0000_t202" style="position:absolute;left:0pt;margin-left:83.95pt;margin-top:22.8pt;height:9.4pt;width:9.85pt;z-index:25166848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类</w:t>
                        </w:r>
                      </w:p>
                    </w:txbxContent>
                  </v:textbox>
                </v:shape>
              </w:pict>
            </w:r>
            <w:r>
              <w:rPr>
                <w:rFonts w:ascii="仿宋" w:hAnsi="仿宋" w:eastAsia="仿宋"/>
                <w:szCs w:val="21"/>
              </w:rPr>
              <w:pict>
                <v:shape id="__TH_B1222" o:spid="_x0000_s1066" o:spt="202" type="#_x0000_t202" style="position:absolute;left:0pt;margin-left:79.25pt;margin-top:13.3pt;height:9.4pt;width:9.85pt;z-index:25166745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务</w:t>
                        </w:r>
                      </w:p>
                    </w:txbxContent>
                  </v:textbox>
                </v:shape>
              </w:pict>
            </w:r>
            <w:r>
              <w:rPr>
                <w:rFonts w:ascii="仿宋" w:hAnsi="仿宋" w:eastAsia="仿宋"/>
                <w:szCs w:val="21"/>
              </w:rPr>
              <w:pict>
                <v:shape id="__TH_B1121" o:spid="_x0000_s1067" o:spt="202" type="#_x0000_t202" style="position:absolute;left:0pt;margin-left:74.55pt;margin-top:3.8pt;height:9.4pt;width:9.85pt;z-index:25166643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服</w:t>
                        </w:r>
                      </w:p>
                    </w:txbxContent>
                  </v:textbox>
                </v:shape>
              </w:pict>
            </w:r>
            <w:r>
              <w:rPr>
                <w:rFonts w:ascii="仿宋" w:hAnsi="仿宋" w:eastAsia="仿宋"/>
                <w:szCs w:val="21"/>
              </w:rPr>
              <w:pict>
                <v:line id="__TH_L20" o:spid="_x0000_s1068" o:spt="20" style="position:absolute;left:0pt;margin-left:-5.15pt;margin-top:26.85pt;height:26.8pt;width:106pt;z-index:251665408;mso-width-relative:page;mso-height-relative:page;" coordsize="21600,21600">
                  <v:path arrowok="t"/>
                  <v:fill focussize="0,0"/>
                  <v:stroke weight="0.5pt"/>
                  <v:imagedata o:title=""/>
                  <o:lock v:ext="edit"/>
                </v:line>
              </w:pict>
            </w:r>
            <w:r>
              <w:rPr>
                <w:rFonts w:ascii="仿宋" w:hAnsi="仿宋" w:eastAsia="仿宋"/>
                <w:szCs w:val="21"/>
              </w:rPr>
              <w:pict>
                <v:line id="__TH_L19" o:spid="_x0000_s1069" o:spt="20" style="position:absolute;left:0pt;margin-left:47.85pt;margin-top:0pt;height:53.65pt;width:53pt;z-index:251664384;mso-width-relative:page;mso-height-relative:page;" coordsize="21600,21600">
                  <v:path arrowok="t"/>
                  <v:fill focussize="0,0"/>
                  <v:stroke weight="0.5pt"/>
                  <v:imagedata o:title=""/>
                  <o:lock v:ext="edit"/>
                </v:line>
              </w:pic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服务招标</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lang w:val="en-US" w:eastAsia="zh-CN"/>
              </w:rPr>
              <w:t>货物</w:t>
            </w:r>
            <w:r>
              <w:rPr>
                <w:rFonts w:hint="eastAsia" w:ascii="仿宋" w:hAnsi="仿宋" w:eastAsia="仿宋"/>
                <w:szCs w:val="21"/>
              </w:rPr>
              <w:t>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100-500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lang w:val="en-US" w:eastAsia="zh-CN"/>
              </w:rPr>
              <w:t>1.10</w:t>
            </w:r>
            <w:r>
              <w:rPr>
                <w:rFonts w:hint="eastAsia" w:ascii="仿宋" w:hAnsi="仿宋" w:eastAsia="仿宋"/>
                <w:szCs w:val="21"/>
              </w:rPr>
              <w:t>%</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40</w:t>
            </w:r>
            <w:r>
              <w:rPr>
                <w:rFonts w:hint="eastAsia" w:ascii="仿宋" w:hAnsi="仿宋" w:eastAsia="仿宋"/>
                <w:szCs w:val="21"/>
              </w:rPr>
              <w:t>%</w:t>
            </w:r>
          </w:p>
        </w:tc>
      </w:tr>
    </w:tbl>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r>
        <w:rPr>
          <w:rFonts w:hint="eastAsia" w:ascii="仿宋" w:hAnsi="仿宋" w:eastAsia="仿宋"/>
          <w:szCs w:val="21"/>
        </w:rPr>
        <w:t>注：1、采购代理服务费按差额定率累进法计算。例如：某</w:t>
      </w:r>
      <w:r>
        <w:rPr>
          <w:rFonts w:hint="eastAsia" w:ascii="仿宋" w:hAnsi="仿宋" w:eastAsia="仿宋"/>
          <w:szCs w:val="21"/>
          <w:lang w:val="en-US" w:eastAsia="zh-CN"/>
        </w:rPr>
        <w:t>服务</w:t>
      </w:r>
      <w:r>
        <w:rPr>
          <w:rFonts w:hint="eastAsia" w:ascii="仿宋" w:hAnsi="仿宋" w:eastAsia="仿宋"/>
          <w:szCs w:val="21"/>
        </w:rPr>
        <w:t>类项目中标金额为200万元，计算采购代理服务费额如下：</w:t>
      </w:r>
    </w:p>
    <w:p>
      <w:pPr>
        <w:spacing w:line="360" w:lineRule="auto"/>
        <w:ind w:firstLine="420" w:firstLineChars="200"/>
        <w:rPr>
          <w:rFonts w:ascii="仿宋" w:hAnsi="仿宋" w:eastAsia="仿宋"/>
          <w:szCs w:val="21"/>
        </w:rPr>
      </w:pPr>
      <w:r>
        <w:rPr>
          <w:rFonts w:hint="eastAsia" w:ascii="仿宋" w:hAnsi="仿宋" w:eastAsia="仿宋"/>
          <w:szCs w:val="21"/>
        </w:rPr>
        <w:t>100万元×1.</w:t>
      </w:r>
      <w:r>
        <w:rPr>
          <w:rFonts w:hint="eastAsia" w:ascii="仿宋" w:hAnsi="仿宋" w:eastAsia="仿宋"/>
          <w:szCs w:val="21"/>
          <w:lang w:val="en-US" w:eastAsia="zh-CN"/>
        </w:rPr>
        <w:t>8</w:t>
      </w: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万元</w:t>
      </w:r>
    </w:p>
    <w:p>
      <w:pPr>
        <w:spacing w:line="360" w:lineRule="auto"/>
        <w:ind w:firstLine="420" w:firstLineChars="200"/>
        <w:rPr>
          <w:rFonts w:ascii="仿宋" w:hAnsi="仿宋" w:eastAsia="仿宋"/>
          <w:szCs w:val="21"/>
        </w:rPr>
      </w:pPr>
      <w:r>
        <w:rPr>
          <w:rFonts w:hint="eastAsia" w:ascii="仿宋" w:hAnsi="仿宋" w:eastAsia="仿宋"/>
          <w:szCs w:val="21"/>
        </w:rPr>
        <w:t>（200-100）万元×</w:t>
      </w:r>
      <w:r>
        <w:rPr>
          <w:rFonts w:hint="eastAsia" w:ascii="仿宋" w:hAnsi="仿宋" w:eastAsia="仿宋"/>
          <w:szCs w:val="21"/>
          <w:lang w:val="en-US" w:eastAsia="zh-CN"/>
        </w:rPr>
        <w:t>1.4</w:t>
      </w:r>
      <w:r>
        <w:rPr>
          <w:rFonts w:hint="eastAsia" w:ascii="仿宋" w:hAnsi="仿宋" w:eastAsia="仿宋"/>
          <w:szCs w:val="21"/>
        </w:rPr>
        <w:t>%=</w:t>
      </w:r>
      <w:r>
        <w:rPr>
          <w:rFonts w:hint="eastAsia" w:ascii="仿宋" w:hAnsi="仿宋" w:eastAsia="仿宋"/>
          <w:szCs w:val="21"/>
          <w:lang w:val="en-US" w:eastAsia="zh-CN"/>
        </w:rPr>
        <w:t>1.4</w:t>
      </w:r>
      <w:r>
        <w:rPr>
          <w:rFonts w:hint="eastAsia" w:ascii="仿宋" w:hAnsi="仿宋" w:eastAsia="仿宋"/>
          <w:szCs w:val="21"/>
        </w:rPr>
        <w:t>万元</w:t>
      </w:r>
    </w:p>
    <w:p>
      <w:pPr>
        <w:rPr>
          <w:rFonts w:ascii="仿宋" w:hAnsi="仿宋" w:eastAsia="仿宋"/>
          <w:szCs w:val="21"/>
        </w:rPr>
      </w:pPr>
      <w:r>
        <w:rPr>
          <w:rFonts w:hint="eastAsia" w:ascii="仿宋" w:hAnsi="仿宋" w:eastAsia="仿宋"/>
          <w:szCs w:val="21"/>
        </w:rPr>
        <w:t xml:space="preserve">    合计收费=1.</w:t>
      </w:r>
      <w:r>
        <w:rPr>
          <w:rFonts w:hint="eastAsia" w:ascii="仿宋" w:hAnsi="仿宋" w:eastAsia="仿宋"/>
          <w:szCs w:val="21"/>
          <w:lang w:val="en-US" w:eastAsia="zh-CN"/>
        </w:rPr>
        <w:t>8</w:t>
      </w:r>
      <w:r>
        <w:rPr>
          <w:rFonts w:hint="eastAsia" w:ascii="仿宋" w:hAnsi="仿宋" w:eastAsia="仿宋"/>
          <w:szCs w:val="21"/>
        </w:rPr>
        <w:t>+</w:t>
      </w:r>
      <w:r>
        <w:rPr>
          <w:rFonts w:hint="eastAsia" w:ascii="仿宋" w:hAnsi="仿宋" w:eastAsia="仿宋"/>
          <w:szCs w:val="21"/>
          <w:lang w:val="en-US" w:eastAsia="zh-CN"/>
        </w:rPr>
        <w:t>1.4</w:t>
      </w:r>
      <w:r>
        <w:rPr>
          <w:rFonts w:hint="eastAsia" w:ascii="仿宋" w:hAnsi="仿宋" w:eastAsia="仿宋"/>
          <w:szCs w:val="21"/>
        </w:rPr>
        <w:t>＝3</w:t>
      </w:r>
      <w:r>
        <w:rPr>
          <w:rFonts w:hint="eastAsia" w:ascii="仿宋" w:hAnsi="仿宋" w:eastAsia="仿宋"/>
          <w:szCs w:val="21"/>
          <w:lang w:val="en-US" w:eastAsia="zh-CN"/>
        </w:rPr>
        <w:t>.2</w:t>
      </w:r>
      <w:r>
        <w:rPr>
          <w:rFonts w:hint="eastAsia" w:ascii="仿宋" w:hAnsi="仿宋" w:eastAsia="仿宋"/>
          <w:szCs w:val="21"/>
        </w:rPr>
        <w:t>（万元）</w:t>
      </w:r>
    </w:p>
    <w:p/>
    <w:sectPr>
      <w:footerReference r:id="rId5" w:type="first"/>
      <w:headerReference r:id="rId3" w:type="defaul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2"/>
      <w:docPartObj>
        <w:docPartGallery w:val="autotext"/>
      </w:docPartObj>
    </w:sdtPr>
    <w:sdtContent>
      <w:p>
        <w:pPr>
          <w:pStyle w:val="12"/>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3"/>
      <w:docPartObj>
        <w:docPartGallery w:val="autotext"/>
      </w:docPartObj>
    </w:sdtPr>
    <w:sdtContent>
      <w:p>
        <w:pPr>
          <w:pStyle w:val="12"/>
          <w:jc w:val="center"/>
        </w:pP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450" w:firstLineChars="250"/>
      <w:jc w:val="left"/>
      <w:rPr>
        <w:rFonts w:hint="default" w:eastAsia="宋体"/>
        <w:lang w:val="en-US" w:eastAsia="zh-CN"/>
      </w:rPr>
    </w:pPr>
    <w:r>
      <w:rPr>
        <w:rFonts w:hint="eastAsia"/>
      </w:rPr>
      <w:t>项目名称：</w:t>
    </w:r>
    <w:r>
      <w:rPr>
        <w:rFonts w:hint="eastAsia" w:ascii="宋体" w:hAnsi="宋体"/>
      </w:rPr>
      <w:t>柔性防爆罐采购项目</w:t>
    </w:r>
    <w:r>
      <w:rPr>
        <w:rFonts w:hint="eastAsia" w:ascii="宋体" w:hAnsi="宋体"/>
        <w:lang w:val="en-US" w:eastAsia="zh-CN"/>
      </w:rPr>
      <w:t xml:space="preserve">           </w:t>
    </w:r>
    <w:r>
      <w:rPr>
        <w:rFonts w:hint="eastAsia"/>
      </w:rPr>
      <w:t xml:space="preserve">              项目编号：</w:t>
    </w:r>
    <w:r>
      <w:t>SZZZ202</w:t>
    </w:r>
    <w:r>
      <w:rPr>
        <w:rFonts w:hint="eastAsia"/>
      </w:rPr>
      <w:t>1</w:t>
    </w:r>
    <w:r>
      <w:t>-Q</w:t>
    </w:r>
    <w:r>
      <w:rPr>
        <w:rFonts w:hint="eastAsia"/>
      </w:rPr>
      <w:t>A</w:t>
    </w:r>
    <w:r>
      <w:t>0</w:t>
    </w:r>
    <w:r>
      <w:rPr>
        <w:rFonts w:hint="eastAsia"/>
        <w:lang w:val="en-US" w:eastAsia="zh-CN"/>
      </w:rPr>
      <w:t>291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381A1F"/>
    <w:multiLevelType w:val="multilevel"/>
    <w:tmpl w:val="25381A1F"/>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28D1141E"/>
    <w:multiLevelType w:val="multilevel"/>
    <w:tmpl w:val="28D1141E"/>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81812"/>
    <w:rsid w:val="00000DEE"/>
    <w:rsid w:val="00000F62"/>
    <w:rsid w:val="00000FB1"/>
    <w:rsid w:val="0000490F"/>
    <w:rsid w:val="00007ECB"/>
    <w:rsid w:val="00010E98"/>
    <w:rsid w:val="000111D4"/>
    <w:rsid w:val="0001133A"/>
    <w:rsid w:val="000159CF"/>
    <w:rsid w:val="000176BA"/>
    <w:rsid w:val="0002500E"/>
    <w:rsid w:val="0002675A"/>
    <w:rsid w:val="00027833"/>
    <w:rsid w:val="000309C1"/>
    <w:rsid w:val="00031BF4"/>
    <w:rsid w:val="00032DB0"/>
    <w:rsid w:val="0003579A"/>
    <w:rsid w:val="00036165"/>
    <w:rsid w:val="00037412"/>
    <w:rsid w:val="000375B9"/>
    <w:rsid w:val="00037D52"/>
    <w:rsid w:val="00050AB0"/>
    <w:rsid w:val="00050F57"/>
    <w:rsid w:val="0005394E"/>
    <w:rsid w:val="00053B8A"/>
    <w:rsid w:val="000550D9"/>
    <w:rsid w:val="00055193"/>
    <w:rsid w:val="00056E7C"/>
    <w:rsid w:val="000600D8"/>
    <w:rsid w:val="00060560"/>
    <w:rsid w:val="000614D2"/>
    <w:rsid w:val="0006220B"/>
    <w:rsid w:val="00063194"/>
    <w:rsid w:val="0006778F"/>
    <w:rsid w:val="000679AB"/>
    <w:rsid w:val="00072F2B"/>
    <w:rsid w:val="00075875"/>
    <w:rsid w:val="00076401"/>
    <w:rsid w:val="000771B0"/>
    <w:rsid w:val="00080FB8"/>
    <w:rsid w:val="00081812"/>
    <w:rsid w:val="00081C0F"/>
    <w:rsid w:val="000851F4"/>
    <w:rsid w:val="00086549"/>
    <w:rsid w:val="000875D3"/>
    <w:rsid w:val="00094345"/>
    <w:rsid w:val="00094CF9"/>
    <w:rsid w:val="000A02CF"/>
    <w:rsid w:val="000A103E"/>
    <w:rsid w:val="000A2045"/>
    <w:rsid w:val="000B12D8"/>
    <w:rsid w:val="000B3159"/>
    <w:rsid w:val="000B44BC"/>
    <w:rsid w:val="000B7A52"/>
    <w:rsid w:val="000C05F3"/>
    <w:rsid w:val="000C2FC4"/>
    <w:rsid w:val="000C4E01"/>
    <w:rsid w:val="000C7610"/>
    <w:rsid w:val="000C7E05"/>
    <w:rsid w:val="000D1227"/>
    <w:rsid w:val="000D16E0"/>
    <w:rsid w:val="000D3053"/>
    <w:rsid w:val="000D3DAD"/>
    <w:rsid w:val="000D4339"/>
    <w:rsid w:val="000D4C91"/>
    <w:rsid w:val="000D6CAD"/>
    <w:rsid w:val="000D74FE"/>
    <w:rsid w:val="000E1731"/>
    <w:rsid w:val="000E2AAA"/>
    <w:rsid w:val="000E41B3"/>
    <w:rsid w:val="000E647C"/>
    <w:rsid w:val="000E6F68"/>
    <w:rsid w:val="000F4536"/>
    <w:rsid w:val="000F47BD"/>
    <w:rsid w:val="000F5214"/>
    <w:rsid w:val="000F5791"/>
    <w:rsid w:val="001017A2"/>
    <w:rsid w:val="0010276A"/>
    <w:rsid w:val="001036FB"/>
    <w:rsid w:val="0010378A"/>
    <w:rsid w:val="00103A07"/>
    <w:rsid w:val="00103BD6"/>
    <w:rsid w:val="00103D0B"/>
    <w:rsid w:val="00103E57"/>
    <w:rsid w:val="00105AE0"/>
    <w:rsid w:val="001071FF"/>
    <w:rsid w:val="001075BE"/>
    <w:rsid w:val="0011046C"/>
    <w:rsid w:val="0011120F"/>
    <w:rsid w:val="00112047"/>
    <w:rsid w:val="001120AB"/>
    <w:rsid w:val="00113460"/>
    <w:rsid w:val="00113EC5"/>
    <w:rsid w:val="0011733C"/>
    <w:rsid w:val="001206C4"/>
    <w:rsid w:val="00120905"/>
    <w:rsid w:val="00120A80"/>
    <w:rsid w:val="00120DDA"/>
    <w:rsid w:val="00122482"/>
    <w:rsid w:val="001224CA"/>
    <w:rsid w:val="001235DF"/>
    <w:rsid w:val="001253C1"/>
    <w:rsid w:val="001300A8"/>
    <w:rsid w:val="001307EF"/>
    <w:rsid w:val="00130FFD"/>
    <w:rsid w:val="00131B9B"/>
    <w:rsid w:val="00132409"/>
    <w:rsid w:val="00132477"/>
    <w:rsid w:val="00134941"/>
    <w:rsid w:val="00135348"/>
    <w:rsid w:val="0013568E"/>
    <w:rsid w:val="0013577A"/>
    <w:rsid w:val="0013596A"/>
    <w:rsid w:val="001451A4"/>
    <w:rsid w:val="0015310D"/>
    <w:rsid w:val="0015356C"/>
    <w:rsid w:val="00155BE9"/>
    <w:rsid w:val="0015652F"/>
    <w:rsid w:val="0016076C"/>
    <w:rsid w:val="001618C7"/>
    <w:rsid w:val="00165708"/>
    <w:rsid w:val="00166E7A"/>
    <w:rsid w:val="001713CD"/>
    <w:rsid w:val="00174A8D"/>
    <w:rsid w:val="00176A0E"/>
    <w:rsid w:val="0018134E"/>
    <w:rsid w:val="00182643"/>
    <w:rsid w:val="001830D7"/>
    <w:rsid w:val="00185010"/>
    <w:rsid w:val="001850C4"/>
    <w:rsid w:val="001906D1"/>
    <w:rsid w:val="0019175D"/>
    <w:rsid w:val="00192E27"/>
    <w:rsid w:val="00194B76"/>
    <w:rsid w:val="00197685"/>
    <w:rsid w:val="0019777D"/>
    <w:rsid w:val="001A0D90"/>
    <w:rsid w:val="001A0EB6"/>
    <w:rsid w:val="001A1302"/>
    <w:rsid w:val="001A4995"/>
    <w:rsid w:val="001A529F"/>
    <w:rsid w:val="001B026C"/>
    <w:rsid w:val="001B0736"/>
    <w:rsid w:val="001B14D5"/>
    <w:rsid w:val="001B4B65"/>
    <w:rsid w:val="001B4C23"/>
    <w:rsid w:val="001C0532"/>
    <w:rsid w:val="001C0CCF"/>
    <w:rsid w:val="001C1FFB"/>
    <w:rsid w:val="001D3874"/>
    <w:rsid w:val="001D6198"/>
    <w:rsid w:val="001D6B2F"/>
    <w:rsid w:val="001D6CCA"/>
    <w:rsid w:val="001D7A7C"/>
    <w:rsid w:val="001E1BC7"/>
    <w:rsid w:val="001E398A"/>
    <w:rsid w:val="001E3C4F"/>
    <w:rsid w:val="001E4745"/>
    <w:rsid w:val="001E48C9"/>
    <w:rsid w:val="001E5169"/>
    <w:rsid w:val="001E60D1"/>
    <w:rsid w:val="001E6EA6"/>
    <w:rsid w:val="001E7031"/>
    <w:rsid w:val="001F0977"/>
    <w:rsid w:val="001F2061"/>
    <w:rsid w:val="001F259A"/>
    <w:rsid w:val="001F2D31"/>
    <w:rsid w:val="001F3E52"/>
    <w:rsid w:val="001F52C4"/>
    <w:rsid w:val="001F5A31"/>
    <w:rsid w:val="00201022"/>
    <w:rsid w:val="00204553"/>
    <w:rsid w:val="00207834"/>
    <w:rsid w:val="00211E1C"/>
    <w:rsid w:val="002131F0"/>
    <w:rsid w:val="002134C1"/>
    <w:rsid w:val="00213858"/>
    <w:rsid w:val="002140DF"/>
    <w:rsid w:val="002151EE"/>
    <w:rsid w:val="00215F43"/>
    <w:rsid w:val="00216C79"/>
    <w:rsid w:val="002172FA"/>
    <w:rsid w:val="00223218"/>
    <w:rsid w:val="00223C0E"/>
    <w:rsid w:val="002244FB"/>
    <w:rsid w:val="0022493F"/>
    <w:rsid w:val="002259B7"/>
    <w:rsid w:val="00226BD7"/>
    <w:rsid w:val="00230218"/>
    <w:rsid w:val="002304B2"/>
    <w:rsid w:val="00234AB5"/>
    <w:rsid w:val="00235A7C"/>
    <w:rsid w:val="00235E71"/>
    <w:rsid w:val="002366EC"/>
    <w:rsid w:val="00240B70"/>
    <w:rsid w:val="00241247"/>
    <w:rsid w:val="00241A35"/>
    <w:rsid w:val="00244EDA"/>
    <w:rsid w:val="002463C2"/>
    <w:rsid w:val="0024707D"/>
    <w:rsid w:val="00251EE6"/>
    <w:rsid w:val="00252A0E"/>
    <w:rsid w:val="00256F3C"/>
    <w:rsid w:val="002579AC"/>
    <w:rsid w:val="0026095A"/>
    <w:rsid w:val="00261E10"/>
    <w:rsid w:val="00262836"/>
    <w:rsid w:val="00266448"/>
    <w:rsid w:val="002666B6"/>
    <w:rsid w:val="00267F2E"/>
    <w:rsid w:val="00270AB4"/>
    <w:rsid w:val="0027125F"/>
    <w:rsid w:val="0027386D"/>
    <w:rsid w:val="00273CE7"/>
    <w:rsid w:val="00280004"/>
    <w:rsid w:val="00280295"/>
    <w:rsid w:val="00281900"/>
    <w:rsid w:val="00282D0F"/>
    <w:rsid w:val="00284440"/>
    <w:rsid w:val="00285487"/>
    <w:rsid w:val="00290049"/>
    <w:rsid w:val="0029092A"/>
    <w:rsid w:val="00290A37"/>
    <w:rsid w:val="00291A31"/>
    <w:rsid w:val="0029352A"/>
    <w:rsid w:val="00293E95"/>
    <w:rsid w:val="00294665"/>
    <w:rsid w:val="00297D1B"/>
    <w:rsid w:val="002A06F5"/>
    <w:rsid w:val="002A3990"/>
    <w:rsid w:val="002A3CF6"/>
    <w:rsid w:val="002A5275"/>
    <w:rsid w:val="002A78DB"/>
    <w:rsid w:val="002B11F2"/>
    <w:rsid w:val="002C12B1"/>
    <w:rsid w:val="002C3E2A"/>
    <w:rsid w:val="002C54D8"/>
    <w:rsid w:val="002C5F7F"/>
    <w:rsid w:val="002D285F"/>
    <w:rsid w:val="002D51A5"/>
    <w:rsid w:val="002D6413"/>
    <w:rsid w:val="002D78BD"/>
    <w:rsid w:val="002D7BEA"/>
    <w:rsid w:val="002E071E"/>
    <w:rsid w:val="002E23B1"/>
    <w:rsid w:val="002E3E90"/>
    <w:rsid w:val="002E3F94"/>
    <w:rsid w:val="002E4814"/>
    <w:rsid w:val="002E5B12"/>
    <w:rsid w:val="002E6738"/>
    <w:rsid w:val="002F0946"/>
    <w:rsid w:val="002F0E71"/>
    <w:rsid w:val="002F30E6"/>
    <w:rsid w:val="002F49D2"/>
    <w:rsid w:val="002F5D8F"/>
    <w:rsid w:val="002F5DF7"/>
    <w:rsid w:val="003007E9"/>
    <w:rsid w:val="00300F63"/>
    <w:rsid w:val="00302A03"/>
    <w:rsid w:val="00303151"/>
    <w:rsid w:val="0030484B"/>
    <w:rsid w:val="00305E56"/>
    <w:rsid w:val="00306415"/>
    <w:rsid w:val="00312539"/>
    <w:rsid w:val="00312A7C"/>
    <w:rsid w:val="00315ABB"/>
    <w:rsid w:val="003165DD"/>
    <w:rsid w:val="00320E9C"/>
    <w:rsid w:val="00321AB6"/>
    <w:rsid w:val="00321C69"/>
    <w:rsid w:val="00324BEB"/>
    <w:rsid w:val="00325DC4"/>
    <w:rsid w:val="0032699D"/>
    <w:rsid w:val="00331CBE"/>
    <w:rsid w:val="00331F0C"/>
    <w:rsid w:val="003344DE"/>
    <w:rsid w:val="0033607F"/>
    <w:rsid w:val="003366C3"/>
    <w:rsid w:val="0033717B"/>
    <w:rsid w:val="00341029"/>
    <w:rsid w:val="00341DF6"/>
    <w:rsid w:val="00342E35"/>
    <w:rsid w:val="0034412F"/>
    <w:rsid w:val="003467AA"/>
    <w:rsid w:val="00347DED"/>
    <w:rsid w:val="00350427"/>
    <w:rsid w:val="00351589"/>
    <w:rsid w:val="0035266A"/>
    <w:rsid w:val="003533CB"/>
    <w:rsid w:val="00354170"/>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0059"/>
    <w:rsid w:val="00371507"/>
    <w:rsid w:val="00373358"/>
    <w:rsid w:val="003734A9"/>
    <w:rsid w:val="003749D0"/>
    <w:rsid w:val="00375504"/>
    <w:rsid w:val="00380BF7"/>
    <w:rsid w:val="003817C2"/>
    <w:rsid w:val="003821BD"/>
    <w:rsid w:val="003961A8"/>
    <w:rsid w:val="00397B90"/>
    <w:rsid w:val="003A0AF8"/>
    <w:rsid w:val="003A12B6"/>
    <w:rsid w:val="003A2361"/>
    <w:rsid w:val="003A3825"/>
    <w:rsid w:val="003A3C1C"/>
    <w:rsid w:val="003A45DB"/>
    <w:rsid w:val="003A6687"/>
    <w:rsid w:val="003B0701"/>
    <w:rsid w:val="003B09EB"/>
    <w:rsid w:val="003B1F2D"/>
    <w:rsid w:val="003B2517"/>
    <w:rsid w:val="003B3548"/>
    <w:rsid w:val="003B43AA"/>
    <w:rsid w:val="003B480F"/>
    <w:rsid w:val="003B72A9"/>
    <w:rsid w:val="003B73C7"/>
    <w:rsid w:val="003C007A"/>
    <w:rsid w:val="003C09AC"/>
    <w:rsid w:val="003C3302"/>
    <w:rsid w:val="003C34EB"/>
    <w:rsid w:val="003C450F"/>
    <w:rsid w:val="003C49B8"/>
    <w:rsid w:val="003C5421"/>
    <w:rsid w:val="003C5430"/>
    <w:rsid w:val="003C73B6"/>
    <w:rsid w:val="003D00F6"/>
    <w:rsid w:val="003D4C25"/>
    <w:rsid w:val="003D6A99"/>
    <w:rsid w:val="003D7227"/>
    <w:rsid w:val="003D76AD"/>
    <w:rsid w:val="003E21AD"/>
    <w:rsid w:val="003E2E33"/>
    <w:rsid w:val="003E35A8"/>
    <w:rsid w:val="003E6702"/>
    <w:rsid w:val="003E7DA3"/>
    <w:rsid w:val="003F2113"/>
    <w:rsid w:val="003F35A5"/>
    <w:rsid w:val="003F3EE1"/>
    <w:rsid w:val="003F54E0"/>
    <w:rsid w:val="003F5A49"/>
    <w:rsid w:val="003F68EA"/>
    <w:rsid w:val="003F7B83"/>
    <w:rsid w:val="00400065"/>
    <w:rsid w:val="00414963"/>
    <w:rsid w:val="00415251"/>
    <w:rsid w:val="0041630C"/>
    <w:rsid w:val="004168DC"/>
    <w:rsid w:val="00416F7A"/>
    <w:rsid w:val="0042116F"/>
    <w:rsid w:val="00421DAD"/>
    <w:rsid w:val="004222E0"/>
    <w:rsid w:val="00422693"/>
    <w:rsid w:val="00422A55"/>
    <w:rsid w:val="00422C44"/>
    <w:rsid w:val="0042569B"/>
    <w:rsid w:val="0042757A"/>
    <w:rsid w:val="00427866"/>
    <w:rsid w:val="004278A7"/>
    <w:rsid w:val="0043223F"/>
    <w:rsid w:val="004338CE"/>
    <w:rsid w:val="00435AA6"/>
    <w:rsid w:val="004430A5"/>
    <w:rsid w:val="0044367E"/>
    <w:rsid w:val="004443E7"/>
    <w:rsid w:val="004501AD"/>
    <w:rsid w:val="00450263"/>
    <w:rsid w:val="0045273A"/>
    <w:rsid w:val="00453647"/>
    <w:rsid w:val="00454FF9"/>
    <w:rsid w:val="00457E2E"/>
    <w:rsid w:val="00460AA2"/>
    <w:rsid w:val="00462399"/>
    <w:rsid w:val="004625C3"/>
    <w:rsid w:val="00465C8A"/>
    <w:rsid w:val="00466085"/>
    <w:rsid w:val="0046668A"/>
    <w:rsid w:val="00466DE8"/>
    <w:rsid w:val="00476772"/>
    <w:rsid w:val="004807D8"/>
    <w:rsid w:val="004858C4"/>
    <w:rsid w:val="0048606B"/>
    <w:rsid w:val="00486360"/>
    <w:rsid w:val="004870E5"/>
    <w:rsid w:val="00487AC8"/>
    <w:rsid w:val="00490108"/>
    <w:rsid w:val="00492994"/>
    <w:rsid w:val="00492ED3"/>
    <w:rsid w:val="00492EE9"/>
    <w:rsid w:val="0049371D"/>
    <w:rsid w:val="0049518C"/>
    <w:rsid w:val="00496E36"/>
    <w:rsid w:val="004A008B"/>
    <w:rsid w:val="004A2A14"/>
    <w:rsid w:val="004A3574"/>
    <w:rsid w:val="004A3D8F"/>
    <w:rsid w:val="004A3ED8"/>
    <w:rsid w:val="004A44E9"/>
    <w:rsid w:val="004A4D27"/>
    <w:rsid w:val="004A760C"/>
    <w:rsid w:val="004B3011"/>
    <w:rsid w:val="004B3C41"/>
    <w:rsid w:val="004B3E4E"/>
    <w:rsid w:val="004B5B22"/>
    <w:rsid w:val="004B5B8D"/>
    <w:rsid w:val="004B702D"/>
    <w:rsid w:val="004B7A5D"/>
    <w:rsid w:val="004C01E3"/>
    <w:rsid w:val="004C0510"/>
    <w:rsid w:val="004C1824"/>
    <w:rsid w:val="004C1F8C"/>
    <w:rsid w:val="004C27A2"/>
    <w:rsid w:val="004C2C97"/>
    <w:rsid w:val="004C3BFC"/>
    <w:rsid w:val="004C4655"/>
    <w:rsid w:val="004C5A96"/>
    <w:rsid w:val="004C71FD"/>
    <w:rsid w:val="004D21F9"/>
    <w:rsid w:val="004D2D87"/>
    <w:rsid w:val="004D3C88"/>
    <w:rsid w:val="004D3EFD"/>
    <w:rsid w:val="004D6C39"/>
    <w:rsid w:val="004E0D3B"/>
    <w:rsid w:val="004E30ED"/>
    <w:rsid w:val="004E4D52"/>
    <w:rsid w:val="004E6514"/>
    <w:rsid w:val="004F0013"/>
    <w:rsid w:val="004F037B"/>
    <w:rsid w:val="004F1964"/>
    <w:rsid w:val="004F1E55"/>
    <w:rsid w:val="004F2741"/>
    <w:rsid w:val="004F2C86"/>
    <w:rsid w:val="004F4A43"/>
    <w:rsid w:val="004F57EA"/>
    <w:rsid w:val="004F5A1F"/>
    <w:rsid w:val="0050673A"/>
    <w:rsid w:val="00507910"/>
    <w:rsid w:val="005115F1"/>
    <w:rsid w:val="00513405"/>
    <w:rsid w:val="00517508"/>
    <w:rsid w:val="00524AB5"/>
    <w:rsid w:val="00530955"/>
    <w:rsid w:val="00530EBB"/>
    <w:rsid w:val="00531594"/>
    <w:rsid w:val="005339CE"/>
    <w:rsid w:val="0053469D"/>
    <w:rsid w:val="0053608D"/>
    <w:rsid w:val="00536394"/>
    <w:rsid w:val="00536771"/>
    <w:rsid w:val="0054086A"/>
    <w:rsid w:val="00541912"/>
    <w:rsid w:val="00541962"/>
    <w:rsid w:val="00542267"/>
    <w:rsid w:val="00544A1E"/>
    <w:rsid w:val="005454F7"/>
    <w:rsid w:val="00545A1D"/>
    <w:rsid w:val="00546FF3"/>
    <w:rsid w:val="00547A36"/>
    <w:rsid w:val="00552EA1"/>
    <w:rsid w:val="0055628A"/>
    <w:rsid w:val="00556603"/>
    <w:rsid w:val="00562A80"/>
    <w:rsid w:val="005659BA"/>
    <w:rsid w:val="00571031"/>
    <w:rsid w:val="00571D74"/>
    <w:rsid w:val="00574D07"/>
    <w:rsid w:val="00581D61"/>
    <w:rsid w:val="00583965"/>
    <w:rsid w:val="0058457D"/>
    <w:rsid w:val="00584C51"/>
    <w:rsid w:val="0059165F"/>
    <w:rsid w:val="00594812"/>
    <w:rsid w:val="00597492"/>
    <w:rsid w:val="005977CD"/>
    <w:rsid w:val="005A198A"/>
    <w:rsid w:val="005A2D99"/>
    <w:rsid w:val="005A556A"/>
    <w:rsid w:val="005A657A"/>
    <w:rsid w:val="005B1387"/>
    <w:rsid w:val="005B39F5"/>
    <w:rsid w:val="005B3CF3"/>
    <w:rsid w:val="005B6672"/>
    <w:rsid w:val="005B67E4"/>
    <w:rsid w:val="005B7AB9"/>
    <w:rsid w:val="005C038C"/>
    <w:rsid w:val="005C1F40"/>
    <w:rsid w:val="005C26E6"/>
    <w:rsid w:val="005C297C"/>
    <w:rsid w:val="005C50DE"/>
    <w:rsid w:val="005C669E"/>
    <w:rsid w:val="005C6BAF"/>
    <w:rsid w:val="005C79AB"/>
    <w:rsid w:val="005D0E62"/>
    <w:rsid w:val="005D120E"/>
    <w:rsid w:val="005E0B51"/>
    <w:rsid w:val="005E3AA1"/>
    <w:rsid w:val="005E3DDF"/>
    <w:rsid w:val="005E5481"/>
    <w:rsid w:val="005E5539"/>
    <w:rsid w:val="005E6047"/>
    <w:rsid w:val="005F13C2"/>
    <w:rsid w:val="005F37DF"/>
    <w:rsid w:val="005F3B95"/>
    <w:rsid w:val="005F559B"/>
    <w:rsid w:val="00600A83"/>
    <w:rsid w:val="00600F48"/>
    <w:rsid w:val="006013DE"/>
    <w:rsid w:val="00601E13"/>
    <w:rsid w:val="006025E7"/>
    <w:rsid w:val="00606E51"/>
    <w:rsid w:val="006110AC"/>
    <w:rsid w:val="0061385D"/>
    <w:rsid w:val="00614ECA"/>
    <w:rsid w:val="00615303"/>
    <w:rsid w:val="006163F2"/>
    <w:rsid w:val="00622721"/>
    <w:rsid w:val="0062393E"/>
    <w:rsid w:val="00624117"/>
    <w:rsid w:val="00624500"/>
    <w:rsid w:val="00626FA9"/>
    <w:rsid w:val="00627FC7"/>
    <w:rsid w:val="00630A1C"/>
    <w:rsid w:val="00632887"/>
    <w:rsid w:val="00634058"/>
    <w:rsid w:val="00634059"/>
    <w:rsid w:val="006340B5"/>
    <w:rsid w:val="00635984"/>
    <w:rsid w:val="00636C5D"/>
    <w:rsid w:val="00640096"/>
    <w:rsid w:val="00641597"/>
    <w:rsid w:val="0064227E"/>
    <w:rsid w:val="00645DC0"/>
    <w:rsid w:val="00653A3C"/>
    <w:rsid w:val="00660043"/>
    <w:rsid w:val="0067037C"/>
    <w:rsid w:val="006705E0"/>
    <w:rsid w:val="0067192F"/>
    <w:rsid w:val="0067283C"/>
    <w:rsid w:val="00673498"/>
    <w:rsid w:val="00673BA6"/>
    <w:rsid w:val="0067485A"/>
    <w:rsid w:val="00674B85"/>
    <w:rsid w:val="006755C2"/>
    <w:rsid w:val="0067661F"/>
    <w:rsid w:val="00680CAD"/>
    <w:rsid w:val="00681F30"/>
    <w:rsid w:val="00682B9C"/>
    <w:rsid w:val="00683D71"/>
    <w:rsid w:val="00683EB7"/>
    <w:rsid w:val="006857DF"/>
    <w:rsid w:val="0068713A"/>
    <w:rsid w:val="006907D5"/>
    <w:rsid w:val="00690FBE"/>
    <w:rsid w:val="00691E45"/>
    <w:rsid w:val="0069583C"/>
    <w:rsid w:val="00697BC5"/>
    <w:rsid w:val="006A535A"/>
    <w:rsid w:val="006A7A1E"/>
    <w:rsid w:val="006B752A"/>
    <w:rsid w:val="006B797B"/>
    <w:rsid w:val="006B7F97"/>
    <w:rsid w:val="006C1097"/>
    <w:rsid w:val="006C3937"/>
    <w:rsid w:val="006C57C7"/>
    <w:rsid w:val="006C5E75"/>
    <w:rsid w:val="006C7615"/>
    <w:rsid w:val="006D0B4B"/>
    <w:rsid w:val="006D0B9C"/>
    <w:rsid w:val="006D0CD7"/>
    <w:rsid w:val="006D0DE8"/>
    <w:rsid w:val="006D125F"/>
    <w:rsid w:val="006D5AD5"/>
    <w:rsid w:val="006D609F"/>
    <w:rsid w:val="006E0808"/>
    <w:rsid w:val="006E0C83"/>
    <w:rsid w:val="006E0F6E"/>
    <w:rsid w:val="006E26F4"/>
    <w:rsid w:val="006E3ACC"/>
    <w:rsid w:val="006E561B"/>
    <w:rsid w:val="006E7E40"/>
    <w:rsid w:val="006F0048"/>
    <w:rsid w:val="006F1F29"/>
    <w:rsid w:val="006F6DFA"/>
    <w:rsid w:val="00701BFA"/>
    <w:rsid w:val="007031AC"/>
    <w:rsid w:val="007045A7"/>
    <w:rsid w:val="007056CF"/>
    <w:rsid w:val="00706C72"/>
    <w:rsid w:val="007101BF"/>
    <w:rsid w:val="00710E18"/>
    <w:rsid w:val="00711D73"/>
    <w:rsid w:val="00712437"/>
    <w:rsid w:val="00712AB9"/>
    <w:rsid w:val="00712FBB"/>
    <w:rsid w:val="007202B8"/>
    <w:rsid w:val="007204CB"/>
    <w:rsid w:val="007234AB"/>
    <w:rsid w:val="00723F16"/>
    <w:rsid w:val="007264E7"/>
    <w:rsid w:val="00731470"/>
    <w:rsid w:val="0073473A"/>
    <w:rsid w:val="00734C96"/>
    <w:rsid w:val="00734FEE"/>
    <w:rsid w:val="00737D97"/>
    <w:rsid w:val="007421A3"/>
    <w:rsid w:val="007458E4"/>
    <w:rsid w:val="007516CF"/>
    <w:rsid w:val="00753B18"/>
    <w:rsid w:val="00755A42"/>
    <w:rsid w:val="00757231"/>
    <w:rsid w:val="00761B09"/>
    <w:rsid w:val="0076307E"/>
    <w:rsid w:val="00765D7F"/>
    <w:rsid w:val="00772F41"/>
    <w:rsid w:val="0077521B"/>
    <w:rsid w:val="007811AB"/>
    <w:rsid w:val="00785AEF"/>
    <w:rsid w:val="00785E4F"/>
    <w:rsid w:val="0078680E"/>
    <w:rsid w:val="007928C7"/>
    <w:rsid w:val="00793E36"/>
    <w:rsid w:val="00794D26"/>
    <w:rsid w:val="007A0AF9"/>
    <w:rsid w:val="007A1673"/>
    <w:rsid w:val="007A47D0"/>
    <w:rsid w:val="007A538E"/>
    <w:rsid w:val="007A7D08"/>
    <w:rsid w:val="007B0FAF"/>
    <w:rsid w:val="007B2F12"/>
    <w:rsid w:val="007B58FB"/>
    <w:rsid w:val="007B6079"/>
    <w:rsid w:val="007B6A98"/>
    <w:rsid w:val="007B7EE3"/>
    <w:rsid w:val="007C035E"/>
    <w:rsid w:val="007C0EC0"/>
    <w:rsid w:val="007C1898"/>
    <w:rsid w:val="007C6BBE"/>
    <w:rsid w:val="007C75FA"/>
    <w:rsid w:val="007D00B9"/>
    <w:rsid w:val="007D4329"/>
    <w:rsid w:val="007D4552"/>
    <w:rsid w:val="007D57B6"/>
    <w:rsid w:val="007D759B"/>
    <w:rsid w:val="007E1CC4"/>
    <w:rsid w:val="007E2D0F"/>
    <w:rsid w:val="007E2D1B"/>
    <w:rsid w:val="007E3507"/>
    <w:rsid w:val="007E377A"/>
    <w:rsid w:val="007E422B"/>
    <w:rsid w:val="007F139E"/>
    <w:rsid w:val="007F5B57"/>
    <w:rsid w:val="0080097C"/>
    <w:rsid w:val="00801B99"/>
    <w:rsid w:val="00803317"/>
    <w:rsid w:val="008036E6"/>
    <w:rsid w:val="008050C5"/>
    <w:rsid w:val="00812D80"/>
    <w:rsid w:val="00814E6B"/>
    <w:rsid w:val="00816305"/>
    <w:rsid w:val="0082240A"/>
    <w:rsid w:val="00822F18"/>
    <w:rsid w:val="008237AE"/>
    <w:rsid w:val="00830F5F"/>
    <w:rsid w:val="00831DA8"/>
    <w:rsid w:val="008338E9"/>
    <w:rsid w:val="0083456A"/>
    <w:rsid w:val="00837E5D"/>
    <w:rsid w:val="008400A9"/>
    <w:rsid w:val="00844881"/>
    <w:rsid w:val="00845DA7"/>
    <w:rsid w:val="0085078C"/>
    <w:rsid w:val="00851111"/>
    <w:rsid w:val="0085139E"/>
    <w:rsid w:val="00851BAA"/>
    <w:rsid w:val="00854839"/>
    <w:rsid w:val="00860209"/>
    <w:rsid w:val="00861447"/>
    <w:rsid w:val="00862F1A"/>
    <w:rsid w:val="008636CF"/>
    <w:rsid w:val="00863E78"/>
    <w:rsid w:val="0086541B"/>
    <w:rsid w:val="008659ED"/>
    <w:rsid w:val="00867868"/>
    <w:rsid w:val="00867964"/>
    <w:rsid w:val="00871FDA"/>
    <w:rsid w:val="00875E76"/>
    <w:rsid w:val="008760F4"/>
    <w:rsid w:val="00876C9B"/>
    <w:rsid w:val="00880E46"/>
    <w:rsid w:val="00884EE0"/>
    <w:rsid w:val="00885021"/>
    <w:rsid w:val="008857F3"/>
    <w:rsid w:val="0089097C"/>
    <w:rsid w:val="008913F6"/>
    <w:rsid w:val="008915C8"/>
    <w:rsid w:val="00891BB5"/>
    <w:rsid w:val="0089442D"/>
    <w:rsid w:val="008978BC"/>
    <w:rsid w:val="008A00DE"/>
    <w:rsid w:val="008A1135"/>
    <w:rsid w:val="008A5579"/>
    <w:rsid w:val="008B23ED"/>
    <w:rsid w:val="008B3CF6"/>
    <w:rsid w:val="008B6E3E"/>
    <w:rsid w:val="008C22C3"/>
    <w:rsid w:val="008C2872"/>
    <w:rsid w:val="008C4E93"/>
    <w:rsid w:val="008C5331"/>
    <w:rsid w:val="008D1C6E"/>
    <w:rsid w:val="008D487D"/>
    <w:rsid w:val="008D589B"/>
    <w:rsid w:val="008D5F36"/>
    <w:rsid w:val="008D6F39"/>
    <w:rsid w:val="008D74D8"/>
    <w:rsid w:val="008E0196"/>
    <w:rsid w:val="008E4A5E"/>
    <w:rsid w:val="008E4EA6"/>
    <w:rsid w:val="008E5BEA"/>
    <w:rsid w:val="008E61CF"/>
    <w:rsid w:val="008E66A7"/>
    <w:rsid w:val="008E7B94"/>
    <w:rsid w:val="008F0027"/>
    <w:rsid w:val="008F13F4"/>
    <w:rsid w:val="008F2248"/>
    <w:rsid w:val="008F429A"/>
    <w:rsid w:val="008F4885"/>
    <w:rsid w:val="008F69B0"/>
    <w:rsid w:val="008F6DFC"/>
    <w:rsid w:val="00900FA9"/>
    <w:rsid w:val="0090175B"/>
    <w:rsid w:val="0090254E"/>
    <w:rsid w:val="0090397D"/>
    <w:rsid w:val="00903B8A"/>
    <w:rsid w:val="009071AD"/>
    <w:rsid w:val="00911D77"/>
    <w:rsid w:val="00914D80"/>
    <w:rsid w:val="00915C0A"/>
    <w:rsid w:val="00916C61"/>
    <w:rsid w:val="00920BE6"/>
    <w:rsid w:val="00920D54"/>
    <w:rsid w:val="00922E91"/>
    <w:rsid w:val="009253A2"/>
    <w:rsid w:val="009260F9"/>
    <w:rsid w:val="009328BD"/>
    <w:rsid w:val="0093469C"/>
    <w:rsid w:val="009360EA"/>
    <w:rsid w:val="00940D53"/>
    <w:rsid w:val="00942081"/>
    <w:rsid w:val="009447BD"/>
    <w:rsid w:val="00944876"/>
    <w:rsid w:val="00945F75"/>
    <w:rsid w:val="00950D6C"/>
    <w:rsid w:val="00952B8F"/>
    <w:rsid w:val="00953321"/>
    <w:rsid w:val="00955935"/>
    <w:rsid w:val="00956877"/>
    <w:rsid w:val="009574EE"/>
    <w:rsid w:val="00957C3F"/>
    <w:rsid w:val="009630AF"/>
    <w:rsid w:val="00964F16"/>
    <w:rsid w:val="0096690F"/>
    <w:rsid w:val="0096729D"/>
    <w:rsid w:val="00970692"/>
    <w:rsid w:val="00971686"/>
    <w:rsid w:val="00973845"/>
    <w:rsid w:val="009743E5"/>
    <w:rsid w:val="0097620C"/>
    <w:rsid w:val="0097647D"/>
    <w:rsid w:val="00983A52"/>
    <w:rsid w:val="00984B13"/>
    <w:rsid w:val="00986AE7"/>
    <w:rsid w:val="00987773"/>
    <w:rsid w:val="00987A32"/>
    <w:rsid w:val="00993600"/>
    <w:rsid w:val="0099428B"/>
    <w:rsid w:val="00997D11"/>
    <w:rsid w:val="009A0A96"/>
    <w:rsid w:val="009A1D8B"/>
    <w:rsid w:val="009A2498"/>
    <w:rsid w:val="009A271D"/>
    <w:rsid w:val="009A44F9"/>
    <w:rsid w:val="009A64A6"/>
    <w:rsid w:val="009A70D5"/>
    <w:rsid w:val="009B10B0"/>
    <w:rsid w:val="009B2507"/>
    <w:rsid w:val="009B2E8E"/>
    <w:rsid w:val="009B3004"/>
    <w:rsid w:val="009B348C"/>
    <w:rsid w:val="009B5293"/>
    <w:rsid w:val="009B6EAF"/>
    <w:rsid w:val="009B7712"/>
    <w:rsid w:val="009C0636"/>
    <w:rsid w:val="009C08BA"/>
    <w:rsid w:val="009C4B87"/>
    <w:rsid w:val="009C6F32"/>
    <w:rsid w:val="009C797B"/>
    <w:rsid w:val="009D02E8"/>
    <w:rsid w:val="009D0C05"/>
    <w:rsid w:val="009D2987"/>
    <w:rsid w:val="009D4274"/>
    <w:rsid w:val="009D461F"/>
    <w:rsid w:val="009D5D74"/>
    <w:rsid w:val="009D622C"/>
    <w:rsid w:val="009E1268"/>
    <w:rsid w:val="009E5716"/>
    <w:rsid w:val="009E61F7"/>
    <w:rsid w:val="009E708C"/>
    <w:rsid w:val="009E7B3D"/>
    <w:rsid w:val="009E7BE7"/>
    <w:rsid w:val="009E7EB2"/>
    <w:rsid w:val="009F145D"/>
    <w:rsid w:val="009F17D1"/>
    <w:rsid w:val="009F7CAB"/>
    <w:rsid w:val="00A00D15"/>
    <w:rsid w:val="00A011F7"/>
    <w:rsid w:val="00A02E6E"/>
    <w:rsid w:val="00A03F22"/>
    <w:rsid w:val="00A05B28"/>
    <w:rsid w:val="00A064C9"/>
    <w:rsid w:val="00A0662C"/>
    <w:rsid w:val="00A12624"/>
    <w:rsid w:val="00A1407B"/>
    <w:rsid w:val="00A14B13"/>
    <w:rsid w:val="00A14B40"/>
    <w:rsid w:val="00A15BF3"/>
    <w:rsid w:val="00A17FEB"/>
    <w:rsid w:val="00A20772"/>
    <w:rsid w:val="00A214C8"/>
    <w:rsid w:val="00A21567"/>
    <w:rsid w:val="00A215C7"/>
    <w:rsid w:val="00A223D3"/>
    <w:rsid w:val="00A24B13"/>
    <w:rsid w:val="00A30451"/>
    <w:rsid w:val="00A3148A"/>
    <w:rsid w:val="00A31B46"/>
    <w:rsid w:val="00A324AB"/>
    <w:rsid w:val="00A34E09"/>
    <w:rsid w:val="00A34F55"/>
    <w:rsid w:val="00A35B35"/>
    <w:rsid w:val="00A4004C"/>
    <w:rsid w:val="00A44A6C"/>
    <w:rsid w:val="00A44E5B"/>
    <w:rsid w:val="00A45819"/>
    <w:rsid w:val="00A4687A"/>
    <w:rsid w:val="00A46D17"/>
    <w:rsid w:val="00A47C08"/>
    <w:rsid w:val="00A52F47"/>
    <w:rsid w:val="00A54695"/>
    <w:rsid w:val="00A54D83"/>
    <w:rsid w:val="00A61176"/>
    <w:rsid w:val="00A61F5C"/>
    <w:rsid w:val="00A63384"/>
    <w:rsid w:val="00A71631"/>
    <w:rsid w:val="00A71754"/>
    <w:rsid w:val="00A717E7"/>
    <w:rsid w:val="00A71EDB"/>
    <w:rsid w:val="00A74152"/>
    <w:rsid w:val="00A76A28"/>
    <w:rsid w:val="00A81A62"/>
    <w:rsid w:val="00A8284E"/>
    <w:rsid w:val="00A82DC6"/>
    <w:rsid w:val="00A83243"/>
    <w:rsid w:val="00A83CC9"/>
    <w:rsid w:val="00A8789C"/>
    <w:rsid w:val="00A90111"/>
    <w:rsid w:val="00A91528"/>
    <w:rsid w:val="00A95196"/>
    <w:rsid w:val="00A9738A"/>
    <w:rsid w:val="00AA1EFF"/>
    <w:rsid w:val="00AA5115"/>
    <w:rsid w:val="00AA70DF"/>
    <w:rsid w:val="00AA7241"/>
    <w:rsid w:val="00AB14C7"/>
    <w:rsid w:val="00AB2264"/>
    <w:rsid w:val="00AB4E47"/>
    <w:rsid w:val="00AB67F7"/>
    <w:rsid w:val="00AC0715"/>
    <w:rsid w:val="00AC146C"/>
    <w:rsid w:val="00AC1BA8"/>
    <w:rsid w:val="00AC1F76"/>
    <w:rsid w:val="00AC2615"/>
    <w:rsid w:val="00AC5AB5"/>
    <w:rsid w:val="00AC64D8"/>
    <w:rsid w:val="00AD0AF6"/>
    <w:rsid w:val="00AD12D2"/>
    <w:rsid w:val="00AD1729"/>
    <w:rsid w:val="00AD1C00"/>
    <w:rsid w:val="00AD2774"/>
    <w:rsid w:val="00AD3BAE"/>
    <w:rsid w:val="00AD5261"/>
    <w:rsid w:val="00AE2CB2"/>
    <w:rsid w:val="00AE357A"/>
    <w:rsid w:val="00AE38B2"/>
    <w:rsid w:val="00AE5A4E"/>
    <w:rsid w:val="00AE76F9"/>
    <w:rsid w:val="00AF1F8B"/>
    <w:rsid w:val="00AF4117"/>
    <w:rsid w:val="00AF4295"/>
    <w:rsid w:val="00AF4B9E"/>
    <w:rsid w:val="00AF6636"/>
    <w:rsid w:val="00B11692"/>
    <w:rsid w:val="00B14116"/>
    <w:rsid w:val="00B1486E"/>
    <w:rsid w:val="00B159E2"/>
    <w:rsid w:val="00B15BDD"/>
    <w:rsid w:val="00B20443"/>
    <w:rsid w:val="00B214AB"/>
    <w:rsid w:val="00B22EB9"/>
    <w:rsid w:val="00B259CE"/>
    <w:rsid w:val="00B25B50"/>
    <w:rsid w:val="00B26510"/>
    <w:rsid w:val="00B30680"/>
    <w:rsid w:val="00B31DD7"/>
    <w:rsid w:val="00B32CAF"/>
    <w:rsid w:val="00B33432"/>
    <w:rsid w:val="00B336D5"/>
    <w:rsid w:val="00B35F18"/>
    <w:rsid w:val="00B3657C"/>
    <w:rsid w:val="00B42372"/>
    <w:rsid w:val="00B423A4"/>
    <w:rsid w:val="00B437D6"/>
    <w:rsid w:val="00B4446B"/>
    <w:rsid w:val="00B445C1"/>
    <w:rsid w:val="00B523FB"/>
    <w:rsid w:val="00B5525E"/>
    <w:rsid w:val="00B57726"/>
    <w:rsid w:val="00B63604"/>
    <w:rsid w:val="00B63CFC"/>
    <w:rsid w:val="00B63FA9"/>
    <w:rsid w:val="00B650CC"/>
    <w:rsid w:val="00B663D5"/>
    <w:rsid w:val="00B7078F"/>
    <w:rsid w:val="00B71457"/>
    <w:rsid w:val="00B73394"/>
    <w:rsid w:val="00B750BF"/>
    <w:rsid w:val="00B75217"/>
    <w:rsid w:val="00B75366"/>
    <w:rsid w:val="00B81AFD"/>
    <w:rsid w:val="00B83085"/>
    <w:rsid w:val="00B85442"/>
    <w:rsid w:val="00B85BF4"/>
    <w:rsid w:val="00B91090"/>
    <w:rsid w:val="00B926B7"/>
    <w:rsid w:val="00B94A3A"/>
    <w:rsid w:val="00B95094"/>
    <w:rsid w:val="00BB0F96"/>
    <w:rsid w:val="00BB12EA"/>
    <w:rsid w:val="00BB2F95"/>
    <w:rsid w:val="00BC2829"/>
    <w:rsid w:val="00BC4096"/>
    <w:rsid w:val="00BC60A9"/>
    <w:rsid w:val="00BC65BA"/>
    <w:rsid w:val="00BD55FE"/>
    <w:rsid w:val="00BE0383"/>
    <w:rsid w:val="00BE07A0"/>
    <w:rsid w:val="00BE0C7C"/>
    <w:rsid w:val="00BE1C3A"/>
    <w:rsid w:val="00BE70FF"/>
    <w:rsid w:val="00BF1079"/>
    <w:rsid w:val="00BF2768"/>
    <w:rsid w:val="00BF5859"/>
    <w:rsid w:val="00BF6DFF"/>
    <w:rsid w:val="00C00048"/>
    <w:rsid w:val="00C00239"/>
    <w:rsid w:val="00C012B8"/>
    <w:rsid w:val="00C11842"/>
    <w:rsid w:val="00C12994"/>
    <w:rsid w:val="00C1363B"/>
    <w:rsid w:val="00C14D24"/>
    <w:rsid w:val="00C1538F"/>
    <w:rsid w:val="00C15926"/>
    <w:rsid w:val="00C16139"/>
    <w:rsid w:val="00C17609"/>
    <w:rsid w:val="00C177ED"/>
    <w:rsid w:val="00C2265C"/>
    <w:rsid w:val="00C24E8F"/>
    <w:rsid w:val="00C25AB2"/>
    <w:rsid w:val="00C278A9"/>
    <w:rsid w:val="00C30985"/>
    <w:rsid w:val="00C3350C"/>
    <w:rsid w:val="00C33BB9"/>
    <w:rsid w:val="00C3464B"/>
    <w:rsid w:val="00C35140"/>
    <w:rsid w:val="00C35A34"/>
    <w:rsid w:val="00C367F2"/>
    <w:rsid w:val="00C3715A"/>
    <w:rsid w:val="00C3717F"/>
    <w:rsid w:val="00C408DA"/>
    <w:rsid w:val="00C421FF"/>
    <w:rsid w:val="00C425BE"/>
    <w:rsid w:val="00C44F2B"/>
    <w:rsid w:val="00C545D3"/>
    <w:rsid w:val="00C54A8C"/>
    <w:rsid w:val="00C5675C"/>
    <w:rsid w:val="00C61233"/>
    <w:rsid w:val="00C61911"/>
    <w:rsid w:val="00C627D8"/>
    <w:rsid w:val="00C62EB5"/>
    <w:rsid w:val="00C65EB9"/>
    <w:rsid w:val="00C718D9"/>
    <w:rsid w:val="00C72850"/>
    <w:rsid w:val="00C73632"/>
    <w:rsid w:val="00C75175"/>
    <w:rsid w:val="00C7543D"/>
    <w:rsid w:val="00C759F9"/>
    <w:rsid w:val="00C75CB7"/>
    <w:rsid w:val="00C777E7"/>
    <w:rsid w:val="00C81E92"/>
    <w:rsid w:val="00C82A83"/>
    <w:rsid w:val="00C91F28"/>
    <w:rsid w:val="00C92ED2"/>
    <w:rsid w:val="00C93239"/>
    <w:rsid w:val="00C94BF8"/>
    <w:rsid w:val="00C94F86"/>
    <w:rsid w:val="00CA180E"/>
    <w:rsid w:val="00CA23F1"/>
    <w:rsid w:val="00CA4DB3"/>
    <w:rsid w:val="00CA574E"/>
    <w:rsid w:val="00CA69FF"/>
    <w:rsid w:val="00CA7FEE"/>
    <w:rsid w:val="00CB0CBA"/>
    <w:rsid w:val="00CB11FA"/>
    <w:rsid w:val="00CC0F98"/>
    <w:rsid w:val="00CC1F38"/>
    <w:rsid w:val="00CC4D3B"/>
    <w:rsid w:val="00CC6328"/>
    <w:rsid w:val="00CC69B1"/>
    <w:rsid w:val="00CC7D94"/>
    <w:rsid w:val="00CD0996"/>
    <w:rsid w:val="00CD17D9"/>
    <w:rsid w:val="00CD218F"/>
    <w:rsid w:val="00CD417B"/>
    <w:rsid w:val="00CD4EA9"/>
    <w:rsid w:val="00CE0A40"/>
    <w:rsid w:val="00CE0C33"/>
    <w:rsid w:val="00CE2480"/>
    <w:rsid w:val="00CE3871"/>
    <w:rsid w:val="00CE39D5"/>
    <w:rsid w:val="00CE52D0"/>
    <w:rsid w:val="00CE7671"/>
    <w:rsid w:val="00CF1043"/>
    <w:rsid w:val="00CF1336"/>
    <w:rsid w:val="00CF2265"/>
    <w:rsid w:val="00CF38DA"/>
    <w:rsid w:val="00CF6B12"/>
    <w:rsid w:val="00CF6CA8"/>
    <w:rsid w:val="00CF797E"/>
    <w:rsid w:val="00CF7AF4"/>
    <w:rsid w:val="00CF7C9B"/>
    <w:rsid w:val="00D01079"/>
    <w:rsid w:val="00D02059"/>
    <w:rsid w:val="00D03B55"/>
    <w:rsid w:val="00D04D65"/>
    <w:rsid w:val="00D10FDF"/>
    <w:rsid w:val="00D15CC8"/>
    <w:rsid w:val="00D20615"/>
    <w:rsid w:val="00D206F9"/>
    <w:rsid w:val="00D20796"/>
    <w:rsid w:val="00D238ED"/>
    <w:rsid w:val="00D2538D"/>
    <w:rsid w:val="00D268C9"/>
    <w:rsid w:val="00D26D00"/>
    <w:rsid w:val="00D301ED"/>
    <w:rsid w:val="00D313B0"/>
    <w:rsid w:val="00D319D4"/>
    <w:rsid w:val="00D36569"/>
    <w:rsid w:val="00D36FBF"/>
    <w:rsid w:val="00D40062"/>
    <w:rsid w:val="00D405E7"/>
    <w:rsid w:val="00D4133A"/>
    <w:rsid w:val="00D440FF"/>
    <w:rsid w:val="00D44DD1"/>
    <w:rsid w:val="00D50BC2"/>
    <w:rsid w:val="00D515C2"/>
    <w:rsid w:val="00D51801"/>
    <w:rsid w:val="00D5622E"/>
    <w:rsid w:val="00D570CE"/>
    <w:rsid w:val="00D66F14"/>
    <w:rsid w:val="00D679C1"/>
    <w:rsid w:val="00D67A9D"/>
    <w:rsid w:val="00D7638B"/>
    <w:rsid w:val="00D76DCC"/>
    <w:rsid w:val="00D77028"/>
    <w:rsid w:val="00D77D9E"/>
    <w:rsid w:val="00D81C8D"/>
    <w:rsid w:val="00D81D6D"/>
    <w:rsid w:val="00D8340F"/>
    <w:rsid w:val="00D86400"/>
    <w:rsid w:val="00D867D6"/>
    <w:rsid w:val="00D868DE"/>
    <w:rsid w:val="00D90503"/>
    <w:rsid w:val="00D94A33"/>
    <w:rsid w:val="00D97FE0"/>
    <w:rsid w:val="00DA1C78"/>
    <w:rsid w:val="00DA6875"/>
    <w:rsid w:val="00DB0107"/>
    <w:rsid w:val="00DB0B44"/>
    <w:rsid w:val="00DB18E3"/>
    <w:rsid w:val="00DB297D"/>
    <w:rsid w:val="00DB4314"/>
    <w:rsid w:val="00DB6163"/>
    <w:rsid w:val="00DB66A1"/>
    <w:rsid w:val="00DB75D0"/>
    <w:rsid w:val="00DB7C7C"/>
    <w:rsid w:val="00DC0A19"/>
    <w:rsid w:val="00DC0C8E"/>
    <w:rsid w:val="00DC1BE6"/>
    <w:rsid w:val="00DC68AF"/>
    <w:rsid w:val="00DD1317"/>
    <w:rsid w:val="00DD2426"/>
    <w:rsid w:val="00DD2F1D"/>
    <w:rsid w:val="00DD3ACE"/>
    <w:rsid w:val="00DD60CF"/>
    <w:rsid w:val="00DE02C0"/>
    <w:rsid w:val="00DE0C01"/>
    <w:rsid w:val="00DE3797"/>
    <w:rsid w:val="00DE4E97"/>
    <w:rsid w:val="00DE5AB2"/>
    <w:rsid w:val="00DE671D"/>
    <w:rsid w:val="00DF4497"/>
    <w:rsid w:val="00DF44DC"/>
    <w:rsid w:val="00DF4E4D"/>
    <w:rsid w:val="00DF715B"/>
    <w:rsid w:val="00E00C09"/>
    <w:rsid w:val="00E01840"/>
    <w:rsid w:val="00E03760"/>
    <w:rsid w:val="00E03EFD"/>
    <w:rsid w:val="00E0764D"/>
    <w:rsid w:val="00E0782E"/>
    <w:rsid w:val="00E10D0C"/>
    <w:rsid w:val="00E10E49"/>
    <w:rsid w:val="00E1639B"/>
    <w:rsid w:val="00E16966"/>
    <w:rsid w:val="00E16B58"/>
    <w:rsid w:val="00E173A4"/>
    <w:rsid w:val="00E1777D"/>
    <w:rsid w:val="00E20B76"/>
    <w:rsid w:val="00E21B6D"/>
    <w:rsid w:val="00E22996"/>
    <w:rsid w:val="00E31245"/>
    <w:rsid w:val="00E319E4"/>
    <w:rsid w:val="00E34FE8"/>
    <w:rsid w:val="00E377D4"/>
    <w:rsid w:val="00E406E1"/>
    <w:rsid w:val="00E4111A"/>
    <w:rsid w:val="00E418B7"/>
    <w:rsid w:val="00E419D1"/>
    <w:rsid w:val="00E41A8F"/>
    <w:rsid w:val="00E47A9E"/>
    <w:rsid w:val="00E52810"/>
    <w:rsid w:val="00E536A2"/>
    <w:rsid w:val="00E56F5D"/>
    <w:rsid w:val="00E61924"/>
    <w:rsid w:val="00E61E2A"/>
    <w:rsid w:val="00E62870"/>
    <w:rsid w:val="00E63015"/>
    <w:rsid w:val="00E6532F"/>
    <w:rsid w:val="00E70E68"/>
    <w:rsid w:val="00E7106D"/>
    <w:rsid w:val="00E7401E"/>
    <w:rsid w:val="00E762FB"/>
    <w:rsid w:val="00E808E3"/>
    <w:rsid w:val="00E817C5"/>
    <w:rsid w:val="00E81DDF"/>
    <w:rsid w:val="00E82791"/>
    <w:rsid w:val="00E8332D"/>
    <w:rsid w:val="00E85DFB"/>
    <w:rsid w:val="00E85F74"/>
    <w:rsid w:val="00E865C1"/>
    <w:rsid w:val="00E87CCD"/>
    <w:rsid w:val="00E87EBC"/>
    <w:rsid w:val="00E90614"/>
    <w:rsid w:val="00E92C08"/>
    <w:rsid w:val="00E94054"/>
    <w:rsid w:val="00E9426D"/>
    <w:rsid w:val="00E947D0"/>
    <w:rsid w:val="00E94B32"/>
    <w:rsid w:val="00E94F48"/>
    <w:rsid w:val="00E95122"/>
    <w:rsid w:val="00E95A5B"/>
    <w:rsid w:val="00EA02B6"/>
    <w:rsid w:val="00EA0BAE"/>
    <w:rsid w:val="00EA1009"/>
    <w:rsid w:val="00EA1F39"/>
    <w:rsid w:val="00EA328C"/>
    <w:rsid w:val="00EA50FC"/>
    <w:rsid w:val="00EA6123"/>
    <w:rsid w:val="00EB170B"/>
    <w:rsid w:val="00EB290D"/>
    <w:rsid w:val="00EB474C"/>
    <w:rsid w:val="00EB5517"/>
    <w:rsid w:val="00EB632A"/>
    <w:rsid w:val="00EC36BC"/>
    <w:rsid w:val="00ED18AF"/>
    <w:rsid w:val="00ED2203"/>
    <w:rsid w:val="00ED2569"/>
    <w:rsid w:val="00ED25B1"/>
    <w:rsid w:val="00ED3109"/>
    <w:rsid w:val="00ED621F"/>
    <w:rsid w:val="00ED7FAF"/>
    <w:rsid w:val="00EE0104"/>
    <w:rsid w:val="00EE07DA"/>
    <w:rsid w:val="00EE2AD2"/>
    <w:rsid w:val="00EE324B"/>
    <w:rsid w:val="00EE56CB"/>
    <w:rsid w:val="00EE6B8D"/>
    <w:rsid w:val="00EE6C48"/>
    <w:rsid w:val="00EF0079"/>
    <w:rsid w:val="00EF4E25"/>
    <w:rsid w:val="00EF5AEB"/>
    <w:rsid w:val="00EF5E4C"/>
    <w:rsid w:val="00EF6B7E"/>
    <w:rsid w:val="00F03DD9"/>
    <w:rsid w:val="00F06A8A"/>
    <w:rsid w:val="00F0761C"/>
    <w:rsid w:val="00F1054C"/>
    <w:rsid w:val="00F11975"/>
    <w:rsid w:val="00F1246B"/>
    <w:rsid w:val="00F243C8"/>
    <w:rsid w:val="00F25F70"/>
    <w:rsid w:val="00F26D6A"/>
    <w:rsid w:val="00F304A9"/>
    <w:rsid w:val="00F30688"/>
    <w:rsid w:val="00F30C1A"/>
    <w:rsid w:val="00F33F84"/>
    <w:rsid w:val="00F34FB2"/>
    <w:rsid w:val="00F35A11"/>
    <w:rsid w:val="00F400ED"/>
    <w:rsid w:val="00F420CC"/>
    <w:rsid w:val="00F43840"/>
    <w:rsid w:val="00F43BBA"/>
    <w:rsid w:val="00F45E41"/>
    <w:rsid w:val="00F50479"/>
    <w:rsid w:val="00F507CD"/>
    <w:rsid w:val="00F52083"/>
    <w:rsid w:val="00F53C91"/>
    <w:rsid w:val="00F56191"/>
    <w:rsid w:val="00F56E87"/>
    <w:rsid w:val="00F61FC5"/>
    <w:rsid w:val="00F64BB0"/>
    <w:rsid w:val="00F6546C"/>
    <w:rsid w:val="00F709AA"/>
    <w:rsid w:val="00F73E51"/>
    <w:rsid w:val="00F75244"/>
    <w:rsid w:val="00F801B9"/>
    <w:rsid w:val="00F8304C"/>
    <w:rsid w:val="00F85A8C"/>
    <w:rsid w:val="00F86E62"/>
    <w:rsid w:val="00F915F1"/>
    <w:rsid w:val="00F91721"/>
    <w:rsid w:val="00F920ED"/>
    <w:rsid w:val="00F95601"/>
    <w:rsid w:val="00F957DB"/>
    <w:rsid w:val="00FA5879"/>
    <w:rsid w:val="00FA58E9"/>
    <w:rsid w:val="00FA5CFA"/>
    <w:rsid w:val="00FB04D2"/>
    <w:rsid w:val="00FB0604"/>
    <w:rsid w:val="00FB209F"/>
    <w:rsid w:val="00FB6215"/>
    <w:rsid w:val="00FB6448"/>
    <w:rsid w:val="00FD0668"/>
    <w:rsid w:val="00FD2335"/>
    <w:rsid w:val="00FD2AED"/>
    <w:rsid w:val="00FD739B"/>
    <w:rsid w:val="00FD784E"/>
    <w:rsid w:val="00FE0A74"/>
    <w:rsid w:val="00FE0E36"/>
    <w:rsid w:val="00FE2790"/>
    <w:rsid w:val="00FE4D23"/>
    <w:rsid w:val="00FE639A"/>
    <w:rsid w:val="00FE6EA5"/>
    <w:rsid w:val="00FE76EB"/>
    <w:rsid w:val="00FE7BE9"/>
    <w:rsid w:val="00FF344D"/>
    <w:rsid w:val="00FF366D"/>
    <w:rsid w:val="00FF401B"/>
    <w:rsid w:val="00FF463F"/>
    <w:rsid w:val="00FF55FB"/>
    <w:rsid w:val="00FF5C61"/>
    <w:rsid w:val="00FF7F98"/>
    <w:rsid w:val="02C006B9"/>
    <w:rsid w:val="0520669F"/>
    <w:rsid w:val="06741ABD"/>
    <w:rsid w:val="08FE7DF5"/>
    <w:rsid w:val="0A483924"/>
    <w:rsid w:val="0AD7716B"/>
    <w:rsid w:val="0ADD677E"/>
    <w:rsid w:val="0E1B3AE0"/>
    <w:rsid w:val="1084098E"/>
    <w:rsid w:val="10895666"/>
    <w:rsid w:val="10AF63B7"/>
    <w:rsid w:val="11CC0FF3"/>
    <w:rsid w:val="11FA36C3"/>
    <w:rsid w:val="129B43B7"/>
    <w:rsid w:val="129F3785"/>
    <w:rsid w:val="17E42C71"/>
    <w:rsid w:val="18FE5736"/>
    <w:rsid w:val="1AD76173"/>
    <w:rsid w:val="1C9F7713"/>
    <w:rsid w:val="1D7C3357"/>
    <w:rsid w:val="1E982F7E"/>
    <w:rsid w:val="1EF45480"/>
    <w:rsid w:val="236463EB"/>
    <w:rsid w:val="240C3CC8"/>
    <w:rsid w:val="3D8D72AD"/>
    <w:rsid w:val="3E604422"/>
    <w:rsid w:val="41016D9A"/>
    <w:rsid w:val="42C81E09"/>
    <w:rsid w:val="469C33E4"/>
    <w:rsid w:val="4BD935B2"/>
    <w:rsid w:val="4C420357"/>
    <w:rsid w:val="4EAA7F84"/>
    <w:rsid w:val="4EE615DE"/>
    <w:rsid w:val="533D66DF"/>
    <w:rsid w:val="552B4AF9"/>
    <w:rsid w:val="57445BAF"/>
    <w:rsid w:val="58151417"/>
    <w:rsid w:val="584568AC"/>
    <w:rsid w:val="590D7131"/>
    <w:rsid w:val="5C2E75D1"/>
    <w:rsid w:val="610C38E5"/>
    <w:rsid w:val="61241947"/>
    <w:rsid w:val="617D6970"/>
    <w:rsid w:val="61C5743F"/>
    <w:rsid w:val="67107F00"/>
    <w:rsid w:val="6A087A2A"/>
    <w:rsid w:val="6A2A2395"/>
    <w:rsid w:val="6A7B27A9"/>
    <w:rsid w:val="6EDB4F7D"/>
    <w:rsid w:val="6FE605C4"/>
    <w:rsid w:val="715F0E52"/>
    <w:rsid w:val="71F563BB"/>
    <w:rsid w:val="74F04A56"/>
    <w:rsid w:val="76984412"/>
    <w:rsid w:val="7FC9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link w:val="25"/>
    <w:qFormat/>
    <w:uiPriority w:val="0"/>
    <w:pPr>
      <w:keepNext/>
      <w:autoSpaceDE w:val="0"/>
      <w:autoSpaceDN w:val="0"/>
      <w:adjustRightInd w:val="0"/>
      <w:jc w:val="center"/>
      <w:outlineLvl w:val="0"/>
    </w:pPr>
    <w:rPr>
      <w:rFonts w:ascii="宋体"/>
      <w:color w:val="000000"/>
      <w:sz w:val="28"/>
      <w:szCs w:val="20"/>
    </w:rPr>
  </w:style>
  <w:style w:type="paragraph" w:styleId="5">
    <w:name w:val="heading 2"/>
    <w:basedOn w:val="1"/>
    <w:next w:val="1"/>
    <w:link w:val="30"/>
    <w:qFormat/>
    <w:uiPriority w:val="0"/>
    <w:pPr>
      <w:keepNext/>
      <w:keepLines/>
      <w:spacing w:before="260" w:after="260" w:line="416" w:lineRule="auto"/>
      <w:outlineLvl w:val="1"/>
    </w:pPr>
    <w:rPr>
      <w:rFonts w:ascii="Arial" w:hAnsi="Arial"/>
      <w:b/>
      <w:bCs/>
      <w:sz w:val="32"/>
      <w:szCs w:val="32"/>
    </w:rPr>
  </w:style>
  <w:style w:type="paragraph" w:styleId="6">
    <w:name w:val="heading 3"/>
    <w:basedOn w:val="1"/>
    <w:next w:val="1"/>
    <w:link w:val="32"/>
    <w:semiHidden/>
    <w:unhideWhenUsed/>
    <w:qFormat/>
    <w:uiPriority w:val="9"/>
    <w:pPr>
      <w:keepNext/>
      <w:keepLines/>
      <w:spacing w:before="260" w:after="260" w:line="416" w:lineRule="auto"/>
      <w:outlineLvl w:val="2"/>
    </w:pPr>
    <w:rPr>
      <w:b/>
      <w:bCs/>
      <w:sz w:val="32"/>
      <w:szCs w:val="32"/>
    </w:rPr>
  </w:style>
  <w:style w:type="paragraph" w:styleId="7">
    <w:name w:val="heading 4"/>
    <w:basedOn w:val="1"/>
    <w:next w:val="1"/>
    <w:link w:val="33"/>
    <w:qFormat/>
    <w:uiPriority w:val="0"/>
    <w:pPr>
      <w:keepNext/>
      <w:keepLines/>
      <w:spacing w:before="280" w:after="290" w:line="376" w:lineRule="auto"/>
      <w:outlineLvl w:val="3"/>
    </w:pPr>
    <w:rPr>
      <w:rFonts w:ascii="Cambria" w:hAnsi="Cambria"/>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szCs w:val="24"/>
    </w:rPr>
  </w:style>
  <w:style w:type="paragraph" w:styleId="3">
    <w:name w:val="Body Text Indent"/>
    <w:basedOn w:val="1"/>
    <w:unhideWhenUsed/>
    <w:qFormat/>
    <w:uiPriority w:val="99"/>
    <w:pPr>
      <w:spacing w:after="120"/>
      <w:ind w:left="420" w:leftChars="200"/>
    </w:pPr>
  </w:style>
  <w:style w:type="paragraph" w:styleId="8">
    <w:name w:val="annotation text"/>
    <w:basedOn w:val="1"/>
    <w:link w:val="26"/>
    <w:unhideWhenUsed/>
    <w:qFormat/>
    <w:uiPriority w:val="99"/>
    <w:pPr>
      <w:jc w:val="left"/>
    </w:pPr>
  </w:style>
  <w:style w:type="paragraph" w:styleId="9">
    <w:name w:val="Plain Text"/>
    <w:basedOn w:val="1"/>
    <w:link w:val="29"/>
    <w:qFormat/>
    <w:uiPriority w:val="0"/>
    <w:rPr>
      <w:rFonts w:ascii="宋体" w:hAnsi="Courier New" w:eastAsiaTheme="minorEastAsia" w:cstheme="minorBidi"/>
    </w:rPr>
  </w:style>
  <w:style w:type="paragraph" w:styleId="10">
    <w:name w:val="Date"/>
    <w:basedOn w:val="1"/>
    <w:next w:val="1"/>
    <w:link w:val="21"/>
    <w:qFormat/>
    <w:uiPriority w:val="0"/>
    <w:rPr>
      <w:rFonts w:ascii="宋体" w:hAnsi="Courier New"/>
      <w:kern w:val="0"/>
      <w:sz w:val="32"/>
      <w:szCs w:val="20"/>
    </w:rPr>
  </w:style>
  <w:style w:type="paragraph" w:styleId="11">
    <w:name w:val="Balloon Text"/>
    <w:basedOn w:val="1"/>
    <w:link w:val="22"/>
    <w:semiHidden/>
    <w:unhideWhenUsed/>
    <w:qFormat/>
    <w:uiPriority w:val="99"/>
    <w:rPr>
      <w:sz w:val="18"/>
      <w:szCs w:val="18"/>
    </w:rPr>
  </w:style>
  <w:style w:type="paragraph" w:styleId="12">
    <w:name w:val="footer"/>
    <w:basedOn w:val="1"/>
    <w:link w:val="24"/>
    <w:unhideWhenUsed/>
    <w:qFormat/>
    <w:uiPriority w:val="99"/>
    <w:pPr>
      <w:tabs>
        <w:tab w:val="center" w:pos="4153"/>
        <w:tab w:val="right" w:pos="8306"/>
      </w:tabs>
      <w:snapToGrid w:val="0"/>
      <w:jc w:val="left"/>
    </w:pPr>
    <w:rPr>
      <w:sz w:val="18"/>
      <w:szCs w:val="18"/>
    </w:rPr>
  </w:style>
  <w:style w:type="paragraph" w:styleId="13">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annotation subject"/>
    <w:basedOn w:val="8"/>
    <w:next w:val="8"/>
    <w:link w:val="27"/>
    <w:semiHidden/>
    <w:unhideWhenUsed/>
    <w:qFormat/>
    <w:uiPriority w:val="99"/>
    <w:rPr>
      <w:b/>
      <w:bCs/>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8">
    <w:name w:val="Hyperlink"/>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日期 Char"/>
    <w:basedOn w:val="17"/>
    <w:link w:val="10"/>
    <w:qFormat/>
    <w:uiPriority w:val="0"/>
    <w:rPr>
      <w:rFonts w:ascii="宋体" w:hAnsi="Courier New" w:eastAsia="宋体" w:cs="Times New Roman"/>
      <w:kern w:val="0"/>
      <w:sz w:val="32"/>
      <w:szCs w:val="20"/>
    </w:rPr>
  </w:style>
  <w:style w:type="character" w:customStyle="1" w:styleId="21">
    <w:name w:val="日期 Char1"/>
    <w:basedOn w:val="17"/>
    <w:link w:val="10"/>
    <w:semiHidden/>
    <w:qFormat/>
    <w:uiPriority w:val="99"/>
    <w:rPr>
      <w:rFonts w:ascii="Calibri" w:hAnsi="Calibri" w:eastAsia="宋体" w:cs="Times New Roman"/>
    </w:rPr>
  </w:style>
  <w:style w:type="character" w:customStyle="1" w:styleId="22">
    <w:name w:val="批注框文本 Char"/>
    <w:basedOn w:val="17"/>
    <w:link w:val="11"/>
    <w:semiHidden/>
    <w:qFormat/>
    <w:uiPriority w:val="99"/>
    <w:rPr>
      <w:rFonts w:ascii="Calibri" w:hAnsi="Calibri" w:eastAsia="宋体" w:cs="Times New Roman"/>
      <w:sz w:val="18"/>
      <w:szCs w:val="18"/>
    </w:rPr>
  </w:style>
  <w:style w:type="character" w:customStyle="1" w:styleId="23">
    <w:name w:val="页眉 Char"/>
    <w:basedOn w:val="17"/>
    <w:link w:val="13"/>
    <w:semiHidden/>
    <w:qFormat/>
    <w:uiPriority w:val="99"/>
    <w:rPr>
      <w:rFonts w:ascii="Calibri" w:hAnsi="Calibri" w:eastAsia="宋体" w:cs="Times New Roman"/>
      <w:sz w:val="18"/>
      <w:szCs w:val="18"/>
    </w:rPr>
  </w:style>
  <w:style w:type="character" w:customStyle="1" w:styleId="24">
    <w:name w:val="页脚 Char"/>
    <w:basedOn w:val="17"/>
    <w:link w:val="12"/>
    <w:qFormat/>
    <w:uiPriority w:val="99"/>
    <w:rPr>
      <w:rFonts w:ascii="Calibri" w:hAnsi="Calibri" w:eastAsia="宋体" w:cs="Times New Roman"/>
      <w:sz w:val="18"/>
      <w:szCs w:val="18"/>
    </w:rPr>
  </w:style>
  <w:style w:type="character" w:customStyle="1" w:styleId="25">
    <w:name w:val="标题 1 Char"/>
    <w:basedOn w:val="17"/>
    <w:link w:val="4"/>
    <w:qFormat/>
    <w:uiPriority w:val="0"/>
    <w:rPr>
      <w:rFonts w:ascii="宋体" w:hAnsi="Calibri" w:eastAsia="宋体" w:cs="Times New Roman"/>
      <w:color w:val="000000"/>
      <w:sz w:val="28"/>
      <w:szCs w:val="20"/>
    </w:rPr>
  </w:style>
  <w:style w:type="character" w:customStyle="1" w:styleId="26">
    <w:name w:val="批注文字 Char"/>
    <w:basedOn w:val="17"/>
    <w:link w:val="8"/>
    <w:qFormat/>
    <w:uiPriority w:val="99"/>
    <w:rPr>
      <w:rFonts w:ascii="Calibri" w:hAnsi="Calibri" w:eastAsia="宋体" w:cs="Times New Roman"/>
    </w:rPr>
  </w:style>
  <w:style w:type="character" w:customStyle="1" w:styleId="27">
    <w:name w:val="批注主题 Char"/>
    <w:basedOn w:val="26"/>
    <w:link w:val="14"/>
    <w:semiHidden/>
    <w:qFormat/>
    <w:uiPriority w:val="99"/>
    <w:rPr>
      <w:b/>
      <w:bCs/>
    </w:rPr>
  </w:style>
  <w:style w:type="character" w:customStyle="1" w:styleId="28">
    <w:name w:val="纯文本 Char"/>
    <w:link w:val="9"/>
    <w:qFormat/>
    <w:uiPriority w:val="0"/>
    <w:rPr>
      <w:rFonts w:ascii="宋体" w:hAnsi="Courier New"/>
    </w:rPr>
  </w:style>
  <w:style w:type="character" w:customStyle="1" w:styleId="29">
    <w:name w:val="纯文本 Char1"/>
    <w:basedOn w:val="17"/>
    <w:link w:val="9"/>
    <w:semiHidden/>
    <w:qFormat/>
    <w:uiPriority w:val="99"/>
    <w:rPr>
      <w:rFonts w:ascii="宋体" w:hAnsi="Courier New" w:eastAsia="宋体" w:cs="Courier New"/>
      <w:szCs w:val="21"/>
    </w:rPr>
  </w:style>
  <w:style w:type="character" w:customStyle="1" w:styleId="30">
    <w:name w:val="标题 2 Char"/>
    <w:basedOn w:val="17"/>
    <w:link w:val="5"/>
    <w:qFormat/>
    <w:uiPriority w:val="0"/>
    <w:rPr>
      <w:rFonts w:ascii="Arial" w:hAnsi="Arial" w:eastAsia="宋体" w:cs="Times New Roman"/>
      <w:b/>
      <w:bCs/>
      <w:sz w:val="32"/>
      <w:szCs w:val="32"/>
    </w:rPr>
  </w:style>
  <w:style w:type="paragraph" w:styleId="31">
    <w:name w:val="List Paragraph"/>
    <w:basedOn w:val="1"/>
    <w:qFormat/>
    <w:uiPriority w:val="34"/>
    <w:pPr>
      <w:ind w:firstLine="420" w:firstLineChars="200"/>
    </w:pPr>
  </w:style>
  <w:style w:type="character" w:customStyle="1" w:styleId="32">
    <w:name w:val="标题 3 Char"/>
    <w:basedOn w:val="17"/>
    <w:link w:val="6"/>
    <w:semiHidden/>
    <w:qFormat/>
    <w:uiPriority w:val="9"/>
    <w:rPr>
      <w:rFonts w:ascii="Calibri" w:hAnsi="Calibri" w:eastAsia="宋体" w:cs="Times New Roman"/>
      <w:b/>
      <w:bCs/>
      <w:sz w:val="32"/>
      <w:szCs w:val="32"/>
    </w:rPr>
  </w:style>
  <w:style w:type="character" w:customStyle="1" w:styleId="33">
    <w:name w:val="标题 4 Char"/>
    <w:basedOn w:val="17"/>
    <w:link w:val="7"/>
    <w:qFormat/>
    <w:uiPriority w:val="0"/>
    <w:rPr>
      <w:rFonts w:ascii="Cambria" w:hAnsi="Cambria" w:eastAsia="宋体" w:cs="Times New Roman"/>
      <w:b/>
      <w:bCs/>
      <w:sz w:val="28"/>
      <w:szCs w:val="28"/>
    </w:rPr>
  </w:style>
  <w:style w:type="paragraph" w:customStyle="1" w:styleId="34">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5">
    <w:name w:val="1"/>
    <w:basedOn w:val="1"/>
    <w:next w:val="9"/>
    <w:qFormat/>
    <w:uiPriority w:val="0"/>
    <w:rPr>
      <w:rFonts w:ascii="宋体" w:hAnsi="Courier New"/>
      <w:szCs w:val="20"/>
    </w:rPr>
  </w:style>
  <w:style w:type="paragraph" w:customStyle="1" w:styleId="36">
    <w:name w:val="8"/>
    <w:basedOn w:val="1"/>
    <w:next w:val="9"/>
    <w:qFormat/>
    <w:uiPriority w:val="0"/>
    <w:rPr>
      <w:rFonts w:ascii="宋体" w:hAnsi="Courier New"/>
      <w:szCs w:val="20"/>
    </w:rPr>
  </w:style>
  <w:style w:type="paragraph" w:customStyle="1" w:styleId="37">
    <w:name w:val="_Style 55"/>
    <w:basedOn w:val="1"/>
    <w:next w:val="9"/>
    <w:qFormat/>
    <w:uiPriority w:val="0"/>
    <w:rPr>
      <w:rFonts w:ascii="宋体" w:hAnsi="Courier New"/>
      <w:szCs w:val="20"/>
    </w:rPr>
  </w:style>
  <w:style w:type="paragraph" w:customStyle="1" w:styleId="38">
    <w:name w:val="7"/>
    <w:basedOn w:val="1"/>
    <w:next w:val="9"/>
    <w:link w:val="39"/>
    <w:qFormat/>
    <w:uiPriority w:val="0"/>
    <w:rPr>
      <w:rFonts w:ascii="宋体" w:hAnsi="Courier New"/>
      <w:szCs w:val="20"/>
    </w:rPr>
  </w:style>
  <w:style w:type="character" w:customStyle="1" w:styleId="39">
    <w:name w:val="Char1"/>
    <w:link w:val="38"/>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3"/>
    <customShpInfo spid="_x0000_s1032"/>
    <customShpInfo spid="_x0000_s1038"/>
    <customShpInfo spid="_x0000_s1039"/>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2ED83-26AA-4E65-B141-EB370BBE785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65</Pages>
  <Words>4835</Words>
  <Characters>27562</Characters>
  <Lines>229</Lines>
  <Paragraphs>64</Paragraphs>
  <TotalTime>0</TotalTime>
  <ScaleCrop>false</ScaleCrop>
  <LinksUpToDate>false</LinksUpToDate>
  <CharactersWithSpaces>32333</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2019-10-21T09:39:00Z</dcterms:created>
  <dc:creator>User</dc:creator>
  <cp:lastModifiedBy>CHJ-嘉</cp:lastModifiedBy>
  <cp:lastPrinted>2020-05-21T02:27:00Z</cp:lastPrinted>
  <dcterms:modified xsi:type="dcterms:W3CDTF">2021-11-17T12:59:09Z</dcterms:modified>
  <cp:revision>1664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B946BEF99C8F409FBFCFBF89E6EAF5A4</vt:lpwstr>
  </property>
</Properties>
</file>