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left"/>
        <w:outlineLvl w:val="0"/>
        <w:rPr>
          <w:rFonts w:hint="eastAsia" w:ascii="黑体" w:hAnsi="黑体" w:eastAsia="黑体" w:cs="黑体"/>
          <w:sz w:val="32"/>
          <w:szCs w:val="32"/>
          <w:lang w:val="en-US" w:eastAsia="zh-CN"/>
        </w:rPr>
      </w:pPr>
      <w:bookmarkStart w:id="0" w:name="_Toc7457"/>
      <w:r>
        <w:rPr>
          <w:rFonts w:hint="eastAsia" w:ascii="黑体" w:hAnsi="黑体" w:eastAsia="黑体" w:cs="黑体"/>
          <w:sz w:val="32"/>
          <w:szCs w:val="32"/>
          <w:lang w:val="en-US" w:eastAsia="zh-CN"/>
        </w:rPr>
        <w:t>附件</w:t>
      </w:r>
      <w:bookmarkEnd w:id="0"/>
      <w:r>
        <w:rPr>
          <w:rFonts w:hint="eastAsia" w:ascii="黑体" w:hAnsi="黑体" w:eastAsia="黑体" w:cs="黑体"/>
          <w:sz w:val="32"/>
          <w:szCs w:val="32"/>
          <w:lang w:val="en-US" w:eastAsia="zh-CN"/>
        </w:rPr>
        <w:t>2</w:t>
      </w:r>
    </w:p>
    <w:p>
      <w:pPr>
        <w:jc w:val="center"/>
        <w:rPr>
          <w:rFonts w:hint="eastAsia" w:ascii="仿宋" w:hAnsi="仿宋" w:eastAsia="仿宋"/>
          <w:b/>
          <w:bCs/>
          <w:sz w:val="28"/>
          <w:szCs w:val="28"/>
        </w:rPr>
      </w:pPr>
    </w:p>
    <w:p>
      <w:pPr>
        <w:ind w:left="0" w:leftChars="0" w:firstLine="0" w:firstLineChars="0"/>
        <w:jc w:val="both"/>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《兴业银行深圳分行（分行本部、太平洋商贸大厦10楼）办公家具项目》供应商征集反馈材料-公司名称（全称）</w:t>
      </w:r>
    </w:p>
    <w:p>
      <w:pPr>
        <w:jc w:val="left"/>
        <w:rPr>
          <w:rFonts w:ascii="仿宋" w:hAnsi="仿宋" w:eastAsia="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第一部分 项目要求应答部分</w:t>
      </w:r>
    </w:p>
    <w:tbl>
      <w:tblPr>
        <w:tblStyle w:val="9"/>
        <w:tblW w:w="9563"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378"/>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2378"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4819"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1.1</w:t>
            </w:r>
          </w:p>
        </w:tc>
        <w:tc>
          <w:tcPr>
            <w:tcW w:w="2378" w:type="dxa"/>
            <w:vAlign w:val="center"/>
          </w:tcPr>
          <w:p>
            <w:pPr>
              <w:rPr>
                <w:rFonts w:hint="eastAsia" w:ascii="仿宋" w:hAnsi="仿宋" w:eastAsia="仿宋" w:cs="仿宋"/>
                <w:b/>
                <w:bCs/>
                <w:sz w:val="28"/>
                <w:szCs w:val="28"/>
              </w:rPr>
            </w:pPr>
          </w:p>
        </w:tc>
        <w:tc>
          <w:tcPr>
            <w:tcW w:w="4819" w:type="dxa"/>
            <w:vAlign w:val="center"/>
          </w:tcPr>
          <w:p>
            <w:pPr>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lang w:val="en-US" w:eastAsia="zh-CN"/>
              </w:rPr>
            </w:pPr>
            <w:r>
              <w:rPr>
                <w:rFonts w:hint="eastAsia" w:ascii="仿宋" w:hAnsi="仿宋" w:eastAsia="仿宋" w:cs="仿宋"/>
                <w:b/>
                <w:bCs/>
                <w:sz w:val="28"/>
                <w:szCs w:val="28"/>
              </w:rPr>
              <w:t>1.2.</w:t>
            </w:r>
          </w:p>
        </w:tc>
        <w:tc>
          <w:tcPr>
            <w:tcW w:w="2378" w:type="dxa"/>
            <w:vAlign w:val="center"/>
          </w:tcPr>
          <w:p>
            <w:pPr>
              <w:rPr>
                <w:rFonts w:hint="eastAsia" w:ascii="仿宋" w:hAnsi="仿宋" w:eastAsia="仿宋" w:cs="仿宋"/>
                <w:b/>
                <w:bCs/>
                <w:sz w:val="28"/>
                <w:szCs w:val="28"/>
                <w:lang w:val="en-US" w:eastAsia="zh-CN"/>
              </w:rPr>
            </w:pPr>
          </w:p>
        </w:tc>
        <w:tc>
          <w:tcPr>
            <w:tcW w:w="4819" w:type="dxa"/>
            <w:vAlign w:val="center"/>
          </w:tcPr>
          <w:p>
            <w:pPr>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lang w:val="en-US" w:eastAsia="zh-CN"/>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3</w:t>
            </w:r>
          </w:p>
        </w:tc>
        <w:tc>
          <w:tcPr>
            <w:tcW w:w="2378" w:type="dxa"/>
            <w:vAlign w:val="center"/>
          </w:tcPr>
          <w:p>
            <w:pPr>
              <w:rPr>
                <w:rFonts w:hint="eastAsia" w:ascii="仿宋" w:hAnsi="仿宋" w:eastAsia="仿宋" w:cs="仿宋"/>
                <w:b/>
                <w:bCs/>
                <w:sz w:val="28"/>
                <w:szCs w:val="28"/>
              </w:rPr>
            </w:pPr>
          </w:p>
        </w:tc>
        <w:tc>
          <w:tcPr>
            <w:tcW w:w="4819" w:type="dxa"/>
            <w:vAlign w:val="center"/>
          </w:tcPr>
          <w:p>
            <w:pPr>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eastAsia" w:ascii="仿宋" w:hAnsi="仿宋" w:eastAsia="仿宋" w:cs="仿宋"/>
                <w:b/>
                <w:bCs/>
                <w:sz w:val="28"/>
                <w:szCs w:val="28"/>
                <w:lang w:eastAsia="zh-CN"/>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4</w:t>
            </w:r>
          </w:p>
        </w:tc>
        <w:tc>
          <w:tcPr>
            <w:tcW w:w="2378" w:type="dxa"/>
            <w:vAlign w:val="center"/>
          </w:tcPr>
          <w:p>
            <w:pPr>
              <w:rPr>
                <w:rFonts w:hint="eastAsia" w:ascii="仿宋" w:hAnsi="仿宋" w:eastAsia="仿宋" w:cs="仿宋"/>
                <w:b/>
                <w:bCs/>
                <w:sz w:val="28"/>
                <w:szCs w:val="28"/>
              </w:rPr>
            </w:pPr>
          </w:p>
        </w:tc>
        <w:tc>
          <w:tcPr>
            <w:tcW w:w="4819" w:type="dxa"/>
            <w:vAlign w:val="center"/>
          </w:tcPr>
          <w:p>
            <w:pPr>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1.5</w:t>
            </w:r>
          </w:p>
        </w:tc>
        <w:tc>
          <w:tcPr>
            <w:tcW w:w="2378" w:type="dxa"/>
            <w:vAlign w:val="center"/>
          </w:tcPr>
          <w:p>
            <w:pPr>
              <w:rPr>
                <w:rFonts w:hint="eastAsia" w:ascii="仿宋" w:hAnsi="仿宋" w:eastAsia="仿宋" w:cs="仿宋"/>
                <w:b/>
                <w:bCs/>
                <w:sz w:val="28"/>
                <w:szCs w:val="28"/>
              </w:rPr>
            </w:pPr>
          </w:p>
        </w:tc>
        <w:tc>
          <w:tcPr>
            <w:tcW w:w="4819" w:type="dxa"/>
            <w:vAlign w:val="center"/>
          </w:tcPr>
          <w:p>
            <w:pPr>
              <w:rPr>
                <w:rFonts w:hint="eastAsia"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jc w:val="both"/>
              <w:rPr>
                <w:rFonts w:hint="eastAsia" w:ascii="仿宋" w:hAnsi="仿宋" w:eastAsia="仿宋" w:cs="仿宋"/>
                <w:b/>
                <w:bCs/>
                <w:sz w:val="28"/>
                <w:szCs w:val="28"/>
              </w:rPr>
            </w:pPr>
            <w:r>
              <w:rPr>
                <w:rFonts w:hint="eastAsia" w:ascii="仿宋" w:hAnsi="仿宋" w:eastAsia="仿宋" w:cs="仿宋"/>
                <w:b/>
                <w:bCs/>
                <w:sz w:val="28"/>
                <w:szCs w:val="28"/>
              </w:rPr>
              <w:t>1.</w:t>
            </w:r>
            <w:r>
              <w:rPr>
                <w:rFonts w:hint="eastAsia" w:ascii="仿宋" w:hAnsi="仿宋" w:eastAsia="仿宋" w:cs="仿宋"/>
                <w:b/>
                <w:bCs/>
                <w:sz w:val="28"/>
                <w:szCs w:val="28"/>
                <w:lang w:val="en-US" w:eastAsia="zh-CN"/>
              </w:rPr>
              <w:t>6供应商需求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1.6.1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1.6.2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1.6.3</w:t>
            </w:r>
          </w:p>
        </w:tc>
        <w:tc>
          <w:tcPr>
            <w:tcW w:w="2378" w:type="dxa"/>
            <w:vAlign w:val="center"/>
          </w:tcPr>
          <w:p>
            <w:pPr>
              <w:rPr>
                <w:rFonts w:hint="default" w:ascii="仿宋" w:hAnsi="仿宋" w:eastAsia="仿宋" w:cs="仿宋"/>
                <w:sz w:val="28"/>
                <w:szCs w:val="28"/>
                <w:lang w:val="en-US"/>
              </w:rPr>
            </w:pPr>
          </w:p>
        </w:tc>
        <w:tc>
          <w:tcPr>
            <w:tcW w:w="4819" w:type="dxa"/>
            <w:vAlign w:val="center"/>
          </w:tcPr>
          <w:p>
            <w:pPr>
              <w:rPr>
                <w:rFonts w:hint="default" w:ascii="仿宋" w:hAnsi="仿宋" w:eastAsia="仿宋" w:cs="仿宋"/>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1.6.4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2.1</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2.2</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2.3</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2.4</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2.5</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2.6</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2.7</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pPr>
              <w:ind w:left="0" w:leftChars="0" w:firstLine="0" w:firstLineChars="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2.8</w:t>
            </w:r>
          </w:p>
        </w:tc>
        <w:tc>
          <w:tcPr>
            <w:tcW w:w="2378" w:type="dxa"/>
            <w:vAlign w:val="center"/>
          </w:tcPr>
          <w:p>
            <w:pPr>
              <w:rPr>
                <w:rFonts w:hint="eastAsia" w:ascii="仿宋" w:hAnsi="仿宋" w:eastAsia="仿宋" w:cs="仿宋"/>
                <w:sz w:val="28"/>
                <w:szCs w:val="28"/>
              </w:rPr>
            </w:pPr>
          </w:p>
        </w:tc>
        <w:tc>
          <w:tcPr>
            <w:tcW w:w="4819" w:type="dxa"/>
            <w:vAlign w:val="center"/>
          </w:tcPr>
          <w:p>
            <w:pPr>
              <w:rPr>
                <w:rFonts w:hint="eastAsia" w:ascii="仿宋" w:hAnsi="仿宋" w:eastAsia="仿宋" w:cs="仿宋"/>
                <w:sz w:val="28"/>
                <w:szCs w:val="28"/>
              </w:rPr>
            </w:pPr>
          </w:p>
        </w:tc>
      </w:tr>
    </w:tbl>
    <w:p>
      <w:pPr>
        <w:ind w:firstLine="560" w:firstLineChars="200"/>
        <w:rPr>
          <w:rFonts w:hint="eastAsia" w:ascii="仿宋" w:hAnsi="仿宋" w:eastAsia="仿宋" w:cs="仿宋"/>
          <w:b/>
          <w:bCs/>
          <w:sz w:val="28"/>
          <w:szCs w:val="28"/>
        </w:rPr>
      </w:pPr>
      <w:r>
        <w:rPr>
          <w:rFonts w:hint="eastAsia" w:ascii="仿宋" w:hAnsi="仿宋" w:eastAsia="仿宋" w:cs="仿宋"/>
          <w:sz w:val="28"/>
          <w:szCs w:val="28"/>
        </w:rPr>
        <w:t>供应商须对报名信息和资料的真实性负责。如提供虚假材料，将取消报名资格并列入我行供应商黑名单。</w:t>
      </w:r>
    </w:p>
    <w:p>
      <w:pPr>
        <w:outlineLvl w:val="0"/>
        <w:rPr>
          <w:rFonts w:hint="eastAsia" w:ascii="仿宋" w:hAnsi="仿宋" w:eastAsia="仿宋" w:cs="仿宋"/>
          <w:b/>
          <w:bCs/>
          <w:sz w:val="28"/>
          <w:szCs w:val="28"/>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第二部分 供应商基础信息部分</w:t>
      </w:r>
    </w:p>
    <w:tbl>
      <w:tblPr>
        <w:tblStyle w:val="9"/>
        <w:tblW w:w="949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1"/>
        <w:gridCol w:w="6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6471" w:type="dxa"/>
            <w:vAlign w:val="center"/>
          </w:tcPr>
          <w:p>
            <w:pPr>
              <w:spacing w:line="440" w:lineRule="exact"/>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注册资金及实缴资本（万</w:t>
            </w:r>
            <w:r>
              <w:rPr>
                <w:rFonts w:hint="default" w:ascii="仿宋" w:hAnsi="仿宋" w:eastAsia="仿宋" w:cs="仿宋"/>
                <w:sz w:val="28"/>
                <w:szCs w:val="28"/>
              </w:rPr>
              <w:t>元</w:t>
            </w:r>
            <w:r>
              <w:rPr>
                <w:rFonts w:hint="eastAsia" w:ascii="仿宋" w:hAnsi="仿宋" w:eastAsia="仿宋" w:cs="仿宋"/>
                <w:sz w:val="28"/>
                <w:szCs w:val="28"/>
              </w:rPr>
              <w:t>）</w:t>
            </w:r>
          </w:p>
        </w:tc>
        <w:tc>
          <w:tcPr>
            <w:tcW w:w="6471" w:type="dxa"/>
          </w:tcPr>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注册资金：    万</w:t>
            </w:r>
            <w:r>
              <w:rPr>
                <w:rFonts w:hint="default" w:ascii="仿宋" w:hAnsi="仿宋" w:eastAsia="仿宋" w:cs="仿宋"/>
                <w:sz w:val="28"/>
                <w:szCs w:val="28"/>
              </w:rPr>
              <w:t>元</w:t>
            </w:r>
          </w:p>
          <w:p>
            <w:pPr>
              <w:spacing w:line="440" w:lineRule="exact"/>
              <w:ind w:left="0" w:leftChars="0" w:firstLine="0" w:firstLineChars="0"/>
              <w:rPr>
                <w:rFonts w:hint="default" w:ascii="仿宋" w:hAnsi="仿宋" w:eastAsia="仿宋" w:cs="仿宋"/>
                <w:sz w:val="28"/>
                <w:szCs w:val="28"/>
              </w:rPr>
            </w:pPr>
            <w:r>
              <w:rPr>
                <w:rFonts w:hint="eastAsia" w:ascii="仿宋" w:hAnsi="仿宋" w:eastAsia="仿宋" w:cs="仿宋"/>
                <w:sz w:val="28"/>
                <w:szCs w:val="28"/>
              </w:rPr>
              <w:t>实缴资金：    万</w:t>
            </w:r>
            <w:r>
              <w:rPr>
                <w:rFonts w:hint="default" w:ascii="仿宋" w:hAnsi="仿宋" w:eastAsia="仿宋" w:cs="仿宋"/>
                <w:sz w:val="28"/>
                <w:szCs w:val="28"/>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公司注册所在地</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公司法人</w:t>
            </w:r>
          </w:p>
        </w:tc>
        <w:tc>
          <w:tcPr>
            <w:tcW w:w="6471" w:type="dxa"/>
            <w:vAlign w:val="center"/>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企业性质</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近三年年度关键财务指标</w:t>
            </w:r>
          </w:p>
        </w:tc>
        <w:tc>
          <w:tcPr>
            <w:tcW w:w="6471" w:type="dxa"/>
          </w:tcPr>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exact"/>
              <w:ind w:leftChars="0" w:right="0" w:rightChars="0"/>
              <w:jc w:val="left"/>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企业资质、认证</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分公司名单</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公司员工数量</w:t>
            </w:r>
          </w:p>
        </w:tc>
        <w:tc>
          <w:tcPr>
            <w:tcW w:w="647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联系人信息</w:t>
            </w:r>
          </w:p>
        </w:tc>
        <w:tc>
          <w:tcPr>
            <w:tcW w:w="6471" w:type="dxa"/>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姓名：</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职务：</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手机：</w:t>
            </w:r>
          </w:p>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经营范围</w:t>
            </w:r>
          </w:p>
        </w:tc>
        <w:tc>
          <w:tcPr>
            <w:tcW w:w="6471" w:type="dxa"/>
          </w:tcPr>
          <w:p>
            <w:pPr>
              <w:spacing w:line="440" w:lineRule="exact"/>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重大不良经营记录</w:t>
            </w: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GB"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简要陈述并</w:t>
            </w:r>
            <w:r>
              <w:rPr>
                <w:rFonts w:hint="eastAsia" w:ascii="仿宋" w:hAnsi="仿宋" w:eastAsia="仿宋" w:cs="仿宋"/>
                <w:color w:val="000000" w:themeColor="text1"/>
                <w:sz w:val="28"/>
                <w:szCs w:val="28"/>
                <w:lang w:val="en-GB" w:eastAsia="zh-CN"/>
                <w14:textFill>
                  <w14:solidFill>
                    <w14:schemeClr w14:val="tx1"/>
                  </w14:solidFill>
                </w14:textFill>
              </w:rPr>
              <w:t>说明公司最近三年在政府采购或金融行业采购过程中是否受到处罚。</w:t>
            </w:r>
          </w:p>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w:t>
            </w:r>
            <w:r>
              <w:rPr>
                <w:rFonts w:hint="eastAsia" w:ascii="仿宋" w:hAnsi="仿宋" w:eastAsia="仿宋" w:cs="仿宋"/>
                <w:color w:val="000000" w:themeColor="text1"/>
                <w:sz w:val="28"/>
                <w:szCs w:val="28"/>
                <w:lang w:val="en-GB" w:eastAsia="zh-CN"/>
                <w14:textFill>
                  <w14:solidFill>
                    <w14:schemeClr w14:val="tx1"/>
                  </w14:solidFill>
                </w14:textFill>
              </w:rPr>
              <w:t>违法失信、行政处罚、法律诉讼等负面信息</w:t>
            </w:r>
            <w:r>
              <w:rPr>
                <w:rFonts w:hint="eastAsia" w:ascii="仿宋" w:hAnsi="仿宋" w:eastAsia="仿宋" w:cs="仿宋"/>
                <w:color w:val="000000" w:themeColor="text1"/>
                <w:sz w:val="28"/>
                <w:szCs w:val="28"/>
                <w:lang w:val="en-US" w:eastAsia="zh-CN"/>
                <w14:textFill>
                  <w14:solidFill>
                    <w14:schemeClr w14:val="tx1"/>
                  </w14:solidFill>
                </w14:textFill>
              </w:rPr>
              <w:t>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信息安全</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简要说明管理制度和技术措施如何保障本行信息或数据安全（提供相关制度、技术措施扫描）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021" w:type="dxa"/>
            <w:vAlign w:val="center"/>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业务连续性</w:t>
            </w:r>
          </w:p>
          <w:p>
            <w:pPr>
              <w:spacing w:line="440" w:lineRule="exact"/>
              <w:rPr>
                <w:rFonts w:hint="eastAsia" w:ascii="仿宋" w:hAnsi="仿宋" w:eastAsia="仿宋" w:cs="仿宋"/>
                <w:color w:val="000000" w:themeColor="text1"/>
                <w:sz w:val="28"/>
                <w:szCs w:val="28"/>
                <w:lang w:val="en-US" w:eastAsia="zh-CN"/>
                <w14:textFill>
                  <w14:solidFill>
                    <w14:schemeClr w14:val="tx1"/>
                  </w14:solidFill>
                </w14:textFill>
              </w:rPr>
            </w:pPr>
          </w:p>
        </w:tc>
        <w:tc>
          <w:tcPr>
            <w:tcW w:w="6471" w:type="dxa"/>
          </w:tcPr>
          <w:p>
            <w:pPr>
              <w:spacing w:line="440" w:lineRule="exact"/>
              <w:ind w:left="0" w:leftChars="0" w:firstLine="0" w:firstLine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简要说明业务连续性保障机制、服务响应方案（包含响应安排与服务团队介绍）（提供相关制度、服务响应方案扫描件）</w:t>
            </w:r>
          </w:p>
        </w:tc>
      </w:tr>
    </w:tbl>
    <w:p>
      <w:pPr>
        <w:keepNext w:val="0"/>
        <w:keepLines w:val="0"/>
        <w:pageBreakBefore w:val="0"/>
        <w:widowControl/>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w:t>
      </w:r>
      <w:r>
        <w:rPr>
          <w:rFonts w:hint="eastAsia" w:ascii="仿宋" w:hAnsi="仿宋" w:eastAsia="仿宋" w:cs="仿宋"/>
          <w:color w:val="000000" w:themeColor="text1"/>
          <w:sz w:val="28"/>
          <w:szCs w:val="28"/>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w:t>
      </w:r>
      <w:r>
        <w:rPr>
          <w:rFonts w:hint="eastAsia" w:ascii="仿宋" w:hAnsi="仿宋" w:eastAsia="仿宋" w:cs="仿宋"/>
          <w:color w:val="000000" w:themeColor="text1"/>
          <w:sz w:val="28"/>
          <w:szCs w:val="28"/>
          <w14:textFill>
            <w14:solidFill>
              <w14:schemeClr w14:val="tx1"/>
            </w14:solidFill>
          </w14:textFill>
        </w:rPr>
        <w:t>公司法人身份证的原件扫描件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四、近三年经公司内部审核流程审定的</w:t>
      </w:r>
      <w:r>
        <w:rPr>
          <w:rFonts w:hint="eastAsia" w:ascii="仿宋" w:hAnsi="仿宋" w:eastAsia="仿宋" w:cs="仿宋"/>
          <w:color w:val="000000" w:themeColor="text1"/>
          <w:sz w:val="28"/>
          <w:szCs w:val="28"/>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28"/>
          <w:szCs w:val="28"/>
          <w:highlight w:val="none"/>
          <w:lang w:val="en-US" w:eastAsia="zh-CN"/>
          <w14:textFill>
            <w14:solidFill>
              <w14:schemeClr w14:val="tx1"/>
            </w14:solidFill>
          </w14:textFill>
        </w:rPr>
        <w:t>原件扫描件</w:t>
      </w:r>
      <w:r>
        <w:rPr>
          <w:rFonts w:hint="eastAsia" w:ascii="仿宋" w:hAnsi="仿宋" w:eastAsia="仿宋" w:cs="仿宋"/>
          <w:color w:val="000000" w:themeColor="text1"/>
          <w:sz w:val="28"/>
          <w:szCs w:val="28"/>
          <w:highlight w:val="none"/>
          <w14:textFill>
            <w14:solidFill>
              <w14:schemeClr w14:val="tx1"/>
            </w14:solidFill>
          </w14:textFill>
        </w:rPr>
        <w:t>或有效的企业资信证明材料</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五、提供</w:t>
      </w:r>
      <w:r>
        <w:rPr>
          <w:rFonts w:hint="eastAsia" w:ascii="仿宋" w:hAnsi="仿宋" w:eastAsia="仿宋" w:cs="仿宋"/>
          <w:color w:val="000000" w:themeColor="text1"/>
          <w:sz w:val="28"/>
          <w:szCs w:val="28"/>
          <w:lang w:val="en-GB" w:eastAsia="zh-CN"/>
          <w14:textFill>
            <w14:solidFill>
              <w14:schemeClr w14:val="tx1"/>
            </w14:solidFill>
          </w14:textFill>
        </w:rPr>
        <w:t>“信用中国”、“中国执行信息公开网”、“中国政府采购网”、“国家企业信用信息公示系统”等平台</w:t>
      </w:r>
      <w:r>
        <w:rPr>
          <w:rFonts w:hint="eastAsia" w:ascii="仿宋" w:hAnsi="仿宋" w:eastAsia="仿宋" w:cs="仿宋"/>
          <w:color w:val="000000" w:themeColor="text1"/>
          <w:sz w:val="28"/>
          <w:szCs w:val="28"/>
          <w:lang w:val="en-US" w:eastAsia="zh-CN"/>
          <w14:textFill>
            <w14:solidFill>
              <w14:schemeClr w14:val="tx1"/>
            </w14:solidFill>
          </w14:textFill>
        </w:rPr>
        <w:t>查询截图</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六、提供信息安全管理相关制度、技术措施扫描件</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七、提供业务连续性管理相关制度、服务响应方案扫描件</w:t>
      </w:r>
    </w:p>
    <w:p>
      <w:pPr>
        <w:outlineLvl w:val="1"/>
        <w:rPr>
          <w:rFonts w:hint="eastAsia" w:ascii="仿宋" w:hAnsi="仿宋" w:eastAsia="仿宋" w:cs="仿宋"/>
          <w:bCs/>
          <w:color w:val="0000FF"/>
          <w:sz w:val="28"/>
          <w:szCs w:val="28"/>
          <w:lang w:val="en-US" w:eastAsia="zh-CN"/>
        </w:rPr>
      </w:pP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第三部分 与本项目相关的案例情况</w:t>
      </w:r>
    </w:p>
    <w:p>
      <w:pPr>
        <w:outlineLvl w:val="0"/>
        <w:rPr>
          <w:rFonts w:hint="eastAsia" w:ascii="仿宋" w:hAnsi="仿宋" w:eastAsia="仿宋" w:cs="仿宋"/>
          <w:b/>
          <w:bCs/>
          <w:sz w:val="28"/>
          <w:szCs w:val="28"/>
        </w:rPr>
      </w:pPr>
      <w:r>
        <w:rPr>
          <w:rFonts w:hint="eastAsia" w:ascii="仿宋" w:hAnsi="仿宋" w:eastAsia="仿宋" w:cs="仿宋"/>
          <w:b/>
          <w:bCs/>
          <w:sz w:val="28"/>
          <w:szCs w:val="28"/>
        </w:rPr>
        <w:t>《</w:t>
      </w:r>
      <w:r>
        <w:rPr>
          <w:rFonts w:hint="eastAsia" w:ascii="仿宋" w:hAnsi="仿宋" w:eastAsia="仿宋" w:cs="仿宋"/>
          <w:b w:val="0"/>
          <w:bCs w:val="0"/>
          <w:color w:val="auto"/>
          <w:sz w:val="28"/>
          <w:szCs w:val="28"/>
          <w:lang w:val="en-US" w:eastAsia="zh-CN"/>
        </w:rPr>
        <w:t>2022年6月1日至2025年5月31日期间</w:t>
      </w:r>
      <w:r>
        <w:rPr>
          <w:rFonts w:hint="eastAsia" w:ascii="仿宋" w:hAnsi="仿宋" w:eastAsia="仿宋" w:cs="仿宋"/>
          <w:b w:val="0"/>
          <w:bCs w:val="0"/>
          <w:color w:val="000000" w:themeColor="text1"/>
          <w:sz w:val="28"/>
          <w:szCs w:val="28"/>
          <w:lang w:val="en-US" w:eastAsia="zh-CN"/>
          <w14:textFill>
            <w14:solidFill>
              <w14:schemeClr w14:val="tx1"/>
            </w14:solidFill>
          </w14:textFill>
        </w:rPr>
        <w:t>与各类企业相似的成功服务案例</w:t>
      </w:r>
      <w:r>
        <w:rPr>
          <w:rFonts w:hint="eastAsia" w:ascii="仿宋" w:hAnsi="仿宋" w:eastAsia="仿宋" w:cs="仿宋"/>
          <w:b/>
          <w:bCs/>
          <w:sz w:val="28"/>
          <w:szCs w:val="28"/>
        </w:rPr>
        <w:t>》</w:t>
      </w:r>
      <w:r>
        <w:rPr>
          <w:rFonts w:hint="eastAsia" w:ascii="仿宋" w:hAnsi="仿宋" w:eastAsia="仿宋" w:cs="仿宋"/>
          <w:b w:val="0"/>
          <w:bCs w:val="0"/>
          <w:color w:val="000000" w:themeColor="text1"/>
          <w:sz w:val="28"/>
          <w:szCs w:val="28"/>
          <w:lang w:val="en-US" w:eastAsia="zh-CN"/>
          <w14:textFill>
            <w14:solidFill>
              <w14:schemeClr w14:val="tx1"/>
            </w14:solidFill>
          </w14:textFill>
        </w:rPr>
        <w:t>（案例金额不低于50万元，案例数量3个（含）以上,提供合同关键页证明）</w:t>
      </w:r>
      <w:r>
        <w:rPr>
          <w:rFonts w:hint="eastAsia" w:ascii="仿宋" w:hAnsi="仿宋" w:eastAsia="仿宋" w:cs="仿宋"/>
          <w:b/>
          <w:bCs/>
          <w:sz w:val="28"/>
          <w:szCs w:val="28"/>
        </w:rPr>
        <w:t>相关案例情况：</w:t>
      </w:r>
    </w:p>
    <w:tbl>
      <w:tblPr>
        <w:tblStyle w:val="9"/>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2313"/>
        <w:gridCol w:w="2521"/>
        <w:gridCol w:w="1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甲方</w:t>
            </w:r>
          </w:p>
        </w:tc>
        <w:tc>
          <w:tcPr>
            <w:tcW w:w="231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2521"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1953"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2331"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2331" w:type="dxa"/>
          </w:tcPr>
          <w:p>
            <w:pPr>
              <w:rPr>
                <w:rFonts w:hint="eastAsia" w:ascii="仿宋" w:hAnsi="仿宋" w:eastAsia="仿宋" w:cs="仿宋"/>
                <w:sz w:val="28"/>
                <w:szCs w:val="28"/>
              </w:rPr>
            </w:pPr>
          </w:p>
        </w:tc>
        <w:tc>
          <w:tcPr>
            <w:tcW w:w="2313" w:type="dxa"/>
          </w:tcPr>
          <w:p>
            <w:pPr>
              <w:rPr>
                <w:rFonts w:hint="eastAsia" w:ascii="仿宋" w:hAnsi="仿宋" w:eastAsia="仿宋" w:cs="仿宋"/>
                <w:sz w:val="28"/>
                <w:szCs w:val="28"/>
              </w:rPr>
            </w:pPr>
          </w:p>
        </w:tc>
        <w:tc>
          <w:tcPr>
            <w:tcW w:w="2521" w:type="dxa"/>
          </w:tcPr>
          <w:p>
            <w:pPr>
              <w:rPr>
                <w:rFonts w:hint="eastAsia" w:ascii="仿宋" w:hAnsi="仿宋" w:eastAsia="仿宋" w:cs="仿宋"/>
                <w:sz w:val="28"/>
                <w:szCs w:val="28"/>
              </w:rPr>
            </w:pPr>
          </w:p>
        </w:tc>
        <w:tc>
          <w:tcPr>
            <w:tcW w:w="1953" w:type="dxa"/>
          </w:tcPr>
          <w:p>
            <w:pPr>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ind w:left="0" w:leftChars="0" w:firstLine="0" w:firstLineChars="0"/>
        <w:jc w:val="center"/>
        <w:outlineLvl w:val="0"/>
        <w:rPr>
          <w:rFonts w:hint="eastAsia" w:ascii="仿宋" w:hAnsi="仿宋" w:eastAsia="仿宋" w:cs="仿宋"/>
          <w:b/>
          <w:bCs/>
          <w:sz w:val="32"/>
          <w:szCs w:val="32"/>
        </w:rPr>
      </w:pPr>
      <w:r>
        <w:rPr>
          <w:rFonts w:hint="eastAsia" w:ascii="仿宋" w:hAnsi="仿宋" w:eastAsia="仿宋" w:cs="仿宋"/>
          <w:b/>
          <w:bCs/>
          <w:sz w:val="32"/>
          <w:szCs w:val="32"/>
        </w:rPr>
        <w:t>第四部分 详细介绍</w:t>
      </w:r>
    </w:p>
    <w:p>
      <w:pPr>
        <w:outlineLvl w:val="1"/>
        <w:rPr>
          <w:rFonts w:hint="eastAsia" w:ascii="仿宋" w:hAnsi="仿宋" w:eastAsia="仿宋" w:cs="仿宋"/>
          <w:bCs/>
          <w:sz w:val="28"/>
          <w:szCs w:val="28"/>
        </w:rPr>
      </w:pPr>
      <w:r>
        <w:rPr>
          <w:rFonts w:hint="eastAsia" w:ascii="仿宋" w:hAnsi="仿宋" w:eastAsia="仿宋" w:cs="仿宋"/>
          <w:bCs/>
          <w:sz w:val="28"/>
          <w:szCs w:val="28"/>
        </w:rPr>
        <w:t>一、公司简介</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pStyle w:val="11"/>
        <w:ind w:firstLine="0" w:firstLineChars="0"/>
        <w:rPr>
          <w:rFonts w:hint="eastAsia" w:ascii="仿宋" w:hAnsi="仿宋" w:eastAsia="仿宋" w:cs="仿宋"/>
          <w:bCs/>
          <w:color w:val="0000FF"/>
          <w:sz w:val="28"/>
          <w:szCs w:val="28"/>
        </w:rPr>
      </w:pPr>
    </w:p>
    <w:p>
      <w:pPr>
        <w:outlineLvl w:val="1"/>
        <w:rPr>
          <w:rFonts w:hint="eastAsia" w:ascii="仿宋" w:hAnsi="仿宋" w:eastAsia="仿宋" w:cs="仿宋"/>
          <w:bCs/>
          <w:color w:val="0000FF"/>
          <w:sz w:val="28"/>
          <w:szCs w:val="28"/>
          <w:lang w:eastAsia="zh-CN"/>
        </w:rPr>
      </w:pPr>
      <w:r>
        <w:rPr>
          <w:rFonts w:hint="eastAsia" w:ascii="仿宋" w:hAnsi="仿宋" w:eastAsia="仿宋" w:cs="仿宋"/>
          <w:bCs/>
          <w:sz w:val="28"/>
          <w:szCs w:val="28"/>
        </w:rPr>
        <w:t>二、公司资质、认证等材料</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bCs/>
          <w:color w:val="000000" w:themeColor="text1"/>
          <w:sz w:val="28"/>
          <w:szCs w:val="28"/>
          <w:lang w:val="en-US" w:eastAsia="zh-CN"/>
          <w14:textFill>
            <w14:solidFill>
              <w14:schemeClr w14:val="tx1"/>
            </w14:solidFill>
          </w14:textFill>
        </w:rPr>
        <w:t>扫描件</w:t>
      </w:r>
      <w:r>
        <w:rPr>
          <w:rFonts w:hint="eastAsia" w:ascii="仿宋" w:hAnsi="仿宋" w:eastAsia="仿宋" w:cs="仿宋"/>
          <w:bCs/>
          <w:color w:val="000000" w:themeColor="text1"/>
          <w:sz w:val="28"/>
          <w:szCs w:val="28"/>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（一）行业资质认证。例如：质量管理体系认证，环境管理体系认证，职业健康安全管理体系认证等。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（二）产品认证。如3C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（三）供应商若为代理商，需提交相关代理协议书或原厂授权书。</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（四）技术能力介绍：①公司拥有的自主知识产权名称、数量（须提供扫描件作为证明）</w:t>
      </w:r>
      <w:r>
        <w:rPr>
          <w:rFonts w:hint="default"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②行业内龙头企业排名或优质企业资质认证材料。</w:t>
      </w:r>
    </w:p>
    <w:p>
      <w:pPr>
        <w:outlineLvl w:val="1"/>
        <w:rPr>
          <w:rFonts w:hint="eastAsia" w:ascii="仿宋" w:hAnsi="仿宋" w:eastAsia="仿宋" w:cs="仿宋"/>
          <w:bCs/>
          <w:sz w:val="28"/>
          <w:szCs w:val="28"/>
        </w:rPr>
      </w:pP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outlineLvl w:val="1"/>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三</w:t>
      </w:r>
      <w:bookmarkStart w:id="1" w:name="_GoBack"/>
      <w:bookmarkEnd w:id="1"/>
      <w:r>
        <w:rPr>
          <w:rFonts w:hint="eastAsia" w:ascii="仿宋" w:hAnsi="仿宋" w:eastAsia="仿宋" w:cs="仿宋"/>
          <w:color w:val="000000" w:themeColor="text1"/>
          <w:sz w:val="28"/>
          <w:szCs w:val="28"/>
          <w:lang w:val="en-US" w:eastAsia="zh-CN"/>
          <w14:textFill>
            <w14:solidFill>
              <w14:schemeClr w14:val="tx1"/>
            </w14:solidFill>
          </w14:textFill>
        </w:rPr>
        <w:t>、与兴业银行历史合作情况</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46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提供与兴业银行近两年采购合作情况，并说明是否在与兴业银行的历史合作期间出现违约或严重过失行为的情况说明。</w:t>
      </w:r>
    </w:p>
    <w:tbl>
      <w:tblPr>
        <w:tblStyle w:val="8"/>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160" w:leftChars="-50" w:right="-160" w:rightChars="-5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40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与兴业银行历史合作期间出现违约或严重过失行为的情况说明（不限于近五年）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3</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4</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400" w:lineRule="exact"/>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rPr>
                <w:rFonts w:hint="eastAsia" w:ascii="仿宋" w:hAnsi="仿宋" w:eastAsia="仿宋" w:cs="仿宋"/>
                <w:i w:val="0"/>
                <w:iCs w:val="0"/>
                <w:color w:val="000000"/>
                <w:sz w:val="28"/>
                <w:szCs w:val="28"/>
                <w:u w:val="none"/>
              </w:rPr>
            </w:pPr>
          </w:p>
        </w:tc>
      </w:tr>
    </w:tbl>
    <w:p>
      <w:pPr>
        <w:rPr>
          <w:rFonts w:hint="eastAsia" w:ascii="仿宋" w:hAnsi="仿宋" w:eastAsia="仿宋" w:cs="仿宋"/>
          <w:sz w:val="32"/>
          <w:szCs w:val="32"/>
        </w:rPr>
      </w:pPr>
    </w:p>
    <w:p>
      <w:pPr>
        <w:pStyle w:val="2"/>
        <w:rPr>
          <w:rFonts w:hint="eastAsia" w:ascii="仿宋" w:hAnsi="仿宋" w:eastAsia="仿宋" w:cs="仿宋"/>
          <w:sz w:val="32"/>
          <w:szCs w:val="32"/>
        </w:rPr>
      </w:pPr>
    </w:p>
    <w:p>
      <w:pPr>
        <w:pStyle w:val="4"/>
        <w:ind w:left="0" w:leftChars="0" w:firstLine="0" w:firstLineChars="0"/>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粗仿宋">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3C76A3"/>
    <w:rsid w:val="0B7A3565"/>
    <w:rsid w:val="17F02CA2"/>
    <w:rsid w:val="1B8809F8"/>
    <w:rsid w:val="228570F2"/>
    <w:rsid w:val="27146BB8"/>
    <w:rsid w:val="2ABB50F2"/>
    <w:rsid w:val="2F650DEE"/>
    <w:rsid w:val="31B14457"/>
    <w:rsid w:val="3FB90D14"/>
    <w:rsid w:val="4A454C3E"/>
    <w:rsid w:val="55C6511F"/>
    <w:rsid w:val="55C92415"/>
    <w:rsid w:val="55CE3854"/>
    <w:rsid w:val="56922265"/>
    <w:rsid w:val="64BA4C78"/>
    <w:rsid w:val="69295A8E"/>
    <w:rsid w:val="6BC477AB"/>
    <w:rsid w:val="74390B32"/>
    <w:rsid w:val="784E5FB2"/>
    <w:rsid w:val="7F7F93E8"/>
    <w:rsid w:val="BFAF79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彩虹粗仿宋" w:hAnsi="彩虹粗仿宋" w:eastAsia="彩虹粗仿宋" w:cs="Times New Roman"/>
      <w:kern w:val="2"/>
      <w:sz w:val="32"/>
      <w:szCs w:val="22"/>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tabs>
        <w:tab w:val="left" w:pos="992"/>
      </w:tabs>
      <w:spacing w:line="240" w:lineRule="auto"/>
      <w:ind w:firstLine="200" w:firstLineChars="200"/>
    </w:pPr>
    <w:rPr>
      <w:rFonts w:ascii="宋体" w:hAnsi="宋体"/>
      <w:sz w:val="2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0</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2024-05-06T18:47:00Z</dcterms:created>
  <dc:creator>cib</dc:creator>
  <cp:lastModifiedBy>张珊珊-135433</cp:lastModifiedBy>
  <dcterms:modified xsi:type="dcterms:W3CDTF">2025-06-19T08:49:12Z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