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rPr>
        <w:t>项目需求</w:t>
      </w:r>
    </w:p>
    <w:p>
      <w:pPr>
        <w:widowControl/>
        <w:jc w:val="left"/>
      </w:pPr>
      <w:r>
        <w:rPr>
          <w:rFonts w:hint="eastAsia" w:ascii="仿宋" w:hAnsi="仿宋" w:eastAsia="仿宋"/>
          <w:b/>
          <w:bCs/>
          <w:sz w:val="28"/>
          <w:szCs w:val="21"/>
        </w:rPr>
        <w:t>一、采购预算</w:t>
      </w:r>
    </w:p>
    <w:tbl>
      <w:tblPr>
        <w:tblStyle w:val="16"/>
        <w:tblW w:w="903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445"/>
        <w:gridCol w:w="1906"/>
        <w:gridCol w:w="1830"/>
        <w:gridCol w:w="17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序号</w:t>
            </w:r>
          </w:p>
        </w:tc>
        <w:tc>
          <w:tcPr>
            <w:tcW w:w="2445"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货物名称</w:t>
            </w:r>
          </w:p>
        </w:tc>
        <w:tc>
          <w:tcPr>
            <w:tcW w:w="1906"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数量</w:t>
            </w:r>
          </w:p>
        </w:tc>
        <w:tc>
          <w:tcPr>
            <w:tcW w:w="1830" w:type="dxa"/>
            <w:shd w:val="clear" w:color="auto" w:fill="C6D9F1"/>
            <w:noWrap w:val="0"/>
            <w:vAlign w:val="center"/>
          </w:tcPr>
          <w:p>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采购控制金额</w:t>
            </w:r>
          </w:p>
        </w:tc>
        <w:tc>
          <w:tcPr>
            <w:tcW w:w="1780" w:type="dxa"/>
            <w:shd w:val="clear" w:color="auto" w:fill="C6D9F1"/>
            <w:noWrap w:val="0"/>
            <w:vAlign w:val="center"/>
          </w:tcPr>
          <w:p>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noWrap w:val="0"/>
            <w:vAlign w:val="center"/>
          </w:tcPr>
          <w:p>
            <w:pPr>
              <w:spacing w:line="360" w:lineRule="auto"/>
              <w:jc w:val="center"/>
              <w:rPr>
                <w:rFonts w:ascii="仿宋" w:hAnsi="仿宋" w:eastAsia="仿宋"/>
                <w:sz w:val="24"/>
                <w:szCs w:val="24"/>
              </w:rPr>
            </w:pPr>
            <w:r>
              <w:rPr>
                <w:rFonts w:hint="eastAsia" w:ascii="仿宋" w:hAnsi="仿宋" w:eastAsia="仿宋"/>
                <w:sz w:val="24"/>
                <w:szCs w:val="24"/>
              </w:rPr>
              <w:t>1</w:t>
            </w:r>
          </w:p>
        </w:tc>
        <w:tc>
          <w:tcPr>
            <w:tcW w:w="2445" w:type="dxa"/>
            <w:noWrap w:val="0"/>
            <w:vAlign w:val="center"/>
          </w:tcPr>
          <w:p>
            <w:pPr>
              <w:spacing w:line="360" w:lineRule="auto"/>
              <w:jc w:val="center"/>
              <w:rPr>
                <w:rFonts w:hint="default" w:ascii="仿宋" w:hAnsi="仿宋" w:eastAsia="仿宋"/>
                <w:sz w:val="24"/>
                <w:szCs w:val="24"/>
                <w:lang w:val="en-US" w:eastAsia="zh-CN"/>
              </w:rPr>
            </w:pPr>
            <w:r>
              <w:rPr>
                <w:rFonts w:hint="default" w:ascii="仿宋" w:hAnsi="仿宋" w:eastAsia="仿宋"/>
                <w:sz w:val="24"/>
                <w:szCs w:val="24"/>
                <w:lang w:val="en-US" w:eastAsia="zh-CN"/>
              </w:rPr>
              <w:t>除颤</w:t>
            </w:r>
            <w:r>
              <w:rPr>
                <w:rFonts w:hint="eastAsia" w:ascii="仿宋" w:hAnsi="仿宋" w:eastAsia="仿宋" w:cs="仿宋"/>
                <w:sz w:val="24"/>
                <w:szCs w:val="24"/>
                <w:lang w:val="en-US" w:eastAsia="zh-CN"/>
              </w:rPr>
              <w:t>监护</w:t>
            </w:r>
            <w:r>
              <w:rPr>
                <w:rFonts w:hint="default" w:ascii="仿宋" w:hAnsi="仿宋" w:eastAsia="仿宋"/>
                <w:sz w:val="24"/>
                <w:szCs w:val="24"/>
                <w:lang w:val="en-US" w:eastAsia="zh-CN"/>
              </w:rPr>
              <w:t>仪</w:t>
            </w:r>
          </w:p>
        </w:tc>
        <w:tc>
          <w:tcPr>
            <w:tcW w:w="1906" w:type="dxa"/>
            <w:noWrap w:val="0"/>
            <w:vAlign w:val="center"/>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5套</w:t>
            </w:r>
          </w:p>
        </w:tc>
        <w:tc>
          <w:tcPr>
            <w:tcW w:w="1830" w:type="dxa"/>
            <w:noWrap w:val="0"/>
            <w:vAlign w:val="center"/>
          </w:tcPr>
          <w:p>
            <w:pPr>
              <w:spacing w:line="360" w:lineRule="auto"/>
              <w:jc w:val="center"/>
              <w:rPr>
                <w:rFonts w:hint="eastAsia" w:ascii="仿宋" w:hAnsi="仿宋" w:eastAsia="仿宋"/>
                <w:kern w:val="0"/>
                <w:sz w:val="24"/>
                <w:szCs w:val="24"/>
              </w:rPr>
            </w:pPr>
            <w:r>
              <w:rPr>
                <w:rFonts w:hint="eastAsia" w:ascii="仿宋" w:hAnsi="仿宋" w:eastAsia="仿宋"/>
                <w:kern w:val="0"/>
                <w:sz w:val="24"/>
                <w:szCs w:val="24"/>
                <w:lang w:val="en-US" w:eastAsia="zh-CN"/>
              </w:rPr>
              <w:t>24.9</w:t>
            </w:r>
            <w:r>
              <w:rPr>
                <w:rFonts w:hint="eastAsia" w:ascii="仿宋" w:hAnsi="仿宋" w:eastAsia="仿宋"/>
                <w:kern w:val="0"/>
                <w:sz w:val="24"/>
                <w:szCs w:val="24"/>
              </w:rPr>
              <w:t>万元</w:t>
            </w:r>
          </w:p>
        </w:tc>
        <w:tc>
          <w:tcPr>
            <w:tcW w:w="1780" w:type="dxa"/>
            <w:noWrap w:val="0"/>
            <w:vAlign w:val="center"/>
          </w:tcPr>
          <w:p>
            <w:pPr>
              <w:spacing w:line="360" w:lineRule="auto"/>
              <w:jc w:val="center"/>
              <w:rPr>
                <w:rFonts w:hint="eastAsia" w:ascii="仿宋" w:hAnsi="仿宋" w:eastAsia="仿宋"/>
                <w:sz w:val="24"/>
                <w:szCs w:val="24"/>
              </w:rPr>
            </w:pPr>
            <w:r>
              <w:rPr>
                <w:rFonts w:hint="eastAsia" w:ascii="仿宋" w:hAnsi="仿宋" w:eastAsia="仿宋"/>
                <w:sz w:val="24"/>
                <w:szCs w:val="24"/>
                <w:lang w:val="en-US" w:eastAsia="zh-CN"/>
              </w:rPr>
              <w:t>拒绝</w:t>
            </w:r>
            <w:r>
              <w:rPr>
                <w:rFonts w:hint="eastAsia" w:ascii="仿宋" w:hAnsi="仿宋" w:eastAsia="仿宋"/>
                <w:sz w:val="24"/>
                <w:szCs w:val="24"/>
              </w:rPr>
              <w:t>进口</w:t>
            </w:r>
          </w:p>
        </w:tc>
      </w:tr>
    </w:tbl>
    <w:p/>
    <w:p>
      <w:pPr>
        <w:widowControl/>
        <w:jc w:val="left"/>
        <w:rPr>
          <w:rFonts w:ascii="仿宋" w:hAnsi="仿宋" w:eastAsia="仿宋"/>
          <w:b/>
          <w:bCs/>
          <w:sz w:val="28"/>
          <w:szCs w:val="21"/>
        </w:rPr>
      </w:pPr>
      <w:r>
        <w:rPr>
          <w:rFonts w:hint="eastAsia" w:ascii="仿宋" w:hAnsi="仿宋" w:eastAsia="仿宋"/>
          <w:b/>
          <w:bCs/>
          <w:sz w:val="28"/>
          <w:szCs w:val="21"/>
        </w:rPr>
        <w:t>二、采购明细清单</w:t>
      </w:r>
    </w:p>
    <w:tbl>
      <w:tblPr>
        <w:tblStyle w:val="16"/>
        <w:tblW w:w="906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4050"/>
        <w:gridCol w:w="1880"/>
        <w:gridCol w:w="18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7" w:type="dxa"/>
            <w:tcBorders>
              <w:tl2br w:val="nil"/>
              <w:tr2bl w:val="nil"/>
            </w:tcBorders>
            <w:shd w:val="clear" w:color="auto" w:fill="C6D9F1"/>
            <w:noWrap w:val="0"/>
            <w:vAlign w:val="center"/>
          </w:tcPr>
          <w:p>
            <w:pPr>
              <w:spacing w:line="276"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4050" w:type="dxa"/>
            <w:tcBorders>
              <w:tl2br w:val="nil"/>
              <w:tr2bl w:val="nil"/>
            </w:tcBorders>
            <w:shd w:val="clear" w:color="auto" w:fill="C6D9F1"/>
            <w:noWrap w:val="0"/>
            <w:vAlign w:val="center"/>
          </w:tcPr>
          <w:p>
            <w:pPr>
              <w:spacing w:line="276" w:lineRule="auto"/>
              <w:jc w:val="center"/>
              <w:rPr>
                <w:rFonts w:hint="eastAsia" w:ascii="仿宋" w:hAnsi="仿宋" w:eastAsia="仿宋" w:cs="仿宋"/>
                <w:b/>
                <w:sz w:val="24"/>
                <w:szCs w:val="24"/>
              </w:rPr>
            </w:pPr>
            <w:r>
              <w:rPr>
                <w:rFonts w:hint="eastAsia" w:ascii="仿宋" w:hAnsi="仿宋" w:eastAsia="仿宋" w:cs="仿宋"/>
                <w:b/>
                <w:sz w:val="24"/>
                <w:szCs w:val="24"/>
              </w:rPr>
              <w:t>货物名称</w:t>
            </w:r>
          </w:p>
        </w:tc>
        <w:tc>
          <w:tcPr>
            <w:tcW w:w="1880" w:type="dxa"/>
            <w:tcBorders>
              <w:tl2br w:val="nil"/>
              <w:tr2bl w:val="nil"/>
            </w:tcBorders>
            <w:shd w:val="clear" w:color="auto" w:fill="C6D9F1"/>
            <w:noWrap w:val="0"/>
            <w:vAlign w:val="center"/>
          </w:tcPr>
          <w:p>
            <w:pPr>
              <w:spacing w:line="276" w:lineRule="auto"/>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1880" w:type="dxa"/>
            <w:tcBorders>
              <w:tl2br w:val="nil"/>
              <w:tr2bl w:val="nil"/>
            </w:tcBorders>
            <w:shd w:val="clear" w:color="auto" w:fill="C6D9F1"/>
            <w:noWrap w:val="0"/>
            <w:vAlign w:val="center"/>
          </w:tcPr>
          <w:p>
            <w:pPr>
              <w:spacing w:line="276" w:lineRule="auto"/>
              <w:jc w:val="center"/>
              <w:rPr>
                <w:rFonts w:hint="eastAsia" w:ascii="仿宋" w:hAnsi="仿宋" w:eastAsia="仿宋" w:cs="仿宋"/>
                <w:b/>
                <w:sz w:val="24"/>
                <w:szCs w:val="24"/>
              </w:rPr>
            </w:pPr>
            <w:r>
              <w:rPr>
                <w:rFonts w:hint="eastAsia" w:ascii="仿宋" w:hAnsi="仿宋" w:eastAsia="仿宋" w:cs="仿宋"/>
                <w:b/>
                <w:sz w:val="24"/>
                <w:szCs w:val="24"/>
              </w:rPr>
              <w:t>单位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050" w:type="dxa"/>
            <w:tcBorders>
              <w:tl2br w:val="nil"/>
              <w:tr2bl w:val="nil"/>
            </w:tcBorders>
            <w:noWrap w:val="0"/>
            <w:vAlign w:val="top"/>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主机（含记录仪）</w:t>
            </w:r>
          </w:p>
        </w:tc>
        <w:tc>
          <w:tcPr>
            <w:tcW w:w="1880" w:type="dxa"/>
            <w:tcBorders>
              <w:tl2br w:val="nil"/>
              <w:tr2bl w:val="nil"/>
            </w:tcBorders>
            <w:noWrap w:val="0"/>
            <w:vAlign w:val="top"/>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880" w:type="dxa"/>
            <w:tcBorders>
              <w:tl2br w:val="nil"/>
              <w:tr2bl w:val="nil"/>
            </w:tcBorders>
            <w:noWrap w:val="0"/>
            <w:vAlign w:val="top"/>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050" w:type="dxa"/>
            <w:tcBorders>
              <w:tl2br w:val="nil"/>
              <w:tr2bl w:val="nil"/>
            </w:tcBorders>
            <w:noWrap w:val="0"/>
            <w:vAlign w:val="center"/>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可充电锂电池</w:t>
            </w:r>
          </w:p>
        </w:tc>
        <w:tc>
          <w:tcPr>
            <w:tcW w:w="1880"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880"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257"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4050" w:type="dxa"/>
            <w:tcBorders>
              <w:tl2br w:val="nil"/>
              <w:tr2bl w:val="nil"/>
            </w:tcBorders>
            <w:noWrap w:val="0"/>
            <w:vAlign w:val="center"/>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3/5导联心电附件包</w:t>
            </w:r>
          </w:p>
        </w:tc>
        <w:tc>
          <w:tcPr>
            <w:tcW w:w="1880"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880"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4050" w:type="dxa"/>
            <w:tcBorders>
              <w:tl2br w:val="nil"/>
              <w:tr2bl w:val="nil"/>
            </w:tcBorders>
            <w:noWrap w:val="0"/>
            <w:vAlign w:val="center"/>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除颤监护系统软件</w:t>
            </w:r>
          </w:p>
        </w:tc>
        <w:tc>
          <w:tcPr>
            <w:tcW w:w="1880"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880"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4050" w:type="dxa"/>
            <w:tcBorders>
              <w:tl2br w:val="nil"/>
              <w:tr2bl w:val="nil"/>
            </w:tcBorders>
            <w:noWrap w:val="0"/>
            <w:vAlign w:val="center"/>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三芯电源线</w:t>
            </w:r>
          </w:p>
        </w:tc>
        <w:tc>
          <w:tcPr>
            <w:tcW w:w="1880"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880"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4050" w:type="dxa"/>
            <w:tcBorders>
              <w:tl2br w:val="nil"/>
              <w:tr2bl w:val="nil"/>
            </w:tcBorders>
            <w:noWrap w:val="0"/>
            <w:vAlign w:val="center"/>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使用说明书</w:t>
            </w:r>
          </w:p>
        </w:tc>
        <w:tc>
          <w:tcPr>
            <w:tcW w:w="1880"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880"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4050" w:type="dxa"/>
            <w:tcBorders>
              <w:tl2br w:val="nil"/>
              <w:tr2bl w:val="nil"/>
            </w:tcBorders>
            <w:noWrap w:val="0"/>
            <w:vAlign w:val="center"/>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中文快速操作指南卡</w:t>
            </w:r>
          </w:p>
        </w:tc>
        <w:tc>
          <w:tcPr>
            <w:tcW w:w="1880" w:type="dxa"/>
            <w:tcBorders>
              <w:tl2br w:val="nil"/>
              <w:tr2bl w:val="nil"/>
            </w:tcBorders>
            <w:noWrap w:val="0"/>
            <w:vAlign w:val="center"/>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880" w:type="dxa"/>
            <w:tcBorders>
              <w:tl2br w:val="nil"/>
              <w:tr2bl w:val="nil"/>
            </w:tcBorders>
            <w:noWrap w:val="0"/>
            <w:vAlign w:val="center"/>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4050" w:type="dxa"/>
            <w:tcBorders>
              <w:tl2br w:val="nil"/>
              <w:tr2bl w:val="nil"/>
            </w:tcBorders>
            <w:noWrap w:val="0"/>
            <w:vAlign w:val="center"/>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设备保修卡</w:t>
            </w:r>
          </w:p>
        </w:tc>
        <w:tc>
          <w:tcPr>
            <w:tcW w:w="1880"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880"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4050" w:type="dxa"/>
            <w:tcBorders>
              <w:tl2br w:val="nil"/>
              <w:tr2bl w:val="nil"/>
            </w:tcBorders>
            <w:noWrap w:val="0"/>
            <w:vAlign w:val="center"/>
          </w:tcPr>
          <w:p>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除颤电极板</w:t>
            </w:r>
          </w:p>
        </w:tc>
        <w:tc>
          <w:tcPr>
            <w:tcW w:w="1880"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880" w:type="dxa"/>
            <w:tcBorders>
              <w:tl2br w:val="nil"/>
              <w:tr2bl w:val="nil"/>
            </w:tcBorders>
            <w:noWrap w:val="0"/>
            <w:vAlign w:val="center"/>
          </w:tcPr>
          <w:p>
            <w:pPr>
              <w:spacing w:line="276"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套</w:t>
            </w:r>
          </w:p>
        </w:tc>
      </w:tr>
    </w:tbl>
    <w:p>
      <w:pPr>
        <w:widowControl/>
        <w:jc w:val="left"/>
        <w:rPr>
          <w:rFonts w:ascii="仿宋" w:hAnsi="仿宋" w:eastAsia="仿宋"/>
          <w:b/>
          <w:bCs/>
          <w:sz w:val="28"/>
          <w:szCs w:val="21"/>
        </w:rPr>
      </w:pPr>
    </w:p>
    <w:p>
      <w:pPr>
        <w:widowControl/>
        <w:jc w:val="left"/>
        <w:rPr>
          <w:rFonts w:ascii="仿宋" w:hAnsi="仿宋" w:eastAsia="仿宋"/>
          <w:b/>
          <w:bCs/>
          <w:sz w:val="28"/>
          <w:szCs w:val="21"/>
        </w:rPr>
      </w:pPr>
      <w:r>
        <w:rPr>
          <w:rFonts w:hint="eastAsia" w:ascii="仿宋" w:hAnsi="仿宋" w:eastAsia="仿宋"/>
          <w:b/>
          <w:bCs/>
          <w:sz w:val="28"/>
          <w:szCs w:val="21"/>
        </w:rPr>
        <w:t>三、技术需求</w:t>
      </w:r>
      <w:r>
        <w:rPr>
          <w:rFonts w:hint="eastAsia" w:ascii="仿宋" w:hAnsi="仿宋" w:eastAsia="仿宋"/>
          <w:b/>
          <w:bCs/>
          <w:sz w:val="28"/>
          <w:szCs w:val="21"/>
          <w:lang w:eastAsia="zh-CN"/>
        </w:rPr>
        <w:t>（除颤监护仪）</w:t>
      </w:r>
    </w:p>
    <w:tbl>
      <w:tblPr>
        <w:tblStyle w:val="17"/>
        <w:tblW w:w="10068" w:type="dxa"/>
        <w:jc w:val="center"/>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48"/>
        <w:gridCol w:w="1320"/>
        <w:gridCol w:w="7800"/>
      </w:tblGrid>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tblHeader/>
          <w:jc w:val="center"/>
        </w:trPr>
        <w:tc>
          <w:tcPr>
            <w:tcW w:w="948" w:type="dxa"/>
            <w:tcBorders>
              <w:tl2br w:val="nil"/>
              <w:tr2bl w:val="nil"/>
            </w:tcBorders>
            <w:shd w:val="clear" w:color="auto" w:fill="C6D9F0" w:themeFill="text2" w:themeFillTint="33"/>
            <w:vAlign w:val="center"/>
          </w:tcPr>
          <w:p>
            <w:pPr>
              <w:widowControl/>
              <w:spacing w:line="360" w:lineRule="auto"/>
              <w:jc w:val="center"/>
              <w:rPr>
                <w:rFonts w:hint="eastAsia" w:ascii="仿宋" w:hAnsi="仿宋" w:eastAsia="仿宋" w:cs="Times New Roman"/>
                <w:b/>
                <w:bCs/>
                <w:kern w:val="2"/>
                <w:sz w:val="24"/>
                <w:szCs w:val="24"/>
                <w:lang w:val="en-US" w:eastAsia="zh-CN" w:bidi="ar-SA"/>
              </w:rPr>
            </w:pPr>
            <w:r>
              <w:rPr>
                <w:rFonts w:hint="eastAsia" w:ascii="仿宋" w:hAnsi="仿宋" w:eastAsia="仿宋"/>
                <w:b/>
                <w:bCs/>
                <w:sz w:val="24"/>
                <w:szCs w:val="24"/>
              </w:rPr>
              <w:t>序号</w:t>
            </w:r>
          </w:p>
        </w:tc>
        <w:tc>
          <w:tcPr>
            <w:tcW w:w="1320" w:type="dxa"/>
            <w:tcBorders>
              <w:tl2br w:val="nil"/>
              <w:tr2bl w:val="nil"/>
            </w:tcBorders>
            <w:shd w:val="clear" w:color="auto" w:fill="C6D9F0" w:themeFill="text2" w:themeFillTint="33"/>
            <w:vAlign w:val="center"/>
          </w:tcPr>
          <w:p>
            <w:pPr>
              <w:widowControl/>
              <w:spacing w:line="360" w:lineRule="auto"/>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类别</w:t>
            </w:r>
          </w:p>
        </w:tc>
        <w:tc>
          <w:tcPr>
            <w:tcW w:w="7800" w:type="dxa"/>
            <w:tcBorders>
              <w:tl2br w:val="nil"/>
              <w:tr2bl w:val="nil"/>
            </w:tcBorders>
            <w:shd w:val="clear" w:color="auto" w:fill="C6D9F0" w:themeFill="text2" w:themeFillTint="33"/>
            <w:vAlign w:val="center"/>
          </w:tcPr>
          <w:p>
            <w:pPr>
              <w:widowControl/>
              <w:spacing w:line="360" w:lineRule="auto"/>
              <w:jc w:val="center"/>
              <w:rPr>
                <w:rFonts w:hint="eastAsia" w:ascii="仿宋" w:hAnsi="仿宋" w:eastAsia="仿宋"/>
                <w:b/>
                <w:bCs/>
                <w:sz w:val="24"/>
                <w:szCs w:val="24"/>
              </w:rPr>
            </w:pPr>
            <w:r>
              <w:rPr>
                <w:rFonts w:hint="eastAsia" w:ascii="仿宋" w:hAnsi="仿宋" w:eastAsia="仿宋"/>
                <w:b/>
                <w:bCs/>
                <w:sz w:val="24"/>
                <w:szCs w:val="24"/>
              </w:rPr>
              <w:t>具体参数</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8" w:type="dxa"/>
            <w:tcBorders>
              <w:tl2br w:val="nil"/>
              <w:tr2bl w:val="nil"/>
            </w:tcBorders>
            <w:vAlign w:val="center"/>
          </w:tcPr>
          <w:p>
            <w:pPr>
              <w:widowControl/>
              <w:spacing w:line="360" w:lineRule="auto"/>
              <w:jc w:val="center"/>
              <w:rPr>
                <w:rFonts w:hint="eastAsia" w:ascii="仿宋" w:hAnsi="仿宋" w:eastAsia="仿宋" w:cs="Times New Roman"/>
                <w:bCs/>
                <w:kern w:val="2"/>
                <w:sz w:val="24"/>
                <w:szCs w:val="24"/>
                <w:lang w:val="en-US" w:eastAsia="zh-CN" w:bidi="ar-SA"/>
              </w:rPr>
            </w:pPr>
            <w:r>
              <w:rPr>
                <w:rFonts w:hint="eastAsia" w:ascii="仿宋" w:hAnsi="仿宋" w:eastAsia="仿宋"/>
                <w:bCs/>
                <w:sz w:val="24"/>
                <w:szCs w:val="24"/>
                <w:lang w:val="en-US" w:eastAsia="zh-CN"/>
              </w:rPr>
              <w:t>1</w:t>
            </w:r>
          </w:p>
        </w:tc>
        <w:tc>
          <w:tcPr>
            <w:tcW w:w="1320"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适用范围及必备功能要求</w:t>
            </w:r>
          </w:p>
        </w:tc>
        <w:tc>
          <w:tcPr>
            <w:tcW w:w="7800" w:type="dxa"/>
            <w:tcBorders>
              <w:tl2br w:val="nil"/>
              <w:tr2bl w:val="nil"/>
            </w:tcBorders>
            <w:vAlign w:val="center"/>
          </w:tcPr>
          <w:p>
            <w:pPr>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1）具备高分辨率彩色显示屏，分辨率≥800×480像素。</w:t>
            </w:r>
          </w:p>
          <w:p>
            <w:pPr>
              <w:spacing w:line="360" w:lineRule="auto"/>
              <w:ind w:left="480" w:hanging="480" w:hangingChars="200"/>
              <w:jc w:val="both"/>
              <w:rPr>
                <w:rFonts w:hint="eastAsia" w:ascii="仿宋" w:hAnsi="仿宋" w:eastAsia="仿宋"/>
                <w:bCs/>
                <w:sz w:val="24"/>
                <w:szCs w:val="24"/>
                <w:lang w:val="en-US" w:eastAsia="zh-CN"/>
              </w:rPr>
            </w:pPr>
            <w:bookmarkStart w:id="0" w:name="bookmark4"/>
            <w:r>
              <w:rPr>
                <w:rFonts w:hint="eastAsia" w:ascii="仿宋" w:hAnsi="仿宋" w:eastAsia="仿宋"/>
                <w:bCs/>
                <w:sz w:val="24"/>
                <w:szCs w:val="24"/>
                <w:lang w:val="en-US" w:eastAsia="zh-CN"/>
              </w:rPr>
              <w:t>▲</w:t>
            </w:r>
            <w:bookmarkEnd w:id="0"/>
            <w:r>
              <w:rPr>
                <w:rFonts w:hint="eastAsia" w:ascii="仿宋" w:hAnsi="仿宋" w:eastAsia="仿宋"/>
                <w:bCs/>
                <w:sz w:val="24"/>
                <w:szCs w:val="24"/>
                <w:lang w:val="en-US" w:eastAsia="zh-CN"/>
              </w:rPr>
              <w:t>2）适用于小儿和成人患者进行手动除颤、半自动体外除颤、同步心脏复律、 体外起搏治疗。</w:t>
            </w:r>
          </w:p>
          <w:p>
            <w:pPr>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3）可以对患者进行心电监护。</w:t>
            </w:r>
          </w:p>
          <w:p>
            <w:pPr>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▲4）</w:t>
            </w:r>
            <w:r>
              <w:rPr>
                <w:rFonts w:hint="eastAsia" w:ascii="仿宋" w:hAnsi="仿宋" w:eastAsia="仿宋"/>
                <w:bCs/>
                <w:sz w:val="24"/>
                <w:szCs w:val="24"/>
                <w:rtl w:val="0"/>
                <w:lang w:val="en-US" w:eastAsia="zh-CN"/>
              </w:rPr>
              <w:t>支持成人/小儿患者类型快速一键切换</w:t>
            </w:r>
            <w:r>
              <w:rPr>
                <w:rFonts w:hint="eastAsia" w:ascii="仿宋" w:hAnsi="仿宋" w:eastAsia="仿宋"/>
                <w:bCs/>
                <w:sz w:val="24"/>
                <w:szCs w:val="24"/>
                <w:lang w:val="en-US" w:eastAsia="zh-CN"/>
              </w:rPr>
              <w:t>，方便应对不同年龄的患者。</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8" w:type="dxa"/>
            <w:tcBorders>
              <w:tl2br w:val="nil"/>
              <w:tr2bl w:val="nil"/>
            </w:tcBorders>
            <w:vAlign w:val="center"/>
          </w:tcPr>
          <w:p>
            <w:pPr>
              <w:widowControl/>
              <w:spacing w:line="360" w:lineRule="auto"/>
              <w:jc w:val="center"/>
              <w:rPr>
                <w:rFonts w:hint="eastAsia" w:ascii="仿宋" w:hAnsi="仿宋" w:eastAsia="仿宋" w:cs="Times New Roman"/>
                <w:bCs/>
                <w:kern w:val="2"/>
                <w:sz w:val="24"/>
                <w:szCs w:val="24"/>
                <w:lang w:val="en-US" w:eastAsia="zh-CN" w:bidi="ar-SA"/>
              </w:rPr>
            </w:pPr>
            <w:r>
              <w:rPr>
                <w:rFonts w:hint="eastAsia" w:ascii="仿宋" w:hAnsi="仿宋" w:eastAsia="仿宋"/>
                <w:bCs/>
                <w:sz w:val="24"/>
                <w:szCs w:val="24"/>
                <w:lang w:val="en-US" w:eastAsia="zh-CN"/>
              </w:rPr>
              <w:t>2</w:t>
            </w:r>
          </w:p>
        </w:tc>
        <w:tc>
          <w:tcPr>
            <w:tcW w:w="1320"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default" w:ascii="仿宋" w:hAnsi="仿宋" w:eastAsia="仿宋"/>
                <w:bCs/>
                <w:sz w:val="24"/>
                <w:szCs w:val="24"/>
                <w:lang w:val="en-US" w:eastAsia="zh-CN"/>
              </w:rPr>
              <w:t>除颤功能</w:t>
            </w:r>
          </w:p>
        </w:tc>
        <w:tc>
          <w:tcPr>
            <w:tcW w:w="7800" w:type="dxa"/>
            <w:tcBorders>
              <w:tl2br w:val="nil"/>
              <w:tr2bl w:val="nil"/>
            </w:tcBorders>
            <w:vAlign w:val="center"/>
          </w:tcPr>
          <w:p>
            <w:pPr>
              <w:spacing w:line="360" w:lineRule="auto"/>
              <w:ind w:left="480" w:hanging="480" w:hangingChars="200"/>
              <w:jc w:val="both"/>
              <w:rPr>
                <w:rFonts w:hint="default" w:ascii="仿宋" w:hAnsi="仿宋" w:eastAsia="仿宋"/>
                <w:bCs/>
                <w:sz w:val="24"/>
                <w:szCs w:val="24"/>
                <w:lang w:val="en-US" w:eastAsia="zh-CN"/>
              </w:rPr>
            </w:pPr>
            <w:r>
              <w:rPr>
                <w:rFonts w:hint="default" w:ascii="仿宋" w:hAnsi="仿宋" w:eastAsia="仿宋"/>
                <w:bCs/>
                <w:sz w:val="24"/>
                <w:szCs w:val="24"/>
                <w:lang w:val="en-US" w:eastAsia="zh-CN"/>
              </w:rPr>
              <w:t>1）中文语音提示、中文字符显示、中文仪器操作面板以及中文输入等方式，方便医护人员使用</w:t>
            </w:r>
            <w:r>
              <w:rPr>
                <w:rFonts w:hint="eastAsia" w:ascii="仿宋" w:hAnsi="仿宋" w:eastAsia="仿宋"/>
                <w:bCs/>
                <w:sz w:val="24"/>
                <w:szCs w:val="24"/>
                <w:lang w:val="en-US" w:eastAsia="zh-CN"/>
              </w:rPr>
              <w:t>。</w:t>
            </w:r>
          </w:p>
          <w:p>
            <w:pPr>
              <w:spacing w:line="360" w:lineRule="auto"/>
              <w:jc w:val="both"/>
              <w:rPr>
                <w:rFonts w:hint="default" w:ascii="仿宋" w:hAnsi="仿宋" w:eastAsia="仿宋"/>
                <w:bCs/>
                <w:sz w:val="24"/>
                <w:szCs w:val="24"/>
                <w:lang w:val="en-US" w:eastAsia="zh-CN"/>
              </w:rPr>
            </w:pPr>
            <w:r>
              <w:rPr>
                <w:rFonts w:hint="default" w:ascii="仿宋" w:hAnsi="仿宋" w:eastAsia="仿宋"/>
                <w:bCs/>
                <w:sz w:val="24"/>
                <w:szCs w:val="24"/>
                <w:lang w:val="en-US" w:eastAsia="zh-CN"/>
              </w:rPr>
              <w:t>2）机器可预设开机除颤档为手动或自动模式</w:t>
            </w:r>
            <w:r>
              <w:rPr>
                <w:rFonts w:hint="eastAsia" w:ascii="仿宋" w:hAnsi="仿宋" w:eastAsia="仿宋"/>
                <w:bCs/>
                <w:sz w:val="24"/>
                <w:szCs w:val="24"/>
                <w:lang w:val="en-US" w:eastAsia="zh-CN"/>
              </w:rPr>
              <w:t>。</w:t>
            </w:r>
          </w:p>
          <w:p>
            <w:pPr>
              <w:spacing w:line="360" w:lineRule="auto"/>
              <w:ind w:left="480" w:hanging="480" w:hangingChars="200"/>
              <w:jc w:val="both"/>
              <w:rPr>
                <w:rFonts w:hint="default" w:ascii="仿宋" w:hAnsi="仿宋" w:eastAsia="仿宋"/>
                <w:bCs/>
                <w:sz w:val="24"/>
                <w:szCs w:val="24"/>
                <w:lang w:val="en-US" w:eastAsia="zh-CN"/>
              </w:rPr>
            </w:pPr>
            <w:r>
              <w:rPr>
                <w:rFonts w:hint="default" w:ascii="仿宋" w:hAnsi="仿宋" w:eastAsia="仿宋"/>
                <w:bCs/>
                <w:sz w:val="24"/>
                <w:szCs w:val="24"/>
                <w:lang w:val="en-US" w:eastAsia="zh-CN"/>
              </w:rPr>
              <w:t>3）体外除颤把手功能键：能量调节、充电、放电及打印控制按钮，方便单人急救操作</w:t>
            </w:r>
            <w:r>
              <w:rPr>
                <w:rFonts w:hint="eastAsia" w:ascii="仿宋" w:hAnsi="仿宋" w:eastAsia="仿宋"/>
                <w:bCs/>
                <w:sz w:val="24"/>
                <w:szCs w:val="24"/>
                <w:lang w:val="en-US" w:eastAsia="zh-CN"/>
              </w:rPr>
              <w:t>。</w:t>
            </w:r>
          </w:p>
          <w:p>
            <w:pPr>
              <w:spacing w:line="360" w:lineRule="auto"/>
              <w:jc w:val="both"/>
              <w:rPr>
                <w:rFonts w:hint="default" w:ascii="仿宋" w:hAnsi="仿宋" w:eastAsia="仿宋"/>
                <w:bCs/>
                <w:sz w:val="24"/>
                <w:szCs w:val="24"/>
                <w:lang w:val="en-US" w:eastAsia="zh-CN"/>
              </w:rPr>
            </w:pPr>
            <w:r>
              <w:rPr>
                <w:rFonts w:hint="default" w:ascii="仿宋" w:hAnsi="仿宋" w:eastAsia="仿宋"/>
                <w:bCs/>
                <w:sz w:val="24"/>
                <w:szCs w:val="24"/>
                <w:rtl w:val="0"/>
                <w:lang w:val="en-US" w:eastAsia="zh-CN"/>
              </w:rPr>
              <w:t>4）</w:t>
            </w:r>
            <w:r>
              <w:rPr>
                <w:rFonts w:hint="default" w:ascii="仿宋" w:hAnsi="仿宋" w:eastAsia="仿宋"/>
                <w:bCs/>
                <w:sz w:val="24"/>
                <w:szCs w:val="24"/>
                <w:lang w:val="en-US" w:eastAsia="zh-CN"/>
              </w:rPr>
              <w:t>采用双相波技术，</w:t>
            </w:r>
            <w:r>
              <w:rPr>
                <w:rFonts w:hint="default" w:ascii="仿宋" w:hAnsi="仿宋" w:eastAsia="仿宋"/>
                <w:bCs/>
                <w:sz w:val="24"/>
                <w:szCs w:val="24"/>
                <w:rtl w:val="0"/>
                <w:lang w:val="en-US" w:eastAsia="zh-CN"/>
              </w:rPr>
              <w:t>输出能量：成人最大能量≥360J</w:t>
            </w:r>
          </w:p>
          <w:p>
            <w:pPr>
              <w:spacing w:line="360" w:lineRule="auto"/>
              <w:jc w:val="both"/>
              <w:rPr>
                <w:rFonts w:hint="default" w:ascii="仿宋" w:hAnsi="仿宋" w:eastAsia="仿宋"/>
                <w:bCs/>
                <w:sz w:val="24"/>
                <w:szCs w:val="24"/>
                <w:lang w:val="en-US" w:eastAsia="zh-CN"/>
              </w:rPr>
            </w:pPr>
            <w:r>
              <w:rPr>
                <w:rFonts w:hint="default" w:ascii="仿宋" w:hAnsi="仿宋" w:eastAsia="仿宋"/>
                <w:bCs/>
                <w:sz w:val="24"/>
                <w:szCs w:val="24"/>
                <w:lang w:val="en-US" w:eastAsia="zh-CN"/>
              </w:rPr>
              <w:t>5）从开机到200J放电准备就绪用时＜10s</w:t>
            </w:r>
          </w:p>
          <w:p>
            <w:pPr>
              <w:spacing w:line="360" w:lineRule="auto"/>
              <w:jc w:val="both"/>
              <w:rPr>
                <w:rFonts w:hint="default" w:ascii="仿宋" w:hAnsi="仿宋" w:eastAsia="仿宋"/>
                <w:bCs/>
                <w:sz w:val="24"/>
                <w:szCs w:val="24"/>
                <w:lang w:val="en-US" w:eastAsia="zh-CN"/>
              </w:rPr>
            </w:pPr>
            <w:r>
              <w:rPr>
                <w:rFonts w:hint="default" w:ascii="仿宋" w:hAnsi="仿宋" w:eastAsia="仿宋"/>
                <w:bCs/>
                <w:sz w:val="24"/>
                <w:szCs w:val="24"/>
                <w:lang w:val="en-US" w:eastAsia="zh-CN"/>
              </w:rPr>
              <w:t>6）开始AED分析到200J放电准备就绪时间＜6s</w:t>
            </w:r>
          </w:p>
          <w:p>
            <w:pPr>
              <w:spacing w:line="360" w:lineRule="auto"/>
              <w:ind w:left="480" w:hanging="480" w:hangingChars="200"/>
              <w:jc w:val="both"/>
              <w:rPr>
                <w:rFonts w:hint="default" w:ascii="仿宋" w:hAnsi="仿宋" w:eastAsia="仿宋"/>
                <w:bCs/>
                <w:sz w:val="24"/>
                <w:szCs w:val="24"/>
                <w:lang w:val="en-US" w:eastAsia="zh-CN"/>
              </w:rPr>
            </w:pPr>
            <w:r>
              <w:rPr>
                <w:rFonts w:hint="default" w:ascii="仿宋" w:hAnsi="仿宋" w:eastAsia="仿宋"/>
                <w:bCs/>
                <w:sz w:val="24"/>
                <w:szCs w:val="24"/>
                <w:lang w:val="en-US" w:eastAsia="zh-CN"/>
              </w:rPr>
              <w:t>▲</w:t>
            </w:r>
            <w:r>
              <w:rPr>
                <w:rFonts w:hint="default" w:ascii="仿宋" w:hAnsi="仿宋" w:eastAsia="仿宋"/>
                <w:bCs/>
                <w:sz w:val="24"/>
                <w:szCs w:val="24"/>
                <w:rtl w:val="0"/>
                <w:lang w:val="en-US" w:eastAsia="zh-CN"/>
              </w:rPr>
              <w:t>7）可自动识别成人、小儿电极片，并根据电极片类型自动选择对应的除颤能量</w:t>
            </w:r>
            <w:r>
              <w:rPr>
                <w:rFonts w:hint="eastAsia" w:ascii="仿宋" w:hAnsi="仿宋" w:eastAsia="仿宋"/>
                <w:bCs/>
                <w:sz w:val="24"/>
                <w:szCs w:val="24"/>
                <w:rtl w:val="0"/>
                <w:lang w:val="en-US" w:eastAsia="zh-CN"/>
              </w:rPr>
              <w:t>。</w:t>
            </w:r>
          </w:p>
          <w:p>
            <w:pPr>
              <w:spacing w:line="360" w:lineRule="auto"/>
              <w:ind w:left="480" w:hanging="480" w:hangingChars="200"/>
              <w:jc w:val="both"/>
              <w:rPr>
                <w:rFonts w:hint="default" w:ascii="仿宋" w:hAnsi="仿宋" w:eastAsia="仿宋"/>
                <w:bCs/>
                <w:sz w:val="24"/>
                <w:szCs w:val="24"/>
                <w:lang w:val="en-US" w:eastAsia="zh-CN"/>
              </w:rPr>
            </w:pPr>
            <w:r>
              <w:rPr>
                <w:rFonts w:hint="default" w:ascii="仿宋" w:hAnsi="仿宋" w:eastAsia="仿宋"/>
                <w:bCs/>
                <w:sz w:val="24"/>
                <w:szCs w:val="24"/>
                <w:lang w:val="en-US" w:eastAsia="zh-CN"/>
              </w:rPr>
              <w:t>8）除颤能量调节采用旋钮选择方式，而非按键选择能量，方便快捷节约抢救时间</w:t>
            </w:r>
            <w:r>
              <w:rPr>
                <w:rFonts w:hint="eastAsia" w:ascii="仿宋" w:hAnsi="仿宋" w:eastAsia="仿宋"/>
                <w:bCs/>
                <w:sz w:val="24"/>
                <w:szCs w:val="24"/>
                <w:lang w:val="en-US" w:eastAsia="zh-CN"/>
              </w:rPr>
              <w:t>。</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8" w:type="dxa"/>
            <w:tcBorders>
              <w:tl2br w:val="nil"/>
              <w:tr2bl w:val="nil"/>
            </w:tcBorders>
            <w:vAlign w:val="center"/>
          </w:tcPr>
          <w:p>
            <w:pPr>
              <w:widowControl/>
              <w:spacing w:line="360" w:lineRule="auto"/>
              <w:jc w:val="center"/>
              <w:rPr>
                <w:rFonts w:hint="eastAsia" w:ascii="仿宋" w:hAnsi="仿宋" w:eastAsia="仿宋" w:cs="Times New Roman"/>
                <w:bCs/>
                <w:kern w:val="2"/>
                <w:sz w:val="24"/>
                <w:szCs w:val="24"/>
                <w:lang w:val="en-US" w:eastAsia="zh-CN" w:bidi="ar-SA"/>
              </w:rPr>
            </w:pPr>
            <w:r>
              <w:rPr>
                <w:rFonts w:hint="eastAsia" w:ascii="仿宋" w:hAnsi="仿宋" w:eastAsia="仿宋"/>
                <w:bCs/>
                <w:sz w:val="24"/>
                <w:szCs w:val="24"/>
                <w:lang w:val="en-US" w:eastAsia="zh-CN"/>
              </w:rPr>
              <w:t>3</w:t>
            </w:r>
          </w:p>
        </w:tc>
        <w:tc>
          <w:tcPr>
            <w:tcW w:w="1320"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default" w:ascii="仿宋" w:hAnsi="仿宋" w:eastAsia="仿宋"/>
                <w:bCs/>
                <w:sz w:val="24"/>
                <w:szCs w:val="24"/>
                <w:lang w:val="en-US" w:eastAsia="zh-CN"/>
              </w:rPr>
              <w:t>心电监护功能</w:t>
            </w:r>
          </w:p>
        </w:tc>
        <w:tc>
          <w:tcPr>
            <w:tcW w:w="7800" w:type="dxa"/>
            <w:tcBorders>
              <w:tl2br w:val="nil"/>
              <w:tr2bl w:val="nil"/>
            </w:tcBorders>
            <w:vAlign w:val="center"/>
          </w:tcPr>
          <w:p>
            <w:pPr>
              <w:spacing w:line="360" w:lineRule="auto"/>
              <w:ind w:left="480" w:hanging="480" w:hangingChars="200"/>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▲1）可进行持续心电监护，可识别≥9种常见的心率/心律失常报警，有心率过快/过慢、停搏、室颤/室速、室性过速、极度过速、极度过缓、PVC速率、起搏无法捕获、起搏器未起搏。</w:t>
            </w:r>
          </w:p>
          <w:p>
            <w:pPr>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2）主机≥3道波形显示。</w:t>
            </w:r>
          </w:p>
          <w:p>
            <w:pPr>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3）具备生命体征趋势回顾功能，并支持数据导出U盘。</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8" w:type="dxa"/>
            <w:tcBorders>
              <w:tl2br w:val="nil"/>
              <w:tr2bl w:val="nil"/>
            </w:tcBorders>
            <w:vAlign w:val="center"/>
          </w:tcPr>
          <w:p>
            <w:pPr>
              <w:widowControl/>
              <w:spacing w:line="360" w:lineRule="auto"/>
              <w:jc w:val="center"/>
              <w:rPr>
                <w:rFonts w:hint="eastAsia" w:ascii="仿宋" w:hAnsi="仿宋" w:eastAsia="仿宋" w:cs="Times New Roman"/>
                <w:bCs/>
                <w:kern w:val="2"/>
                <w:sz w:val="24"/>
                <w:szCs w:val="24"/>
                <w:lang w:val="en-US" w:eastAsia="zh-CN" w:bidi="ar-SA"/>
              </w:rPr>
            </w:pPr>
            <w:r>
              <w:rPr>
                <w:rFonts w:hint="eastAsia" w:ascii="仿宋" w:hAnsi="仿宋" w:eastAsia="仿宋"/>
                <w:bCs/>
                <w:sz w:val="24"/>
                <w:szCs w:val="24"/>
                <w:lang w:val="en-US" w:eastAsia="zh-CN"/>
              </w:rPr>
              <w:t>4</w:t>
            </w:r>
          </w:p>
        </w:tc>
        <w:tc>
          <w:tcPr>
            <w:tcW w:w="1320"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电池</w:t>
            </w:r>
          </w:p>
        </w:tc>
        <w:tc>
          <w:tcPr>
            <w:tcW w:w="7800" w:type="dxa"/>
            <w:tcBorders>
              <w:tl2br w:val="nil"/>
              <w:tr2bl w:val="nil"/>
            </w:tcBorders>
            <w:vAlign w:val="center"/>
          </w:tcPr>
          <w:p>
            <w:pPr>
              <w:spacing w:line="360" w:lineRule="auto"/>
              <w:ind w:left="0" w:leftChars="0" w:firstLine="0" w:firstLineChars="0"/>
              <w:jc w:val="both"/>
              <w:rPr>
                <w:rFonts w:hint="eastAsia" w:ascii="仿宋" w:hAnsi="仿宋" w:eastAsia="仿宋"/>
                <w:bCs/>
                <w:sz w:val="24"/>
                <w:szCs w:val="24"/>
                <w:rtl w:val="0"/>
                <w:lang w:val="en-US" w:eastAsia="zh-CN"/>
              </w:rPr>
            </w:pPr>
            <w:r>
              <w:rPr>
                <w:rFonts w:hint="eastAsia" w:ascii="仿宋" w:hAnsi="仿宋" w:eastAsia="仿宋"/>
                <w:bCs/>
                <w:sz w:val="24"/>
                <w:szCs w:val="24"/>
                <w:rtl w:val="0"/>
                <w:lang w:val="en-US" w:eastAsia="zh-CN"/>
              </w:rPr>
              <w:t>1）在室温温度环境下，电池待机寿命不少于5年。</w:t>
            </w:r>
          </w:p>
          <w:p>
            <w:pPr>
              <w:spacing w:line="360" w:lineRule="auto"/>
              <w:ind w:left="480" w:leftChars="0" w:hanging="480" w:hangingChars="200"/>
              <w:jc w:val="both"/>
              <w:rPr>
                <w:rFonts w:hint="eastAsia" w:ascii="仿宋" w:hAnsi="仿宋" w:eastAsia="仿宋"/>
                <w:bCs/>
                <w:sz w:val="24"/>
                <w:szCs w:val="24"/>
                <w:rtl w:val="0"/>
                <w:lang w:val="en-US" w:eastAsia="zh-CN"/>
              </w:rPr>
            </w:pPr>
            <w:r>
              <w:rPr>
                <w:rFonts w:hint="eastAsia" w:ascii="仿宋" w:hAnsi="仿宋" w:eastAsia="仿宋"/>
                <w:bCs/>
                <w:sz w:val="24"/>
                <w:szCs w:val="24"/>
                <w:lang w:val="en-US" w:eastAsia="zh-CN"/>
              </w:rPr>
              <w:t>▲2）</w:t>
            </w:r>
            <w:r>
              <w:rPr>
                <w:rFonts w:hint="eastAsia" w:ascii="仿宋" w:hAnsi="仿宋" w:eastAsia="仿宋"/>
                <w:bCs/>
                <w:sz w:val="24"/>
                <w:szCs w:val="24"/>
                <w:rtl w:val="0"/>
                <w:lang w:val="en-US" w:eastAsia="zh-CN"/>
              </w:rPr>
              <w:t>在适合条件下，至少可支持400次200J除颤治疗</w:t>
            </w:r>
            <w:bookmarkStart w:id="1" w:name="_GoBack"/>
            <w:bookmarkEnd w:id="1"/>
            <w:r>
              <w:rPr>
                <w:rFonts w:hint="eastAsia" w:ascii="仿宋" w:hAnsi="仿宋" w:eastAsia="仿宋"/>
                <w:bCs/>
                <w:sz w:val="24"/>
                <w:szCs w:val="24"/>
                <w:rtl w:val="0"/>
                <w:lang w:val="en-US" w:eastAsia="zh-CN"/>
              </w:rPr>
              <w:t>。</w:t>
            </w:r>
          </w:p>
          <w:p>
            <w:pPr>
              <w:spacing w:line="360" w:lineRule="auto"/>
              <w:ind w:left="480" w:leftChars="0" w:hanging="480" w:hangingChars="200"/>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3）</w:t>
            </w:r>
            <w:r>
              <w:rPr>
                <w:rFonts w:hint="eastAsia" w:ascii="仿宋" w:hAnsi="仿宋" w:eastAsia="仿宋"/>
                <w:bCs/>
                <w:sz w:val="24"/>
                <w:szCs w:val="24"/>
                <w:rtl w:val="0"/>
                <w:lang w:val="en-US" w:eastAsia="zh-CN"/>
              </w:rPr>
              <w:t>可检测电池低电量并给出报警提示，低电量报警后至少还可持续30分钟工作时间和至少10次200J除颤充放电（适合条件下）。</w:t>
            </w:r>
          </w:p>
          <w:p>
            <w:pPr>
              <w:spacing w:line="360" w:lineRule="auto"/>
              <w:ind w:left="0" w:leftChars="0" w:firstLine="0" w:firstLineChars="0"/>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4）电池上具备电量容量状态指示灯，可直接查看到电池电量剩余电量。</w:t>
            </w:r>
          </w:p>
          <w:p>
            <w:pPr>
              <w:spacing w:line="360" w:lineRule="auto"/>
              <w:ind w:left="480" w:leftChars="0" w:hanging="480" w:hangingChars="200"/>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5）设备所有功能全开时电池使用时间≥2.5小时，保证病人转运途中全程持续供电。</w:t>
            </w:r>
          </w:p>
          <w:p>
            <w:pPr>
              <w:spacing w:line="360" w:lineRule="auto"/>
              <w:ind w:left="0" w:leftChars="0" w:firstLine="0" w:firstLineChars="0"/>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6）电池具有快速充电技术，≤2小时可充电到80%，≤3小时充电到100%</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8" w:type="dxa"/>
            <w:tcBorders>
              <w:tl2br w:val="nil"/>
              <w:tr2bl w:val="nil"/>
            </w:tcBorders>
            <w:vAlign w:val="center"/>
          </w:tcPr>
          <w:p>
            <w:pPr>
              <w:widowControl/>
              <w:spacing w:line="360" w:lineRule="auto"/>
              <w:jc w:val="center"/>
              <w:rPr>
                <w:rFonts w:hint="eastAsia" w:ascii="仿宋" w:hAnsi="仿宋" w:eastAsia="仿宋"/>
                <w:bCs/>
                <w:sz w:val="24"/>
                <w:szCs w:val="24"/>
                <w:lang w:val="en-US" w:eastAsia="zh-CN"/>
              </w:rPr>
            </w:pPr>
            <w:r>
              <w:rPr>
                <w:rFonts w:hint="eastAsia" w:ascii="仿宋" w:hAnsi="仿宋" w:eastAsia="仿宋"/>
                <w:bCs/>
                <w:sz w:val="24"/>
                <w:szCs w:val="24"/>
                <w:lang w:val="en-US" w:eastAsia="zh-CN"/>
              </w:rPr>
              <w:t>5</w:t>
            </w:r>
          </w:p>
        </w:tc>
        <w:tc>
          <w:tcPr>
            <w:tcW w:w="1320"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default" w:ascii="仿宋" w:hAnsi="仿宋" w:eastAsia="仿宋"/>
                <w:bCs/>
                <w:sz w:val="24"/>
                <w:szCs w:val="24"/>
                <w:rtl w:val="0"/>
                <w:lang w:val="en-US" w:eastAsia="zh-CN"/>
              </w:rPr>
              <w:t>数据传输和存储</w:t>
            </w:r>
          </w:p>
        </w:tc>
        <w:tc>
          <w:tcPr>
            <w:tcW w:w="7800" w:type="dxa"/>
            <w:tcBorders>
              <w:tl2br w:val="nil"/>
              <w:tr2bl w:val="nil"/>
            </w:tcBorders>
            <w:vAlign w:val="center"/>
          </w:tcPr>
          <w:p>
            <w:pPr>
              <w:spacing w:line="360" w:lineRule="auto"/>
              <w:ind w:left="480" w:hanging="480" w:hangingChars="200"/>
              <w:jc w:val="both"/>
              <w:rPr>
                <w:rFonts w:hint="eastAsia" w:ascii="仿宋" w:hAnsi="仿宋" w:eastAsia="仿宋"/>
                <w:bCs/>
                <w:sz w:val="24"/>
                <w:szCs w:val="24"/>
                <w:rtl w:val="0"/>
                <w:lang w:val="en-US" w:eastAsia="zh-CN"/>
              </w:rPr>
            </w:pPr>
            <w:r>
              <w:rPr>
                <w:rFonts w:hint="eastAsia" w:ascii="仿宋" w:hAnsi="仿宋" w:eastAsia="仿宋"/>
                <w:bCs/>
                <w:sz w:val="24"/>
                <w:szCs w:val="24"/>
                <w:lang w:val="en-US" w:eastAsia="zh-CN"/>
              </w:rPr>
              <w:t>1</w:t>
            </w:r>
            <w:r>
              <w:rPr>
                <w:rFonts w:hint="eastAsia" w:ascii="仿宋" w:hAnsi="仿宋" w:eastAsia="仿宋"/>
                <w:bCs/>
                <w:sz w:val="24"/>
                <w:szCs w:val="24"/>
                <w:rtl w:val="0"/>
                <w:lang w:val="en-US" w:eastAsia="zh-CN"/>
              </w:rPr>
              <w:t>）存储容量：设备的内部存储容量不小于1G，可存储不少于500份自检报告。</w:t>
            </w:r>
          </w:p>
          <w:p>
            <w:pPr>
              <w:spacing w:line="360" w:lineRule="auto"/>
              <w:ind w:left="480" w:hanging="480" w:hangingChars="200"/>
              <w:jc w:val="both"/>
              <w:rPr>
                <w:rFonts w:hint="eastAsia" w:ascii="仿宋" w:hAnsi="仿宋" w:eastAsia="仿宋"/>
                <w:bCs/>
                <w:sz w:val="24"/>
                <w:szCs w:val="24"/>
                <w:lang w:val="en-US" w:eastAsia="zh-CN"/>
              </w:rPr>
            </w:pPr>
            <w:r>
              <w:rPr>
                <w:rFonts w:hint="eastAsia" w:ascii="仿宋" w:hAnsi="仿宋" w:eastAsia="仿宋"/>
                <w:bCs/>
                <w:sz w:val="24"/>
                <w:szCs w:val="24"/>
                <w:rtl w:val="0"/>
                <w:lang w:val="en-US" w:eastAsia="zh-CN"/>
              </w:rPr>
              <w:t>2）数据存储：可存储ECG波形数据、事件数据、急救数据。</w:t>
            </w:r>
          </w:p>
          <w:p>
            <w:pPr>
              <w:spacing w:line="360" w:lineRule="auto"/>
              <w:ind w:left="480" w:hanging="480" w:hangingChars="200"/>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▲3）内置打印机，可打印自检报告、监护波形及除颤参数，包括：时间、日期、心率、选择能量、实际除颤能量、除颤电流、人体阻抗、心电幅度、导联等。</w:t>
            </w:r>
          </w:p>
          <w:p>
            <w:pPr>
              <w:spacing w:line="360" w:lineRule="auto"/>
              <w:ind w:left="480" w:hanging="480" w:hangingChars="200"/>
              <w:jc w:val="both"/>
              <w:rPr>
                <w:rFonts w:hint="default" w:ascii="仿宋" w:hAnsi="仿宋" w:eastAsia="仿宋"/>
                <w:bCs/>
                <w:sz w:val="24"/>
                <w:szCs w:val="24"/>
                <w:lang w:val="en-US" w:eastAsia="zh-CN"/>
              </w:rPr>
            </w:pPr>
            <w:r>
              <w:rPr>
                <w:rFonts w:hint="eastAsia" w:ascii="仿宋" w:hAnsi="仿宋" w:eastAsia="仿宋"/>
                <w:bCs/>
                <w:sz w:val="24"/>
                <w:szCs w:val="24"/>
                <w:lang w:val="en-US" w:eastAsia="zh-CN"/>
              </w:rPr>
              <w:t>▲</w:t>
            </w:r>
            <w:r>
              <w:rPr>
                <w:rFonts w:hint="eastAsia" w:ascii="仿宋" w:hAnsi="仿宋" w:eastAsia="仿宋"/>
                <w:bCs/>
                <w:sz w:val="24"/>
                <w:szCs w:val="24"/>
                <w:rtl w:val="0"/>
                <w:lang w:val="en-US" w:eastAsia="zh-CN"/>
              </w:rPr>
              <w:t>4）支持USB接口，可通过外部USB闪存设备导出记录数据。</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8" w:type="dxa"/>
            <w:tcBorders>
              <w:tl2br w:val="nil"/>
              <w:tr2bl w:val="nil"/>
            </w:tcBorders>
            <w:vAlign w:val="center"/>
          </w:tcPr>
          <w:p>
            <w:pPr>
              <w:widowControl/>
              <w:spacing w:line="360" w:lineRule="auto"/>
              <w:jc w:val="center"/>
              <w:rPr>
                <w:rFonts w:hint="eastAsia" w:ascii="仿宋" w:hAnsi="仿宋" w:eastAsia="仿宋"/>
                <w:bCs/>
                <w:sz w:val="24"/>
                <w:szCs w:val="24"/>
                <w:lang w:val="en-US" w:eastAsia="zh-CN"/>
              </w:rPr>
            </w:pPr>
            <w:r>
              <w:rPr>
                <w:rFonts w:hint="eastAsia" w:ascii="仿宋" w:hAnsi="仿宋" w:eastAsia="仿宋"/>
                <w:bCs/>
                <w:sz w:val="24"/>
                <w:szCs w:val="24"/>
                <w:lang w:val="en-US" w:eastAsia="zh-CN"/>
              </w:rPr>
              <w:t>6</w:t>
            </w:r>
          </w:p>
        </w:tc>
        <w:tc>
          <w:tcPr>
            <w:tcW w:w="1320"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default" w:ascii="仿宋" w:hAnsi="仿宋" w:eastAsia="仿宋"/>
                <w:bCs/>
                <w:sz w:val="24"/>
                <w:szCs w:val="24"/>
                <w:rtl w:val="0"/>
                <w:lang w:val="en-US" w:eastAsia="zh-CN"/>
              </w:rPr>
              <w:t>设备维护与自检</w:t>
            </w:r>
          </w:p>
        </w:tc>
        <w:tc>
          <w:tcPr>
            <w:tcW w:w="7800" w:type="dxa"/>
            <w:tcBorders>
              <w:tl2br w:val="nil"/>
              <w:tr2bl w:val="nil"/>
            </w:tcBorders>
            <w:vAlign w:val="center"/>
          </w:tcPr>
          <w:p>
            <w:pPr>
              <w:spacing w:line="360" w:lineRule="auto"/>
              <w:ind w:left="0" w:leftChars="0" w:firstLine="0" w:firstLineChars="0"/>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w:t>
            </w:r>
            <w:r>
              <w:rPr>
                <w:rFonts w:hint="eastAsia" w:ascii="仿宋" w:hAnsi="仿宋" w:eastAsia="仿宋"/>
                <w:bCs/>
                <w:sz w:val="24"/>
                <w:szCs w:val="24"/>
                <w:rtl w:val="0"/>
                <w:lang w:val="en-US" w:eastAsia="zh-CN"/>
              </w:rPr>
              <w:t>1）设备具有用户自检和设备自检功能。</w:t>
            </w:r>
          </w:p>
          <w:p>
            <w:pPr>
              <w:spacing w:line="360" w:lineRule="auto"/>
              <w:ind w:left="480" w:leftChars="0" w:hanging="480" w:hangingChars="200"/>
              <w:jc w:val="both"/>
              <w:rPr>
                <w:rFonts w:hint="eastAsia" w:ascii="仿宋" w:hAnsi="仿宋" w:eastAsia="仿宋"/>
                <w:bCs/>
                <w:sz w:val="24"/>
                <w:szCs w:val="24"/>
                <w:rtl w:val="0"/>
                <w:lang w:val="en-US" w:eastAsia="zh-CN"/>
              </w:rPr>
            </w:pPr>
            <w:r>
              <w:rPr>
                <w:rFonts w:hint="eastAsia" w:ascii="仿宋" w:hAnsi="仿宋" w:eastAsia="仿宋"/>
                <w:bCs/>
                <w:sz w:val="24"/>
                <w:szCs w:val="24"/>
                <w:rtl w:val="0"/>
                <w:lang w:val="en-US" w:eastAsia="zh-CN"/>
              </w:rPr>
              <w:t>2）提供设备状态指示灯：根据自检结果，红灯/绿灯显示设备状态，在无灯光黑暗环境下能看见设备状态灯显示。</w:t>
            </w:r>
          </w:p>
          <w:p>
            <w:pPr>
              <w:spacing w:line="360" w:lineRule="auto"/>
              <w:ind w:left="480" w:leftChars="0" w:hanging="480" w:hangingChars="200"/>
              <w:jc w:val="both"/>
              <w:rPr>
                <w:rFonts w:hint="eastAsia" w:ascii="仿宋" w:hAnsi="仿宋" w:eastAsia="仿宋"/>
                <w:bCs/>
                <w:sz w:val="24"/>
                <w:szCs w:val="24"/>
                <w:lang w:val="en-US" w:eastAsia="zh-CN"/>
              </w:rPr>
            </w:pPr>
            <w:r>
              <w:rPr>
                <w:rFonts w:hint="eastAsia" w:ascii="仿宋" w:hAnsi="仿宋" w:eastAsia="仿宋"/>
                <w:bCs/>
                <w:sz w:val="24"/>
                <w:szCs w:val="24"/>
                <w:rtl w:val="0"/>
                <w:lang w:val="en-US" w:eastAsia="zh-CN"/>
              </w:rPr>
              <w:t>3）支持设备使用时实时自检和开机自检，检测主控模块、治疗模块、电源模块的状态。</w:t>
            </w:r>
          </w:p>
          <w:p>
            <w:pPr>
              <w:spacing w:line="360" w:lineRule="auto"/>
              <w:ind w:left="0" w:leftChars="0" w:firstLine="0" w:firstLineChars="0"/>
              <w:jc w:val="both"/>
              <w:rPr>
                <w:rFonts w:hint="eastAsia" w:ascii="仿宋" w:hAnsi="仿宋" w:eastAsia="仿宋"/>
                <w:bCs/>
                <w:sz w:val="24"/>
                <w:szCs w:val="24"/>
                <w:lang w:val="en-US" w:eastAsia="zh-CN"/>
              </w:rPr>
            </w:pPr>
            <w:r>
              <w:rPr>
                <w:rFonts w:hint="eastAsia" w:ascii="仿宋" w:hAnsi="仿宋" w:eastAsia="仿宋"/>
                <w:bCs/>
                <w:sz w:val="24"/>
                <w:szCs w:val="24"/>
                <w:rtl w:val="0"/>
                <w:lang w:val="en-US" w:eastAsia="zh-CN"/>
              </w:rPr>
              <w:t>4）设备可进行常规的清洁和消毒。</w:t>
            </w:r>
          </w:p>
        </w:tc>
      </w:tr>
    </w:tbl>
    <w:p>
      <w:pPr>
        <w:widowControl/>
        <w:ind w:firstLine="770" w:firstLineChars="350"/>
        <w:jc w:val="left"/>
        <w:rPr>
          <w:rFonts w:ascii="仿宋" w:hAnsi="仿宋" w:eastAsia="仿宋"/>
          <w:bCs/>
          <w:sz w:val="22"/>
          <w:szCs w:val="21"/>
        </w:rPr>
      </w:pPr>
    </w:p>
    <w:p>
      <w:pPr>
        <w:widowControl/>
        <w:jc w:val="left"/>
        <w:rPr>
          <w:rFonts w:ascii="仿宋" w:hAnsi="仿宋" w:eastAsia="仿宋"/>
          <w:b/>
          <w:bCs/>
          <w:sz w:val="28"/>
          <w:szCs w:val="21"/>
        </w:rPr>
      </w:pPr>
      <w:r>
        <w:rPr>
          <w:rFonts w:hint="eastAsia" w:ascii="仿宋" w:hAnsi="仿宋" w:eastAsia="仿宋"/>
          <w:b/>
          <w:bCs/>
          <w:sz w:val="28"/>
          <w:szCs w:val="21"/>
        </w:rPr>
        <w:t>四、商务需求</w:t>
      </w:r>
    </w:p>
    <w:tbl>
      <w:tblPr>
        <w:tblStyle w:val="16"/>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9" w:type="dxa"/>
            <w:tcBorders>
              <w:bottom w:val="single" w:color="auto" w:sz="4" w:space="0"/>
            </w:tcBorders>
            <w:shd w:val="clear" w:color="auto" w:fill="C6D9F1"/>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1843" w:type="dxa"/>
            <w:tcBorders>
              <w:bottom w:val="single" w:color="auto" w:sz="4" w:space="0"/>
            </w:tcBorders>
            <w:shd w:val="clear" w:color="auto" w:fill="C6D9F1"/>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目录</w:t>
            </w:r>
          </w:p>
        </w:tc>
        <w:tc>
          <w:tcPr>
            <w:tcW w:w="7384" w:type="dxa"/>
            <w:tcBorders>
              <w:bottom w:val="single" w:color="auto" w:sz="4" w:space="0"/>
            </w:tcBorders>
            <w:shd w:val="clear" w:color="auto" w:fill="C6D9F1"/>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招商务要求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6" w:type="dxa"/>
            <w:gridSpan w:val="3"/>
            <w:shd w:val="clear" w:color="auto" w:fill="EEECE1" w:themeFill="background2"/>
            <w:noWrap w:val="0"/>
            <w:vAlign w:val="center"/>
          </w:tcPr>
          <w:p>
            <w:pPr>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843" w:type="dxa"/>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维修及维护服务</w:t>
            </w:r>
          </w:p>
        </w:tc>
        <w:tc>
          <w:tcPr>
            <w:tcW w:w="7384" w:type="dxa"/>
            <w:noWrap w:val="0"/>
            <w:vAlign w:val="center"/>
          </w:tcPr>
          <w:p>
            <w:pPr>
              <w:spacing w:line="360" w:lineRule="auto"/>
              <w:ind w:left="480" w:hanging="480" w:hangingChars="200"/>
              <w:rPr>
                <w:rFonts w:hint="eastAsia" w:ascii="仿宋" w:hAnsi="仿宋" w:eastAsia="仿宋" w:cs="仿宋"/>
                <w:b/>
                <w:color w:val="000000"/>
                <w:sz w:val="24"/>
                <w:szCs w:val="24"/>
              </w:rPr>
            </w:pPr>
            <w:r>
              <w:rPr>
                <w:rFonts w:hint="eastAsia" w:ascii="仿宋" w:hAnsi="仿宋" w:eastAsia="仿宋" w:cs="仿宋"/>
                <w:bCs/>
                <w:sz w:val="24"/>
                <w:szCs w:val="24"/>
                <w:highlight w:val="yellow"/>
              </w:rPr>
              <w:t>★</w:t>
            </w:r>
            <w:r>
              <w:rPr>
                <w:rFonts w:hint="eastAsia" w:ascii="仿宋" w:hAnsi="仿宋" w:eastAsia="仿宋" w:cs="仿宋"/>
                <w:b/>
                <w:color w:val="000000"/>
                <w:sz w:val="24"/>
                <w:szCs w:val="24"/>
                <w:highlight w:val="yellow"/>
              </w:rPr>
              <w:t>1）</w:t>
            </w:r>
            <w:r>
              <w:rPr>
                <w:rFonts w:hint="eastAsia" w:ascii="仿宋" w:hAnsi="仿宋" w:eastAsia="仿宋" w:cs="仿宋"/>
                <w:b/>
                <w:bCs/>
                <w:color w:val="000000"/>
                <w:sz w:val="24"/>
                <w:szCs w:val="24"/>
                <w:highlight w:val="yellow"/>
              </w:rPr>
              <w:t>整机免费保修期</w:t>
            </w:r>
            <w:r>
              <w:rPr>
                <w:rFonts w:hint="eastAsia" w:ascii="仿宋" w:hAnsi="仿宋" w:eastAsia="仿宋" w:cs="仿宋"/>
                <w:b/>
                <w:bCs/>
                <w:color w:val="000000"/>
                <w:sz w:val="24"/>
                <w:szCs w:val="24"/>
                <w:highlight w:val="yellow"/>
                <w:lang w:val="en-US" w:eastAsia="zh-CN"/>
              </w:rPr>
              <w:t>5</w:t>
            </w:r>
            <w:r>
              <w:rPr>
                <w:rFonts w:hint="eastAsia" w:ascii="仿宋" w:hAnsi="仿宋" w:eastAsia="仿宋" w:cs="仿宋"/>
                <w:b/>
                <w:bCs/>
                <w:color w:val="000000"/>
                <w:sz w:val="24"/>
                <w:szCs w:val="24"/>
                <w:highlight w:val="yellow"/>
              </w:rPr>
              <w:t>年</w:t>
            </w:r>
            <w:r>
              <w:rPr>
                <w:rFonts w:hint="eastAsia" w:ascii="仿宋" w:hAnsi="仿宋" w:eastAsia="仿宋" w:cs="仿宋"/>
                <w:b/>
                <w:bCs/>
                <w:color w:val="000000"/>
                <w:sz w:val="24"/>
                <w:szCs w:val="24"/>
                <w:highlight w:val="yellow"/>
                <w:lang w:eastAsia="zh-CN"/>
              </w:rPr>
              <w:t>，电池质保</w:t>
            </w:r>
            <w:r>
              <w:rPr>
                <w:rFonts w:hint="eastAsia" w:ascii="仿宋" w:hAnsi="仿宋" w:eastAsia="仿宋" w:cs="仿宋"/>
                <w:b/>
                <w:bCs/>
                <w:color w:val="000000"/>
                <w:sz w:val="24"/>
                <w:szCs w:val="24"/>
                <w:highlight w:val="yellow"/>
                <w:lang w:val="en-US" w:eastAsia="zh-CN"/>
              </w:rPr>
              <w:t>5年</w:t>
            </w:r>
            <w:r>
              <w:rPr>
                <w:rFonts w:hint="eastAsia" w:ascii="仿宋" w:hAnsi="仿宋" w:eastAsia="仿宋" w:cs="仿宋"/>
                <w:b/>
                <w:bCs/>
                <w:color w:val="000000"/>
                <w:sz w:val="24"/>
                <w:szCs w:val="24"/>
                <w:highlight w:val="yellow"/>
              </w:rPr>
              <w:t>，时间自交付使用之日起计算</w:t>
            </w:r>
            <w:r>
              <w:rPr>
                <w:rFonts w:hint="eastAsia" w:ascii="仿宋" w:hAnsi="仿宋" w:eastAsia="仿宋" w:cs="仿宋"/>
                <w:b/>
                <w:color w:val="000000"/>
                <w:sz w:val="24"/>
                <w:szCs w:val="24"/>
                <w:highlight w:val="yellow"/>
              </w:rPr>
              <w:t>。</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2）保修期内,年度定期预防性维护保养次数应不少于</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4</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rPr>
              <w:t>次。保修期内免费更换零配件、免工时费。</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3）由设备制造商提供售后服务，</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8</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rPr>
              <w:t>小时内响应，</w:t>
            </w:r>
            <w:r>
              <w:rPr>
                <w:rFonts w:hint="eastAsia" w:ascii="仿宋" w:hAnsi="仿宋" w:eastAsia="仿宋" w:cs="仿宋"/>
                <w:bCs/>
                <w:color w:val="000000"/>
                <w:sz w:val="24"/>
                <w:szCs w:val="24"/>
                <w:u w:val="single"/>
              </w:rPr>
              <w:t xml:space="preserve"> 24 </w:t>
            </w:r>
            <w:r>
              <w:rPr>
                <w:rFonts w:hint="eastAsia" w:ascii="仿宋" w:hAnsi="仿宋" w:eastAsia="仿宋" w:cs="仿宋"/>
                <w:color w:val="000000"/>
                <w:sz w:val="24"/>
                <w:szCs w:val="24"/>
              </w:rPr>
              <w:t>小时维修到位（不可抗力情况除外）。消耗品和零配件供应及时。</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4）投标人负责货物的终身维修，保证</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5</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rPr>
              <w:t>年以上供应维修配件，</w:t>
            </w:r>
            <w:r>
              <w:rPr>
                <w:rFonts w:hint="eastAsia" w:ascii="仿宋" w:hAnsi="仿宋" w:eastAsia="仿宋" w:cs="仿宋"/>
                <w:bCs/>
                <w:color w:val="000000"/>
                <w:sz w:val="24"/>
                <w:szCs w:val="24"/>
                <w:u w:val="single"/>
              </w:rPr>
              <w:t xml:space="preserve"> 5 </w:t>
            </w:r>
            <w:r>
              <w:rPr>
                <w:rFonts w:hint="eastAsia" w:ascii="仿宋" w:hAnsi="仿宋" w:eastAsia="仿宋" w:cs="仿宋"/>
                <w:color w:val="000000"/>
                <w:sz w:val="24"/>
                <w:szCs w:val="24"/>
              </w:rPr>
              <w:t>年内免费提供软件升级服务。</w:t>
            </w:r>
          </w:p>
          <w:p>
            <w:pPr>
              <w:spacing w:line="360" w:lineRule="auto"/>
              <w:ind w:left="420" w:hanging="482" w:hangingChars="200"/>
              <w:rPr>
                <w:rFonts w:hint="default" w:ascii="仿宋" w:hAnsi="仿宋" w:eastAsia="仿宋" w:cs="仿宋"/>
                <w:color w:val="000000"/>
                <w:sz w:val="24"/>
                <w:szCs w:val="24"/>
                <w:lang w:val="en-US" w:eastAsia="zh-CN"/>
              </w:rPr>
            </w:pPr>
            <w:r>
              <w:rPr>
                <w:rFonts w:hint="eastAsia" w:ascii="仿宋" w:hAnsi="仿宋" w:eastAsia="仿宋" w:cs="仿宋"/>
                <w:b/>
                <w:bCs w:val="0"/>
                <w:sz w:val="24"/>
                <w:szCs w:val="24"/>
                <w:highlight w:val="yellow"/>
              </w:rPr>
              <w:t>★</w:t>
            </w:r>
            <w:r>
              <w:rPr>
                <w:rFonts w:hint="eastAsia" w:ascii="仿宋" w:hAnsi="仿宋" w:eastAsia="仿宋" w:cs="仿宋"/>
                <w:b/>
                <w:bCs w:val="0"/>
                <w:color w:val="000000"/>
                <w:sz w:val="24"/>
                <w:szCs w:val="24"/>
                <w:highlight w:val="yellow"/>
                <w:lang w:val="en-US" w:eastAsia="zh-CN"/>
              </w:rPr>
              <w:t>5）投标人提供的仪器设备的生产日期需要在一年半内生产，设计使用年限必须≥5年。（特别提示：生产日期、设计使用年限达不到招标文件要求的，该投标文件初审不通过）。【设计年限需提供相关证明材料进行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bottom w:val="single" w:color="auto" w:sz="4" w:space="0"/>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843" w:type="dxa"/>
            <w:tcBorders>
              <w:bottom w:val="single" w:color="auto" w:sz="4" w:space="0"/>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质量保证</w:t>
            </w:r>
          </w:p>
        </w:tc>
        <w:tc>
          <w:tcPr>
            <w:tcW w:w="7384" w:type="dxa"/>
            <w:tcBorders>
              <w:bottom w:val="single" w:color="auto" w:sz="4" w:space="0"/>
            </w:tcBorders>
            <w:noWrap w:val="0"/>
            <w:vAlign w:val="center"/>
          </w:tcPr>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在保修期内, 投标人应确保年开机率在95%以上, 若不能达到此开机率，将作以下处理：</w:t>
            </w:r>
          </w:p>
          <w:p>
            <w:pPr>
              <w:spacing w:line="360" w:lineRule="auto"/>
              <w:ind w:left="420" w:left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A、年开机率在90-95%之间按一赔</w:t>
            </w:r>
            <w:r>
              <w:rPr>
                <w:rFonts w:hint="eastAsia" w:ascii="仿宋" w:hAnsi="仿宋" w:eastAsia="仿宋" w:cs="仿宋"/>
                <w:bCs/>
                <w:color w:val="000000"/>
                <w:sz w:val="24"/>
                <w:szCs w:val="24"/>
                <w:u w:val="single"/>
              </w:rPr>
              <w:t xml:space="preserve"> 二 </w:t>
            </w:r>
            <w:r>
              <w:rPr>
                <w:rFonts w:hint="eastAsia" w:ascii="仿宋" w:hAnsi="仿宋" w:eastAsia="仿宋" w:cs="仿宋"/>
                <w:bCs/>
                <w:color w:val="000000"/>
                <w:sz w:val="24"/>
                <w:szCs w:val="24"/>
              </w:rPr>
              <w:t>延长保修期.</w:t>
            </w:r>
          </w:p>
          <w:p>
            <w:pPr>
              <w:spacing w:line="360" w:lineRule="auto"/>
              <w:ind w:left="420" w:left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B、年开机率在85-90%之间按一赔</w:t>
            </w:r>
            <w:r>
              <w:rPr>
                <w:rFonts w:hint="eastAsia" w:ascii="仿宋" w:hAnsi="仿宋" w:eastAsia="仿宋" w:cs="仿宋"/>
                <w:bCs/>
                <w:color w:val="000000"/>
                <w:sz w:val="24"/>
                <w:szCs w:val="24"/>
                <w:u w:val="single"/>
              </w:rPr>
              <w:t xml:space="preserve"> 五 </w:t>
            </w:r>
            <w:r>
              <w:rPr>
                <w:rFonts w:hint="eastAsia" w:ascii="仿宋" w:hAnsi="仿宋" w:eastAsia="仿宋" w:cs="仿宋"/>
                <w:bCs/>
                <w:color w:val="000000"/>
                <w:sz w:val="24"/>
                <w:szCs w:val="24"/>
              </w:rPr>
              <w:t>延长保修期</w:t>
            </w:r>
          </w:p>
          <w:p>
            <w:pPr>
              <w:spacing w:line="360" w:lineRule="auto"/>
              <w:ind w:left="780" w:leftChars="200" w:hanging="360" w:hangingChars="150"/>
              <w:rPr>
                <w:rFonts w:hint="eastAsia" w:ascii="仿宋" w:hAnsi="仿宋" w:eastAsia="仿宋" w:cs="仿宋"/>
                <w:bCs/>
                <w:color w:val="000000"/>
                <w:sz w:val="24"/>
                <w:szCs w:val="24"/>
              </w:rPr>
            </w:pPr>
            <w:r>
              <w:rPr>
                <w:rFonts w:hint="eastAsia" w:ascii="仿宋" w:hAnsi="仿宋" w:eastAsia="仿宋" w:cs="仿宋"/>
                <w:bCs/>
                <w:color w:val="000000"/>
                <w:sz w:val="24"/>
                <w:szCs w:val="24"/>
              </w:rPr>
              <w:t>C、年开机率低于85%，投标人必须无条件更换新机，并重新计算保修期，以及赔偿用户的直接经济损失和间接经济损失。</w:t>
            </w:r>
          </w:p>
          <w:p>
            <w:pPr>
              <w:spacing w:line="360" w:lineRule="auto"/>
              <w:rPr>
                <w:rFonts w:hint="eastAsia" w:ascii="仿宋" w:hAnsi="仿宋" w:eastAsia="仿宋" w:cs="仿宋"/>
                <w:bCs/>
                <w:color w:val="000000"/>
                <w:sz w:val="24"/>
                <w:szCs w:val="24"/>
              </w:rPr>
            </w:pPr>
            <w:r>
              <w:rPr>
                <w:rFonts w:hint="eastAsia" w:ascii="仿宋" w:hAnsi="仿宋" w:eastAsia="仿宋" w:cs="仿宋"/>
                <w:b/>
                <w:bCs/>
                <w:color w:val="FF0000"/>
                <w:sz w:val="24"/>
                <w:szCs w:val="24"/>
              </w:rPr>
              <w:t>注：</w:t>
            </w:r>
            <w:r>
              <w:rPr>
                <w:rFonts w:hint="eastAsia" w:ascii="仿宋" w:hAnsi="仿宋" w:eastAsia="仿宋" w:cs="仿宋"/>
                <w:bCs/>
                <w:color w:val="000000"/>
                <w:sz w:val="24"/>
                <w:szCs w:val="24"/>
              </w:rPr>
              <w:t>年开机率（国家法定工作日）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6" w:type="dxa"/>
            <w:gridSpan w:val="3"/>
            <w:tcBorders>
              <w:bottom w:val="single" w:color="auto" w:sz="4" w:space="0"/>
            </w:tcBorders>
            <w:shd w:val="clear" w:color="auto" w:fill="EEECE1" w:themeFill="background2"/>
            <w:noWrap w:val="0"/>
            <w:vAlign w:val="center"/>
          </w:tcPr>
          <w:p>
            <w:pPr>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bottom w:val="single" w:color="auto" w:sz="4" w:space="0"/>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843" w:type="dxa"/>
            <w:tcBorders>
              <w:bottom w:val="single" w:color="auto" w:sz="4" w:space="0"/>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维修零配件、消耗品和延续保修合同的报价</w:t>
            </w:r>
          </w:p>
        </w:tc>
        <w:tc>
          <w:tcPr>
            <w:tcW w:w="7384" w:type="dxa"/>
            <w:tcBorders>
              <w:bottom w:val="single" w:color="auto" w:sz="4" w:space="0"/>
            </w:tcBorders>
            <w:noWrap w:val="0"/>
            <w:vAlign w:val="center"/>
          </w:tcPr>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1）由设备制造商提供售后服务，</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8</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小时内响应，</w:t>
            </w:r>
            <w:r>
              <w:rPr>
                <w:rFonts w:hint="eastAsia" w:ascii="仿宋" w:hAnsi="仿宋" w:eastAsia="仿宋" w:cs="仿宋"/>
                <w:bCs/>
                <w:color w:val="000000"/>
                <w:sz w:val="24"/>
                <w:szCs w:val="24"/>
                <w:u w:val="single"/>
              </w:rPr>
              <w:t xml:space="preserve"> 24 </w:t>
            </w:r>
            <w:r>
              <w:rPr>
                <w:rFonts w:hint="eastAsia" w:ascii="仿宋" w:hAnsi="仿宋" w:eastAsia="仿宋" w:cs="仿宋"/>
                <w:bCs/>
                <w:color w:val="000000"/>
                <w:sz w:val="24"/>
                <w:szCs w:val="24"/>
              </w:rPr>
              <w:t>小时维修到位（不可抗力情况除外）。消耗品和零配件供应及时。</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2）保修期满后，投标人应以优惠价供应维修零配件、消耗品和延续保修合同。价格最高的前</w:t>
            </w:r>
            <w:r>
              <w:rPr>
                <w:rFonts w:hint="eastAsia" w:ascii="仿宋" w:hAnsi="仿宋" w:eastAsia="仿宋" w:cs="仿宋"/>
                <w:bCs/>
                <w:color w:val="000000"/>
                <w:sz w:val="24"/>
                <w:szCs w:val="24"/>
                <w:u w:val="single"/>
              </w:rPr>
              <w:t xml:space="preserve"> 5</w:t>
            </w:r>
            <w:r>
              <w:rPr>
                <w:rFonts w:hint="eastAsia" w:ascii="仿宋" w:hAnsi="仿宋" w:eastAsia="仿宋" w:cs="仿宋"/>
                <w:bCs/>
                <w:color w:val="000000"/>
                <w:sz w:val="24"/>
                <w:szCs w:val="24"/>
              </w:rPr>
              <w:t>项零配件、消耗品和延续保修合同的报价明细必须填写于《零配件、消耗品和延续保修合同报价明清单》中。</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3）采购人可与投标人就优惠价进行谈判，但优惠价不得高于投标人在投标文件的《零配件、消耗品和延续保修合同报价明清单》中承诺的维修零配件、消耗品和延续保修合同的报价。</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4）设备制造商维修的货物经采购人验收合格，且设备制造商提供维修专用发票后，采购人支付维修费用。</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5）</w:t>
            </w:r>
            <w:r>
              <w:rPr>
                <w:rFonts w:hint="eastAsia" w:ascii="仿宋" w:hAnsi="仿宋" w:eastAsia="仿宋" w:cs="仿宋"/>
                <w:bCs/>
                <w:color w:val="000000"/>
                <w:sz w:val="24"/>
                <w:szCs w:val="24"/>
              </w:rPr>
              <w:t>设备制造商维修的货物经采购人验收合格，且设备制造商提供维修专用发票后，采购人支付维修费用。</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6</w:t>
            </w:r>
            <w:r>
              <w:rPr>
                <w:rFonts w:hint="eastAsia" w:ascii="仿宋" w:hAnsi="仿宋" w:eastAsia="仿宋" w:cs="仿宋"/>
                <w:bCs/>
                <w:color w:val="000000"/>
                <w:sz w:val="24"/>
                <w:szCs w:val="24"/>
              </w:rPr>
              <w:t>）投标人及设备制造商不得以任何理由不按时进行维修，不得要求采购人购买所谓“保修服务”（即：不论设备有无故障先买保修服务），不得在设备中嵌设任何不利于采购人使用与维修设备的障碍。</w:t>
            </w:r>
          </w:p>
          <w:p>
            <w:pPr>
              <w:spacing w:line="360" w:lineRule="auto"/>
              <w:ind w:left="420" w:hanging="482" w:hangingChars="200"/>
              <w:rPr>
                <w:rFonts w:hint="default" w:ascii="仿宋" w:hAnsi="仿宋" w:eastAsia="仿宋" w:cs="仿宋"/>
                <w:bCs/>
                <w:color w:val="000000"/>
                <w:sz w:val="24"/>
                <w:szCs w:val="24"/>
                <w:lang w:val="en-US" w:eastAsia="zh-CN"/>
              </w:rPr>
            </w:pPr>
            <w:r>
              <w:rPr>
                <w:rFonts w:hint="eastAsia" w:ascii="仿宋" w:hAnsi="仿宋" w:eastAsia="仿宋" w:cs="仿宋"/>
                <w:b/>
                <w:bCs w:val="0"/>
                <w:color w:val="000000"/>
                <w:sz w:val="24"/>
                <w:szCs w:val="24"/>
                <w:highlight w:val="yellow"/>
                <w:lang w:val="en-US" w:eastAsia="zh-CN"/>
              </w:rPr>
              <w:t>★7）仪器配套封闭试剂及耗材需在深圳市卫生耗材阳光采购平台上注册，并承诺提供深圳市内最低供货价。【提供深圳市卫生耗材阳光采购平台上注册证明和承诺函（格式自拟）】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6" w:type="dxa"/>
            <w:gridSpan w:val="3"/>
            <w:shd w:val="clear" w:color="auto" w:fill="EEECE1" w:themeFill="background2"/>
            <w:noWrap w:val="0"/>
            <w:vAlign w:val="center"/>
          </w:tcPr>
          <w:p>
            <w:pPr>
              <w:spacing w:line="360" w:lineRule="auto"/>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843" w:type="dxa"/>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关于交货</w:t>
            </w:r>
          </w:p>
        </w:tc>
        <w:tc>
          <w:tcPr>
            <w:tcW w:w="7384" w:type="dxa"/>
            <w:noWrap w:val="0"/>
            <w:vAlign w:val="center"/>
          </w:tcPr>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bCs/>
                <w:sz w:val="24"/>
                <w:szCs w:val="24"/>
                <w:highlight w:val="yellow"/>
              </w:rPr>
              <w:t>★</w:t>
            </w:r>
            <w:r>
              <w:rPr>
                <w:rFonts w:hint="eastAsia" w:ascii="仿宋" w:hAnsi="仿宋" w:eastAsia="仿宋" w:cs="仿宋"/>
                <w:color w:val="000000"/>
                <w:sz w:val="24"/>
                <w:szCs w:val="24"/>
                <w:highlight w:val="yellow"/>
              </w:rPr>
              <w:t>1）</w:t>
            </w:r>
            <w:r>
              <w:rPr>
                <w:rFonts w:hint="eastAsia" w:ascii="仿宋" w:hAnsi="仿宋" w:eastAsia="仿宋" w:cs="仿宋"/>
                <w:b/>
                <w:bCs/>
                <w:color w:val="000000"/>
                <w:sz w:val="24"/>
                <w:szCs w:val="24"/>
                <w:highlight w:val="yellow"/>
              </w:rPr>
              <w:t>签订合同之日起</w:t>
            </w:r>
            <w:r>
              <w:rPr>
                <w:rFonts w:hint="eastAsia" w:ascii="仿宋" w:hAnsi="仿宋" w:eastAsia="仿宋" w:cs="仿宋"/>
                <w:b/>
                <w:bCs/>
                <w:color w:val="000000"/>
                <w:sz w:val="24"/>
                <w:szCs w:val="24"/>
                <w:highlight w:val="yellow"/>
                <w:u w:val="single"/>
                <w:lang w:val="en-US" w:eastAsia="zh-CN"/>
              </w:rPr>
              <w:t xml:space="preserve"> </w:t>
            </w:r>
            <w:r>
              <w:rPr>
                <w:rFonts w:hint="eastAsia" w:ascii="仿宋" w:hAnsi="仿宋" w:eastAsia="仿宋" w:cs="仿宋"/>
                <w:b/>
                <w:bCs/>
                <w:color w:val="000000"/>
                <w:sz w:val="24"/>
                <w:szCs w:val="24"/>
                <w:highlight w:val="yellow"/>
                <w:u w:val="single"/>
              </w:rPr>
              <w:t>60</w:t>
            </w:r>
            <w:r>
              <w:rPr>
                <w:rFonts w:hint="eastAsia" w:ascii="仿宋" w:hAnsi="仿宋" w:eastAsia="仿宋" w:cs="仿宋"/>
                <w:b/>
                <w:bCs/>
                <w:color w:val="000000"/>
                <w:sz w:val="24"/>
                <w:szCs w:val="24"/>
                <w:highlight w:val="yellow"/>
                <w:u w:val="single"/>
                <w:lang w:val="en-US" w:eastAsia="zh-CN"/>
              </w:rPr>
              <w:t xml:space="preserve"> </w:t>
            </w:r>
            <w:r>
              <w:rPr>
                <w:rFonts w:hint="eastAsia" w:ascii="仿宋" w:hAnsi="仿宋" w:eastAsia="仿宋" w:cs="仿宋"/>
                <w:b/>
                <w:bCs/>
                <w:color w:val="000000"/>
                <w:sz w:val="24"/>
                <w:szCs w:val="24"/>
                <w:highlight w:val="yellow"/>
              </w:rPr>
              <w:t>日历日内交货</w:t>
            </w:r>
            <w:r>
              <w:rPr>
                <w:rFonts w:hint="eastAsia" w:ascii="仿宋" w:hAnsi="仿宋" w:eastAsia="仿宋" w:cs="仿宋"/>
                <w:color w:val="000000"/>
                <w:sz w:val="24"/>
                <w:szCs w:val="24"/>
              </w:rPr>
              <w:t>。</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bCs/>
                <w:color w:val="000000"/>
                <w:sz w:val="24"/>
                <w:szCs w:val="24"/>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hint="eastAsia" w:ascii="仿宋" w:hAnsi="仿宋" w:eastAsia="仿宋" w:cs="仿宋"/>
                <w:color w:val="000000"/>
                <w:sz w:val="24"/>
                <w:szCs w:val="24"/>
              </w:rPr>
              <w:t>。</w:t>
            </w:r>
          </w:p>
          <w:p>
            <w:pPr>
              <w:spacing w:line="360" w:lineRule="auto"/>
              <w:ind w:left="420" w:hanging="480" w:hanging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w:t>
            </w:r>
            <w:r>
              <w:rPr>
                <w:rFonts w:hint="eastAsia" w:ascii="仿宋" w:hAnsi="仿宋" w:eastAsia="仿宋" w:cs="仿宋"/>
                <w:bCs/>
                <w:color w:val="000000"/>
                <w:sz w:val="24"/>
                <w:szCs w:val="24"/>
              </w:rPr>
              <w:t>提供的货物必须为全新、经检验合格的产品。产品如需要计量检定的应提供相关计量检定部门出具的合法检定报告。其中，进口设备必须具有报关证明文件、原产地证明和商检证明文件</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843" w:type="dxa"/>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bCs/>
                <w:sz w:val="24"/>
                <w:szCs w:val="24"/>
              </w:rPr>
              <w:t>运输、安装和验收</w:t>
            </w:r>
          </w:p>
        </w:tc>
        <w:tc>
          <w:tcPr>
            <w:tcW w:w="7384" w:type="dxa"/>
            <w:noWrap w:val="0"/>
            <w:vAlign w:val="top"/>
          </w:tcPr>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bCs/>
                <w:color w:val="000000"/>
                <w:sz w:val="24"/>
                <w:szCs w:val="24"/>
              </w:rPr>
              <w:t>投标人负责将</w:t>
            </w:r>
            <w:r>
              <w:rPr>
                <w:rFonts w:hint="eastAsia" w:ascii="仿宋" w:hAnsi="仿宋" w:eastAsia="仿宋" w:cs="仿宋"/>
                <w:color w:val="000000"/>
                <w:sz w:val="24"/>
                <w:szCs w:val="24"/>
              </w:rPr>
              <w:t>货物</w:t>
            </w:r>
            <w:r>
              <w:rPr>
                <w:rFonts w:hint="eastAsia" w:ascii="仿宋" w:hAnsi="仿宋" w:eastAsia="仿宋" w:cs="仿宋"/>
                <w:bCs/>
                <w:color w:val="000000"/>
                <w:sz w:val="24"/>
                <w:szCs w:val="24"/>
              </w:rPr>
              <w:t>安全无损运抵采购人指定地点,并承担设备的包装、运输、保险、装卸、安装调试、培训、商检及计量检测、关税、增值税和进口代理等费用</w:t>
            </w:r>
            <w:r>
              <w:rPr>
                <w:rFonts w:hint="eastAsia" w:ascii="仿宋" w:hAnsi="仿宋" w:eastAsia="仿宋" w:cs="仿宋"/>
                <w:color w:val="000000"/>
                <w:sz w:val="24"/>
                <w:szCs w:val="24"/>
              </w:rPr>
              <w:t>。</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bCs/>
                <w:color w:val="000000"/>
                <w:sz w:val="24"/>
                <w:szCs w:val="24"/>
              </w:rPr>
              <w:t>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仿宋" w:hAnsi="仿宋" w:eastAsia="仿宋" w:cs="仿宋"/>
                <w:bCs/>
                <w:color w:val="000000"/>
                <w:sz w:val="24"/>
                <w:szCs w:val="24"/>
                <w:u w:val="single"/>
              </w:rPr>
              <w:t xml:space="preserve"> 7</w:t>
            </w:r>
            <w:r>
              <w:rPr>
                <w:rFonts w:hint="eastAsia" w:ascii="仿宋" w:hAnsi="仿宋" w:eastAsia="仿宋" w:cs="仿宋"/>
                <w:bCs/>
                <w:color w:val="000000"/>
                <w:sz w:val="24"/>
                <w:szCs w:val="24"/>
              </w:rPr>
              <w:t>天内采取补足、更换或退货等措施,以满足规格的要求，由此发生的一切损失和费用由投标人承担</w:t>
            </w:r>
            <w:r>
              <w:rPr>
                <w:rFonts w:hint="eastAsia" w:ascii="仿宋" w:hAnsi="仿宋" w:eastAsia="仿宋" w:cs="仿宋"/>
                <w:color w:val="000000"/>
                <w:sz w:val="24"/>
                <w:szCs w:val="24"/>
              </w:rPr>
              <w:t>。</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3）投标人负责货物的现场安装和调试,提供货物安装、调试和维修所需的专用工具和辅助材料。投标人应在货物运至指定地点后一周内开始安装调试,并在</w:t>
            </w:r>
            <w:r>
              <w:rPr>
                <w:rFonts w:hint="eastAsia" w:ascii="仿宋" w:hAnsi="仿宋" w:eastAsia="仿宋" w:cs="仿宋"/>
                <w:bCs/>
                <w:color w:val="000000"/>
                <w:sz w:val="24"/>
                <w:szCs w:val="24"/>
                <w:u w:val="single"/>
              </w:rPr>
              <w:t xml:space="preserve"> 5 </w:t>
            </w:r>
            <w:r>
              <w:rPr>
                <w:rFonts w:hint="eastAsia" w:ascii="仿宋" w:hAnsi="仿宋" w:eastAsia="仿宋" w:cs="仿宋"/>
                <w:color w:val="000000"/>
                <w:sz w:val="24"/>
                <w:szCs w:val="24"/>
              </w:rPr>
              <w:t>天内安装调试完毕。</w:t>
            </w:r>
          </w:p>
          <w:p>
            <w:pPr>
              <w:spacing w:line="360" w:lineRule="auto"/>
              <w:ind w:left="420" w:hanging="480" w:hangingChars="200"/>
              <w:rPr>
                <w:rFonts w:hint="eastAsia" w:ascii="仿宋" w:hAnsi="仿宋" w:eastAsia="仿宋" w:cs="仿宋"/>
                <w:b/>
                <w:color w:val="000000"/>
                <w:sz w:val="24"/>
                <w:szCs w:val="24"/>
              </w:rPr>
            </w:pPr>
            <w:r>
              <w:rPr>
                <w:rFonts w:hint="eastAsia" w:ascii="仿宋" w:hAnsi="仿宋" w:eastAsia="仿宋" w:cs="仿宋"/>
                <w:color w:val="000000"/>
                <w:sz w:val="24"/>
                <w:szCs w:val="24"/>
              </w:rPr>
              <w:t>4）由中标人代表和采购人组成验收小组对产品进行验收。验收标准按照国家规定标准执行。经检验设备正常运作后签署验收报告,产品保修期自验收合格之日起算。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843" w:type="dxa"/>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sz w:val="24"/>
                <w:szCs w:val="24"/>
              </w:rPr>
              <w:t>培训</w:t>
            </w:r>
          </w:p>
        </w:tc>
        <w:tc>
          <w:tcPr>
            <w:tcW w:w="7384" w:type="dxa"/>
            <w:noWrap w:val="0"/>
            <w:vAlign w:val="top"/>
          </w:tcPr>
          <w:p>
            <w:pPr>
              <w:spacing w:line="360" w:lineRule="auto"/>
              <w:rPr>
                <w:rFonts w:hint="eastAsia" w:ascii="仿宋" w:hAnsi="仿宋" w:eastAsia="仿宋" w:cs="仿宋"/>
                <w:b/>
                <w:color w:val="000000"/>
                <w:sz w:val="24"/>
                <w:szCs w:val="24"/>
              </w:rPr>
            </w:pPr>
            <w:r>
              <w:rPr>
                <w:rFonts w:hint="eastAsia" w:ascii="仿宋" w:hAnsi="仿宋" w:eastAsia="仿宋" w:cs="仿宋"/>
                <w:bCs/>
                <w:color w:val="000000"/>
                <w:sz w:val="24"/>
                <w:szCs w:val="24"/>
              </w:rPr>
              <w:t>中标人应派专业技术人员免费对采购单位指定人员进行定期培训及指导，直至其完全掌握设备的基本故障处理技术</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843"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知识产权</w:t>
            </w:r>
          </w:p>
        </w:tc>
        <w:tc>
          <w:tcPr>
            <w:tcW w:w="7384" w:type="dxa"/>
            <w:noWrap w:val="0"/>
            <w:vAlign w:val="top"/>
          </w:tcPr>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1）投标人应保证采购人在使用该货物或其任何一部分时，免受第三方提出的侵犯其专利权、商标权、著作权或其它知识产权的起诉。投标人保证所提供软件的合法性，所发生的任何知识产权纠纷与采购人无关。</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bCs/>
                <w:color w:val="000000"/>
                <w:sz w:val="24"/>
                <w:szCs w:val="24"/>
              </w:rPr>
              <w:t>2）采购人购买产品后，有权对该产品与其他设备进行配套、整合或适当改进，而免受侵犯专利权的起诉。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843"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7384" w:type="dxa"/>
            <w:noWrap w:val="0"/>
            <w:vAlign w:val="top"/>
          </w:tcPr>
          <w:p>
            <w:pPr>
              <w:spacing w:line="360" w:lineRule="auto"/>
              <w:ind w:left="516" w:hanging="516" w:hangingChars="215"/>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1）采购人购买产品后，有权对该产品与其他设备进行配套、整合或适当改进，而免受侵犯专利权的起诉。</w:t>
            </w:r>
          </w:p>
          <w:p>
            <w:pPr>
              <w:spacing w:line="360" w:lineRule="auto"/>
              <w:ind w:left="516" w:hanging="516" w:hangingChars="215"/>
              <w:rPr>
                <w:rFonts w:hint="eastAsia" w:ascii="仿宋" w:hAnsi="仿宋" w:eastAsia="仿宋" w:cs="仿宋"/>
                <w:bCs/>
                <w:color w:val="000000"/>
                <w:sz w:val="24"/>
                <w:szCs w:val="24"/>
              </w:rPr>
            </w:pPr>
            <w:r>
              <w:rPr>
                <w:rFonts w:hint="eastAsia" w:ascii="仿宋" w:hAnsi="仿宋" w:eastAsia="仿宋" w:cs="仿宋"/>
                <w:color w:val="000000"/>
                <w:sz w:val="24"/>
                <w:szCs w:val="24"/>
                <w:highlight w:val="none"/>
                <w:lang w:val="en-US" w:eastAsia="zh-CN"/>
              </w:rPr>
              <w:t>2）合同签订后三日内，乙方需支付合同总金额的5%作为履约保证金到甲方指定账户；货到指定地点、验收合格并提供全额发票办理入库之日起三个月内，甲方向乙方支付全款；乙方履行完毕本合同全部义务后，乙方需向甲方申请退回该履约保证金，甲方收到申请后，90日内无息返还乙方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843"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违约责任</w:t>
            </w:r>
          </w:p>
        </w:tc>
        <w:tc>
          <w:tcPr>
            <w:tcW w:w="7384" w:type="dxa"/>
            <w:noWrap w:val="0"/>
            <w:vAlign w:val="top"/>
          </w:tcPr>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1）如中标人未按照投标文件中承诺的时间交货或提供服务，中标人应承担延期交货和延期服务的违约责任，并赔偿采购人因此造成的实际经济损失。实际经济损失超出履约保证金额，采购人有权终止合同。</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2）中标人所交设备的品种、型号、规格、质量、功能、技术参数等方面不能实质性满足招标文件要约的，采购人有权拒绝收货，中标人向采购人偿付项目采购金额千分之</w:t>
            </w:r>
            <w:r>
              <w:rPr>
                <w:rFonts w:hint="eastAsia" w:ascii="仿宋" w:hAnsi="仿宋" w:eastAsia="仿宋" w:cs="仿宋"/>
                <w:bCs/>
                <w:color w:val="000000"/>
                <w:sz w:val="24"/>
                <w:szCs w:val="24"/>
                <w:u w:val="single"/>
              </w:rPr>
              <w:t xml:space="preserve"> 10 </w:t>
            </w:r>
            <w:r>
              <w:rPr>
                <w:rFonts w:hint="eastAsia" w:ascii="仿宋" w:hAnsi="仿宋" w:eastAsia="仿宋" w:cs="仿宋"/>
                <w:bCs/>
                <w:color w:val="000000"/>
                <w:sz w:val="24"/>
                <w:szCs w:val="24"/>
              </w:rPr>
              <w:t>的违约金；造成严重后果的，根据《深圳经济特区政府采购条例》第五十七条第（二）款规定，由主管部门对中标人进行处罚。</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3）投标人不能交付设备的，投标人向采购人偿付项目采购金额百分之</w:t>
            </w:r>
            <w:r>
              <w:rPr>
                <w:rFonts w:hint="eastAsia" w:ascii="仿宋" w:hAnsi="仿宋" w:eastAsia="仿宋" w:cs="仿宋"/>
                <w:bCs/>
                <w:color w:val="000000"/>
                <w:sz w:val="24"/>
                <w:szCs w:val="24"/>
                <w:u w:val="single"/>
              </w:rPr>
              <w:t xml:space="preserve"> 十 </w:t>
            </w:r>
            <w:r>
              <w:rPr>
                <w:rFonts w:hint="eastAsia" w:ascii="仿宋" w:hAnsi="仿宋" w:eastAsia="仿宋" w:cs="仿宋"/>
                <w:bCs/>
                <w:color w:val="000000"/>
                <w:sz w:val="24"/>
                <w:szCs w:val="24"/>
              </w:rPr>
              <w:t>的违约金；造成严重后果的，根据《深圳经济特区政府采购条例》第五十七条第（二）款规定，由主管部门对中标人进行处罚。</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4）中标人逾期未交设备的，中标人向采购人每日偿付设备款千分之</w:t>
            </w:r>
            <w:r>
              <w:rPr>
                <w:rFonts w:hint="eastAsia" w:ascii="仿宋" w:hAnsi="仿宋" w:eastAsia="仿宋" w:cs="仿宋"/>
                <w:bCs/>
                <w:color w:val="000000"/>
                <w:sz w:val="24"/>
                <w:szCs w:val="24"/>
                <w:u w:val="single"/>
              </w:rPr>
              <w:t xml:space="preserve">  1 </w:t>
            </w:r>
            <w:r>
              <w:rPr>
                <w:rFonts w:hint="eastAsia" w:ascii="仿宋" w:hAnsi="仿宋" w:eastAsia="仿宋" w:cs="仿宋"/>
                <w:bCs/>
                <w:color w:val="000000"/>
                <w:sz w:val="24"/>
                <w:szCs w:val="24"/>
              </w:rPr>
              <w:t>的违约金。中标人超过交货期限</w:t>
            </w:r>
            <w:r>
              <w:rPr>
                <w:rFonts w:hint="eastAsia" w:ascii="仿宋" w:hAnsi="仿宋" w:eastAsia="仿宋" w:cs="仿宋"/>
                <w:bCs/>
                <w:color w:val="000000"/>
                <w:sz w:val="24"/>
                <w:szCs w:val="24"/>
                <w:u w:val="single"/>
              </w:rPr>
              <w:t xml:space="preserve"> 10 </w:t>
            </w:r>
            <w:r>
              <w:rPr>
                <w:rFonts w:hint="eastAsia" w:ascii="仿宋" w:hAnsi="仿宋" w:eastAsia="仿宋" w:cs="仿宋"/>
                <w:bCs/>
                <w:color w:val="000000"/>
                <w:sz w:val="24"/>
                <w:szCs w:val="24"/>
              </w:rPr>
              <w:t>日仍未交货，采购人有权解除合同。</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5）违约金先从由中标人履约保证金中扣除，若有不足部分则由中标人补齐。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843"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其他</w:t>
            </w:r>
          </w:p>
        </w:tc>
        <w:tc>
          <w:tcPr>
            <w:tcW w:w="7384" w:type="dxa"/>
            <w:noWrap w:val="0"/>
            <w:vAlign w:val="top"/>
          </w:tcPr>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1843"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项目（产品）要求</w:t>
            </w:r>
          </w:p>
        </w:tc>
        <w:tc>
          <w:tcPr>
            <w:tcW w:w="7384" w:type="dxa"/>
            <w:noWrap w:val="0"/>
            <w:vAlign w:val="top"/>
          </w:tcPr>
          <w:p>
            <w:pPr>
              <w:spacing w:line="360" w:lineRule="auto"/>
              <w:ind w:left="420" w:hanging="482" w:hangingChars="200"/>
              <w:rPr>
                <w:rFonts w:hint="eastAsia" w:ascii="仿宋" w:hAnsi="仿宋" w:eastAsia="仿宋" w:cs="仿宋"/>
                <w:b/>
                <w:bCs w:val="0"/>
                <w:color w:val="000000"/>
                <w:sz w:val="24"/>
                <w:szCs w:val="24"/>
                <w:highlight w:val="yellow"/>
              </w:rPr>
            </w:pPr>
            <w:r>
              <w:rPr>
                <w:rFonts w:hint="eastAsia" w:ascii="仿宋" w:hAnsi="仿宋" w:eastAsia="仿宋" w:cs="仿宋"/>
                <w:b/>
                <w:bCs w:val="0"/>
                <w:color w:val="000000"/>
                <w:sz w:val="24"/>
                <w:szCs w:val="24"/>
                <w:highlight w:val="yellow"/>
              </w:rPr>
              <w:t>★8.1投标人所投产品具备相关主管部门要求的认证资料：所投产品为第一类医疗器械的，提供监督管理部门签发的有效的《医疗器械备案凭证》扫描件，原件备查；所投产品为第二、三类医疗器械的，提供监督管理部门签发的涵盖所投产品的《医疗器械注册证》(有效期内)扫描件</w:t>
            </w:r>
            <w:r>
              <w:rPr>
                <w:rFonts w:hint="eastAsia" w:ascii="仿宋" w:hAnsi="仿宋" w:eastAsia="仿宋" w:cs="仿宋"/>
                <w:b/>
                <w:bCs w:val="0"/>
                <w:color w:val="000000"/>
                <w:sz w:val="24"/>
                <w:szCs w:val="24"/>
                <w:highlight w:val="yellow"/>
                <w:lang w:val="en-US" w:eastAsia="zh-CN"/>
              </w:rPr>
              <w:t>并加盖投标人公章</w:t>
            </w:r>
            <w:r>
              <w:rPr>
                <w:rFonts w:hint="eastAsia" w:ascii="仿宋" w:hAnsi="仿宋" w:eastAsia="仿宋" w:cs="仿宋"/>
                <w:b/>
                <w:bCs w:val="0"/>
                <w:color w:val="000000"/>
                <w:sz w:val="24"/>
                <w:szCs w:val="24"/>
                <w:highlight w:val="yellow"/>
              </w:rPr>
              <w:t>，原件备查。</w:t>
            </w:r>
          </w:p>
          <w:p>
            <w:pPr>
              <w:spacing w:line="360" w:lineRule="auto"/>
              <w:ind w:left="420" w:hanging="482" w:hangingChars="200"/>
              <w:rPr>
                <w:rFonts w:hint="eastAsia" w:ascii="仿宋" w:hAnsi="仿宋" w:eastAsia="仿宋" w:cs="仿宋"/>
                <w:bCs/>
                <w:color w:val="000000"/>
                <w:sz w:val="24"/>
                <w:szCs w:val="24"/>
              </w:rPr>
            </w:pPr>
            <w:r>
              <w:rPr>
                <w:rFonts w:hint="eastAsia" w:ascii="仿宋" w:hAnsi="仿宋" w:eastAsia="仿宋" w:cs="仿宋"/>
                <w:b/>
                <w:bCs w:val="0"/>
                <w:color w:val="000000"/>
                <w:sz w:val="24"/>
                <w:szCs w:val="24"/>
                <w:highlight w:val="yellow"/>
              </w:rPr>
              <w:t>★8.2若所投产品为进口，则投标人必须提供由设备制造商或授权的中国总代理签署的合法有效的保修、维修承诺函（免费保修期满足招标文件要求）扫描件</w:t>
            </w:r>
            <w:r>
              <w:rPr>
                <w:rFonts w:hint="eastAsia" w:ascii="仿宋" w:hAnsi="仿宋" w:eastAsia="仿宋" w:cs="仿宋"/>
                <w:b/>
                <w:bCs w:val="0"/>
                <w:color w:val="000000"/>
                <w:sz w:val="24"/>
                <w:szCs w:val="24"/>
                <w:highlight w:val="yellow"/>
                <w:lang w:val="en-US" w:eastAsia="zh-CN"/>
              </w:rPr>
              <w:t>并加盖投标人公章</w:t>
            </w:r>
            <w:r>
              <w:rPr>
                <w:rFonts w:hint="eastAsia" w:ascii="仿宋" w:hAnsi="仿宋" w:eastAsia="仿宋" w:cs="仿宋"/>
                <w:b/>
                <w:bCs w:val="0"/>
                <w:color w:val="000000"/>
                <w:sz w:val="24"/>
                <w:szCs w:val="24"/>
                <w:highlight w:val="yellow"/>
              </w:rPr>
              <w:t>，原件备查；若所投产品为国产产品，则无需提供。</w:t>
            </w:r>
          </w:p>
        </w:tc>
      </w:tr>
    </w:tbl>
    <w:p/>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pPr>
          <w:pStyle w:val="1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pPr>
          <w:pStyle w:val="12"/>
          <w:jc w:val="center"/>
        </w:pP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50" w:firstLineChars="250"/>
      <w:jc w:val="left"/>
      <w:rPr>
        <w:rFonts w:hint="default" w:eastAsia="宋体"/>
        <w:lang w:val="en-US" w:eastAsia="zh-CN"/>
      </w:rPr>
    </w:pPr>
    <w:r>
      <w:rPr>
        <w:rFonts w:hint="eastAsia"/>
      </w:rPr>
      <w:t>项目名称：</w:t>
    </w:r>
    <w:r>
      <w:rPr>
        <w:rFonts w:hint="eastAsia" w:ascii="宋体" w:hAnsi="宋体"/>
        <w:b w:val="0"/>
        <w:bCs w:val="0"/>
        <w:lang w:eastAsia="zh-CN"/>
      </w:rPr>
      <w:t>射频控温热凝器采购项目</w:t>
    </w:r>
    <w:r>
      <w:rPr>
        <w:rFonts w:hint="eastAsia"/>
      </w:rPr>
      <w:t xml:space="preserve">  </w:t>
    </w:r>
    <w:r>
      <w:rPr>
        <w:rFonts w:hint="eastAsia"/>
        <w:lang w:val="en-US" w:eastAsia="zh-CN"/>
      </w:rPr>
      <w:t xml:space="preserve">        </w:t>
    </w:r>
    <w:r>
      <w:rPr>
        <w:rFonts w:hint="eastAsia"/>
      </w:rPr>
      <w:t xml:space="preserve">    项目编号：</w:t>
    </w:r>
    <w:r>
      <w:t>SZZZ202</w:t>
    </w:r>
    <w:r>
      <w:rPr>
        <w:rFonts w:hint="eastAsia"/>
        <w:lang w:val="en-US" w:eastAsia="zh-CN"/>
      </w:rPr>
      <w:t>2</w:t>
    </w:r>
    <w:r>
      <w:t>-</w:t>
    </w:r>
    <w:r>
      <w:rPr>
        <w:rFonts w:hint="eastAsia"/>
        <w:lang w:eastAsia="zh-CN"/>
      </w:rPr>
      <w:t>QA0</w:t>
    </w:r>
    <w:r>
      <w:rPr>
        <w:rFonts w:hint="eastAsia"/>
        <w:lang w:val="en-US" w:eastAsia="zh-CN"/>
      </w:rPr>
      <w:t>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4345"/>
    <w:rsid w:val="00094CF9"/>
    <w:rsid w:val="000A02CF"/>
    <w:rsid w:val="000A103E"/>
    <w:rsid w:val="000A2045"/>
    <w:rsid w:val="000B12D8"/>
    <w:rsid w:val="000B3159"/>
    <w:rsid w:val="000B44BC"/>
    <w:rsid w:val="000B7A52"/>
    <w:rsid w:val="000C05F3"/>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652F"/>
    <w:rsid w:val="0016076C"/>
    <w:rsid w:val="001618C7"/>
    <w:rsid w:val="00165708"/>
    <w:rsid w:val="00166E7A"/>
    <w:rsid w:val="001713CD"/>
    <w:rsid w:val="00174A8D"/>
    <w:rsid w:val="00176A0E"/>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2A6E"/>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78BC"/>
    <w:rsid w:val="008A00DE"/>
    <w:rsid w:val="008A1135"/>
    <w:rsid w:val="008A5579"/>
    <w:rsid w:val="008B23ED"/>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23D3"/>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4096"/>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0A9C"/>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5517"/>
    <w:rsid w:val="00EB632A"/>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16D0AE4"/>
    <w:rsid w:val="0173558A"/>
    <w:rsid w:val="018B513A"/>
    <w:rsid w:val="01C55CBC"/>
    <w:rsid w:val="02021905"/>
    <w:rsid w:val="020C2A3C"/>
    <w:rsid w:val="02347182"/>
    <w:rsid w:val="0256505D"/>
    <w:rsid w:val="02840791"/>
    <w:rsid w:val="02873BB9"/>
    <w:rsid w:val="02C35A8C"/>
    <w:rsid w:val="02F32FFC"/>
    <w:rsid w:val="02F33C8E"/>
    <w:rsid w:val="02F4124E"/>
    <w:rsid w:val="0312709C"/>
    <w:rsid w:val="032D650E"/>
    <w:rsid w:val="03315E11"/>
    <w:rsid w:val="03483348"/>
    <w:rsid w:val="035319A4"/>
    <w:rsid w:val="0363259C"/>
    <w:rsid w:val="03646924"/>
    <w:rsid w:val="03A13EF0"/>
    <w:rsid w:val="03E80C4F"/>
    <w:rsid w:val="03FC0559"/>
    <w:rsid w:val="03FC5AE5"/>
    <w:rsid w:val="04447FB3"/>
    <w:rsid w:val="045E7583"/>
    <w:rsid w:val="04722D72"/>
    <w:rsid w:val="047D4AC7"/>
    <w:rsid w:val="04EB042F"/>
    <w:rsid w:val="053A3164"/>
    <w:rsid w:val="054D2B00"/>
    <w:rsid w:val="0596101C"/>
    <w:rsid w:val="061614DB"/>
    <w:rsid w:val="063D115E"/>
    <w:rsid w:val="063E2346"/>
    <w:rsid w:val="066F0F41"/>
    <w:rsid w:val="06741ABD"/>
    <w:rsid w:val="068C79F0"/>
    <w:rsid w:val="069570A1"/>
    <w:rsid w:val="06B11E4C"/>
    <w:rsid w:val="06C158EB"/>
    <w:rsid w:val="06CC1C4B"/>
    <w:rsid w:val="06F32700"/>
    <w:rsid w:val="06F832D7"/>
    <w:rsid w:val="077A3CEC"/>
    <w:rsid w:val="07B0770E"/>
    <w:rsid w:val="07D27EA8"/>
    <w:rsid w:val="08363DD4"/>
    <w:rsid w:val="085812C8"/>
    <w:rsid w:val="08622C24"/>
    <w:rsid w:val="08653728"/>
    <w:rsid w:val="08BF40AC"/>
    <w:rsid w:val="090C4E18"/>
    <w:rsid w:val="098470A4"/>
    <w:rsid w:val="09B43E53"/>
    <w:rsid w:val="0A2006DF"/>
    <w:rsid w:val="0A3D734D"/>
    <w:rsid w:val="0A4831D0"/>
    <w:rsid w:val="0A483924"/>
    <w:rsid w:val="0B071D3B"/>
    <w:rsid w:val="0B267E65"/>
    <w:rsid w:val="0B435506"/>
    <w:rsid w:val="0B4D6655"/>
    <w:rsid w:val="0B500328"/>
    <w:rsid w:val="0B5218A1"/>
    <w:rsid w:val="0B5E2329"/>
    <w:rsid w:val="0BDA5E91"/>
    <w:rsid w:val="0C01398D"/>
    <w:rsid w:val="0C4C7929"/>
    <w:rsid w:val="0C853010"/>
    <w:rsid w:val="0CAF6800"/>
    <w:rsid w:val="0D3606B5"/>
    <w:rsid w:val="0D426F90"/>
    <w:rsid w:val="0D5A6454"/>
    <w:rsid w:val="0D5D20E6"/>
    <w:rsid w:val="0D8C3BEB"/>
    <w:rsid w:val="0DB8556E"/>
    <w:rsid w:val="0E124C7E"/>
    <w:rsid w:val="0E1518A1"/>
    <w:rsid w:val="0E1B3AE0"/>
    <w:rsid w:val="0E285C93"/>
    <w:rsid w:val="0E2F5830"/>
    <w:rsid w:val="0E3C5C14"/>
    <w:rsid w:val="0E7E2229"/>
    <w:rsid w:val="0F622805"/>
    <w:rsid w:val="0F987405"/>
    <w:rsid w:val="0FDC42A7"/>
    <w:rsid w:val="10367123"/>
    <w:rsid w:val="10417984"/>
    <w:rsid w:val="10895666"/>
    <w:rsid w:val="1090553E"/>
    <w:rsid w:val="10AF63B7"/>
    <w:rsid w:val="10E02E12"/>
    <w:rsid w:val="118F7CFF"/>
    <w:rsid w:val="1197619F"/>
    <w:rsid w:val="11FF19BD"/>
    <w:rsid w:val="12426DD2"/>
    <w:rsid w:val="12A70E1F"/>
    <w:rsid w:val="12AF0CEE"/>
    <w:rsid w:val="12B72FCD"/>
    <w:rsid w:val="12D524C3"/>
    <w:rsid w:val="12D6271E"/>
    <w:rsid w:val="130518A2"/>
    <w:rsid w:val="130D6092"/>
    <w:rsid w:val="133A0200"/>
    <w:rsid w:val="135950FD"/>
    <w:rsid w:val="136B50CE"/>
    <w:rsid w:val="137E6912"/>
    <w:rsid w:val="13842C16"/>
    <w:rsid w:val="13B660AC"/>
    <w:rsid w:val="13B758FF"/>
    <w:rsid w:val="13C5743C"/>
    <w:rsid w:val="13D029CA"/>
    <w:rsid w:val="14725BD8"/>
    <w:rsid w:val="14A423A8"/>
    <w:rsid w:val="14E32A08"/>
    <w:rsid w:val="14E62BA3"/>
    <w:rsid w:val="15151870"/>
    <w:rsid w:val="1517224A"/>
    <w:rsid w:val="157D01C2"/>
    <w:rsid w:val="159B7C4F"/>
    <w:rsid w:val="15B57EA4"/>
    <w:rsid w:val="15C947BC"/>
    <w:rsid w:val="15E74C42"/>
    <w:rsid w:val="165226A8"/>
    <w:rsid w:val="165A2530"/>
    <w:rsid w:val="16AD5139"/>
    <w:rsid w:val="17083EDC"/>
    <w:rsid w:val="17147CB9"/>
    <w:rsid w:val="17233A58"/>
    <w:rsid w:val="174C4B7F"/>
    <w:rsid w:val="177158A7"/>
    <w:rsid w:val="17E42C71"/>
    <w:rsid w:val="18043C32"/>
    <w:rsid w:val="180B4D7E"/>
    <w:rsid w:val="180E3144"/>
    <w:rsid w:val="181007CF"/>
    <w:rsid w:val="182857AC"/>
    <w:rsid w:val="184A1286"/>
    <w:rsid w:val="18904AED"/>
    <w:rsid w:val="18A06742"/>
    <w:rsid w:val="1929079B"/>
    <w:rsid w:val="19314B52"/>
    <w:rsid w:val="193843DE"/>
    <w:rsid w:val="19483C4A"/>
    <w:rsid w:val="19595E57"/>
    <w:rsid w:val="196533B7"/>
    <w:rsid w:val="197C1A0D"/>
    <w:rsid w:val="19B47531"/>
    <w:rsid w:val="19EF2318"/>
    <w:rsid w:val="19FB70C4"/>
    <w:rsid w:val="1A4D0B70"/>
    <w:rsid w:val="1A6D0A09"/>
    <w:rsid w:val="1A6D6BAE"/>
    <w:rsid w:val="1A7840BB"/>
    <w:rsid w:val="1A7F6325"/>
    <w:rsid w:val="1A895970"/>
    <w:rsid w:val="1A8D4D62"/>
    <w:rsid w:val="1AC467AA"/>
    <w:rsid w:val="1B787B31"/>
    <w:rsid w:val="1BD21EF1"/>
    <w:rsid w:val="1C1C260C"/>
    <w:rsid w:val="1C3D60E3"/>
    <w:rsid w:val="1C7238D5"/>
    <w:rsid w:val="1C840525"/>
    <w:rsid w:val="1C84143D"/>
    <w:rsid w:val="1C8B701C"/>
    <w:rsid w:val="1C977472"/>
    <w:rsid w:val="1CF163A7"/>
    <w:rsid w:val="1D1A3062"/>
    <w:rsid w:val="1D23178A"/>
    <w:rsid w:val="1D3C5EE1"/>
    <w:rsid w:val="1D4666A1"/>
    <w:rsid w:val="1D473226"/>
    <w:rsid w:val="1D4A4435"/>
    <w:rsid w:val="1D546098"/>
    <w:rsid w:val="1E635786"/>
    <w:rsid w:val="1E9E7418"/>
    <w:rsid w:val="1EC52E72"/>
    <w:rsid w:val="1EC91BF5"/>
    <w:rsid w:val="1EF831D2"/>
    <w:rsid w:val="1F562B02"/>
    <w:rsid w:val="1FDA25D0"/>
    <w:rsid w:val="1FE049EE"/>
    <w:rsid w:val="20194A40"/>
    <w:rsid w:val="203B529E"/>
    <w:rsid w:val="204469BC"/>
    <w:rsid w:val="20524E44"/>
    <w:rsid w:val="20844494"/>
    <w:rsid w:val="20863AF3"/>
    <w:rsid w:val="209B2E36"/>
    <w:rsid w:val="20D61200"/>
    <w:rsid w:val="210E7527"/>
    <w:rsid w:val="2146615C"/>
    <w:rsid w:val="21587A1D"/>
    <w:rsid w:val="21651998"/>
    <w:rsid w:val="221A39C9"/>
    <w:rsid w:val="22271A7E"/>
    <w:rsid w:val="22334F35"/>
    <w:rsid w:val="22551AD5"/>
    <w:rsid w:val="226371B8"/>
    <w:rsid w:val="226C59F0"/>
    <w:rsid w:val="22D24D60"/>
    <w:rsid w:val="23060D8C"/>
    <w:rsid w:val="234611FA"/>
    <w:rsid w:val="23485551"/>
    <w:rsid w:val="237467A2"/>
    <w:rsid w:val="239A18B2"/>
    <w:rsid w:val="23CD7DA1"/>
    <w:rsid w:val="23FA5FEA"/>
    <w:rsid w:val="241C7A13"/>
    <w:rsid w:val="244D65B8"/>
    <w:rsid w:val="248E2DE1"/>
    <w:rsid w:val="249809B4"/>
    <w:rsid w:val="24CA4117"/>
    <w:rsid w:val="24D64A43"/>
    <w:rsid w:val="24FD50EE"/>
    <w:rsid w:val="25347747"/>
    <w:rsid w:val="25697422"/>
    <w:rsid w:val="256A4E4D"/>
    <w:rsid w:val="25875AFA"/>
    <w:rsid w:val="25897AC4"/>
    <w:rsid w:val="259E376E"/>
    <w:rsid w:val="25DD571A"/>
    <w:rsid w:val="25F74A2E"/>
    <w:rsid w:val="262E0970"/>
    <w:rsid w:val="26483950"/>
    <w:rsid w:val="268F2EB8"/>
    <w:rsid w:val="26B01932"/>
    <w:rsid w:val="26D27C2D"/>
    <w:rsid w:val="27280C17"/>
    <w:rsid w:val="273864DE"/>
    <w:rsid w:val="275D4D64"/>
    <w:rsid w:val="276E51C4"/>
    <w:rsid w:val="276F7EC0"/>
    <w:rsid w:val="27C13000"/>
    <w:rsid w:val="2849353B"/>
    <w:rsid w:val="28642907"/>
    <w:rsid w:val="286940D9"/>
    <w:rsid w:val="286D5F65"/>
    <w:rsid w:val="28997FF9"/>
    <w:rsid w:val="28ED2118"/>
    <w:rsid w:val="290D7B43"/>
    <w:rsid w:val="29A0418A"/>
    <w:rsid w:val="29E33C4B"/>
    <w:rsid w:val="29F30D4C"/>
    <w:rsid w:val="2A261D85"/>
    <w:rsid w:val="2A344CC5"/>
    <w:rsid w:val="2AA0533E"/>
    <w:rsid w:val="2B51698E"/>
    <w:rsid w:val="2B6761B2"/>
    <w:rsid w:val="2BC21530"/>
    <w:rsid w:val="2BDC1AD4"/>
    <w:rsid w:val="2C062A3B"/>
    <w:rsid w:val="2CBA2FB1"/>
    <w:rsid w:val="2D030DB2"/>
    <w:rsid w:val="2D3F4D6F"/>
    <w:rsid w:val="2D6A1F89"/>
    <w:rsid w:val="2DD1218E"/>
    <w:rsid w:val="2DF53F49"/>
    <w:rsid w:val="2E1343CF"/>
    <w:rsid w:val="2E1819E5"/>
    <w:rsid w:val="2E2B2D7C"/>
    <w:rsid w:val="2EA01DE3"/>
    <w:rsid w:val="2EA663FE"/>
    <w:rsid w:val="2EB24CE0"/>
    <w:rsid w:val="2EC7265D"/>
    <w:rsid w:val="2EF27956"/>
    <w:rsid w:val="2F0F4239"/>
    <w:rsid w:val="2FA920B8"/>
    <w:rsid w:val="2FC418D8"/>
    <w:rsid w:val="2FE52A7E"/>
    <w:rsid w:val="300E7950"/>
    <w:rsid w:val="304C61CA"/>
    <w:rsid w:val="307329D5"/>
    <w:rsid w:val="307C4E72"/>
    <w:rsid w:val="30A74C5B"/>
    <w:rsid w:val="30B01B4A"/>
    <w:rsid w:val="30D20571"/>
    <w:rsid w:val="310F3573"/>
    <w:rsid w:val="317821EF"/>
    <w:rsid w:val="31E4090D"/>
    <w:rsid w:val="31FD161E"/>
    <w:rsid w:val="32153857"/>
    <w:rsid w:val="32794A1C"/>
    <w:rsid w:val="328775B4"/>
    <w:rsid w:val="330723DC"/>
    <w:rsid w:val="337E0C62"/>
    <w:rsid w:val="33976163"/>
    <w:rsid w:val="33CF0D98"/>
    <w:rsid w:val="346A7BCF"/>
    <w:rsid w:val="348A193A"/>
    <w:rsid w:val="349D42F5"/>
    <w:rsid w:val="35415CC5"/>
    <w:rsid w:val="354C1656"/>
    <w:rsid w:val="356814A4"/>
    <w:rsid w:val="357A2F85"/>
    <w:rsid w:val="358337C3"/>
    <w:rsid w:val="359B703E"/>
    <w:rsid w:val="35D958F9"/>
    <w:rsid w:val="360D7D52"/>
    <w:rsid w:val="36176A26"/>
    <w:rsid w:val="362E7FFA"/>
    <w:rsid w:val="36315D3A"/>
    <w:rsid w:val="366157C4"/>
    <w:rsid w:val="366D4898"/>
    <w:rsid w:val="367B2569"/>
    <w:rsid w:val="36AE1139"/>
    <w:rsid w:val="36AF31C8"/>
    <w:rsid w:val="36C23C6D"/>
    <w:rsid w:val="370074BA"/>
    <w:rsid w:val="37045804"/>
    <w:rsid w:val="378679C0"/>
    <w:rsid w:val="37A367C3"/>
    <w:rsid w:val="37D77D6E"/>
    <w:rsid w:val="37E30F28"/>
    <w:rsid w:val="3835795C"/>
    <w:rsid w:val="384E78A9"/>
    <w:rsid w:val="385B37C8"/>
    <w:rsid w:val="386B35B8"/>
    <w:rsid w:val="387C313D"/>
    <w:rsid w:val="38A94FE7"/>
    <w:rsid w:val="38B236C7"/>
    <w:rsid w:val="38D736B9"/>
    <w:rsid w:val="38ED560D"/>
    <w:rsid w:val="39335925"/>
    <w:rsid w:val="393C6ED0"/>
    <w:rsid w:val="39B00F52"/>
    <w:rsid w:val="39CC10E9"/>
    <w:rsid w:val="39D26841"/>
    <w:rsid w:val="39D81877"/>
    <w:rsid w:val="39EE04F3"/>
    <w:rsid w:val="3A5902A4"/>
    <w:rsid w:val="3A655FB2"/>
    <w:rsid w:val="3A6B2F3C"/>
    <w:rsid w:val="3A742699"/>
    <w:rsid w:val="3A7F400B"/>
    <w:rsid w:val="3AAD08CD"/>
    <w:rsid w:val="3B61579D"/>
    <w:rsid w:val="3B6E4235"/>
    <w:rsid w:val="3BA7084C"/>
    <w:rsid w:val="3BCA3066"/>
    <w:rsid w:val="3C01771B"/>
    <w:rsid w:val="3C764097"/>
    <w:rsid w:val="3CA55B29"/>
    <w:rsid w:val="3CB21A52"/>
    <w:rsid w:val="3CC35212"/>
    <w:rsid w:val="3CD84EB3"/>
    <w:rsid w:val="3D000214"/>
    <w:rsid w:val="3D0072B8"/>
    <w:rsid w:val="3D0173C5"/>
    <w:rsid w:val="3D332398"/>
    <w:rsid w:val="3DE83833"/>
    <w:rsid w:val="3E104487"/>
    <w:rsid w:val="3E465B7C"/>
    <w:rsid w:val="3E4660FB"/>
    <w:rsid w:val="3E734A16"/>
    <w:rsid w:val="3E752DDF"/>
    <w:rsid w:val="3E92628C"/>
    <w:rsid w:val="3EF728D5"/>
    <w:rsid w:val="3F877A39"/>
    <w:rsid w:val="40093884"/>
    <w:rsid w:val="400D176C"/>
    <w:rsid w:val="401D2E8B"/>
    <w:rsid w:val="40251D40"/>
    <w:rsid w:val="406366DD"/>
    <w:rsid w:val="40DF6392"/>
    <w:rsid w:val="41887122"/>
    <w:rsid w:val="418F7312"/>
    <w:rsid w:val="41AC096A"/>
    <w:rsid w:val="41BB295C"/>
    <w:rsid w:val="41E974C9"/>
    <w:rsid w:val="42593309"/>
    <w:rsid w:val="425F29E4"/>
    <w:rsid w:val="42BB2A00"/>
    <w:rsid w:val="42CF1A6D"/>
    <w:rsid w:val="42D9578F"/>
    <w:rsid w:val="42FB3958"/>
    <w:rsid w:val="433504EC"/>
    <w:rsid w:val="434F4957"/>
    <w:rsid w:val="435E59BE"/>
    <w:rsid w:val="4362385A"/>
    <w:rsid w:val="43CE580F"/>
    <w:rsid w:val="4401783A"/>
    <w:rsid w:val="440A4948"/>
    <w:rsid w:val="44406889"/>
    <w:rsid w:val="44550E45"/>
    <w:rsid w:val="44931781"/>
    <w:rsid w:val="44B94D9B"/>
    <w:rsid w:val="45196317"/>
    <w:rsid w:val="452C3A1D"/>
    <w:rsid w:val="454D74A9"/>
    <w:rsid w:val="45E004FC"/>
    <w:rsid w:val="45E138F4"/>
    <w:rsid w:val="46547D5A"/>
    <w:rsid w:val="46AE6F33"/>
    <w:rsid w:val="46B1432D"/>
    <w:rsid w:val="47046B53"/>
    <w:rsid w:val="47376F28"/>
    <w:rsid w:val="47CC6923"/>
    <w:rsid w:val="480E207F"/>
    <w:rsid w:val="480F6038"/>
    <w:rsid w:val="48576465"/>
    <w:rsid w:val="48FC2DB1"/>
    <w:rsid w:val="49522D5E"/>
    <w:rsid w:val="49A02651"/>
    <w:rsid w:val="49C47659"/>
    <w:rsid w:val="49DF11B1"/>
    <w:rsid w:val="4A2B5779"/>
    <w:rsid w:val="4A450EF1"/>
    <w:rsid w:val="4A5D5D84"/>
    <w:rsid w:val="4A88006B"/>
    <w:rsid w:val="4A9401EE"/>
    <w:rsid w:val="4A9F52A4"/>
    <w:rsid w:val="4AD351BA"/>
    <w:rsid w:val="4B050259"/>
    <w:rsid w:val="4B0557AD"/>
    <w:rsid w:val="4B06733D"/>
    <w:rsid w:val="4B0B4954"/>
    <w:rsid w:val="4B6F670D"/>
    <w:rsid w:val="4B730369"/>
    <w:rsid w:val="4BAB27B1"/>
    <w:rsid w:val="4BB26B7D"/>
    <w:rsid w:val="4BD935B2"/>
    <w:rsid w:val="4C420357"/>
    <w:rsid w:val="4C420BC6"/>
    <w:rsid w:val="4C5C2F8D"/>
    <w:rsid w:val="4C8F4AEF"/>
    <w:rsid w:val="4CAD2284"/>
    <w:rsid w:val="4CBF59B7"/>
    <w:rsid w:val="4CFF4044"/>
    <w:rsid w:val="4DBF1BC3"/>
    <w:rsid w:val="4DFF1E22"/>
    <w:rsid w:val="4E04701D"/>
    <w:rsid w:val="4E0F02B7"/>
    <w:rsid w:val="4E19737E"/>
    <w:rsid w:val="4E6E2FB5"/>
    <w:rsid w:val="4E8D38D2"/>
    <w:rsid w:val="4EB175DB"/>
    <w:rsid w:val="4EBA414E"/>
    <w:rsid w:val="4F5662D3"/>
    <w:rsid w:val="4F5A491C"/>
    <w:rsid w:val="500E28C5"/>
    <w:rsid w:val="50606A7D"/>
    <w:rsid w:val="50A62A29"/>
    <w:rsid w:val="50D61B66"/>
    <w:rsid w:val="50E06415"/>
    <w:rsid w:val="50EF617E"/>
    <w:rsid w:val="511C715A"/>
    <w:rsid w:val="51207AE6"/>
    <w:rsid w:val="513A03FE"/>
    <w:rsid w:val="51547B32"/>
    <w:rsid w:val="519A7131"/>
    <w:rsid w:val="51C0603E"/>
    <w:rsid w:val="5218720A"/>
    <w:rsid w:val="521E46DD"/>
    <w:rsid w:val="52217827"/>
    <w:rsid w:val="52412A09"/>
    <w:rsid w:val="52445A58"/>
    <w:rsid w:val="524B13D8"/>
    <w:rsid w:val="5266074B"/>
    <w:rsid w:val="52727066"/>
    <w:rsid w:val="527F3531"/>
    <w:rsid w:val="52B86C7A"/>
    <w:rsid w:val="52D715BF"/>
    <w:rsid w:val="53675712"/>
    <w:rsid w:val="536F3457"/>
    <w:rsid w:val="537155BE"/>
    <w:rsid w:val="537B63EF"/>
    <w:rsid w:val="53D61885"/>
    <w:rsid w:val="53DF24DA"/>
    <w:rsid w:val="543A1E06"/>
    <w:rsid w:val="54417169"/>
    <w:rsid w:val="54444075"/>
    <w:rsid w:val="54482775"/>
    <w:rsid w:val="54CA7B59"/>
    <w:rsid w:val="54D45954"/>
    <w:rsid w:val="54FD4609"/>
    <w:rsid w:val="55030E5B"/>
    <w:rsid w:val="550D3B58"/>
    <w:rsid w:val="555A1BA0"/>
    <w:rsid w:val="55810253"/>
    <w:rsid w:val="55CA674D"/>
    <w:rsid w:val="55D02697"/>
    <w:rsid w:val="55DA64AD"/>
    <w:rsid w:val="55F76BEE"/>
    <w:rsid w:val="561A081A"/>
    <w:rsid w:val="561D19DF"/>
    <w:rsid w:val="56292132"/>
    <w:rsid w:val="56307F1D"/>
    <w:rsid w:val="56B850C9"/>
    <w:rsid w:val="56C02A96"/>
    <w:rsid w:val="56CF0F2B"/>
    <w:rsid w:val="56DD7F5E"/>
    <w:rsid w:val="56F73FDE"/>
    <w:rsid w:val="57032983"/>
    <w:rsid w:val="572A285B"/>
    <w:rsid w:val="57527466"/>
    <w:rsid w:val="576D24F2"/>
    <w:rsid w:val="57A51C8C"/>
    <w:rsid w:val="57A5783A"/>
    <w:rsid w:val="57EF4246"/>
    <w:rsid w:val="5832685C"/>
    <w:rsid w:val="584568AC"/>
    <w:rsid w:val="58824ACC"/>
    <w:rsid w:val="589200EC"/>
    <w:rsid w:val="58A91476"/>
    <w:rsid w:val="58B3435E"/>
    <w:rsid w:val="590D7131"/>
    <w:rsid w:val="591253D6"/>
    <w:rsid w:val="594B37F1"/>
    <w:rsid w:val="599E5578"/>
    <w:rsid w:val="59C37040"/>
    <w:rsid w:val="59CB0374"/>
    <w:rsid w:val="59DE0CA7"/>
    <w:rsid w:val="5A1A3741"/>
    <w:rsid w:val="5A7616BE"/>
    <w:rsid w:val="5A770749"/>
    <w:rsid w:val="5A861ABD"/>
    <w:rsid w:val="5A8F20BE"/>
    <w:rsid w:val="5AA837AC"/>
    <w:rsid w:val="5AB67D0C"/>
    <w:rsid w:val="5ABE59E9"/>
    <w:rsid w:val="5AC4067B"/>
    <w:rsid w:val="5ADF6E56"/>
    <w:rsid w:val="5B0116C7"/>
    <w:rsid w:val="5B380C90"/>
    <w:rsid w:val="5B6363EB"/>
    <w:rsid w:val="5B7D338F"/>
    <w:rsid w:val="5B9F14C4"/>
    <w:rsid w:val="5BA1276A"/>
    <w:rsid w:val="5BA57C0C"/>
    <w:rsid w:val="5C234513"/>
    <w:rsid w:val="5C425CFC"/>
    <w:rsid w:val="5C462667"/>
    <w:rsid w:val="5C4F6BD1"/>
    <w:rsid w:val="5C7E21D6"/>
    <w:rsid w:val="5C910A31"/>
    <w:rsid w:val="5C9367F6"/>
    <w:rsid w:val="5CB77CFA"/>
    <w:rsid w:val="5D214E4E"/>
    <w:rsid w:val="5D630DB1"/>
    <w:rsid w:val="5D9562FF"/>
    <w:rsid w:val="5DAB0B66"/>
    <w:rsid w:val="5DDE6F83"/>
    <w:rsid w:val="5E16050E"/>
    <w:rsid w:val="5E327DFC"/>
    <w:rsid w:val="5E4D122B"/>
    <w:rsid w:val="5E8425FB"/>
    <w:rsid w:val="5E9F11E3"/>
    <w:rsid w:val="5EF336FC"/>
    <w:rsid w:val="5F01627C"/>
    <w:rsid w:val="5F074FDA"/>
    <w:rsid w:val="5F35068C"/>
    <w:rsid w:val="5F405E81"/>
    <w:rsid w:val="5F4C0C3F"/>
    <w:rsid w:val="60A76A75"/>
    <w:rsid w:val="60A90CC5"/>
    <w:rsid w:val="61241947"/>
    <w:rsid w:val="612E6AAD"/>
    <w:rsid w:val="61633FDA"/>
    <w:rsid w:val="616A7D2F"/>
    <w:rsid w:val="61745166"/>
    <w:rsid w:val="61974113"/>
    <w:rsid w:val="61C64A0E"/>
    <w:rsid w:val="61F40A0D"/>
    <w:rsid w:val="62173786"/>
    <w:rsid w:val="621C2B4B"/>
    <w:rsid w:val="62404A8B"/>
    <w:rsid w:val="6241261C"/>
    <w:rsid w:val="62420210"/>
    <w:rsid w:val="62611DB0"/>
    <w:rsid w:val="62662018"/>
    <w:rsid w:val="62B47326"/>
    <w:rsid w:val="62EE553D"/>
    <w:rsid w:val="6300421A"/>
    <w:rsid w:val="630901A6"/>
    <w:rsid w:val="632C0E07"/>
    <w:rsid w:val="6349725C"/>
    <w:rsid w:val="63865AC3"/>
    <w:rsid w:val="638A4820"/>
    <w:rsid w:val="63931D5D"/>
    <w:rsid w:val="63A27AA9"/>
    <w:rsid w:val="64035650"/>
    <w:rsid w:val="644A2A60"/>
    <w:rsid w:val="64812DEB"/>
    <w:rsid w:val="6499144F"/>
    <w:rsid w:val="64CB0227"/>
    <w:rsid w:val="656138C5"/>
    <w:rsid w:val="65942779"/>
    <w:rsid w:val="663C677D"/>
    <w:rsid w:val="66987842"/>
    <w:rsid w:val="66A001EE"/>
    <w:rsid w:val="66B206ED"/>
    <w:rsid w:val="66EF4ABB"/>
    <w:rsid w:val="67CC59E3"/>
    <w:rsid w:val="68264A5A"/>
    <w:rsid w:val="685B20EE"/>
    <w:rsid w:val="68907DEF"/>
    <w:rsid w:val="68E93DF6"/>
    <w:rsid w:val="690359D6"/>
    <w:rsid w:val="691427CE"/>
    <w:rsid w:val="69826F10"/>
    <w:rsid w:val="6992118F"/>
    <w:rsid w:val="69F04850"/>
    <w:rsid w:val="6A087A2A"/>
    <w:rsid w:val="6A2A2395"/>
    <w:rsid w:val="6A435043"/>
    <w:rsid w:val="6A5E2F38"/>
    <w:rsid w:val="6AF52ECD"/>
    <w:rsid w:val="6B113469"/>
    <w:rsid w:val="6B2A277C"/>
    <w:rsid w:val="6B43383E"/>
    <w:rsid w:val="6B8D6867"/>
    <w:rsid w:val="6B8D71AD"/>
    <w:rsid w:val="6BAA5F82"/>
    <w:rsid w:val="6BAE515B"/>
    <w:rsid w:val="6BFE1359"/>
    <w:rsid w:val="6D264A09"/>
    <w:rsid w:val="6D285EEE"/>
    <w:rsid w:val="6D3A4256"/>
    <w:rsid w:val="6D912FC0"/>
    <w:rsid w:val="6DAB2AD4"/>
    <w:rsid w:val="6DB4632D"/>
    <w:rsid w:val="6DDE162C"/>
    <w:rsid w:val="6E196680"/>
    <w:rsid w:val="6E380D0C"/>
    <w:rsid w:val="6EC647D7"/>
    <w:rsid w:val="6ED919F6"/>
    <w:rsid w:val="6EDE3796"/>
    <w:rsid w:val="6EF410D7"/>
    <w:rsid w:val="6EFA4214"/>
    <w:rsid w:val="6F5153EC"/>
    <w:rsid w:val="6FC84312"/>
    <w:rsid w:val="6FE605C4"/>
    <w:rsid w:val="70265F41"/>
    <w:rsid w:val="703B2D36"/>
    <w:rsid w:val="70673123"/>
    <w:rsid w:val="706C3BCA"/>
    <w:rsid w:val="70A34986"/>
    <w:rsid w:val="70B704DA"/>
    <w:rsid w:val="70FA674D"/>
    <w:rsid w:val="710B069E"/>
    <w:rsid w:val="714844A1"/>
    <w:rsid w:val="714C17A4"/>
    <w:rsid w:val="7161057A"/>
    <w:rsid w:val="71793B16"/>
    <w:rsid w:val="71A12B08"/>
    <w:rsid w:val="71AF4994"/>
    <w:rsid w:val="71FD4F1A"/>
    <w:rsid w:val="722975D2"/>
    <w:rsid w:val="72457E9C"/>
    <w:rsid w:val="7270316B"/>
    <w:rsid w:val="72757CAB"/>
    <w:rsid w:val="727C248C"/>
    <w:rsid w:val="734B2C0B"/>
    <w:rsid w:val="739648B7"/>
    <w:rsid w:val="73B37F21"/>
    <w:rsid w:val="73EF00BF"/>
    <w:rsid w:val="7406050A"/>
    <w:rsid w:val="7420296E"/>
    <w:rsid w:val="74746816"/>
    <w:rsid w:val="74747483"/>
    <w:rsid w:val="74CE0C97"/>
    <w:rsid w:val="752306D3"/>
    <w:rsid w:val="752537A3"/>
    <w:rsid w:val="759676DE"/>
    <w:rsid w:val="75D23344"/>
    <w:rsid w:val="75D60E9A"/>
    <w:rsid w:val="75E579CC"/>
    <w:rsid w:val="76184CE8"/>
    <w:rsid w:val="76525E43"/>
    <w:rsid w:val="76783713"/>
    <w:rsid w:val="76BB7D9C"/>
    <w:rsid w:val="76FF4ABD"/>
    <w:rsid w:val="77813724"/>
    <w:rsid w:val="778E6FF9"/>
    <w:rsid w:val="77BC650A"/>
    <w:rsid w:val="77D50689"/>
    <w:rsid w:val="781A4D46"/>
    <w:rsid w:val="782E006B"/>
    <w:rsid w:val="786A240A"/>
    <w:rsid w:val="78827754"/>
    <w:rsid w:val="7892370F"/>
    <w:rsid w:val="789B5F87"/>
    <w:rsid w:val="78F02F79"/>
    <w:rsid w:val="79086F68"/>
    <w:rsid w:val="792E05AF"/>
    <w:rsid w:val="79C678D4"/>
    <w:rsid w:val="79EE1860"/>
    <w:rsid w:val="7A08012D"/>
    <w:rsid w:val="7B036820"/>
    <w:rsid w:val="7B08205F"/>
    <w:rsid w:val="7B4927AB"/>
    <w:rsid w:val="7BFF157E"/>
    <w:rsid w:val="7C391482"/>
    <w:rsid w:val="7C611615"/>
    <w:rsid w:val="7C9932A4"/>
    <w:rsid w:val="7CA943D8"/>
    <w:rsid w:val="7CF0563E"/>
    <w:rsid w:val="7D060CAB"/>
    <w:rsid w:val="7D0B50EE"/>
    <w:rsid w:val="7D7942E8"/>
    <w:rsid w:val="7D9552CA"/>
    <w:rsid w:val="7DE62533"/>
    <w:rsid w:val="7DF42BD8"/>
    <w:rsid w:val="7E255143"/>
    <w:rsid w:val="7E7200FE"/>
    <w:rsid w:val="7EA46823"/>
    <w:rsid w:val="7EE46AA6"/>
    <w:rsid w:val="7EEA05E4"/>
    <w:rsid w:val="7EED5B43"/>
    <w:rsid w:val="7F402117"/>
    <w:rsid w:val="7F5B6A68"/>
    <w:rsid w:val="7F871130"/>
    <w:rsid w:val="7F907C00"/>
    <w:rsid w:val="7FC97A14"/>
    <w:rsid w:val="7FF64583"/>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6"/>
    <w:qFormat/>
    <w:uiPriority w:val="0"/>
    <w:pPr>
      <w:keepNext/>
      <w:autoSpaceDE w:val="0"/>
      <w:autoSpaceDN w:val="0"/>
      <w:adjustRightInd w:val="0"/>
      <w:jc w:val="center"/>
      <w:outlineLvl w:val="0"/>
    </w:pPr>
    <w:rPr>
      <w:rFonts w:ascii="宋体"/>
      <w:color w:val="000000"/>
      <w:sz w:val="28"/>
      <w:szCs w:val="20"/>
    </w:rPr>
  </w:style>
  <w:style w:type="paragraph" w:styleId="4">
    <w:name w:val="heading 2"/>
    <w:basedOn w:val="1"/>
    <w:next w:val="1"/>
    <w:link w:val="31"/>
    <w:qFormat/>
    <w:uiPriority w:val="0"/>
    <w:pPr>
      <w:keepNext/>
      <w:keepLines/>
      <w:spacing w:before="260" w:after="260" w:line="416" w:lineRule="auto"/>
      <w:outlineLvl w:val="1"/>
    </w:pPr>
    <w:rPr>
      <w:rFonts w:ascii="Arial" w:hAnsi="Arial"/>
      <w:b/>
      <w:bCs/>
      <w:sz w:val="32"/>
      <w:szCs w:val="32"/>
    </w:rPr>
  </w:style>
  <w:style w:type="paragraph" w:styleId="5">
    <w:name w:val="heading 3"/>
    <w:basedOn w:val="1"/>
    <w:next w:val="1"/>
    <w:link w:val="33"/>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4"/>
    <w:qFormat/>
    <w:uiPriority w:val="0"/>
    <w:pPr>
      <w:keepNext/>
      <w:keepLines/>
      <w:spacing w:before="280" w:after="290" w:line="376" w:lineRule="auto"/>
      <w:outlineLvl w:val="3"/>
    </w:pPr>
    <w:rPr>
      <w:rFonts w:ascii="Cambria" w:hAnsi="Cambria"/>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line="240" w:lineRule="auto"/>
      <w:ind w:firstLine="0"/>
      <w:jc w:val="left"/>
    </w:pPr>
    <w:rPr>
      <w:bCs/>
      <w:spacing w:val="10"/>
      <w:kern w:val="0"/>
      <w:sz w:val="24"/>
    </w:rPr>
  </w:style>
  <w:style w:type="paragraph" w:styleId="7">
    <w:name w:val="annotation text"/>
    <w:basedOn w:val="1"/>
    <w:link w:val="27"/>
    <w:unhideWhenUsed/>
    <w:qFormat/>
    <w:uiPriority w:val="99"/>
    <w:pPr>
      <w:jc w:val="left"/>
    </w:pPr>
  </w:style>
  <w:style w:type="paragraph" w:styleId="8">
    <w:name w:val="Body Text Indent"/>
    <w:basedOn w:val="1"/>
    <w:unhideWhenUsed/>
    <w:qFormat/>
    <w:uiPriority w:val="99"/>
    <w:pPr>
      <w:spacing w:after="120"/>
      <w:ind w:left="420" w:leftChars="200"/>
    </w:pPr>
  </w:style>
  <w:style w:type="paragraph" w:styleId="9">
    <w:name w:val="Plain Text"/>
    <w:basedOn w:val="1"/>
    <w:link w:val="30"/>
    <w:qFormat/>
    <w:uiPriority w:val="0"/>
    <w:rPr>
      <w:rFonts w:ascii="宋体" w:hAnsi="Courier New" w:eastAsiaTheme="minorEastAsia" w:cstheme="minorBidi"/>
    </w:rPr>
  </w:style>
  <w:style w:type="paragraph" w:styleId="10">
    <w:name w:val="Date"/>
    <w:basedOn w:val="1"/>
    <w:next w:val="1"/>
    <w:link w:val="22"/>
    <w:qFormat/>
    <w:uiPriority w:val="0"/>
    <w:rPr>
      <w:rFonts w:ascii="宋体" w:hAnsi="Courier New"/>
      <w:kern w:val="0"/>
      <w:sz w:val="32"/>
      <w:szCs w:val="20"/>
    </w:rPr>
  </w:style>
  <w:style w:type="paragraph" w:styleId="11">
    <w:name w:val="Balloon Text"/>
    <w:basedOn w:val="1"/>
    <w:link w:val="23"/>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7"/>
    <w:next w:val="7"/>
    <w:link w:val="28"/>
    <w:semiHidden/>
    <w:unhideWhenUsed/>
    <w:qFormat/>
    <w:uiPriority w:val="99"/>
    <w:rPr>
      <w:b/>
      <w:bCs/>
    </w:rPr>
  </w:style>
  <w:style w:type="paragraph" w:styleId="15">
    <w:name w:val="Body Text First Indent 2"/>
    <w:basedOn w:val="8"/>
    <w:qFormat/>
    <w:uiPriority w:val="0"/>
    <w:pPr>
      <w:ind w:firstLine="420" w:firstLineChars="200"/>
    </w:pPr>
    <w:rPr>
      <w:szCs w:val="24"/>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Hyperlink"/>
    <w:qFormat/>
    <w:uiPriority w:val="99"/>
    <w:rPr>
      <w:color w:val="0000FF"/>
      <w:u w:val="single"/>
    </w:rPr>
  </w:style>
  <w:style w:type="character" w:styleId="20">
    <w:name w:val="annotation reference"/>
    <w:basedOn w:val="18"/>
    <w:semiHidden/>
    <w:unhideWhenUsed/>
    <w:qFormat/>
    <w:uiPriority w:val="99"/>
    <w:rPr>
      <w:sz w:val="21"/>
      <w:szCs w:val="21"/>
    </w:rPr>
  </w:style>
  <w:style w:type="character" w:customStyle="1" w:styleId="21">
    <w:name w:val="日期 Char"/>
    <w:basedOn w:val="18"/>
    <w:link w:val="10"/>
    <w:qFormat/>
    <w:uiPriority w:val="0"/>
    <w:rPr>
      <w:rFonts w:ascii="宋体" w:hAnsi="Courier New" w:eastAsia="宋体" w:cs="Times New Roman"/>
      <w:kern w:val="0"/>
      <w:sz w:val="32"/>
      <w:szCs w:val="20"/>
    </w:rPr>
  </w:style>
  <w:style w:type="character" w:customStyle="1" w:styleId="22">
    <w:name w:val="日期 Char1"/>
    <w:basedOn w:val="18"/>
    <w:link w:val="10"/>
    <w:semiHidden/>
    <w:qFormat/>
    <w:uiPriority w:val="99"/>
    <w:rPr>
      <w:rFonts w:ascii="Calibri" w:hAnsi="Calibri" w:eastAsia="宋体" w:cs="Times New Roman"/>
    </w:rPr>
  </w:style>
  <w:style w:type="character" w:customStyle="1" w:styleId="23">
    <w:name w:val="批注框文本 Char"/>
    <w:basedOn w:val="18"/>
    <w:link w:val="11"/>
    <w:semiHidden/>
    <w:qFormat/>
    <w:uiPriority w:val="99"/>
    <w:rPr>
      <w:rFonts w:ascii="Calibri" w:hAnsi="Calibri" w:eastAsia="宋体" w:cs="Times New Roman"/>
      <w:sz w:val="18"/>
      <w:szCs w:val="18"/>
    </w:rPr>
  </w:style>
  <w:style w:type="character" w:customStyle="1" w:styleId="24">
    <w:name w:val="页眉 Char"/>
    <w:basedOn w:val="18"/>
    <w:link w:val="13"/>
    <w:semiHidden/>
    <w:qFormat/>
    <w:uiPriority w:val="99"/>
    <w:rPr>
      <w:rFonts w:ascii="Calibri" w:hAnsi="Calibri" w:eastAsia="宋体" w:cs="Times New Roman"/>
      <w:sz w:val="18"/>
      <w:szCs w:val="18"/>
    </w:rPr>
  </w:style>
  <w:style w:type="character" w:customStyle="1" w:styleId="25">
    <w:name w:val="页脚 Char"/>
    <w:basedOn w:val="18"/>
    <w:link w:val="12"/>
    <w:qFormat/>
    <w:uiPriority w:val="99"/>
    <w:rPr>
      <w:rFonts w:ascii="Calibri" w:hAnsi="Calibri" w:eastAsia="宋体" w:cs="Times New Roman"/>
      <w:sz w:val="18"/>
      <w:szCs w:val="18"/>
    </w:rPr>
  </w:style>
  <w:style w:type="character" w:customStyle="1" w:styleId="26">
    <w:name w:val="标题 1 Char"/>
    <w:basedOn w:val="18"/>
    <w:link w:val="3"/>
    <w:qFormat/>
    <w:uiPriority w:val="0"/>
    <w:rPr>
      <w:rFonts w:ascii="宋体" w:hAnsi="Calibri" w:eastAsia="宋体" w:cs="Times New Roman"/>
      <w:color w:val="000000"/>
      <w:sz w:val="28"/>
      <w:szCs w:val="20"/>
    </w:rPr>
  </w:style>
  <w:style w:type="character" w:customStyle="1" w:styleId="27">
    <w:name w:val="批注文字 Char"/>
    <w:basedOn w:val="18"/>
    <w:link w:val="7"/>
    <w:qFormat/>
    <w:uiPriority w:val="99"/>
    <w:rPr>
      <w:rFonts w:ascii="Calibri" w:hAnsi="Calibri" w:eastAsia="宋体" w:cs="Times New Roman"/>
    </w:rPr>
  </w:style>
  <w:style w:type="character" w:customStyle="1" w:styleId="28">
    <w:name w:val="批注主题 Char"/>
    <w:basedOn w:val="27"/>
    <w:link w:val="14"/>
    <w:semiHidden/>
    <w:qFormat/>
    <w:uiPriority w:val="99"/>
    <w:rPr>
      <w:b/>
      <w:bCs/>
    </w:rPr>
  </w:style>
  <w:style w:type="character" w:customStyle="1" w:styleId="29">
    <w:name w:val="纯文本 Char"/>
    <w:link w:val="9"/>
    <w:qFormat/>
    <w:uiPriority w:val="0"/>
    <w:rPr>
      <w:rFonts w:ascii="宋体" w:hAnsi="Courier New"/>
    </w:rPr>
  </w:style>
  <w:style w:type="character" w:customStyle="1" w:styleId="30">
    <w:name w:val="纯文本 Char1"/>
    <w:basedOn w:val="18"/>
    <w:link w:val="9"/>
    <w:semiHidden/>
    <w:qFormat/>
    <w:uiPriority w:val="99"/>
    <w:rPr>
      <w:rFonts w:ascii="宋体" w:hAnsi="Courier New" w:eastAsia="宋体" w:cs="Courier New"/>
      <w:szCs w:val="21"/>
    </w:rPr>
  </w:style>
  <w:style w:type="character" w:customStyle="1" w:styleId="31">
    <w:name w:val="标题 2 Char"/>
    <w:basedOn w:val="18"/>
    <w:link w:val="4"/>
    <w:qFormat/>
    <w:uiPriority w:val="0"/>
    <w:rPr>
      <w:rFonts w:ascii="Arial" w:hAnsi="Arial" w:eastAsia="宋体" w:cs="Times New Roman"/>
      <w:b/>
      <w:bCs/>
      <w:sz w:val="32"/>
      <w:szCs w:val="32"/>
    </w:rPr>
  </w:style>
  <w:style w:type="paragraph" w:styleId="32">
    <w:name w:val="List Paragraph"/>
    <w:basedOn w:val="1"/>
    <w:qFormat/>
    <w:uiPriority w:val="34"/>
    <w:pPr>
      <w:ind w:firstLine="420" w:firstLineChars="200"/>
    </w:pPr>
  </w:style>
  <w:style w:type="character" w:customStyle="1" w:styleId="33">
    <w:name w:val="标题 3 Char"/>
    <w:basedOn w:val="18"/>
    <w:link w:val="5"/>
    <w:semiHidden/>
    <w:qFormat/>
    <w:uiPriority w:val="9"/>
    <w:rPr>
      <w:rFonts w:ascii="Calibri" w:hAnsi="Calibri" w:eastAsia="宋体" w:cs="Times New Roman"/>
      <w:b/>
      <w:bCs/>
      <w:sz w:val="32"/>
      <w:szCs w:val="32"/>
    </w:rPr>
  </w:style>
  <w:style w:type="character" w:customStyle="1" w:styleId="34">
    <w:name w:val="标题 4 Char"/>
    <w:basedOn w:val="18"/>
    <w:link w:val="6"/>
    <w:qFormat/>
    <w:uiPriority w:val="0"/>
    <w:rPr>
      <w:rFonts w:ascii="Cambria" w:hAnsi="Cambria" w:eastAsia="宋体" w:cs="Times New Roman"/>
      <w:b/>
      <w:bCs/>
      <w:sz w:val="28"/>
      <w:szCs w:val="28"/>
    </w:rPr>
  </w:style>
  <w:style w:type="paragraph" w:customStyle="1" w:styleId="35">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36">
    <w:name w:val="1"/>
    <w:basedOn w:val="1"/>
    <w:next w:val="9"/>
    <w:qFormat/>
    <w:uiPriority w:val="0"/>
    <w:rPr>
      <w:rFonts w:ascii="宋体" w:hAnsi="Courier New"/>
      <w:szCs w:val="20"/>
    </w:rPr>
  </w:style>
  <w:style w:type="paragraph" w:customStyle="1" w:styleId="37">
    <w:name w:val="8"/>
    <w:basedOn w:val="1"/>
    <w:next w:val="9"/>
    <w:qFormat/>
    <w:uiPriority w:val="0"/>
    <w:rPr>
      <w:rFonts w:ascii="宋体" w:hAnsi="Courier New"/>
      <w:szCs w:val="20"/>
    </w:rPr>
  </w:style>
  <w:style w:type="paragraph" w:customStyle="1" w:styleId="38">
    <w:name w:val="_Style 55"/>
    <w:basedOn w:val="1"/>
    <w:next w:val="9"/>
    <w:qFormat/>
    <w:uiPriority w:val="0"/>
    <w:rPr>
      <w:rFonts w:ascii="宋体" w:hAnsi="Courier New"/>
      <w:szCs w:val="20"/>
    </w:rPr>
  </w:style>
  <w:style w:type="paragraph" w:customStyle="1" w:styleId="39">
    <w:name w:val="7"/>
    <w:basedOn w:val="1"/>
    <w:next w:val="9"/>
    <w:link w:val="40"/>
    <w:qFormat/>
    <w:uiPriority w:val="0"/>
    <w:rPr>
      <w:rFonts w:ascii="宋体" w:hAnsi="Courier New"/>
      <w:szCs w:val="20"/>
    </w:rPr>
  </w:style>
  <w:style w:type="character" w:customStyle="1" w:styleId="40">
    <w:name w:val="Char1"/>
    <w:link w:val="39"/>
    <w:qFormat/>
    <w:uiPriority w:val="0"/>
    <w:rPr>
      <w:rFonts w:ascii="宋体" w:hAnsi="Courier New" w:eastAsia="宋体" w:cs="Times New Roman"/>
      <w:szCs w:val="20"/>
    </w:rPr>
  </w:style>
  <w:style w:type="paragraph" w:customStyle="1" w:styleId="41">
    <w:name w:val="Body text|1"/>
    <w:basedOn w:val="1"/>
    <w:qFormat/>
    <w:uiPriority w:val="0"/>
    <w:pPr>
      <w:widowControl w:val="0"/>
      <w:shd w:val="clear" w:color="auto" w:fill="auto"/>
      <w:spacing w:line="396" w:lineRule="auto"/>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65</Pages>
  <Words>4835</Words>
  <Characters>27562</Characters>
  <Lines>229</Lines>
  <Paragraphs>64</Paragraphs>
  <TotalTime>0</TotalTime>
  <ScaleCrop>false</ScaleCrop>
  <LinksUpToDate>false</LinksUpToDate>
  <CharactersWithSpaces>32333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CHJ-嘉</cp:lastModifiedBy>
  <cp:lastPrinted>2020-05-21T02:27:00Z</cp:lastPrinted>
  <dcterms:modified xsi:type="dcterms:W3CDTF">2022-02-18T09:31:41Z</dcterms:modified>
  <cp:revision>1664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B946BEF99C8F409FBFCFBF89E6EAF5A4</vt:lpwstr>
  </property>
</Properties>
</file>