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jc w:val="center"/>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终端管理软件</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300</w:t>
            </w:r>
            <w:r>
              <w:rPr>
                <w:rFonts w:hint="eastAsia" w:ascii="宋体" w:hAnsi="宋体" w:cs="宋体"/>
                <w:sz w:val="21"/>
                <w:szCs w:val="21"/>
                <w:lang w:val="en-US" w:eastAsia="zh-CN"/>
              </w:rPr>
              <w:t>,</w:t>
            </w:r>
            <w:r>
              <w:rPr>
                <w:rFonts w:hint="eastAsia" w:ascii="宋体" w:hAnsi="宋体" w:eastAsia="宋体" w:cs="宋体"/>
                <w:sz w:val="21"/>
                <w:szCs w:val="21"/>
              </w:rPr>
              <w:t>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p w14:paraId="6FCB4A35">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二</w:t>
      </w:r>
      <w:r>
        <w:rPr>
          <w:rFonts w:hint="eastAsia" w:ascii="宋体" w:hAnsi="宋体" w:eastAsia="宋体" w:cs="宋体"/>
          <w:b/>
          <w:sz w:val="28"/>
          <w:szCs w:val="28"/>
        </w:rPr>
        <w:t>、具体技术要求</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19"/>
        <w:gridCol w:w="6736"/>
      </w:tblGrid>
      <w:tr w14:paraId="4AA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14:paraId="1B47DCA8">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7" w:type="pct"/>
            <w:noWrap w:val="0"/>
            <w:vAlign w:val="center"/>
          </w:tcPr>
          <w:p w14:paraId="3CEAE8C8">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产品名称</w:t>
            </w:r>
          </w:p>
        </w:tc>
        <w:tc>
          <w:tcPr>
            <w:tcW w:w="3953" w:type="pct"/>
            <w:noWrap w:val="0"/>
            <w:vAlign w:val="center"/>
          </w:tcPr>
          <w:p w14:paraId="417B64CA">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功能参数</w:t>
            </w:r>
          </w:p>
        </w:tc>
      </w:tr>
      <w:tr w14:paraId="0EF3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restart"/>
            <w:noWrap w:val="0"/>
            <w:vAlign w:val="center"/>
          </w:tcPr>
          <w:p w14:paraId="00369F3D">
            <w:pPr>
              <w:pStyle w:val="49"/>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7" w:type="pct"/>
            <w:vMerge w:val="restart"/>
            <w:noWrap w:val="0"/>
            <w:vAlign w:val="center"/>
          </w:tcPr>
          <w:p w14:paraId="49EE1B04">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终端管理软件</w:t>
            </w:r>
          </w:p>
        </w:tc>
        <w:tc>
          <w:tcPr>
            <w:tcW w:w="3953" w:type="pct"/>
            <w:noWrap w:val="0"/>
            <w:vAlign w:val="center"/>
          </w:tcPr>
          <w:p w14:paraId="65A22A89">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▲软件形态，包含控制中心和客户端软件，提供≥1套控制中心授权、≥2400点PC客户端防病毒授权、≥600点服务器端防病毒授权，提供≥五年软件及功能模块升级授权，</w:t>
            </w:r>
            <w:r>
              <w:rPr>
                <w:rFonts w:hint="eastAsia" w:ascii="宋体" w:hAnsi="宋体" w:eastAsia="宋体" w:cs="宋体"/>
                <w:b/>
                <w:bCs/>
                <w:sz w:val="21"/>
                <w:szCs w:val="21"/>
                <w:lang w:val="en-US" w:eastAsia="zh-CN"/>
              </w:rPr>
              <w:t>提供所投软件生产商出具的加盖生产商公章的授权承诺函，承诺满足以上要求，格式自拟</w:t>
            </w:r>
            <w:r>
              <w:rPr>
                <w:rFonts w:hint="eastAsia" w:ascii="宋体" w:hAnsi="宋体" w:eastAsia="宋体" w:cs="宋体"/>
                <w:sz w:val="21"/>
                <w:szCs w:val="21"/>
                <w:lang w:val="en-US" w:eastAsia="zh-CN"/>
              </w:rPr>
              <w:t>。</w:t>
            </w:r>
          </w:p>
        </w:tc>
      </w:tr>
      <w:tr w14:paraId="470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1A17D2D0">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481DEA83">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0488F890">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控制中心支持在麒麟、统信等国产化系统环境中部署。</w:t>
            </w:r>
          </w:p>
        </w:tc>
      </w:tr>
      <w:tr w14:paraId="7E07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6D255426">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4FEEFAB7">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6CCD4114">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客户端软件支持在Windows XP、Windows 7、Windows 8、Windows 10、Windows 11、Windows Server、Linux、macos、麒麟、统信等系统中安装。</w:t>
            </w:r>
          </w:p>
        </w:tc>
      </w:tr>
      <w:tr w14:paraId="734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90" w:type="pct"/>
            <w:vMerge w:val="continue"/>
            <w:noWrap w:val="0"/>
            <w:vAlign w:val="center"/>
          </w:tcPr>
          <w:p w14:paraId="0A1CA957">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5EA1C8CD">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1D316371">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▲为确保产品轻量化部署，产品客户端安装包大小应＜100MB，服务器端安装包大小应＜1000MB。（需提供第三方检测机构出具的带有CMA和CNAS标识的检测报告复印件或扫描件）</w:t>
            </w:r>
          </w:p>
        </w:tc>
      </w:tr>
      <w:tr w14:paraId="6742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continue"/>
            <w:noWrap w:val="0"/>
            <w:vAlign w:val="center"/>
          </w:tcPr>
          <w:p w14:paraId="1A728D70">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2303416F">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21374C5B">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可兼容使用医院现有管理中心进行统一管理，包括统一策略管理、统一病毒查杀、统一资产登记、统一终端日志提取、统一授权管理、统一用户管理等。（投标人需提供所投软件生产商出具的加盖生产商公章的承诺函，承诺满足以上要求，格式自拟）</w:t>
            </w:r>
          </w:p>
        </w:tc>
      </w:tr>
      <w:tr w14:paraId="4901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2F166036">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754103F4">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34784F21">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支持与医院现有的APT攻击预警平台进行联动。（投标人需提供所投软件生产商出具的加盖生产商公章的承诺函，承诺满足以上要求，格式自拟）</w:t>
            </w:r>
          </w:p>
        </w:tc>
      </w:tr>
      <w:tr w14:paraId="686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3A646AF3">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02AA77C5">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73667BAC">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基于系统访问控制能力防止恶意病毒程序的执行，实现限制高风险应用的资源访问，包括移动存储运行保护、移动存储自动播放保护、系统DLL劫持防护、文件系统防护、进程防护、远程脚本执行等。并支持针对文件行为的管控，防止文件被恶意进程创建、写入、重命名、删除。（需提供产品功能界面截图）</w:t>
            </w:r>
          </w:p>
        </w:tc>
      </w:tr>
      <w:tr w14:paraId="41CF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118A2883">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3D82114D">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4B765492">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支持压缩文件检测、安全告警（告警信息包括路径和文件名称、病毒名称、检测日期和时间），同时保障产品与远程服务器间通信数据传输的安全。（需提供第三方检测机构出具的带有CMA和CNAS标识的检测报告复印件或扫描件）</w:t>
            </w:r>
          </w:p>
        </w:tc>
      </w:tr>
      <w:tr w14:paraId="65B7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continue"/>
            <w:noWrap w:val="0"/>
            <w:vAlign w:val="center"/>
          </w:tcPr>
          <w:p w14:paraId="1B9B0A96">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7DFE66FC">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3719DBFF">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▲提供专门的针对未知勒索病毒的行为防护引擎，基于文件读写、进程、命令、网络、注册表修改等行为对于未知勒索病毒进行发现和阻断。（需提供产品功能界面截图）</w:t>
            </w:r>
          </w:p>
        </w:tc>
      </w:tr>
      <w:tr w14:paraId="318F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040C2513">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1150659D">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6BB0CC75">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全部文件、程序和文档或者指定的类型进行病毒扫描和实时监控，及时发现病毒威胁；支持设置对资产进行快速查杀、全盘查杀、自定义查杀；支持病毒手动处理、自动处理、不处理等多种处理方式，处理后会将病毒文件备份至隔离区。</w:t>
            </w:r>
          </w:p>
        </w:tc>
      </w:tr>
      <w:tr w14:paraId="626F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4153BB84">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30AD98A8">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508E0E92">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支持客户端自我防护机制，防止恶意对象对本软件的保护程序进行篡改。具备客户端防退出、防卸载密码。</w:t>
            </w:r>
          </w:p>
        </w:tc>
      </w:tr>
      <w:tr w14:paraId="170F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2D5842D2">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17EB20FD">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0E6BC61C">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可根据客户端工具名、操作系统用户名、客户端主机名、数据库名、操作类型等配置行为模型，并可查看相应告警日志。</w:t>
            </w:r>
          </w:p>
        </w:tc>
      </w:tr>
      <w:tr w14:paraId="0713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5792CB72">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43753477">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78561F08">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1" w:hanging="211"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产品具备风险告警能力，支持sql注入、数据泄露、违规操作等规则类型，并可依据规则进行邮件、企业微信、短信、syslog等方式告警。（需提供第三方检测机构出具的带有CMA和CNAS标识的检测报告复印件或扫描件）</w:t>
            </w:r>
          </w:p>
        </w:tc>
      </w:tr>
      <w:tr w14:paraId="3126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noWrap w:val="0"/>
            <w:vAlign w:val="center"/>
          </w:tcPr>
          <w:p w14:paraId="26AABA70">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657" w:type="pct"/>
            <w:vMerge w:val="continue"/>
            <w:noWrap w:val="0"/>
            <w:vAlign w:val="center"/>
          </w:tcPr>
          <w:p w14:paraId="2403DC2E">
            <w:pPr>
              <w:pStyle w:val="49"/>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p>
        </w:tc>
        <w:tc>
          <w:tcPr>
            <w:tcW w:w="3953" w:type="pct"/>
            <w:noWrap w:val="0"/>
            <w:vAlign w:val="center"/>
          </w:tcPr>
          <w:p w14:paraId="71C7DDE5">
            <w:pPr>
              <w:pStyle w:val="50"/>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1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支持告警聚合，可配置聚合规则，按照故障编码、故障类型、设备id等维度对告警进行聚合，从而减少告警频次，提高运营效率。</w:t>
            </w:r>
          </w:p>
        </w:tc>
      </w:tr>
    </w:tbl>
    <w:p w14:paraId="202ACAD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p w14:paraId="1B759AE2">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kern w:val="0"/>
          <w:szCs w:val="21"/>
        </w:rPr>
      </w:pPr>
      <w:r>
        <w:rPr>
          <w:rFonts w:hint="eastAsia" w:ascii="宋体" w:hAnsi="宋体" w:eastAsia="宋体" w:cs="宋体"/>
          <w:b/>
          <w:bCs/>
          <w:color w:val="auto"/>
          <w:kern w:val="0"/>
          <w:sz w:val="21"/>
          <w:szCs w:val="21"/>
          <w:lang w:val="en-US" w:eastAsia="zh-CN" w:bidi="ar-SA"/>
        </w:rPr>
        <w:t>一、</w:t>
      </w:r>
      <w:r>
        <w:rPr>
          <w:rFonts w:hint="eastAsia" w:ascii="宋体" w:hAnsi="宋体" w:eastAsia="宋体" w:cs="宋体"/>
          <w:b/>
          <w:bCs/>
          <w:color w:val="000000"/>
          <w:kern w:val="0"/>
          <w:szCs w:val="21"/>
        </w:rPr>
        <w:t>报价要求</w:t>
      </w:r>
    </w:p>
    <w:p w14:paraId="57D49FB7">
      <w:pPr>
        <w:widowControl/>
        <w:adjustRightInd w:val="0"/>
        <w:snapToGrid w:val="0"/>
        <w:spacing w:line="360"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21DFFB">
      <w:pPr>
        <w:widowControl/>
        <w:adjustRightInd w:val="0"/>
        <w:snapToGrid w:val="0"/>
        <w:spacing w:line="360"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2、投标人的投标报价，应是本项目招标范围和招标文件及合同条款上所列的各项内容中所述的全部，不得以任何理由予以重复，并以投标人在投标文件中提出的综合单价或总价为依据。</w:t>
      </w:r>
    </w:p>
    <w:p w14:paraId="74B7B3A8">
      <w:pPr>
        <w:widowControl/>
        <w:adjustRightInd w:val="0"/>
        <w:snapToGrid w:val="0"/>
        <w:spacing w:line="360"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3、除非</w:t>
      </w:r>
      <w:r>
        <w:rPr>
          <w:rFonts w:hint="eastAsia" w:ascii="宋体" w:hAnsi="宋体" w:eastAsia="宋体" w:cs="宋体"/>
          <w:color w:val="000000"/>
          <w:szCs w:val="21"/>
          <w:lang w:val="en-US" w:eastAsia="zh-CN"/>
        </w:rPr>
        <w:t>采购代理</w:t>
      </w:r>
      <w:r>
        <w:rPr>
          <w:rFonts w:hint="eastAsia" w:ascii="宋体" w:hAnsi="宋体" w:eastAsia="宋体" w:cs="宋体"/>
          <w:color w:val="000000"/>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26E5C74">
      <w:pPr>
        <w:widowControl/>
        <w:adjustRightInd w:val="0"/>
        <w:snapToGrid w:val="0"/>
        <w:spacing w:line="360"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4、投标人应充分了解项目的位置、情况、道路及任何其它足以影响投标报价的情况，任何因忽视或误解项目情况而导致的索赔或服务期限延长申请将不获批准。</w:t>
      </w:r>
    </w:p>
    <w:p w14:paraId="190CA413">
      <w:pPr>
        <w:widowControl/>
        <w:adjustRightInd w:val="0"/>
        <w:snapToGrid w:val="0"/>
        <w:spacing w:line="360"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75AEF98F">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6、投标人须考虑本项目在实施期间的一切可能产生的费用。在项目实施过程中，如项目工作范围发生变更，由中标人和采购人双方协商解决；其余情况下，投标总价均不予调整。  </w:t>
      </w:r>
    </w:p>
    <w:p w14:paraId="250A28FE">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000000"/>
          <w:szCs w:val="21"/>
        </w:rPr>
        <w:t>支付要求</w:t>
      </w:r>
    </w:p>
    <w:p w14:paraId="0F56F6BA">
      <w:pPr>
        <w:pStyle w:val="9"/>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FF0000"/>
          <w:kern w:val="0"/>
          <w:szCs w:val="21"/>
          <w:lang w:val="en-US" w:eastAsia="zh-CN"/>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bCs/>
          <w:szCs w:val="21"/>
          <w:lang w:val="en-US" w:eastAsia="zh-CN"/>
        </w:rPr>
        <w:t>中标人需在签订合同后以自主选择以支票、汇票、本票、保函等非现金形式支付合同总额的10%（如为中小企业：合同总额的5%）作为履约保证金给采购人</w:t>
      </w:r>
      <w:r>
        <w:rPr>
          <w:rFonts w:hint="eastAsia" w:ascii="宋体" w:hAnsi="宋体" w:eastAsia="宋体" w:cs="宋体"/>
          <w:szCs w:val="21"/>
          <w:lang w:val="en-US" w:eastAsia="zh-CN"/>
        </w:rPr>
        <w:t>。全部合同货物到达交货地点，并安装调试且验收合格后，凭验收合格单或验收合格报告，采购人在收到发票后</w:t>
      </w:r>
      <w:r>
        <w:rPr>
          <w:rFonts w:hint="eastAsia" w:ascii="宋体" w:hAnsi="宋体" w:eastAsia="宋体" w:cs="宋体"/>
          <w:szCs w:val="21"/>
          <w:u w:val="single"/>
          <w:lang w:val="en-US" w:eastAsia="zh-CN"/>
        </w:rPr>
        <w:t>10个工作日</w:t>
      </w:r>
      <w:r>
        <w:rPr>
          <w:rFonts w:hint="eastAsia" w:ascii="宋体" w:hAnsi="宋体" w:eastAsia="宋体" w:cs="宋体"/>
          <w:lang w:val="en-US" w:eastAsia="zh-CN"/>
        </w:rPr>
        <w:t>内</w:t>
      </w:r>
      <w:r>
        <w:rPr>
          <w:rFonts w:hint="eastAsia" w:ascii="宋体" w:hAnsi="宋体" w:eastAsia="宋体" w:cs="宋体"/>
          <w:szCs w:val="21"/>
          <w:lang w:val="en-US" w:eastAsia="zh-CN"/>
        </w:rPr>
        <w:t>向中标人支付合同总价的</w:t>
      </w:r>
      <w:r>
        <w:rPr>
          <w:rStyle w:val="24"/>
          <w:rFonts w:hint="eastAsia" w:ascii="宋体" w:hAnsi="宋体" w:eastAsia="宋体" w:cs="宋体"/>
          <w:lang w:val="en-US" w:eastAsia="zh-CN"/>
        </w:rPr>
        <w:t>100</w:t>
      </w:r>
      <w:r>
        <w:rPr>
          <w:rFonts w:hint="eastAsia" w:ascii="宋体" w:hAnsi="宋体" w:eastAsia="宋体" w:cs="宋体"/>
          <w:szCs w:val="21"/>
          <w:lang w:val="en-US" w:eastAsia="zh-CN"/>
        </w:rPr>
        <w:t>%。</w:t>
      </w:r>
    </w:p>
    <w:p w14:paraId="65C7DEBC">
      <w:pPr>
        <w:pStyle w:val="9"/>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FF0000"/>
          <w:kern w:val="0"/>
          <w:szCs w:val="21"/>
          <w:lang w:val="en-US" w:eastAsia="zh-CN"/>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bCs/>
          <w:szCs w:val="21"/>
          <w:lang w:val="en-US" w:eastAsia="zh-CN"/>
        </w:rPr>
        <w:t>验收通过一年后，</w:t>
      </w:r>
      <w:r>
        <w:rPr>
          <w:rFonts w:hint="eastAsia" w:ascii="宋体" w:hAnsi="宋体" w:eastAsia="宋体" w:cs="宋体"/>
          <w:bCs/>
          <w:szCs w:val="21"/>
          <w:lang w:val="en-US" w:eastAsia="zh-TW"/>
        </w:rPr>
        <w:t>中标人向采购人申请退回该履约保证金，采购人收到申请审核同意后，无息返还中标人的履约保证金</w:t>
      </w:r>
      <w:r>
        <w:rPr>
          <w:rFonts w:hint="eastAsia" w:ascii="宋体" w:hAnsi="宋体" w:eastAsia="宋体" w:cs="宋体"/>
          <w:bCs/>
          <w:szCs w:val="21"/>
          <w:lang w:val="en-US" w:eastAsia="zh-CN"/>
        </w:rPr>
        <w:t>。因中标人原因而未能达到本项目验收标准或验收不通过的，履约保证金不予退还。</w:t>
      </w:r>
    </w:p>
    <w:p w14:paraId="0A5C17DE">
      <w:pPr>
        <w:pStyle w:val="9"/>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00B0F0"/>
          <w:szCs w:val="21"/>
          <w:lang w:val="en-US" w:eastAsia="zh-CN"/>
        </w:rPr>
      </w:pPr>
      <w:r>
        <w:rPr>
          <w:rFonts w:hint="eastAsia" w:ascii="宋体" w:hAnsi="宋体" w:eastAsia="宋体" w:cs="宋体"/>
          <w:b w:val="0"/>
          <w:color w:val="auto"/>
          <w:kern w:val="2"/>
          <w:sz w:val="21"/>
          <w:szCs w:val="21"/>
          <w:lang w:val="en-US" w:eastAsia="zh-CN" w:bidi="ar-SA"/>
        </w:rPr>
        <w:t>3、</w:t>
      </w:r>
      <w:r>
        <w:rPr>
          <w:rFonts w:hint="eastAsia" w:ascii="宋体" w:hAnsi="宋体" w:eastAsia="宋体" w:cs="宋体"/>
          <w:szCs w:val="21"/>
          <w:lang w:val="en-US" w:eastAsia="zh-CN"/>
        </w:rPr>
        <w:t>每次</w:t>
      </w:r>
      <w:r>
        <w:rPr>
          <w:rFonts w:hint="eastAsia" w:ascii="宋体" w:hAnsi="宋体" w:eastAsia="宋体" w:cs="宋体"/>
          <w:szCs w:val="21"/>
          <w:lang w:val="en-US" w:eastAsia="zh-TW"/>
        </w:rPr>
        <w:t>按合同支付款项前，中标人</w:t>
      </w:r>
      <w:r>
        <w:rPr>
          <w:rFonts w:hint="eastAsia" w:ascii="宋体" w:hAnsi="宋体" w:eastAsia="宋体" w:cs="宋体"/>
          <w:szCs w:val="21"/>
          <w:lang w:val="en-US" w:eastAsia="zh-CN"/>
        </w:rPr>
        <w:t>应</w:t>
      </w:r>
      <w:r>
        <w:rPr>
          <w:rFonts w:hint="eastAsia" w:ascii="宋体" w:hAnsi="宋体" w:eastAsia="宋体" w:cs="宋体"/>
          <w:szCs w:val="21"/>
          <w:lang w:val="en-US" w:eastAsia="zh-TW"/>
        </w:rPr>
        <w:t>向采购人提供与支付金额相符的有效发票，且收款方、出具发票方、合同乙方均必须与中标人名称一致</w:t>
      </w:r>
      <w:r>
        <w:rPr>
          <w:rFonts w:hint="eastAsia" w:ascii="宋体" w:hAnsi="宋体" w:eastAsia="宋体" w:cs="宋体"/>
          <w:szCs w:val="21"/>
          <w:lang w:val="en-US" w:eastAsia="zh-CN"/>
        </w:rPr>
        <w:t>。</w:t>
      </w:r>
    </w:p>
    <w:p w14:paraId="456EA3D6">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三、</w:t>
      </w:r>
      <w:r>
        <w:rPr>
          <w:rFonts w:hint="eastAsia" w:ascii="宋体" w:hAnsi="宋体" w:eastAsia="宋体" w:cs="宋体"/>
          <w:b/>
          <w:bCs/>
          <w:color w:val="000000"/>
          <w:szCs w:val="21"/>
        </w:rPr>
        <w:t>合同服务期限</w:t>
      </w:r>
    </w:p>
    <w:p w14:paraId="67AF11EA">
      <w:pPr>
        <w:adjustRightInd w:val="0"/>
        <w:snapToGrid w:val="0"/>
        <w:spacing w:line="360" w:lineRule="auto"/>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1、项目服务期限：</w:t>
      </w:r>
      <w:r>
        <w:rPr>
          <w:rFonts w:hint="eastAsia" w:ascii="宋体" w:hAnsi="宋体" w:eastAsia="宋体" w:cs="宋体"/>
          <w:szCs w:val="21"/>
        </w:rPr>
        <w:t>本项目</w:t>
      </w:r>
      <w:r>
        <w:rPr>
          <w:rFonts w:hint="eastAsia" w:ascii="宋体" w:hAnsi="宋体" w:eastAsia="宋体" w:cs="宋体"/>
          <w:lang w:eastAsia="zh-CN"/>
        </w:rPr>
        <w:t>免费维保</w:t>
      </w:r>
      <w:r>
        <w:rPr>
          <w:rFonts w:hint="eastAsia" w:ascii="宋体" w:hAnsi="宋体" w:eastAsia="宋体" w:cs="宋体"/>
          <w:szCs w:val="21"/>
        </w:rPr>
        <w:t>服务期自合同签订之日起五年。</w:t>
      </w:r>
    </w:p>
    <w:p w14:paraId="131AAE4F">
      <w:pPr>
        <w:numPr>
          <w:ilvl w:val="0"/>
          <w:numId w:val="0"/>
        </w:numPr>
        <w:tabs>
          <w:tab w:val="left" w:pos="540"/>
        </w:tabs>
        <w:adjustRightInd w:val="0"/>
        <w:snapToGrid w:val="0"/>
        <w:spacing w:line="360" w:lineRule="auto"/>
        <w:ind w:left="420" w:hanging="420"/>
        <w:rPr>
          <w:rFonts w:hint="eastAsia" w:ascii="宋体" w:hAnsi="宋体" w:eastAsia="宋体" w:cs="宋体"/>
          <w:b/>
          <w:color w:val="000000"/>
          <w:szCs w:val="21"/>
        </w:rPr>
      </w:pPr>
      <w:r>
        <w:rPr>
          <w:rFonts w:hint="eastAsia" w:ascii="宋体" w:hAnsi="宋体" w:eastAsia="宋体" w:cs="宋体"/>
          <w:b/>
          <w:color w:val="auto"/>
          <w:kern w:val="2"/>
          <w:sz w:val="21"/>
          <w:szCs w:val="21"/>
          <w:lang w:val="en-US" w:eastAsia="zh-CN" w:bidi="ar-SA"/>
        </w:rPr>
        <w:t>四、</w:t>
      </w:r>
      <w:r>
        <w:rPr>
          <w:rFonts w:hint="eastAsia" w:ascii="宋体" w:hAnsi="宋体" w:eastAsia="宋体" w:cs="宋体"/>
          <w:b/>
          <w:color w:val="000000"/>
          <w:szCs w:val="21"/>
        </w:rPr>
        <w:t>保密要求</w:t>
      </w:r>
    </w:p>
    <w:p w14:paraId="78214CA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232EA728">
      <w:pPr>
        <w:numPr>
          <w:ilvl w:val="0"/>
          <w:numId w:val="0"/>
        </w:numPr>
        <w:tabs>
          <w:tab w:val="left" w:pos="540"/>
        </w:tabs>
        <w:adjustRightInd w:val="0"/>
        <w:snapToGrid w:val="0"/>
        <w:spacing w:line="360" w:lineRule="auto"/>
        <w:ind w:left="420" w:hanging="420"/>
        <w:rPr>
          <w:rFonts w:hint="eastAsia" w:ascii="宋体" w:hAnsi="宋体" w:eastAsia="宋体" w:cs="宋体"/>
          <w:kern w:val="0"/>
          <w:szCs w:val="21"/>
        </w:rPr>
      </w:pPr>
      <w:r>
        <w:rPr>
          <w:rFonts w:hint="eastAsia" w:ascii="宋体" w:hAnsi="宋体" w:eastAsia="宋体" w:cs="宋体"/>
          <w:b/>
          <w:bCs/>
          <w:color w:val="auto"/>
          <w:kern w:val="0"/>
          <w:sz w:val="21"/>
          <w:szCs w:val="21"/>
          <w:lang w:val="en-US" w:eastAsia="zh-CN" w:bidi="ar-SA"/>
        </w:rPr>
        <w:t>五、</w:t>
      </w:r>
      <w:r>
        <w:rPr>
          <w:rFonts w:hint="eastAsia" w:ascii="宋体" w:hAnsi="宋体" w:eastAsia="宋体" w:cs="宋体"/>
          <w:b/>
          <w:bCs/>
          <w:color w:val="000000"/>
          <w:szCs w:val="21"/>
        </w:rPr>
        <w:t>★违约责任</w:t>
      </w:r>
      <w:r>
        <w:rPr>
          <w:rFonts w:hint="eastAsia" w:ascii="宋体" w:hAnsi="宋体" w:eastAsia="宋体" w:cs="宋体"/>
          <w:b/>
          <w:bCs/>
          <w:color w:val="000000"/>
          <w:szCs w:val="21"/>
        </w:rPr>
        <w:tab/>
      </w:r>
    </w:p>
    <w:p w14:paraId="4BE4290A">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b w:val="0"/>
          <w:color w:val="auto"/>
          <w:kern w:val="2"/>
          <w:sz w:val="21"/>
          <w:szCs w:val="21"/>
          <w:lang w:val="en-US" w:eastAsia="zh-CN" w:bidi="ar-SA"/>
        </w:rPr>
        <w:t>1、</w:t>
      </w:r>
      <w:r>
        <w:rPr>
          <w:rFonts w:hint="eastAsia" w:ascii="宋体" w:hAnsi="宋体" w:eastAsia="宋体" w:cs="宋体"/>
          <w:kern w:val="0"/>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1C45EB6C">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b w:val="0"/>
          <w:color w:val="auto"/>
          <w:kern w:val="2"/>
          <w:sz w:val="21"/>
          <w:szCs w:val="24"/>
          <w:lang w:val="en-US" w:eastAsia="zh-CN" w:bidi="ar-SA"/>
        </w:rPr>
        <w:t>2、</w:t>
      </w:r>
      <w:r>
        <w:rPr>
          <w:rFonts w:hint="eastAsia" w:ascii="宋体" w:hAnsi="宋体" w:eastAsia="宋体" w:cs="宋体"/>
          <w:kern w:val="0"/>
          <w:szCs w:val="21"/>
        </w:rPr>
        <w:t>如中标人提供的技术服务或技术服务文件不符合质量要求，必须在采购人提出要求后7天内无条件修改，其费用由中标人承担。</w:t>
      </w:r>
      <w:r>
        <w:rPr>
          <w:rFonts w:hint="eastAsia" w:ascii="宋体" w:hAnsi="宋体" w:eastAsia="宋体" w:cs="宋体"/>
          <w:szCs w:val="21"/>
        </w:rPr>
        <w:t>中标人经修改后</w:t>
      </w:r>
      <w:r>
        <w:rPr>
          <w:rFonts w:hint="eastAsia" w:ascii="宋体" w:hAnsi="宋体" w:eastAsia="宋体" w:cs="宋体"/>
          <w:kern w:val="0"/>
          <w:szCs w:val="21"/>
        </w:rPr>
        <w:t>提供的技术服务或技术服务文件</w:t>
      </w:r>
      <w:r>
        <w:rPr>
          <w:rFonts w:hint="eastAsia" w:ascii="宋体" w:hAnsi="宋体" w:eastAsia="宋体" w:cs="宋体"/>
          <w:szCs w:val="21"/>
        </w:rPr>
        <w:t>仍</w:t>
      </w:r>
      <w:r>
        <w:rPr>
          <w:rFonts w:hint="eastAsia" w:ascii="宋体" w:hAnsi="宋体" w:eastAsia="宋体" w:cs="宋体"/>
          <w:kern w:val="0"/>
          <w:szCs w:val="21"/>
        </w:rPr>
        <w:t>不符合质量要求的</w:t>
      </w:r>
      <w:r>
        <w:rPr>
          <w:rFonts w:hint="eastAsia" w:ascii="宋体" w:hAnsi="宋体" w:eastAsia="宋体" w:cs="宋体"/>
          <w:szCs w:val="21"/>
        </w:rPr>
        <w:t>，</w:t>
      </w:r>
      <w:r>
        <w:rPr>
          <w:rFonts w:hint="eastAsia" w:ascii="宋体" w:hAnsi="宋体" w:eastAsia="宋体" w:cs="宋体"/>
          <w:kern w:val="0"/>
          <w:szCs w:val="21"/>
        </w:rPr>
        <w:t>采购人有权解除合同，中标人应当返还采购人已支付款项并向采购人支付采购合同总价款20%的违约金；</w:t>
      </w:r>
    </w:p>
    <w:p w14:paraId="5A363765">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b w:val="0"/>
          <w:color w:val="auto"/>
          <w:kern w:val="2"/>
          <w:sz w:val="21"/>
          <w:szCs w:val="24"/>
          <w:lang w:val="en-US" w:eastAsia="zh-CN" w:bidi="ar-SA"/>
        </w:rPr>
        <w:t>3、</w:t>
      </w:r>
      <w:r>
        <w:rPr>
          <w:rFonts w:hint="eastAsia" w:ascii="宋体" w:hAnsi="宋体" w:eastAsia="宋体" w:cs="宋体"/>
        </w:rPr>
        <w:t>如中标人违反保密义务或提供的项目服务或项目成果侵犯第三方知识产权的，采购人有权解除合同，中标人应当返还采购人已支付款项并向采购人支付采购合同总价款20%的违约金；</w:t>
      </w:r>
    </w:p>
    <w:p w14:paraId="0FF7C23D">
      <w:pPr>
        <w:keepNext w:val="0"/>
        <w:keepLines w:val="0"/>
        <w:pageBreakBefore w:val="0"/>
        <w:widowControl w:val="0"/>
        <w:numPr>
          <w:ilvl w:val="1"/>
          <w:numId w:val="0"/>
        </w:numPr>
        <w:tabs>
          <w:tab w:val="left" w:pos="540"/>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b w:val="0"/>
          <w:color w:val="auto"/>
          <w:kern w:val="2"/>
          <w:sz w:val="21"/>
          <w:szCs w:val="24"/>
          <w:lang w:val="en-US" w:eastAsia="zh-CN" w:bidi="ar-SA"/>
        </w:rPr>
        <w:t>4、</w:t>
      </w:r>
      <w:r>
        <w:rPr>
          <w:rFonts w:hint="eastAsia" w:ascii="宋体" w:hAnsi="宋体" w:eastAsia="宋体" w:cs="宋体"/>
        </w:rPr>
        <w:t>未经采购人同意，中标人不得将项目转包或分包给其他第三方，如若违反，采购人有权解除合同，中标人应当返还采购人已支付的款项并向采购人支付采购合同总价款20%的违约金。</w:t>
      </w:r>
    </w:p>
    <w:p w14:paraId="1241F349">
      <w:pPr>
        <w:numPr>
          <w:ilvl w:val="0"/>
          <w:numId w:val="0"/>
        </w:numPr>
        <w:tabs>
          <w:tab w:val="left" w:pos="540"/>
        </w:tabs>
        <w:adjustRightInd w:val="0"/>
        <w:snapToGrid w:val="0"/>
        <w:spacing w:line="360" w:lineRule="auto"/>
        <w:ind w:left="420" w:hanging="420"/>
        <w:rPr>
          <w:rFonts w:hint="eastAsia" w:ascii="宋体" w:hAnsi="宋体" w:eastAsia="宋体" w:cs="宋体"/>
          <w:szCs w:val="21"/>
        </w:rPr>
      </w:pPr>
      <w:bookmarkStart w:id="0" w:name="_GoBack"/>
      <w:r>
        <w:rPr>
          <w:rFonts w:hint="eastAsia" w:ascii="宋体" w:hAnsi="宋体" w:eastAsia="宋体" w:cs="宋体"/>
          <w:b/>
          <w:bCs/>
          <w:color w:val="auto"/>
          <w:kern w:val="2"/>
          <w:sz w:val="21"/>
          <w:szCs w:val="21"/>
          <w:lang w:val="en-US" w:eastAsia="zh-CN" w:bidi="ar-SA"/>
        </w:rPr>
        <w:t>六、</w:t>
      </w:r>
      <w:r>
        <w:rPr>
          <w:rFonts w:hint="eastAsia" w:ascii="宋体" w:hAnsi="宋体" w:eastAsia="宋体" w:cs="宋体"/>
          <w:b/>
          <w:bCs/>
          <w:color w:val="000000"/>
          <w:szCs w:val="21"/>
        </w:rPr>
        <w:t>合</w:t>
      </w:r>
      <w:bookmarkEnd w:id="0"/>
      <w:r>
        <w:rPr>
          <w:rFonts w:hint="eastAsia" w:ascii="宋体" w:hAnsi="宋体" w:eastAsia="宋体" w:cs="宋体"/>
          <w:b/>
          <w:bCs/>
          <w:color w:val="000000"/>
          <w:szCs w:val="21"/>
        </w:rPr>
        <w:t>同的变更</w:t>
      </w:r>
    </w:p>
    <w:p w14:paraId="7A325F4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在合同履行过程中，采购人、中标人双方可就合同履行的时间、地点和方式等协商进行变更。协商一致后，双方应签订书面的补充协议。</w:t>
      </w:r>
    </w:p>
    <w:p w14:paraId="5528547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Cs w:val="21"/>
        </w:rPr>
        <w:t>在不改变合同其他条款的前提下，采购人有权在合同价款改变正负百分之十的范围内追加或减少与合同标的相同的货物或服务，并就此与中标人签订补充合同，中标人不得拒绝。</w:t>
      </w:r>
    </w:p>
    <w:p w14:paraId="1EE17A7D">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Cs w:val="21"/>
        </w:rPr>
        <w:t>除了双方签署书面协议，并成为合同不可分割的一部分之外，合同条件不得有任何变更。</w:t>
      </w:r>
    </w:p>
    <w:p w14:paraId="3B88585C">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七、</w:t>
      </w:r>
      <w:r>
        <w:rPr>
          <w:rFonts w:hint="eastAsia" w:ascii="宋体" w:hAnsi="宋体" w:eastAsia="宋体" w:cs="宋体"/>
          <w:b/>
          <w:bCs/>
          <w:color w:val="000000"/>
          <w:szCs w:val="21"/>
        </w:rPr>
        <w:t>合同转让和分包</w:t>
      </w:r>
    </w:p>
    <w:p w14:paraId="1B10609B">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中标人不得以任何形式部分或全部转让其应履行的合同义务。</w:t>
      </w:r>
    </w:p>
    <w:p w14:paraId="691D061D">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Cs w:val="21"/>
        </w:rPr>
        <w:t>除非在投标文件中提出的分包项目和建议的分包人，中标人不得采用分包方式履行合同。</w:t>
      </w:r>
    </w:p>
    <w:p w14:paraId="3AEC93A0">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Cs w:val="21"/>
        </w:rPr>
        <w:t>在合同实施过程中，除非中标人违约，采购人不得指定分包人。</w:t>
      </w:r>
    </w:p>
    <w:p w14:paraId="0F945E22">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八、</w:t>
      </w:r>
      <w:r>
        <w:rPr>
          <w:rFonts w:hint="eastAsia" w:ascii="宋体" w:hAnsi="宋体" w:eastAsia="宋体" w:cs="宋体"/>
          <w:b/>
          <w:bCs/>
          <w:color w:val="000000"/>
          <w:szCs w:val="21"/>
        </w:rPr>
        <w:t>解决争议的方法</w:t>
      </w:r>
      <w:r>
        <w:rPr>
          <w:rFonts w:hint="eastAsia" w:ascii="宋体" w:hAnsi="宋体" w:eastAsia="宋体" w:cs="宋体"/>
          <w:b/>
          <w:bCs/>
          <w:color w:val="000000"/>
          <w:szCs w:val="21"/>
        </w:rPr>
        <w:tab/>
      </w:r>
    </w:p>
    <w:p w14:paraId="22E02D8A">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合同各方应通过友好协商，解决在执行合同过程中所发生的或与合同有关的一切争端。</w:t>
      </w:r>
    </w:p>
    <w:p w14:paraId="3176AAA0">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Cs w:val="21"/>
        </w:rPr>
        <w:t>如从协商开始28天内仍不能解决，任一方可向采购人所在地的人民法院提起诉讼。</w:t>
      </w:r>
    </w:p>
    <w:p w14:paraId="08C60FB5">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Cs w:val="21"/>
        </w:rPr>
        <w:t>在诉讼期间，除正在进行诉讼的部分外，合同的其他部分应继续执行。</w:t>
      </w:r>
    </w:p>
    <w:p w14:paraId="33C67FBC">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九、</w:t>
      </w:r>
      <w:r>
        <w:rPr>
          <w:rFonts w:hint="eastAsia" w:ascii="宋体" w:hAnsi="宋体" w:eastAsia="宋体" w:cs="宋体"/>
          <w:b/>
          <w:bCs/>
          <w:color w:val="000000"/>
          <w:szCs w:val="21"/>
        </w:rPr>
        <w:t>合同语言</w:t>
      </w:r>
      <w:r>
        <w:rPr>
          <w:rFonts w:hint="eastAsia" w:ascii="宋体" w:hAnsi="宋体" w:eastAsia="宋体" w:cs="宋体"/>
          <w:b/>
          <w:bCs/>
          <w:color w:val="000000"/>
          <w:szCs w:val="21"/>
        </w:rPr>
        <w:tab/>
      </w:r>
    </w:p>
    <w:p w14:paraId="7F7018D4">
      <w:pPr>
        <w:numPr>
          <w:ilvl w:val="1"/>
          <w:numId w:val="0"/>
        </w:numPr>
        <w:tabs>
          <w:tab w:val="left" w:pos="780"/>
        </w:tabs>
        <w:adjustRightInd w:val="0"/>
        <w:snapToGrid w:val="0"/>
        <w:spacing w:line="360" w:lineRule="auto"/>
        <w:ind w:left="780" w:hanging="360"/>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合同以及双方来住的与合同有关的信件、传真和其它文件应用中文书写。</w:t>
      </w:r>
    </w:p>
    <w:p w14:paraId="2AF524F4">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十、</w:t>
      </w:r>
      <w:r>
        <w:rPr>
          <w:rFonts w:hint="eastAsia" w:ascii="宋体" w:hAnsi="宋体" w:eastAsia="宋体" w:cs="宋体"/>
          <w:b/>
          <w:bCs/>
          <w:color w:val="000000"/>
          <w:szCs w:val="21"/>
        </w:rPr>
        <w:t>法律适用</w:t>
      </w:r>
      <w:r>
        <w:rPr>
          <w:rFonts w:hint="eastAsia" w:ascii="宋体" w:hAnsi="宋体" w:eastAsia="宋体" w:cs="宋体"/>
          <w:b/>
          <w:bCs/>
          <w:color w:val="000000"/>
          <w:szCs w:val="21"/>
        </w:rPr>
        <w:tab/>
      </w:r>
    </w:p>
    <w:p w14:paraId="23F2366A">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合同适用中华人民共和国现行法律、行政法规和规章，如合同条款与法律、行政法规和规章不一致的，按照法律、行政法规和规章修改合同。</w:t>
      </w:r>
    </w:p>
    <w:p w14:paraId="535AEB49">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十一、</w:t>
      </w:r>
      <w:r>
        <w:rPr>
          <w:rFonts w:hint="eastAsia" w:ascii="宋体" w:hAnsi="宋体" w:eastAsia="宋体" w:cs="宋体"/>
          <w:b/>
          <w:bCs/>
          <w:color w:val="000000"/>
          <w:szCs w:val="21"/>
        </w:rPr>
        <w:t>通知</w:t>
      </w:r>
      <w:r>
        <w:rPr>
          <w:rFonts w:hint="eastAsia" w:ascii="宋体" w:hAnsi="宋体" w:eastAsia="宋体" w:cs="宋体"/>
          <w:b/>
          <w:bCs/>
          <w:color w:val="000000"/>
          <w:szCs w:val="21"/>
        </w:rPr>
        <w:tab/>
      </w:r>
    </w:p>
    <w:p w14:paraId="22E80E60">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合同一方给另一方的通知均应采用书面形式，传真或快递送到对方的地址和办理签收手续。</w:t>
      </w:r>
    </w:p>
    <w:p w14:paraId="6BFB88CB">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Cs w:val="21"/>
        </w:rPr>
        <w:t>通知以送到之日或通知书中规定的生效之日起生效，两者中以较迟之日为准。</w:t>
      </w:r>
    </w:p>
    <w:p w14:paraId="2629904B">
      <w:pPr>
        <w:numPr>
          <w:ilvl w:val="0"/>
          <w:numId w:val="0"/>
        </w:numPr>
        <w:tabs>
          <w:tab w:val="left" w:pos="540"/>
        </w:tabs>
        <w:adjustRightInd w:val="0"/>
        <w:snapToGrid w:val="0"/>
        <w:spacing w:line="360" w:lineRule="auto"/>
        <w:ind w:left="420" w:hanging="420"/>
        <w:rPr>
          <w:rFonts w:hint="eastAsia" w:ascii="宋体" w:hAnsi="宋体" w:eastAsia="宋体" w:cs="宋体"/>
          <w:b/>
          <w:bCs/>
          <w:szCs w:val="21"/>
        </w:rPr>
      </w:pPr>
      <w:r>
        <w:rPr>
          <w:rFonts w:hint="eastAsia" w:ascii="宋体" w:hAnsi="宋体" w:eastAsia="宋体" w:cs="宋体"/>
          <w:b/>
          <w:bCs/>
          <w:color w:val="auto"/>
          <w:kern w:val="2"/>
          <w:sz w:val="21"/>
          <w:szCs w:val="21"/>
          <w:lang w:val="en-US" w:eastAsia="zh-CN" w:bidi="ar-SA"/>
        </w:rPr>
        <w:t>十二、</w:t>
      </w:r>
      <w:r>
        <w:rPr>
          <w:rFonts w:hint="eastAsia" w:ascii="宋体" w:hAnsi="宋体" w:eastAsia="宋体" w:cs="宋体"/>
          <w:b/>
          <w:bCs/>
          <w:szCs w:val="21"/>
        </w:rPr>
        <w:t>★知识产权合规承诺</w:t>
      </w:r>
      <w:r>
        <w:rPr>
          <w:rFonts w:hint="eastAsia" w:ascii="宋体" w:hAnsi="宋体" w:eastAsia="宋体" w:cs="宋体"/>
          <w:b/>
          <w:bCs/>
          <w:szCs w:val="21"/>
        </w:rPr>
        <w:tab/>
      </w:r>
    </w:p>
    <w:p w14:paraId="5492E802">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43B4DE35">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55E90FA">
      <w:pPr>
        <w:pStyle w:val="9"/>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bCs/>
          <w:kern w:val="0"/>
          <w:szCs w:val="21"/>
          <w:lang w:val="en-US" w:eastAsia="zh-CN"/>
        </w:rPr>
        <w:t>中标人实施本项目所形成成果的知识产权归采购人所有，未经采购人许可，中标人不得随意使用。</w:t>
      </w:r>
    </w:p>
    <w:p w14:paraId="1A6297CF">
      <w:pPr>
        <w:numPr>
          <w:ilvl w:val="0"/>
          <w:numId w:val="0"/>
        </w:numPr>
        <w:tabs>
          <w:tab w:val="left" w:pos="540"/>
        </w:tabs>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auto"/>
          <w:kern w:val="2"/>
          <w:sz w:val="21"/>
          <w:szCs w:val="21"/>
          <w:lang w:val="en-US" w:eastAsia="zh-CN" w:bidi="ar-SA"/>
        </w:rPr>
        <w:t>十三、</w:t>
      </w:r>
      <w:r>
        <w:rPr>
          <w:rFonts w:hint="eastAsia" w:ascii="宋体" w:hAnsi="宋体" w:eastAsia="宋体" w:cs="宋体"/>
          <w:b/>
          <w:bCs/>
          <w:color w:val="000000"/>
          <w:szCs w:val="21"/>
        </w:rPr>
        <w:t>合同解除和终止</w:t>
      </w:r>
      <w:r>
        <w:rPr>
          <w:rFonts w:hint="eastAsia" w:ascii="宋体" w:hAnsi="宋体" w:eastAsia="宋体" w:cs="宋体"/>
          <w:b/>
          <w:bCs/>
          <w:color w:val="000000"/>
          <w:szCs w:val="21"/>
        </w:rPr>
        <w:tab/>
      </w:r>
    </w:p>
    <w:p w14:paraId="63EAE024">
      <w:pPr>
        <w:keepNext w:val="0"/>
        <w:keepLines w:val="0"/>
        <w:pageBreakBefore w:val="0"/>
        <w:widowControl w:val="0"/>
        <w:tabs>
          <w:tab w:val="left" w:pos="78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54075F65">
      <w:pPr>
        <w:numPr>
          <w:ilvl w:val="0"/>
          <w:numId w:val="0"/>
        </w:numPr>
        <w:tabs>
          <w:tab w:val="left" w:pos="540"/>
        </w:tabs>
        <w:adjustRightInd w:val="0"/>
        <w:snapToGrid w:val="0"/>
        <w:spacing w:line="360" w:lineRule="auto"/>
        <w:ind w:left="420" w:hanging="420"/>
        <w:rPr>
          <w:rFonts w:hint="eastAsia" w:ascii="宋体" w:hAnsi="宋体" w:eastAsia="宋体" w:cs="宋体"/>
          <w:kern w:val="0"/>
          <w:szCs w:val="21"/>
        </w:rPr>
      </w:pPr>
      <w:r>
        <w:rPr>
          <w:rFonts w:hint="eastAsia" w:ascii="宋体" w:hAnsi="宋体" w:eastAsia="宋体" w:cs="宋体"/>
          <w:b/>
          <w:bCs/>
          <w:color w:val="auto"/>
          <w:kern w:val="0"/>
          <w:sz w:val="21"/>
          <w:szCs w:val="21"/>
          <w:lang w:val="en-US" w:eastAsia="zh-CN" w:bidi="ar-SA"/>
        </w:rPr>
        <w:t>十四、</w:t>
      </w:r>
      <w:r>
        <w:rPr>
          <w:rFonts w:hint="eastAsia" w:ascii="宋体" w:hAnsi="宋体" w:eastAsia="宋体" w:cs="宋体"/>
          <w:b/>
          <w:bCs/>
          <w:kern w:val="0"/>
          <w:szCs w:val="21"/>
        </w:rPr>
        <w:t>税费</w:t>
      </w:r>
      <w:r>
        <w:rPr>
          <w:rFonts w:hint="eastAsia" w:ascii="宋体" w:hAnsi="宋体" w:eastAsia="宋体" w:cs="宋体"/>
          <w:kern w:val="0"/>
          <w:szCs w:val="21"/>
        </w:rPr>
        <w:tab/>
      </w:r>
    </w:p>
    <w:p w14:paraId="6BF1FC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3498C"/>
    <w:multiLevelType w:val="singleLevel"/>
    <w:tmpl w:val="C0C3498C"/>
    <w:lvl w:ilvl="0" w:tentative="0">
      <w:start w:val="1"/>
      <w:numFmt w:val="decimal"/>
      <w:suff w:val="nothing"/>
      <w:lvlText w:val="%1."/>
      <w:lvlJc w:val="left"/>
      <w:pPr>
        <w:ind w:left="425" w:hanging="425"/>
      </w:pPr>
      <w:rPr>
        <w:rFonts w:hint="default"/>
      </w:rPr>
    </w:lvl>
  </w:abstractNum>
  <w:abstractNum w:abstractNumId="1">
    <w:nsid w:val="062E42CC"/>
    <w:multiLevelType w:val="multilevel"/>
    <w:tmpl w:val="062E42CC"/>
    <w:lvl w:ilvl="0" w:tentative="0">
      <w:start w:val="1"/>
      <w:numFmt w:val="bullet"/>
      <w:pStyle w:val="51"/>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autoRedefine/>
    <w:qFormat/>
    <w:uiPriority w:val="0"/>
    <w:pPr>
      <w:keepNext/>
      <w:autoSpaceDE w:val="0"/>
      <w:autoSpaceDN w:val="0"/>
      <w:adjustRightInd w:val="0"/>
      <w:jc w:val="center"/>
      <w:outlineLvl w:val="0"/>
    </w:pPr>
    <w:rPr>
      <w:rFonts w:ascii="宋体"/>
      <w:color w:val="000000"/>
      <w:sz w:val="28"/>
      <w:szCs w:val="20"/>
    </w:rPr>
  </w:style>
  <w:style w:type="paragraph" w:styleId="2">
    <w:name w:val="heading 2"/>
    <w:basedOn w:val="1"/>
    <w:next w:val="1"/>
    <w:link w:val="36"/>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5"/>
    <w:autoRedefine/>
    <w:qFormat/>
    <w:uiPriority w:val="0"/>
    <w:rPr>
      <w:rFonts w:ascii="宋体" w:hAnsi="Courier New" w:eastAsiaTheme="minorEastAsia" w:cstheme="minorBidi"/>
    </w:rPr>
  </w:style>
  <w:style w:type="paragraph" w:styleId="10">
    <w:name w:val="Date"/>
    <w:basedOn w:val="1"/>
    <w:next w:val="1"/>
    <w:link w:val="27"/>
    <w:autoRedefine/>
    <w:qFormat/>
    <w:uiPriority w:val="0"/>
    <w:rPr>
      <w:rFonts w:ascii="宋体" w:hAnsi="Courier New"/>
      <w:kern w:val="0"/>
      <w:sz w:val="32"/>
      <w:szCs w:val="20"/>
    </w:rPr>
  </w:style>
  <w:style w:type="paragraph" w:styleId="11">
    <w:name w:val="Balloon Text"/>
    <w:basedOn w:val="1"/>
    <w:link w:val="28"/>
    <w:autoRedefine/>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6">
    <w:name w:val="annotation subject"/>
    <w:basedOn w:val="6"/>
    <w:next w:val="6"/>
    <w:link w:val="33"/>
    <w:autoRedefine/>
    <w:semiHidden/>
    <w:unhideWhenUsed/>
    <w:qFormat/>
    <w:uiPriority w:val="99"/>
    <w:rPr>
      <w:b/>
      <w:bCs/>
    </w:rPr>
  </w:style>
  <w:style w:type="paragraph" w:styleId="17">
    <w:name w:val="Body Text First Indent 2"/>
    <w:basedOn w:val="8"/>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qFormat/>
    <w:uiPriority w:val="0"/>
    <w:rPr>
      <w:rFonts w:ascii="Times New Roman" w:hAnsi="Times New Roman" w:eastAsia="宋体" w:cs="Times New Roman"/>
      <w:b/>
      <w:bCs/>
    </w:rPr>
  </w:style>
  <w:style w:type="character" w:styleId="22">
    <w:name w:val="page number"/>
    <w:basedOn w:val="20"/>
    <w:qFormat/>
    <w:uiPriority w:val="0"/>
  </w:style>
  <w:style w:type="character" w:styleId="23">
    <w:name w:val="Hyperlink"/>
    <w:autoRedefine/>
    <w:qFormat/>
    <w:uiPriority w:val="99"/>
    <w:rPr>
      <w:color w:val="0000FF"/>
      <w:u w:val="single"/>
    </w:rPr>
  </w:style>
  <w:style w:type="character" w:styleId="24">
    <w:name w:val="annotation reference"/>
    <w:basedOn w:val="20"/>
    <w:autoRedefine/>
    <w:semiHidden/>
    <w:unhideWhenUsed/>
    <w:qFormat/>
    <w:uiPriority w:val="99"/>
    <w:rPr>
      <w:sz w:val="21"/>
      <w:szCs w:val="21"/>
    </w:rPr>
  </w:style>
  <w:style w:type="paragraph" w:customStyle="1" w:styleId="25">
    <w:name w:val="表格文字"/>
    <w:basedOn w:val="1"/>
    <w:autoRedefine/>
    <w:qFormat/>
    <w:uiPriority w:val="0"/>
    <w:pPr>
      <w:spacing w:before="25" w:after="25" w:line="240" w:lineRule="auto"/>
      <w:ind w:firstLine="0"/>
      <w:jc w:val="left"/>
    </w:pPr>
    <w:rPr>
      <w:bCs/>
      <w:spacing w:val="10"/>
      <w:kern w:val="0"/>
      <w:sz w:val="24"/>
    </w:rPr>
  </w:style>
  <w:style w:type="character" w:customStyle="1" w:styleId="26">
    <w:name w:val="日期 Char"/>
    <w:basedOn w:val="20"/>
    <w:link w:val="10"/>
    <w:autoRedefine/>
    <w:qFormat/>
    <w:uiPriority w:val="0"/>
    <w:rPr>
      <w:rFonts w:ascii="宋体" w:hAnsi="Courier New" w:eastAsia="宋体" w:cs="Times New Roman"/>
      <w:kern w:val="0"/>
      <w:sz w:val="32"/>
      <w:szCs w:val="20"/>
    </w:rPr>
  </w:style>
  <w:style w:type="character" w:customStyle="1" w:styleId="27">
    <w:name w:val="日期 Char1"/>
    <w:basedOn w:val="20"/>
    <w:link w:val="10"/>
    <w:autoRedefine/>
    <w:semiHidden/>
    <w:qFormat/>
    <w:uiPriority w:val="99"/>
    <w:rPr>
      <w:rFonts w:ascii="Calibri" w:hAnsi="Calibri" w:eastAsia="宋体" w:cs="Times New Roman"/>
    </w:rPr>
  </w:style>
  <w:style w:type="character" w:customStyle="1" w:styleId="28">
    <w:name w:val="批注框文本 Char"/>
    <w:basedOn w:val="20"/>
    <w:link w:val="11"/>
    <w:autoRedefine/>
    <w:semiHidden/>
    <w:qFormat/>
    <w:uiPriority w:val="99"/>
    <w:rPr>
      <w:rFonts w:ascii="Calibri" w:hAnsi="Calibri" w:eastAsia="宋体" w:cs="Times New Roman"/>
      <w:sz w:val="18"/>
      <w:szCs w:val="18"/>
    </w:rPr>
  </w:style>
  <w:style w:type="character" w:customStyle="1" w:styleId="29">
    <w:name w:val="页眉 Char"/>
    <w:basedOn w:val="20"/>
    <w:link w:val="13"/>
    <w:autoRedefine/>
    <w:semiHidden/>
    <w:qFormat/>
    <w:uiPriority w:val="99"/>
    <w:rPr>
      <w:rFonts w:ascii="Calibri" w:hAnsi="Calibri" w:eastAsia="宋体" w:cs="Times New Roman"/>
      <w:sz w:val="18"/>
      <w:szCs w:val="18"/>
    </w:rPr>
  </w:style>
  <w:style w:type="character" w:customStyle="1" w:styleId="30">
    <w:name w:val="页脚 Char"/>
    <w:basedOn w:val="20"/>
    <w:link w:val="12"/>
    <w:autoRedefine/>
    <w:qFormat/>
    <w:uiPriority w:val="99"/>
    <w:rPr>
      <w:rFonts w:ascii="Calibri" w:hAnsi="Calibri" w:eastAsia="宋体" w:cs="Times New Roman"/>
      <w:sz w:val="18"/>
      <w:szCs w:val="18"/>
    </w:rPr>
  </w:style>
  <w:style w:type="character" w:customStyle="1" w:styleId="31">
    <w:name w:val="标题 1 Char"/>
    <w:basedOn w:val="20"/>
    <w:link w:val="3"/>
    <w:autoRedefine/>
    <w:qFormat/>
    <w:uiPriority w:val="0"/>
    <w:rPr>
      <w:rFonts w:ascii="宋体" w:hAnsi="Calibri" w:eastAsia="宋体" w:cs="Times New Roman"/>
      <w:color w:val="000000"/>
      <w:sz w:val="28"/>
      <w:szCs w:val="20"/>
    </w:rPr>
  </w:style>
  <w:style w:type="character" w:customStyle="1" w:styleId="32">
    <w:name w:val="批注文字 Char"/>
    <w:basedOn w:val="20"/>
    <w:link w:val="6"/>
    <w:autoRedefine/>
    <w:qFormat/>
    <w:uiPriority w:val="99"/>
    <w:rPr>
      <w:rFonts w:ascii="Calibri" w:hAnsi="Calibri" w:eastAsia="宋体" w:cs="Times New Roman"/>
    </w:rPr>
  </w:style>
  <w:style w:type="character" w:customStyle="1" w:styleId="33">
    <w:name w:val="批注主题 Char"/>
    <w:basedOn w:val="32"/>
    <w:link w:val="16"/>
    <w:autoRedefine/>
    <w:semiHidden/>
    <w:qFormat/>
    <w:uiPriority w:val="99"/>
    <w:rPr>
      <w:b/>
      <w:bCs/>
    </w:rPr>
  </w:style>
  <w:style w:type="character" w:customStyle="1" w:styleId="34">
    <w:name w:val="纯文本 Char"/>
    <w:link w:val="9"/>
    <w:autoRedefine/>
    <w:qFormat/>
    <w:uiPriority w:val="0"/>
    <w:rPr>
      <w:rFonts w:ascii="宋体" w:hAnsi="Courier New"/>
    </w:rPr>
  </w:style>
  <w:style w:type="character" w:customStyle="1" w:styleId="35">
    <w:name w:val="纯文本 Char1"/>
    <w:basedOn w:val="20"/>
    <w:link w:val="9"/>
    <w:autoRedefine/>
    <w:semiHidden/>
    <w:qFormat/>
    <w:uiPriority w:val="99"/>
    <w:rPr>
      <w:rFonts w:ascii="宋体" w:hAnsi="Courier New" w:eastAsia="宋体" w:cs="Courier New"/>
      <w:szCs w:val="21"/>
    </w:rPr>
  </w:style>
  <w:style w:type="character" w:customStyle="1" w:styleId="36">
    <w:name w:val="标题 2 Char"/>
    <w:basedOn w:val="20"/>
    <w:link w:val="2"/>
    <w:autoRedefine/>
    <w:qFormat/>
    <w:uiPriority w:val="0"/>
    <w:rPr>
      <w:rFonts w:ascii="Arial" w:hAnsi="Arial" w:eastAsia="宋体" w:cs="Times New Roman"/>
      <w:b/>
      <w:bCs/>
      <w:sz w:val="32"/>
      <w:szCs w:val="32"/>
    </w:rPr>
  </w:style>
  <w:style w:type="paragraph" w:styleId="37">
    <w:name w:val="List Paragraph"/>
    <w:basedOn w:val="1"/>
    <w:autoRedefine/>
    <w:qFormat/>
    <w:uiPriority w:val="34"/>
    <w:pPr>
      <w:ind w:firstLine="420" w:firstLineChars="200"/>
    </w:pPr>
  </w:style>
  <w:style w:type="character" w:customStyle="1" w:styleId="38">
    <w:name w:val="标题 3 Char"/>
    <w:basedOn w:val="20"/>
    <w:link w:val="4"/>
    <w:autoRedefine/>
    <w:semiHidden/>
    <w:qFormat/>
    <w:uiPriority w:val="9"/>
    <w:rPr>
      <w:rFonts w:ascii="Calibri" w:hAnsi="Calibri" w:eastAsia="宋体" w:cs="Times New Roman"/>
      <w:b/>
      <w:bCs/>
      <w:sz w:val="32"/>
      <w:szCs w:val="32"/>
    </w:rPr>
  </w:style>
  <w:style w:type="character" w:customStyle="1" w:styleId="39">
    <w:name w:val="标题 4 Char"/>
    <w:basedOn w:val="20"/>
    <w:link w:val="5"/>
    <w:autoRedefine/>
    <w:qFormat/>
    <w:uiPriority w:val="0"/>
    <w:rPr>
      <w:rFonts w:ascii="Cambria" w:hAnsi="Cambria" w:eastAsia="宋体" w:cs="Times New Roman"/>
      <w:b/>
      <w:bCs/>
      <w:sz w:val="28"/>
      <w:szCs w:val="28"/>
    </w:rPr>
  </w:style>
  <w:style w:type="paragraph" w:customStyle="1" w:styleId="40">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9"/>
    <w:autoRedefine/>
    <w:qFormat/>
    <w:uiPriority w:val="0"/>
    <w:rPr>
      <w:rFonts w:ascii="宋体" w:hAnsi="Courier New"/>
      <w:szCs w:val="20"/>
    </w:rPr>
  </w:style>
  <w:style w:type="paragraph" w:customStyle="1" w:styleId="42">
    <w:name w:val="8"/>
    <w:basedOn w:val="1"/>
    <w:next w:val="9"/>
    <w:autoRedefine/>
    <w:qFormat/>
    <w:uiPriority w:val="0"/>
    <w:rPr>
      <w:rFonts w:ascii="宋体" w:hAnsi="Courier New"/>
      <w:szCs w:val="20"/>
    </w:rPr>
  </w:style>
  <w:style w:type="paragraph" w:customStyle="1" w:styleId="43">
    <w:name w:val="_Style 55"/>
    <w:basedOn w:val="1"/>
    <w:next w:val="9"/>
    <w:autoRedefine/>
    <w:qFormat/>
    <w:uiPriority w:val="0"/>
    <w:rPr>
      <w:rFonts w:ascii="宋体" w:hAnsi="Courier New"/>
      <w:szCs w:val="20"/>
    </w:rPr>
  </w:style>
  <w:style w:type="paragraph" w:customStyle="1" w:styleId="44">
    <w:name w:val="7"/>
    <w:basedOn w:val="1"/>
    <w:next w:val="9"/>
    <w:link w:val="45"/>
    <w:autoRedefine/>
    <w:qFormat/>
    <w:uiPriority w:val="0"/>
    <w:rPr>
      <w:rFonts w:ascii="宋体" w:hAnsi="Courier New"/>
      <w:szCs w:val="20"/>
    </w:rPr>
  </w:style>
  <w:style w:type="character" w:customStyle="1" w:styleId="45">
    <w:name w:val="Char1"/>
    <w:link w:val="44"/>
    <w:autoRedefine/>
    <w:qFormat/>
    <w:uiPriority w:val="0"/>
    <w:rPr>
      <w:rFonts w:ascii="宋体" w:hAnsi="Courier New" w:eastAsia="宋体" w:cs="Times New Roman"/>
      <w:szCs w:val="20"/>
    </w:rPr>
  </w:style>
  <w:style w:type="paragraph" w:customStyle="1" w:styleId="46">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49">
    <w:name w:val="表正文"/>
    <w:basedOn w:val="1"/>
    <w:qFormat/>
    <w:uiPriority w:val="0"/>
    <w:rPr>
      <w:sz w:val="18"/>
    </w:rPr>
  </w:style>
  <w:style w:type="paragraph" w:customStyle="1" w:styleId="50">
    <w:name w:val="表格并列项"/>
    <w:basedOn w:val="51"/>
    <w:qFormat/>
    <w:uiPriority w:val="0"/>
    <w:pPr>
      <w:tabs>
        <w:tab w:val="left" w:pos="839"/>
      </w:tabs>
      <w:spacing w:before="40" w:after="40"/>
      <w:ind w:left="840" w:firstLineChars="0"/>
    </w:pPr>
  </w:style>
  <w:style w:type="paragraph" w:customStyle="1" w:styleId="51">
    <w:name w:val="并列项"/>
    <w:basedOn w:val="37"/>
    <w:qFormat/>
    <w:uiPriority w:val="0"/>
    <w:pPr>
      <w:numPr>
        <w:ilvl w:val="0"/>
        <w:numId w:val="1"/>
      </w:numPr>
      <w:snapToGrid w:val="0"/>
      <w:ind w:left="420"/>
      <w:contextualSpacing/>
    </w:pPr>
    <w:rPr>
      <w:rFonts w:cs="Cambr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3879</Words>
  <Characters>3999</Characters>
  <Lines>229</Lines>
  <Paragraphs>64</Paragraphs>
  <TotalTime>2</TotalTime>
  <ScaleCrop>false</ScaleCrop>
  <LinksUpToDate>false</LinksUpToDate>
  <CharactersWithSpaces>4015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2025-02-12T06:38:08Z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